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497" w:right="1474"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视觉（中国）文化发展股份有限公司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497"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4"/>
        <w:rPr>
          <w:rFonts w:ascii="宋体" w:hAnsi="宋体" w:cs="宋体" w:eastAsia="宋体" w:hint="default"/>
          <w:b/>
          <w:bCs/>
          <w:sz w:val="32"/>
          <w:szCs w:val="32"/>
        </w:rPr>
      </w:pPr>
    </w:p>
    <w:p>
      <w:pPr>
        <w:spacing w:before="0"/>
        <w:ind w:left="497" w:right="1472" w:firstLine="0"/>
        <w:jc w:val="center"/>
        <w:rPr>
          <w:rFonts w:ascii="Times New Roman" w:hAnsi="Times New Roman" w:cs="Times New Roman" w:eastAsia="Times New Roman" w:hint="default"/>
          <w:sz w:val="32"/>
          <w:szCs w:val="32"/>
        </w:rPr>
      </w:pPr>
      <w:r>
        <w:rPr>
          <w:rFonts w:ascii="Times New Roman"/>
          <w:b/>
          <w:sz w:val="32"/>
        </w:rPr>
        <w:t>2018-025</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497" w:right="14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4"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公司负责人廖杰、主管会计工作负责人梁军及会计机构负责人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宋姝樨声明：保证年度报告中财务报告的真实、准确、完整。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本报告中涉及的未来计划等前瞻性陈述，不构成公司对投资者的实质承诺，</w:t>
      </w:r>
      <w:r>
        <w:rPr>
          <w:rFonts w:ascii="宋体" w:hAnsi="宋体" w:cs="宋体" w:eastAsia="宋体" w:hint="default"/>
          <w:spacing w:val="-2"/>
          <w:sz w:val="28"/>
          <w:szCs w:val="28"/>
        </w:rPr>
      </w:r>
    </w:p>
    <w:p>
      <w:pPr>
        <w:spacing w:line="393" w:lineRule="auto" w:before="0"/>
        <w:ind w:left="153" w:right="113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投资者及相关人士均应当对此保持足够的风险认识，并且应当理解计划、预测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1"/>
          <w:w w:val="95"/>
          <w:sz w:val="28"/>
          <w:szCs w:val="28"/>
        </w:rPr>
        <w:t>与承诺之间的差异，请投资者注意投资风险。公司在本报告第四节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经营情况讨</w:t>
      </w:r>
      <w:r>
        <w:rPr>
          <w:rFonts w:ascii="宋体" w:hAnsi="宋体" w:cs="宋体" w:eastAsia="宋体" w:hint="default"/>
          <w:b/>
          <w:bCs/>
          <w:spacing w:val="34"/>
          <w:w w:val="95"/>
          <w:sz w:val="28"/>
          <w:szCs w:val="28"/>
        </w:rPr>
        <w:t> </w:t>
      </w:r>
      <w:r>
        <w:rPr>
          <w:rFonts w:ascii="宋体" w:hAnsi="宋体" w:cs="宋体" w:eastAsia="宋体" w:hint="default"/>
          <w:b/>
          <w:bCs/>
          <w:spacing w:val="-1"/>
          <w:w w:val="95"/>
          <w:sz w:val="28"/>
          <w:szCs w:val="28"/>
        </w:rPr>
        <w:t>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中</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九、公司未来发展的展望</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部分，详细描述了公司经营中可能存在</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的风险及应对措施，敬请投资者关注相关内容。</w:t>
      </w:r>
      <w:r>
        <w:rPr>
          <w:rFonts w:ascii="宋体" w:hAnsi="宋体" w:cs="宋体" w:eastAsia="宋体" w:hint="default"/>
          <w:sz w:val="28"/>
          <w:szCs w:val="28"/>
        </w:rPr>
      </w:r>
    </w:p>
    <w:p>
      <w:pPr>
        <w:spacing w:before="17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700,577,436</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1136" w:firstLine="0"/>
        <w:jc w:val="both"/>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0.42</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97" w:right="147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184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497" w:right="147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240" w:lineRule="auto"/>
        <w:ind w:left="0" w:right="1139"/>
        <w:jc w:val="right"/>
      </w:pPr>
      <w:r>
        <w:rPr/>
        <w:pict>
          <v:shape style="position:absolute;margin-left:56.459999pt;margin-top:-83.448311pt;width:479.25pt;height:505.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公司、本公司、上市公司、视觉中国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名一致行动人、实际控制人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12"/>
                          <w:jc w:val="left"/>
                          <w:rPr>
                            <w:rFonts w:ascii="宋体" w:hAnsi="宋体" w:cs="宋体" w:eastAsia="宋体" w:hint="default"/>
                            <w:sz w:val="18"/>
                            <w:szCs w:val="18"/>
                          </w:rPr>
                        </w:pPr>
                        <w:r>
                          <w:rPr>
                            <w:rFonts w:ascii="宋体" w:hAnsi="宋体" w:cs="宋体" w:eastAsia="宋体" w:hint="default"/>
                            <w:spacing w:val="-5"/>
                            <w:sz w:val="18"/>
                            <w:szCs w:val="18"/>
                          </w:rPr>
                          <w:t>廖道训、吴玉瑞、吴春红、柴继军、姜海林、陈智华、袁闯、李学凌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高玮、梁世平</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华夏视觉（北京）图像技术有限公司，公司全资子公司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常州远东文化产业有限公司，公司全资子公司</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55"/>
                          <w:jc w:val="left"/>
                          <w:rPr>
                            <w:rFonts w:ascii="宋体" w:hAnsi="宋体" w:cs="宋体" w:eastAsia="宋体" w:hint="default"/>
                            <w:sz w:val="18"/>
                            <w:szCs w:val="18"/>
                          </w:rPr>
                        </w:pPr>
                        <w:r>
                          <w:rPr>
                            <w:rFonts w:ascii="宋体" w:hAnsi="宋体" w:cs="宋体" w:eastAsia="宋体" w:hint="default"/>
                            <w:sz w:val="18"/>
                            <w:szCs w:val="18"/>
                          </w:rPr>
                          <w:t>亿迅资产组包括亿迅信息技术有限公司、宝东信息技术有限公司、 </w:t>
                        </w:r>
                        <w:r>
                          <w:rPr>
                            <w:rFonts w:ascii="Times New Roman" w:hAnsi="Times New Roman" w:cs="Times New Roman" w:eastAsia="Times New Roman" w:hint="default"/>
                            <w:sz w:val="18"/>
                            <w:szCs w:val="18"/>
                          </w:rPr>
                          <w:t>DataTool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eSOON China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DataTool Hong</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，公司通过远东文化持有上述五个公司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湖北司马彦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湖北司马彦文化科技有限公司，公司通过汉华易美持股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上海卓越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上海卓越形象广告传播有限公司，公司通过汉华易美持股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合一基金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常州合一科文投资合伙企业（有限合伙）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映月基金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北京华盖映月影视文化投资合伙企业（有限合伙）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辽宁新兴文化创业投资基金合伙企业（有限合伙）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唱游信息技术有限公司，公司通过远东文化持股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易教优培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广东易教优培教育科技有限公司，公司通过远东文化持股 </w:t>
                        </w:r>
                        <w:r>
                          <w:rPr>
                            <w:rFonts w:ascii="Times New Roman" w:hAnsi="Times New Roman" w:cs="Times New Roman" w:eastAsia="Times New Roman" w:hint="default"/>
                            <w:sz w:val="18"/>
                            <w:szCs w:val="18"/>
                          </w:rPr>
                          <w:t>30%</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合一基金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常州合一科文投资合伙企业（有限合伙）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映月基金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北京华盖映月影视文化投资合伙企业（有限合伙）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辽宁基金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辽宁新兴文化创业投资基金合伙企业（有限合伙）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Getty SEA</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Getty Images SEA Holdings Co.,Limited</w:t>
                        </w:r>
                        <w:r>
                          <w:rPr>
                            <w:rFonts w:ascii="宋体" w:hAnsi="宋体" w:cs="宋体" w:eastAsia="宋体" w:hint="default"/>
                            <w:sz w:val="18"/>
                            <w:szCs w:val="18"/>
                          </w:rPr>
                          <w:t>，公司间接参股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华融创新</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11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华融创新资本投资有限公司（已更名为华融创新投资股份有限公司）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公司参股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103163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000681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视觉（中国）文化发展股份有限公司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视觉中国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VISUAL CHINA GROUP</w:t>
            </w:r>
            <w:r>
              <w:rPr>
                <w:rFonts w:ascii="Times New Roman"/>
                <w:spacing w:val="-22"/>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VCG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廖杰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常州市武进区西太湖科技产业园禾香路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213161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号院恒通国际商务园，</w:t>
            </w:r>
            <w:r>
              <w:rPr>
                <w:rFonts w:ascii="Times New Roman" w:hAnsi="Times New Roman" w:cs="Times New Roman" w:eastAsia="Times New Roman" w:hint="default"/>
                <w:sz w:val="18"/>
                <w:szCs w:val="18"/>
              </w:rPr>
              <w:t>B5/B8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www.vcg.com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ss000681@163.com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号院恒通国际 商务园，</w:t>
            </w:r>
            <w:r>
              <w:rPr>
                <w:rFonts w:ascii="Times New Roman" w:hAnsi="Times New Roman" w:cs="Times New Roman" w:eastAsia="Times New Roman" w:hint="default"/>
                <w:sz w:val="18"/>
                <w:szCs w:val="18"/>
              </w:rPr>
              <w:t>B5/B8</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010-57950213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9">
              <w:r>
                <w:rPr>
                  <w:rFonts w:ascii="Times New Roman"/>
                  <w:sz w:val="18"/>
                </w:rPr>
                <w:t>ss000681@163.com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北京市朝阳区酒仙桥路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号院恒通国际商务园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91320400608117856C</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日，公司控股股东由香港物华实业有限公司变更为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名一致行动 人。</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北京市朝阳区工体北路甲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号盈科中心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黄丽琼 安素强</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童星、朱正贵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814,570,532.71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735,497,004.94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542,902,526.07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290,820,917.16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214,659,215.55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157,557,775.58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288,244,783.14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211,869,959.87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156,406,685.23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250,127,629.88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234,484,510.92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120,082,270.12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4,099,465,288.73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3,523,566,495.19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2,770,124,808.92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2,572,499,032.90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2,296,778,132.27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2,080,437,724.92</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112,505,460.21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270,156,256.27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197,016,696.02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234,892,120.21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29,292,026.49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66,196,041.23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67,145,229.02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128,187,620.42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29,292,026.49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70,470,553.07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69,167,434.88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119,314,768.70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-10,199,081.13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34,403,265.53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88,217,058.54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137,706,386.94</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1,264,123.38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6,985,523.05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-140,028.66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2,015,066.46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4,234,858.00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798,715.31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876,346.93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4,533,489.10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-275,145.18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-1,378,509.67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-21,847.72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1,673,866.57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-14,110,126.61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932,965.44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-2,555,199.40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321,596.03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540,071.77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31,177.59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40,499.48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2,576,134.02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2,789,255.68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1,151,090.35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2,345,887.20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5"/>
              <w:jc w:val="left"/>
              <w:rPr>
                <w:rFonts w:ascii="宋体" w:hAnsi="宋体" w:cs="宋体" w:eastAsia="宋体" w:hint="default"/>
                <w:sz w:val="18"/>
                <w:szCs w:val="18"/>
              </w:rPr>
            </w:pPr>
            <w:r>
              <w:rPr>
                <w:rFonts w:ascii="宋体" w:hAnsi="宋体" w:cs="宋体" w:eastAsia="宋体" w:hint="default"/>
                <w:spacing w:val="-4"/>
                <w:sz w:val="18"/>
                <w:szCs w:val="18"/>
              </w:rPr>
              <w:t>根据《关于软件产品增值税政策的通知》（财税</w:t>
            </w:r>
            <w:r>
              <w:rPr>
                <w:rFonts w:ascii="Times New Roman" w:hAnsi="Times New Roman" w:cs="Times New Roman" w:eastAsia="Times New Roman" w:hint="default"/>
                <w:spacing w:val="-4"/>
                <w:sz w:val="18"/>
                <w:szCs w:val="18"/>
              </w:rPr>
              <w:t>[2011]100</w:t>
            </w:r>
            <w:r>
              <w:rPr>
                <w:rFonts w:ascii="Times New Roman" w:hAnsi="Times New Roman" w:cs="Times New Roman" w:eastAsia="Times New Roman" w:hint="default"/>
                <w:spacing w:val="17"/>
                <w:sz w:val="18"/>
                <w:szCs w:val="18"/>
              </w:rPr>
              <w:t> </w:t>
            </w:r>
            <w:r>
              <w:rPr>
                <w:rFonts w:ascii="宋体" w:hAnsi="宋体" w:cs="宋体" w:eastAsia="宋体" w:hint="default"/>
                <w:spacing w:val="-23"/>
                <w:sz w:val="18"/>
                <w:szCs w:val="18"/>
              </w:rPr>
              <w:t>号），对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增值税实际税负超过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2,345,887.20</w:t>
            </w:r>
          </w:p>
        </w:tc>
        <w:tc>
          <w:tcPr>
            <w:tcW w:w="51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spacing w:line="357" w:lineRule="auto" w:before="26"/>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（一）主要产品、业务及经营模式</w:t>
      </w:r>
      <w:r>
        <w:rPr>
          <w:rFonts w:ascii="宋体" w:hAnsi="宋体" w:cs="宋体" w:eastAsia="宋体" w:hint="default"/>
          <w:b/>
          <w:bCs/>
          <w:w w:val="99"/>
          <w:sz w:val="18"/>
          <w:szCs w:val="18"/>
        </w:rPr>
        <w:t> </w:t>
      </w:r>
      <w:r>
        <w:rPr>
          <w:rFonts w:ascii="宋体" w:hAnsi="宋体" w:cs="宋体" w:eastAsia="宋体" w:hint="default"/>
          <w:spacing w:val="-2"/>
          <w:sz w:val="18"/>
          <w:szCs w:val="18"/>
        </w:rPr>
        <w:t>视觉中国是一家全球性的提供优质正版图片、视频等视觉内容及增值服务的平台型互联网科技公司。公司为“版权视觉</w:t>
      </w:r>
    </w:p>
    <w:p>
      <w:pPr>
        <w:pStyle w:val="BodyText"/>
        <w:spacing w:line="224" w:lineRule="exact"/>
        <w:ind w:right="0"/>
        <w:jc w:val="both"/>
      </w:pPr>
      <w:r>
        <w:rPr/>
        <w:t>内容</w:t>
      </w:r>
      <w:r>
        <w:rPr>
          <w:spacing w:val="-21"/>
        </w:rPr>
        <w:t>”</w:t>
      </w:r>
      <w:r>
        <w:rPr/>
        <w:t>的生产者和使用者提供了以大数据</w:t>
      </w:r>
      <w:r>
        <w:rPr>
          <w:spacing w:val="-21"/>
        </w:rPr>
        <w:t>、</w:t>
      </w:r>
      <w:r>
        <w:rPr/>
        <w:t>人工智能和区块链等核心技术为基础的互联网交易平</w:t>
      </w:r>
      <w:r>
        <w:rPr>
          <w:spacing w:val="-21"/>
        </w:rPr>
        <w:t>台</w:t>
      </w:r>
      <w:r>
        <w:rPr>
          <w:spacing w:val="1"/>
        </w:rPr>
        <w:t>（</w:t>
      </w:r>
      <w:hyperlink r:id="rId8">
        <w:r>
          <w:rPr>
            <w:rFonts w:ascii="宋体" w:hAnsi="宋体" w:cs="宋体" w:eastAsia="宋体" w:hint="default"/>
          </w:rPr>
          <w:t>www.vcg.com</w:t>
        </w:r>
      </w:hyperlink>
      <w:r>
        <w:rPr>
          <w:spacing w:val="-90"/>
        </w:rPr>
        <w:t>）</w:t>
      </w:r>
      <w:r>
        <w:rPr>
          <w:spacing w:val="-21"/>
        </w:rPr>
        <w:t>。</w:t>
      </w:r>
      <w:r>
        <w:rPr/>
        <w:t>公司拥</w:t>
      </w:r>
    </w:p>
    <w:p>
      <w:pPr>
        <w:pStyle w:val="BodyText"/>
        <w:spacing w:line="240" w:lineRule="auto" w:before="76"/>
        <w:ind w:right="0"/>
        <w:jc w:val="both"/>
      </w:pPr>
      <w:r>
        <w:rPr/>
        <w:t>有近乎垄断的全球优质视觉内容资源，到</w:t>
      </w:r>
      <w:r>
        <w:rPr>
          <w:spacing w:val="-46"/>
        </w:rPr>
        <w:t> </w:t>
      </w:r>
      <w:r>
        <w:rPr>
          <w:rFonts w:ascii="宋体" w:hAnsi="宋体" w:cs="宋体" w:eastAsia="宋体" w:hint="default"/>
        </w:rPr>
        <w:t>2017</w:t>
      </w:r>
      <w:r>
        <w:rPr>
          <w:rFonts w:ascii="宋体" w:hAnsi="宋体" w:cs="宋体" w:eastAsia="宋体" w:hint="default"/>
          <w:spacing w:val="-46"/>
        </w:rPr>
        <w:t> </w:t>
      </w:r>
      <w:r>
        <w:rPr/>
        <w:t>年末，在线提供并每日更新来自于全球顶级的约</w:t>
      </w:r>
      <w:r>
        <w:rPr>
          <w:spacing w:val="-46"/>
        </w:rPr>
        <w:t> </w:t>
      </w:r>
      <w:r>
        <w:rPr>
          <w:rFonts w:ascii="宋体" w:hAnsi="宋体" w:cs="宋体" w:eastAsia="宋体" w:hint="default"/>
        </w:rPr>
        <w:t>30</w:t>
      </w:r>
      <w:r>
        <w:rPr>
          <w:rFonts w:ascii="宋体" w:hAnsi="宋体" w:cs="宋体" w:eastAsia="宋体" w:hint="default"/>
          <w:spacing w:val="-46"/>
        </w:rPr>
        <w:t> </w:t>
      </w:r>
      <w:r>
        <w:rPr/>
        <w:t>万名的签约供稿人以及</w:t>
      </w:r>
    </w:p>
    <w:p>
      <w:pPr>
        <w:pStyle w:val="BodyText"/>
        <w:spacing w:line="240" w:lineRule="auto" w:before="76"/>
        <w:ind w:left="154" w:right="0"/>
        <w:jc w:val="both"/>
      </w:pPr>
      <w:r>
        <w:rPr>
          <w:rFonts w:ascii="宋体" w:hAnsi="宋体" w:cs="宋体" w:eastAsia="宋体" w:hint="default"/>
        </w:rPr>
        <w:t>240</w:t>
      </w:r>
      <w:r>
        <w:rPr>
          <w:rFonts w:ascii="宋体" w:hAnsi="宋体" w:cs="宋体" w:eastAsia="宋体" w:hint="default"/>
          <w:spacing w:val="-53"/>
        </w:rPr>
        <w:t> </w:t>
      </w:r>
      <w:r>
        <w:rPr/>
        <w:t>余家专业版权内容机构的超过</w:t>
      </w:r>
      <w:r>
        <w:rPr>
          <w:spacing w:val="-53"/>
        </w:rPr>
        <w:t> </w:t>
      </w:r>
      <w:r>
        <w:rPr>
          <w:rFonts w:ascii="宋体" w:hAnsi="宋体" w:cs="宋体" w:eastAsia="宋体" w:hint="default"/>
        </w:rPr>
        <w:t>2</w:t>
      </w:r>
      <w:r>
        <w:rPr>
          <w:rFonts w:ascii="宋体" w:hAnsi="宋体" w:cs="宋体" w:eastAsia="宋体" w:hint="default"/>
          <w:spacing w:val="-53"/>
        </w:rPr>
        <w:t> </w:t>
      </w:r>
      <w:r>
        <w:rPr>
          <w:spacing w:val="-4"/>
        </w:rPr>
        <w:t>亿张图片、</w:t>
      </w:r>
      <w:r>
        <w:rPr>
          <w:rFonts w:ascii="宋体" w:hAnsi="宋体" w:cs="宋体" w:eastAsia="宋体" w:hint="default"/>
          <w:spacing w:val="-4"/>
        </w:rPr>
        <w:t>1,000</w:t>
      </w:r>
      <w:r>
        <w:rPr>
          <w:rFonts w:ascii="宋体" w:hAnsi="宋体" w:cs="宋体" w:eastAsia="宋体" w:hint="default"/>
          <w:spacing w:val="-53"/>
        </w:rPr>
        <w:t> </w:t>
      </w:r>
      <w:r>
        <w:rPr/>
        <w:t>万条视频素材和</w:t>
      </w:r>
      <w:r>
        <w:rPr>
          <w:spacing w:val="-53"/>
        </w:rPr>
        <w:t> </w:t>
      </w:r>
      <w:r>
        <w:rPr>
          <w:rFonts w:ascii="宋体" w:hAnsi="宋体" w:cs="宋体" w:eastAsia="宋体" w:hint="default"/>
        </w:rPr>
        <w:t>35</w:t>
      </w:r>
      <w:r>
        <w:rPr>
          <w:rFonts w:ascii="宋体" w:hAnsi="宋体" w:cs="宋体" w:eastAsia="宋体" w:hint="default"/>
          <w:spacing w:val="-52"/>
        </w:rPr>
        <w:t> </w:t>
      </w:r>
      <w:r>
        <w:rPr/>
        <w:t>万首各种曲风的音乐或音效；同时公司为互联网平</w:t>
      </w:r>
    </w:p>
    <w:p>
      <w:pPr>
        <w:pStyle w:val="BodyText"/>
        <w:spacing w:line="240" w:lineRule="auto" w:before="76"/>
        <w:ind w:right="0"/>
        <w:jc w:val="both"/>
      </w:pPr>
      <w:r>
        <w:rPr/>
        <w:t>台、传媒、企业、广告营销公司、数百万的社交媒体等客户群体提供全方位的视觉内容与服务，到</w:t>
      </w:r>
      <w:r>
        <w:rPr>
          <w:spacing w:val="-45"/>
        </w:rPr>
        <w:t> </w:t>
      </w:r>
      <w:r>
        <w:rPr>
          <w:rFonts w:ascii="宋体" w:hAnsi="宋体" w:cs="宋体" w:eastAsia="宋体" w:hint="default"/>
        </w:rPr>
        <w:t>2017</w:t>
      </w:r>
      <w:r>
        <w:rPr>
          <w:rFonts w:ascii="宋体" w:hAnsi="宋体" w:cs="宋体" w:eastAsia="宋体" w:hint="default"/>
          <w:spacing w:val="-46"/>
        </w:rPr>
        <w:t> </w:t>
      </w:r>
      <w:r>
        <w:rPr/>
        <w:t>年末，获得公司视</w:t>
      </w:r>
    </w:p>
    <w:p>
      <w:pPr>
        <w:pStyle w:val="BodyText"/>
        <w:spacing w:line="309" w:lineRule="auto" w:before="76"/>
        <w:ind w:right="1132"/>
        <w:jc w:val="both"/>
      </w:pPr>
      <w:r>
        <w:rPr/>
        <w:t>觉内容授权的国内客户已达</w:t>
      </w:r>
      <w:r>
        <w:rPr>
          <w:spacing w:val="-46"/>
        </w:rPr>
        <w:t> </w:t>
      </w:r>
      <w:r>
        <w:rPr>
          <w:rFonts w:ascii="宋体" w:hAnsi="宋体" w:cs="宋体" w:eastAsia="宋体" w:hint="default"/>
        </w:rPr>
        <w:t>10</w:t>
      </w:r>
      <w:r>
        <w:rPr>
          <w:rFonts w:ascii="宋体" w:hAnsi="宋体" w:cs="宋体" w:eastAsia="宋体" w:hint="default"/>
          <w:spacing w:val="-46"/>
        </w:rPr>
        <w:t> </w:t>
      </w:r>
      <w:r>
        <w:rPr/>
        <w:t>万个，图片内容每日被阅读达十亿次量级。公司以其强大的“版权视觉内容”的整合能力及 </w:t>
      </w:r>
      <w:r>
        <w:rPr>
          <w:spacing w:val="-2"/>
        </w:rPr>
        <w:t>全面的市场覆盖能力</w:t>
      </w:r>
      <w:r>
        <w:rPr>
          <w:rFonts w:ascii="宋体" w:hAnsi="宋体" w:cs="宋体" w:eastAsia="宋体" w:hint="default"/>
          <w:spacing w:val="-2"/>
        </w:rPr>
        <w:t>,</w:t>
      </w:r>
      <w:r>
        <w:rPr>
          <w:spacing w:val="-2"/>
        </w:rPr>
        <w:t>成为连接中国“版权视觉内容”的生产者及使用者的第一平台，是中国内容产业的“基础设施”和</w:t>
      </w:r>
      <w:r>
        <w:rPr>
          <w:rFonts w:ascii="Times New Roman" w:hAnsi="Times New Roman" w:cs="Times New Roman" w:eastAsia="Times New Roman" w:hint="default"/>
          <w:spacing w:val="-2"/>
        </w:rPr>
        <w:t>“</w:t>
      </w:r>
      <w:r>
        <w:rPr>
          <w:spacing w:val="-2"/>
        </w:rPr>
        <w:t>流</w:t>
      </w:r>
      <w:r>
        <w:rPr>
          <w:spacing w:val="-56"/>
        </w:rPr>
        <w:t> </w:t>
      </w:r>
      <w:r>
        <w:rPr/>
        <w:t>量引擎</w:t>
      </w:r>
      <w:r>
        <w:rPr>
          <w:rFonts w:ascii="Times New Roman" w:hAnsi="Times New Roman" w:cs="Times New Roman" w:eastAsia="Times New Roman" w:hint="default"/>
        </w:rPr>
        <w:t>”</w:t>
      </w:r>
      <w:r>
        <w:rPr/>
        <w:t>。 （见附图一）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4492" w:lineRule="exact"/>
        <w:ind w:left="154" w:right="0" w:firstLine="0"/>
        <w:rPr>
          <w:rFonts w:ascii="宋体" w:hAnsi="宋体" w:cs="宋体" w:eastAsia="宋体" w:hint="default"/>
          <w:sz w:val="20"/>
          <w:szCs w:val="20"/>
        </w:rPr>
      </w:pPr>
      <w:r>
        <w:rPr>
          <w:rFonts w:ascii="宋体" w:hAnsi="宋体" w:cs="宋体" w:eastAsia="宋体" w:hint="default"/>
          <w:position w:val="-89"/>
          <w:sz w:val="20"/>
          <w:szCs w:val="20"/>
        </w:rPr>
        <w:drawing>
          <wp:inline distT="0" distB="0" distL="0" distR="0">
            <wp:extent cx="6099538" cy="285292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1" cstate="print"/>
                    <a:stretch>
                      <a:fillRect/>
                    </a:stretch>
                  </pic:blipFill>
                  <pic:spPr>
                    <a:xfrm>
                      <a:off x="0" y="0"/>
                      <a:ext cx="6099538" cy="2852928"/>
                    </a:xfrm>
                    <a:prstGeom prst="rect">
                      <a:avLst/>
                    </a:prstGeom>
                  </pic:spPr>
                </pic:pic>
              </a:graphicData>
            </a:graphic>
          </wp:inline>
        </w:drawing>
      </w:r>
      <w:r>
        <w:rPr>
          <w:rFonts w:ascii="宋体" w:hAnsi="宋体" w:cs="宋体" w:eastAsia="宋体" w:hint="default"/>
          <w:position w:val="-89"/>
          <w:sz w:val="20"/>
          <w:szCs w:val="20"/>
        </w:rPr>
      </w:r>
    </w:p>
    <w:p>
      <w:pPr>
        <w:spacing w:line="300" w:lineRule="auto" w:before="94"/>
        <w:ind w:left="153" w:right="0" w:firstLine="360"/>
        <w:jc w:val="left"/>
        <w:rPr>
          <w:rFonts w:ascii="宋体" w:hAnsi="宋体" w:cs="宋体" w:eastAsia="宋体" w:hint="default"/>
          <w:sz w:val="19"/>
          <w:szCs w:val="19"/>
        </w:rPr>
      </w:pPr>
      <w:r>
        <w:rPr>
          <w:rFonts w:ascii="宋体" w:hAnsi="宋体" w:cs="宋体" w:eastAsia="宋体" w:hint="default"/>
          <w:i/>
          <w:spacing w:val="-2"/>
          <w:w w:val="95"/>
          <w:sz w:val="19"/>
          <w:szCs w:val="19"/>
        </w:rPr>
        <w:t>如附图一所示，公司与“版权视觉内容”的生产者签署代理协议，获得内容的分销权；使用者通过公司平台付费获得版</w:t>
      </w:r>
      <w:r>
        <w:rPr>
          <w:rFonts w:ascii="宋体" w:hAnsi="宋体" w:cs="宋体" w:eastAsia="宋体" w:hint="default"/>
          <w:i/>
          <w:w w:val="94"/>
          <w:sz w:val="19"/>
          <w:szCs w:val="19"/>
        </w:rPr>
        <w:t> </w:t>
      </w:r>
      <w:r>
        <w:rPr>
          <w:rFonts w:ascii="宋体" w:hAnsi="宋体" w:cs="宋体" w:eastAsia="宋体" w:hint="default"/>
          <w:i/>
          <w:spacing w:val="-4"/>
          <w:w w:val="94"/>
          <w:sz w:val="19"/>
          <w:szCs w:val="19"/>
        </w:rPr>
        <w:t>权内容的使用授权，将内容广泛应用于网站、</w:t>
      </w:r>
      <w:r>
        <w:rPr>
          <w:rFonts w:ascii="宋体" w:hAnsi="宋体" w:cs="宋体" w:eastAsia="宋体" w:hint="default"/>
          <w:i/>
          <w:spacing w:val="-4"/>
          <w:w w:val="94"/>
          <w:sz w:val="19"/>
          <w:szCs w:val="19"/>
        </w:rPr>
        <w:t>APP</w:t>
      </w:r>
      <w:r>
        <w:rPr>
          <w:rFonts w:ascii="宋体" w:hAnsi="宋体" w:cs="宋体" w:eastAsia="宋体" w:hint="default"/>
          <w:i/>
          <w:spacing w:val="-4"/>
          <w:w w:val="94"/>
          <w:sz w:val="19"/>
          <w:szCs w:val="19"/>
        </w:rPr>
        <w:t>、社会化媒体（微信</w:t>
      </w:r>
      <w:r>
        <w:rPr>
          <w:rFonts w:ascii="宋体" w:hAnsi="宋体" w:cs="宋体" w:eastAsia="宋体" w:hint="default"/>
          <w:i/>
          <w:spacing w:val="-4"/>
          <w:w w:val="94"/>
          <w:sz w:val="19"/>
          <w:szCs w:val="19"/>
        </w:rPr>
        <w:t>/</w:t>
      </w:r>
      <w:r>
        <w:rPr>
          <w:rFonts w:ascii="宋体" w:hAnsi="宋体" w:cs="宋体" w:eastAsia="宋体" w:hint="default"/>
          <w:i/>
          <w:spacing w:val="-4"/>
          <w:w w:val="94"/>
          <w:sz w:val="19"/>
          <w:szCs w:val="19"/>
        </w:rPr>
        <w:t>微博等）、报刊、出版、影视、广告创意、设计制作、</w:t>
      </w:r>
      <w:r>
        <w:rPr>
          <w:rFonts w:ascii="宋体" w:hAnsi="宋体" w:cs="宋体" w:eastAsia="宋体" w:hint="default"/>
          <w:i/>
          <w:spacing w:val="-39"/>
          <w:w w:val="94"/>
          <w:sz w:val="19"/>
          <w:szCs w:val="19"/>
        </w:rPr>
        <w:t> </w:t>
      </w:r>
      <w:r>
        <w:rPr>
          <w:rFonts w:ascii="宋体" w:hAnsi="宋体" w:cs="宋体" w:eastAsia="宋体" w:hint="default"/>
          <w:i/>
          <w:spacing w:val="-39"/>
          <w:w w:val="94"/>
          <w:sz w:val="19"/>
          <w:szCs w:val="19"/>
        </w:rPr>
      </w:r>
      <w:r>
        <w:rPr>
          <w:rFonts w:ascii="宋体" w:hAnsi="宋体" w:cs="宋体" w:eastAsia="宋体" w:hint="default"/>
          <w:i/>
          <w:sz w:val="19"/>
          <w:szCs w:val="19"/>
        </w:rPr>
        <w:t>社会化营销等各种场景；相应的内容生产者获得按协议约定的分成。</w:t>
      </w:r>
      <w:r>
        <w:rPr>
          <w:rFonts w:ascii="宋体" w:hAnsi="宋体" w:cs="宋体" w:eastAsia="宋体" w:hint="default"/>
          <w:sz w:val="19"/>
          <w:szCs w:val="19"/>
        </w:rPr>
      </w:r>
    </w:p>
    <w:p>
      <w:pPr>
        <w:pStyle w:val="BodyText"/>
        <w:spacing w:line="314" w:lineRule="auto" w:before="27"/>
        <w:ind w:right="1025" w:firstLine="360"/>
        <w:jc w:val="left"/>
      </w:pPr>
      <w:r>
        <w:rPr/>
        <w:t>作为全球最大的版权数字内容交易平台之一，公司汇集了全球海量、优质的</w:t>
      </w:r>
      <w:r>
        <w:rPr>
          <w:spacing w:val="-57"/>
        </w:rPr>
        <w:t> </w:t>
      </w:r>
      <w:r>
        <w:rPr>
          <w:rFonts w:ascii="宋体" w:hAnsi="宋体" w:cs="宋体" w:eastAsia="宋体" w:hint="default"/>
        </w:rPr>
        <w:t>PGC</w:t>
      </w:r>
      <w:r>
        <w:rPr/>
        <w:t>（</w:t>
      </w:r>
      <w:r>
        <w:rPr>
          <w:rFonts w:ascii="宋体" w:hAnsi="宋体" w:cs="宋体" w:eastAsia="宋体" w:hint="default"/>
        </w:rPr>
        <w:t>Professionally</w:t>
      </w:r>
      <w:r>
        <w:rPr>
          <w:rFonts w:ascii="宋体" w:hAnsi="宋体" w:cs="宋体" w:eastAsia="宋体" w:hint="default"/>
          <w:spacing w:val="-57"/>
        </w:rPr>
        <w:t> </w:t>
      </w:r>
      <w:r>
        <w:rPr>
          <w:rFonts w:ascii="宋体" w:hAnsi="宋体" w:cs="宋体" w:eastAsia="宋体" w:hint="default"/>
        </w:rPr>
        <w:t>Generated</w:t>
      </w:r>
      <w:r>
        <w:rPr>
          <w:rFonts w:ascii="宋体" w:hAnsi="宋体" w:cs="宋体" w:eastAsia="宋体" w:hint="default"/>
          <w:spacing w:val="-58"/>
        </w:rPr>
        <w:t> </w:t>
      </w:r>
      <w:r>
        <w:rPr>
          <w:rFonts w:ascii="宋体" w:hAnsi="宋体" w:cs="宋体" w:eastAsia="宋体" w:hint="default"/>
        </w:rPr>
        <w:t>Content</w:t>
      </w:r>
      <w:r>
        <w:rPr/>
        <w:t>， </w:t>
      </w:r>
      <w:r>
        <w:rPr>
          <w:spacing w:val="-5"/>
        </w:rPr>
        <w:t>专业生产内容）“版权视觉内容”，全面覆盖了从图片、视频到音乐，从时效编辑素材到创意素材，从当代时事热点到历史档</w:t>
      </w:r>
      <w:r>
        <w:rPr>
          <w:spacing w:val="-79"/>
        </w:rPr>
        <w:t> </w:t>
      </w:r>
      <w:r>
        <w:rPr>
          <w:spacing w:val="-79"/>
        </w:rPr>
      </w:r>
      <w:r>
        <w:rPr>
          <w:spacing w:val="-2"/>
        </w:rPr>
        <w:t>案，从高端到微利的各类“版权视觉内容”。公司通过自行生产、代理、战略合作、收并购等方式不断强化对全球优质“版</w:t>
      </w:r>
      <w:r>
        <w:rPr>
          <w:spacing w:val="-72"/>
        </w:rPr>
        <w:t> </w:t>
      </w:r>
      <w:r>
        <w:rPr>
          <w:spacing w:val="-72"/>
        </w:rPr>
      </w:r>
      <w:r>
        <w:rPr>
          <w:spacing w:val="-7"/>
        </w:rPr>
        <w:t>权视觉内容”的控制力，形成了</w:t>
      </w:r>
      <w:r>
        <w:rPr>
          <w:rFonts w:ascii="Times New Roman" w:hAnsi="Times New Roman" w:cs="Times New Roman" w:eastAsia="Times New Roman" w:hint="default"/>
          <w:spacing w:val="-7"/>
        </w:rPr>
        <w:t>“</w:t>
      </w:r>
      <w:r>
        <w:rPr>
          <w:spacing w:val="-7"/>
        </w:rPr>
        <w:t>你无我有，你有我优</w:t>
      </w:r>
      <w:r>
        <w:rPr>
          <w:rFonts w:ascii="Times New Roman" w:hAnsi="Times New Roman" w:cs="Times New Roman" w:eastAsia="Times New Roman" w:hint="default"/>
          <w:spacing w:val="-7"/>
        </w:rPr>
        <w:t>”</w:t>
      </w:r>
      <w:r>
        <w:rPr>
          <w:spacing w:val="-7"/>
        </w:rPr>
        <w:t>的竞争壁垒。多年来公司建立了和全球知名图片机构（如</w:t>
      </w:r>
      <w:r>
        <w:rPr>
          <w:spacing w:val="-41"/>
        </w:rPr>
        <w:t> </w:t>
      </w:r>
      <w:r>
        <w:rPr>
          <w:rFonts w:ascii="宋体" w:hAnsi="宋体" w:cs="宋体" w:eastAsia="宋体" w:hint="default"/>
        </w:rPr>
        <w:t>Getty</w:t>
      </w:r>
      <w:r>
        <w:rPr>
          <w:rFonts w:ascii="宋体" w:hAnsi="宋体" w:cs="宋体" w:eastAsia="宋体" w:hint="default"/>
          <w:spacing w:val="-39"/>
        </w:rPr>
        <w:t> </w:t>
      </w:r>
      <w:r>
        <w:rPr>
          <w:rFonts w:ascii="宋体" w:hAnsi="宋体" w:cs="宋体" w:eastAsia="宋体" w:hint="default"/>
        </w:rPr>
        <w:t>Images</w:t>
      </w:r>
      <w:r>
        <w:rPr/>
        <w:t>、</w:t>
      </w:r>
      <w:r>
        <w:rPr>
          <w:spacing w:val="-88"/>
        </w:rPr>
        <w:t> </w:t>
      </w:r>
      <w:r>
        <w:rPr/>
        <w:t>中新社、南方日报、法新社、</w:t>
      </w:r>
      <w:r>
        <w:rPr>
          <w:rFonts w:ascii="宋体" w:hAnsi="宋体" w:cs="宋体" w:eastAsia="宋体" w:hint="default"/>
        </w:rPr>
        <w:t>BBC</w:t>
      </w:r>
      <w:r>
        <w:rPr/>
        <w:t>、路透社等）的独家代理关系，全面涵盖了改革开放四十周年、扶贫攻坚、一带一路、奥 </w:t>
      </w:r>
      <w:r>
        <w:rPr>
          <w:spacing w:val="-4"/>
        </w:rPr>
        <w:t>运会、</w:t>
      </w:r>
      <w:r>
        <w:rPr>
          <w:rFonts w:ascii="宋体" w:hAnsi="宋体" w:cs="宋体" w:eastAsia="宋体" w:hint="default"/>
          <w:spacing w:val="-4"/>
        </w:rPr>
        <w:t>NBA</w:t>
      </w:r>
      <w:r>
        <w:rPr>
          <w:spacing w:val="-4"/>
        </w:rPr>
        <w:t>、世界杯、奥斯卡等热门题材；近年来公司不断加强</w:t>
      </w:r>
      <w:r>
        <w:rPr>
          <w:spacing w:val="-38"/>
        </w:rPr>
        <w:t> </w:t>
      </w:r>
      <w:r>
        <w:rPr>
          <w:rFonts w:ascii="宋体" w:hAnsi="宋体" w:cs="宋体" w:eastAsia="宋体" w:hint="default"/>
          <w:spacing w:val="-3"/>
        </w:rPr>
        <w:t>Corbis</w:t>
      </w:r>
      <w:r>
        <w:rPr>
          <w:spacing w:val="-3"/>
        </w:rPr>
        <w:t>、</w:t>
      </w:r>
      <w:r>
        <w:rPr>
          <w:rFonts w:ascii="宋体" w:hAnsi="宋体" w:cs="宋体" w:eastAsia="宋体" w:hint="default"/>
          <w:spacing w:val="-3"/>
        </w:rPr>
        <w:t>500px</w:t>
      </w:r>
      <w:r>
        <w:rPr>
          <w:spacing w:val="-3"/>
        </w:rPr>
        <w:t>、</w:t>
      </w:r>
      <w:r>
        <w:rPr>
          <w:rFonts w:ascii="宋体" w:hAnsi="宋体" w:cs="宋体" w:eastAsia="宋体" w:hint="default"/>
          <w:spacing w:val="-3"/>
        </w:rPr>
        <w:t>Tungstar</w:t>
      </w:r>
      <w:r>
        <w:rPr>
          <w:rFonts w:ascii="宋体" w:hAnsi="宋体" w:cs="宋体" w:eastAsia="宋体" w:hint="default"/>
          <w:spacing w:val="-38"/>
        </w:rPr>
        <w:t> </w:t>
      </w:r>
      <w:r>
        <w:rPr>
          <w:spacing w:val="-3"/>
        </w:rPr>
        <w:t>等自有品牌的建设；到</w:t>
      </w:r>
      <w:r>
        <w:rPr>
          <w:spacing w:val="-38"/>
        </w:rPr>
        <w:t> </w:t>
      </w:r>
      <w:r>
        <w:rPr>
          <w:rFonts w:ascii="宋体" w:hAnsi="宋体" w:cs="宋体" w:eastAsia="宋体" w:hint="default"/>
        </w:rPr>
        <w:t>2017</w:t>
      </w:r>
      <w:r>
        <w:rPr>
          <w:rFonts w:ascii="宋体" w:hAnsi="宋体" w:cs="宋体" w:eastAsia="宋体" w:hint="default"/>
          <w:spacing w:val="-38"/>
        </w:rPr>
        <w:t> </w:t>
      </w:r>
      <w:r>
        <w:rPr/>
        <w:t>年末，</w:t>
      </w:r>
      <w:r>
        <w:rPr>
          <w:spacing w:val="-88"/>
        </w:rPr>
        <w:t> </w:t>
      </w:r>
      <w:r>
        <w:rPr/>
        <w:t>独家及自有品牌内容的占比已超过</w:t>
      </w:r>
      <w:r>
        <w:rPr>
          <w:spacing w:val="-45"/>
        </w:rPr>
        <w:t> </w:t>
      </w:r>
      <w:r>
        <w:rPr>
          <w:rFonts w:ascii="宋体" w:hAnsi="宋体" w:cs="宋体" w:eastAsia="宋体" w:hint="default"/>
          <w:spacing w:val="-7"/>
        </w:rPr>
        <w:t>70%</w:t>
      </w:r>
      <w:r>
        <w:rPr>
          <w:spacing w:val="-7"/>
        </w:rPr>
        <w:t>并持续增长。</w:t>
      </w:r>
      <w:r>
        <w:rPr>
          <w:rFonts w:ascii="宋体" w:hAnsi="宋体" w:cs="宋体" w:eastAsia="宋体" w:hint="default"/>
          <w:spacing w:val="-7"/>
        </w:rPr>
        <w:t>2017</w:t>
      </w:r>
      <w:r>
        <w:rPr>
          <w:rFonts w:ascii="宋体" w:hAnsi="宋体" w:cs="宋体" w:eastAsia="宋体" w:hint="default"/>
          <w:spacing w:val="-45"/>
        </w:rPr>
        <w:t> </w:t>
      </w:r>
      <w:r>
        <w:rPr/>
        <w:t>年末公司启动收购汇聚了</w:t>
      </w:r>
      <w:r>
        <w:rPr>
          <w:spacing w:val="-45"/>
        </w:rPr>
        <w:t> </w:t>
      </w:r>
      <w:r>
        <w:rPr>
          <w:rFonts w:ascii="宋体" w:hAnsi="宋体" w:cs="宋体" w:eastAsia="宋体" w:hint="default"/>
        </w:rPr>
        <w:t>1,300</w:t>
      </w:r>
      <w:r>
        <w:rPr>
          <w:rFonts w:ascii="宋体" w:hAnsi="宋体" w:cs="宋体" w:eastAsia="宋体" w:hint="default"/>
          <w:spacing w:val="-45"/>
        </w:rPr>
        <w:t> </w:t>
      </w:r>
      <w:r>
        <w:rPr/>
        <w:t>万专业摄影人群的全球知名的摄影</w:t>
      </w:r>
      <w:r>
        <w:rPr>
          <w:spacing w:val="-87"/>
        </w:rPr>
        <w:t> </w:t>
      </w:r>
      <w:r>
        <w:rPr>
          <w:spacing w:val="-87"/>
        </w:rPr>
      </w:r>
      <w:r>
        <w:rPr/>
        <w:t>社区</w:t>
      </w:r>
      <w:r>
        <w:rPr>
          <w:spacing w:val="-32"/>
        </w:rPr>
        <w:t> </w:t>
      </w:r>
      <w:r>
        <w:rPr>
          <w:rFonts w:ascii="宋体" w:hAnsi="宋体" w:cs="宋体" w:eastAsia="宋体" w:hint="default"/>
          <w:spacing w:val="-1"/>
        </w:rPr>
        <w:t>500px</w:t>
      </w:r>
      <w:r>
        <w:rPr>
          <w:spacing w:val="-1"/>
        </w:rPr>
        <w:t>，将大幅度提升公司持续生产多元化的、引领创意趋势的“版权视觉内容”的能力，同时满足具有巨大增长空间</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的企业品牌客户内容定制化的需求。 </w:t>
      </w:r>
      <w:r>
        <w:rPr>
          <w:spacing w:val="-2"/>
        </w:rPr>
        <w:t>公司坚持“以客户为中心，为客户创造价值”的经营理念，通过优质内容与核心技术的结合，成为内容生态不可或缺的</w:t>
      </w:r>
    </w:p>
    <w:p>
      <w:pPr>
        <w:pStyle w:val="BodyText"/>
        <w:spacing w:line="319" w:lineRule="auto" w:before="19"/>
        <w:ind w:right="0"/>
        <w:jc w:val="left"/>
      </w:pPr>
      <w:r>
        <w:rPr>
          <w:spacing w:val="-3"/>
        </w:rPr>
        <w:t>重要基础平台。公司经过近</w:t>
      </w:r>
      <w:r>
        <w:rPr>
          <w:spacing w:val="-57"/>
        </w:rPr>
        <w:t> </w:t>
      </w:r>
      <w:r>
        <w:rPr>
          <w:rFonts w:ascii="宋体" w:hAnsi="宋体" w:cs="宋体" w:eastAsia="宋体" w:hint="default"/>
        </w:rPr>
        <w:t>20</w:t>
      </w:r>
      <w:r>
        <w:rPr>
          <w:rFonts w:ascii="宋体" w:hAnsi="宋体" w:cs="宋体" w:eastAsia="宋体" w:hint="default"/>
          <w:spacing w:val="-57"/>
        </w:rPr>
        <w:t> </w:t>
      </w:r>
      <w:r>
        <w:rPr/>
        <w:t>年的运营积累，拥有亿级图片</w:t>
      </w:r>
      <w:r>
        <w:rPr>
          <w:rFonts w:ascii="宋体" w:hAnsi="宋体" w:cs="宋体" w:eastAsia="宋体" w:hint="default"/>
        </w:rPr>
        <w:t>/</w:t>
      </w:r>
      <w:r>
        <w:rPr/>
        <w:t>视频的图像大数据、近百万的结构化的关键词标签体系和持续 </w:t>
      </w:r>
      <w:r>
        <w:rPr>
          <w:spacing w:val="-2"/>
        </w:rPr>
        <w:t>产生的千万级的用户行为数据。通过公司自主研发的业内领先的大数据、人工智能和区块链技术及特有的商业模式，形成了</w:t>
      </w:r>
      <w:r>
        <w:rPr>
          <w:spacing w:val="-66"/>
        </w:rPr>
        <w:t> </w:t>
      </w:r>
      <w:r>
        <w:rPr>
          <w:spacing w:val="-66"/>
        </w:rPr>
      </w:r>
      <w:r>
        <w:rPr>
          <w:spacing w:val="-13"/>
        </w:rPr>
        <w:t>“数据提升技术”、“技术驱动服务”、“服务回馈数据”的独具特色的闭环运行模式，不断丰富和完善公司的“白金级大数据”，</w:t>
      </w:r>
      <w:r>
        <w:rPr>
          <w:spacing w:val="-50"/>
        </w:rPr>
        <w:t> </w:t>
      </w:r>
      <w:r>
        <w:rPr>
          <w:spacing w:val="-50"/>
        </w:rPr>
      </w:r>
      <w:r>
        <w:rPr>
          <w:spacing w:val="-2"/>
        </w:rPr>
        <w:t>从而将内容链接到各种客户应用场景，高效提升客户的搜索体验，并设计灵活多样的授权模式及产品组合，为各类客户提供</w:t>
      </w:r>
      <w:r>
        <w:rPr>
          <w:spacing w:val="-66"/>
        </w:rPr>
        <w:t> </w:t>
      </w:r>
      <w:r>
        <w:rPr>
          <w:spacing w:val="-66"/>
        </w:rPr>
      </w:r>
      <w:r>
        <w:rPr/>
        <w:t>安全、可信赖的全方位一站式服务。</w:t>
      </w:r>
    </w:p>
    <w:p>
      <w:pPr>
        <w:pStyle w:val="BodyText"/>
        <w:spacing w:line="316" w:lineRule="auto" w:before="17"/>
        <w:ind w:right="1131" w:firstLine="360"/>
        <w:jc w:val="both"/>
      </w:pPr>
      <w:r>
        <w:rPr>
          <w:spacing w:val="-2"/>
        </w:rPr>
        <w:t>公司基于领先的市场份额、广泛的市场覆盖及全面的客户服务能力，成为行业的领导者及内容付费领域与版权保护领域</w:t>
      </w:r>
      <w:r>
        <w:rPr/>
        <w:t> </w:t>
      </w:r>
      <w:r>
        <w:rPr>
          <w:spacing w:val="-2"/>
        </w:rPr>
        <w:t>的行业标杆，进而在版权保护、技术研发及模式创新等方面具有很强的“行业标准”制定的主导性。同时公司积极推进全球</w:t>
      </w:r>
      <w:r>
        <w:rPr>
          <w:spacing w:val="-66"/>
        </w:rPr>
        <w:t> </w:t>
      </w:r>
      <w:r>
        <w:rPr>
          <w:spacing w:val="-66"/>
        </w:rPr>
      </w:r>
      <w:r>
        <w:rPr/>
        <w:t>化战略，成为真正的</w:t>
      </w:r>
      <w:r>
        <w:rPr>
          <w:spacing w:val="-46"/>
        </w:rPr>
        <w:t> </w:t>
      </w:r>
      <w:r>
        <w:rPr>
          <w:rFonts w:ascii="宋体" w:hAnsi="宋体" w:cs="宋体" w:eastAsia="宋体" w:hint="default"/>
        </w:rPr>
        <w:t>global</w:t>
      </w:r>
      <w:r>
        <w:rPr>
          <w:rFonts w:ascii="宋体" w:hAnsi="宋体" w:cs="宋体" w:eastAsia="宋体" w:hint="default"/>
          <w:spacing w:val="-36"/>
        </w:rPr>
        <w:t> </w:t>
      </w:r>
      <w:r>
        <w:rPr>
          <w:rFonts w:ascii="宋体" w:hAnsi="宋体" w:cs="宋体" w:eastAsia="宋体" w:hint="default"/>
        </w:rPr>
        <w:t>player</w:t>
      </w:r>
      <w:r>
        <w:rPr/>
        <w:t>。公司以世界领先水平为标准打造其核心竞争力，并结合在中国互联网传媒的发展与实 </w:t>
      </w:r>
      <w:r>
        <w:rPr>
          <w:spacing w:val="-2"/>
        </w:rPr>
        <w:t>践，以作为市场领袖企业的责任感及使命感，打造一个立足中国本土市场，以“版权视觉内容”为核心的世界级互联网科技</w:t>
      </w:r>
      <w:r>
        <w:rPr>
          <w:spacing w:val="-66"/>
        </w:rPr>
        <w:t> </w:t>
      </w:r>
      <w:r>
        <w:rPr>
          <w:spacing w:val="-66"/>
        </w:rPr>
      </w:r>
      <w:r>
        <w:rPr/>
        <w:t>企业。</w:t>
      </w:r>
    </w:p>
    <w:p>
      <w:pPr>
        <w:pStyle w:val="BodyText"/>
        <w:spacing w:line="316" w:lineRule="auto" w:before="19"/>
        <w:ind w:right="1132" w:firstLine="360"/>
        <w:jc w:val="both"/>
      </w:pPr>
      <w:r>
        <w:rPr>
          <w:spacing w:val="-4"/>
        </w:rPr>
        <w:t>公司在聚焦核心主营业务前提下，加速整合核心业务的上下游资源，打造“视觉</w:t>
      </w:r>
      <w:r>
        <w:rPr>
          <w:rFonts w:ascii="宋体" w:hAnsi="宋体" w:cs="宋体" w:eastAsia="宋体" w:hint="default"/>
          <w:spacing w:val="-4"/>
        </w:rPr>
        <w:t>+</w:t>
      </w:r>
      <w:r>
        <w:rPr>
          <w:spacing w:val="-4"/>
        </w:rPr>
        <w:t>生态”，并将核心竞争力与旅游、教育</w:t>
      </w:r>
      <w:r>
        <w:rPr/>
        <w:t> 等</w:t>
      </w:r>
      <w:r>
        <w:rPr>
          <w:spacing w:val="-40"/>
        </w:rPr>
        <w:t> </w:t>
      </w:r>
      <w:r>
        <w:rPr>
          <w:rFonts w:ascii="宋体" w:hAnsi="宋体" w:cs="宋体" w:eastAsia="宋体" w:hint="default"/>
        </w:rPr>
        <w:t>2C</w:t>
      </w:r>
      <w:r>
        <w:rPr>
          <w:rFonts w:ascii="宋体" w:hAnsi="宋体" w:cs="宋体" w:eastAsia="宋体" w:hint="default"/>
          <w:spacing w:val="-40"/>
        </w:rPr>
        <w:t> </w:t>
      </w:r>
      <w:r>
        <w:rPr>
          <w:spacing w:val="-2"/>
        </w:rPr>
        <w:t>产业相结合，充分发挥互联网传媒、旅游、教育等业务板块之间的协同效应，构建“视觉</w:t>
      </w:r>
      <w:r>
        <w:rPr>
          <w:rFonts w:ascii="宋体" w:hAnsi="宋体" w:cs="宋体" w:eastAsia="宋体" w:hint="default"/>
          <w:spacing w:val="-2"/>
        </w:rPr>
        <w:t>+</w:t>
      </w:r>
      <w:r>
        <w:rPr>
          <w:spacing w:val="-2"/>
        </w:rPr>
        <w:t>产业”的战略布局，以实现</w:t>
      </w:r>
      <w:r>
        <w:rPr>
          <w:spacing w:val="-88"/>
        </w:rPr>
        <w:t> </w:t>
      </w:r>
      <w:r>
        <w:rPr>
          <w:spacing w:val="-88"/>
        </w:rPr>
      </w:r>
      <w:r>
        <w:rPr/>
        <w:t>“视觉无处不在，视觉服务中国”的企业愿景。</w:t>
      </w:r>
    </w:p>
    <w:p>
      <w:pPr>
        <w:pStyle w:val="Heading5"/>
        <w:spacing w:line="240" w:lineRule="auto" w:before="20"/>
        <w:ind w:right="0"/>
        <w:jc w:val="left"/>
        <w:rPr>
          <w:b w:val="0"/>
          <w:bCs w:val="0"/>
        </w:rPr>
      </w:pPr>
      <w:r>
        <w:rPr/>
        <w:t>（二）行业发展介绍</w:t>
      </w:r>
      <w:r>
        <w:rPr>
          <w:b w:val="0"/>
          <w:bCs w:val="0"/>
        </w:rPr>
      </w:r>
    </w:p>
    <w:p>
      <w:pPr>
        <w:pStyle w:val="BodyText"/>
        <w:spacing w:line="316" w:lineRule="auto" w:before="115"/>
        <w:ind w:left="154" w:right="1025" w:firstLine="360"/>
        <w:jc w:val="left"/>
      </w:pPr>
      <w:r>
        <w:rPr>
          <w:spacing w:val="-2"/>
        </w:rPr>
        <w:t>报告期内，互联网传媒行业发展迅猛。信息传播从</w:t>
      </w:r>
      <w:r>
        <w:rPr/>
        <w:t> </w:t>
      </w:r>
      <w:r>
        <w:rPr>
          <w:rFonts w:ascii="宋体" w:hAnsi="宋体" w:cs="宋体" w:eastAsia="宋体" w:hint="default"/>
        </w:rPr>
        <w:t>PC</w:t>
      </w:r>
      <w:r>
        <w:rPr>
          <w:rFonts w:ascii="宋体" w:hAnsi="宋体" w:cs="宋体" w:eastAsia="宋体" w:hint="default"/>
          <w:spacing w:val="-71"/>
        </w:rPr>
        <w:t> </w:t>
      </w:r>
      <w:r>
        <w:rPr>
          <w:spacing w:val="-6"/>
        </w:rPr>
        <w:t>时代的“人找信息”演变为移动时代的“信息找人”。中国互联网</w:t>
      </w:r>
      <w:r>
        <w:rPr/>
        <w:t> </w:t>
      </w:r>
      <w:r>
        <w:rPr>
          <w:spacing w:val="-5"/>
        </w:rPr>
        <w:t>的发展已经从流量竞争进入内容竞争，流量是入口，内容则是制高点。以腾讯、阿里巴巴、百度，甚至京东、美团点评、</w:t>
      </w:r>
      <w:r>
        <w:rPr>
          <w:rFonts w:ascii="宋体" w:hAnsi="宋体" w:cs="宋体" w:eastAsia="宋体" w:hint="default"/>
          <w:spacing w:val="-5"/>
        </w:rPr>
        <w:t>OTA</w:t>
      </w:r>
      <w:r>
        <w:rPr>
          <w:spacing w:val="-5"/>
        </w:rPr>
        <w:t>、</w:t>
      </w:r>
      <w:r>
        <w:rPr>
          <w:spacing w:val="-70"/>
        </w:rPr>
        <w:t> </w:t>
      </w:r>
      <w:r>
        <w:rPr/>
        <w:t>浏览器</w:t>
      </w:r>
      <w:r>
        <w:rPr>
          <w:rFonts w:ascii="宋体" w:hAnsi="宋体" w:cs="宋体" w:eastAsia="宋体" w:hint="default"/>
        </w:rPr>
        <w:t>/wifi</w:t>
      </w:r>
      <w:r>
        <w:rPr>
          <w:rFonts w:ascii="宋体" w:hAnsi="宋体" w:cs="宋体" w:eastAsia="宋体" w:hint="default"/>
          <w:spacing w:val="-46"/>
        </w:rPr>
        <w:t> </w:t>
      </w:r>
      <w:r>
        <w:rPr/>
        <w:t>等互联网平台都呈现内容驱动流量的趋势。以图片、视频为代表的优质视觉内容成为互联网稀缺资源！同时， 国家对著作权保护力度不断加大，相关法律不断完善，公众版权意识不断增强，内容付费时代逐步到来。未来</w:t>
      </w:r>
      <w:r>
        <w:rPr>
          <w:spacing w:val="-61"/>
        </w:rPr>
        <w:t> </w:t>
      </w:r>
      <w:r>
        <w:rPr>
          <w:rFonts w:ascii="宋体" w:hAnsi="宋体" w:cs="宋体" w:eastAsia="宋体" w:hint="default"/>
        </w:rPr>
        <w:t>2-3</w:t>
      </w:r>
      <w:r>
        <w:rPr>
          <w:rFonts w:ascii="宋体" w:hAnsi="宋体" w:cs="宋体" w:eastAsia="宋体" w:hint="default"/>
          <w:spacing w:val="-61"/>
        </w:rPr>
        <w:t> </w:t>
      </w:r>
      <w:r>
        <w:rPr>
          <w:spacing w:val="-5"/>
        </w:rPr>
        <w:t>年，互联</w:t>
      </w:r>
      <w:r>
        <w:rPr/>
        <w:t> 网传媒行业将迎来一个难得的高速发展历史机遇期。</w:t>
      </w:r>
    </w:p>
    <w:p>
      <w:pPr>
        <w:spacing w:line="240" w:lineRule="auto" w:before="5"/>
        <w:rPr>
          <w:rFonts w:ascii="宋体" w:hAnsi="宋体" w:cs="宋体" w:eastAsia="宋体" w:hint="default"/>
          <w:sz w:val="13"/>
          <w:szCs w:val="13"/>
        </w:rPr>
      </w:pPr>
    </w:p>
    <w:p>
      <w:pPr>
        <w:spacing w:line="340" w:lineRule="auto" w:before="0"/>
        <w:ind w:left="423" w:right="4288" w:firstLine="8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、视觉内容成为内容生态中的重要传播媒介，市场空间快速扩张</w:t>
      </w:r>
      <w:r>
        <w:rPr>
          <w:rFonts w:ascii="宋体" w:hAnsi="宋体" w:cs="宋体" w:eastAsia="宋体" w:hint="default"/>
          <w:b/>
          <w:bCs/>
          <w:w w:val="99"/>
          <w:sz w:val="18"/>
          <w:szCs w:val="18"/>
        </w:rPr>
        <w:t> </w:t>
      </w:r>
      <w:r>
        <w:rPr>
          <w:rFonts w:ascii="宋体" w:hAnsi="宋体" w:cs="宋体" w:eastAsia="宋体" w:hint="default"/>
          <w:spacing w:val="-3"/>
          <w:sz w:val="18"/>
          <w:szCs w:val="18"/>
        </w:rPr>
        <w:t>“一图胜万言”，视觉内容是连接媒体、品牌以及消费者的最高效的传播媒介。</w:t>
      </w:r>
    </w:p>
    <w:p>
      <w:pPr>
        <w:pStyle w:val="BodyText"/>
        <w:spacing w:line="316" w:lineRule="auto" w:before="40"/>
        <w:ind w:right="1139" w:firstLine="360"/>
        <w:jc w:val="both"/>
      </w:pPr>
      <w:r>
        <w:rPr/>
        <w:t>中国网民规模目前已达到</w:t>
      </w:r>
      <w:r>
        <w:rPr>
          <w:spacing w:val="-46"/>
        </w:rPr>
        <w:t> </w:t>
      </w:r>
      <w:r>
        <w:rPr>
          <w:rFonts w:ascii="宋体" w:hAnsi="宋体" w:cs="宋体" w:eastAsia="宋体" w:hint="default"/>
        </w:rPr>
        <w:t>7.31</w:t>
      </w:r>
      <w:r>
        <w:rPr>
          <w:rFonts w:ascii="宋体" w:hAnsi="宋体" w:cs="宋体" w:eastAsia="宋体" w:hint="default"/>
          <w:spacing w:val="-46"/>
        </w:rPr>
        <w:t> </w:t>
      </w:r>
      <w:r>
        <w:rPr/>
        <w:t>亿，移动网民规模近</w:t>
      </w:r>
      <w:r>
        <w:rPr>
          <w:spacing w:val="-46"/>
        </w:rPr>
        <w:t> </w:t>
      </w:r>
      <w:r>
        <w:rPr>
          <w:rFonts w:ascii="宋体" w:hAnsi="宋体" w:cs="宋体" w:eastAsia="宋体" w:hint="default"/>
        </w:rPr>
        <w:t>6.95</w:t>
      </w:r>
      <w:r>
        <w:rPr>
          <w:rFonts w:ascii="宋体" w:hAnsi="宋体" w:cs="宋体" w:eastAsia="宋体" w:hint="default"/>
          <w:spacing w:val="-46"/>
        </w:rPr>
        <w:t> </w:t>
      </w:r>
      <w:r>
        <w:rPr/>
        <w:t>亿，网站达</w:t>
      </w:r>
      <w:r>
        <w:rPr>
          <w:spacing w:val="-46"/>
        </w:rPr>
        <w:t> </w:t>
      </w:r>
      <w:r>
        <w:rPr>
          <w:rFonts w:ascii="宋体" w:hAnsi="宋体" w:cs="宋体" w:eastAsia="宋体" w:hint="default"/>
        </w:rPr>
        <w:t>400</w:t>
      </w:r>
      <w:r>
        <w:rPr>
          <w:rFonts w:ascii="宋体" w:hAnsi="宋体" w:cs="宋体" w:eastAsia="宋体" w:hint="default"/>
          <w:spacing w:val="-45"/>
        </w:rPr>
        <w:t> </w:t>
      </w:r>
      <w:r>
        <w:rPr/>
        <w:t>万个，</w:t>
      </w:r>
      <w:r>
        <w:rPr>
          <w:rFonts w:ascii="宋体" w:hAnsi="宋体" w:cs="宋体" w:eastAsia="宋体" w:hint="default"/>
        </w:rPr>
        <w:t>APP</w:t>
      </w:r>
      <w:r>
        <w:rPr>
          <w:rFonts w:ascii="宋体" w:hAnsi="宋体" w:cs="宋体" w:eastAsia="宋体" w:hint="default"/>
          <w:spacing w:val="-46"/>
        </w:rPr>
        <w:t> </w:t>
      </w:r>
      <w:r>
        <w:rPr/>
        <w:t>总数达到</w:t>
      </w:r>
      <w:r>
        <w:rPr>
          <w:spacing w:val="-46"/>
        </w:rPr>
        <w:t> </w:t>
      </w:r>
      <w:r>
        <w:rPr>
          <w:rFonts w:ascii="宋体" w:hAnsi="宋体" w:cs="宋体" w:eastAsia="宋体" w:hint="default"/>
        </w:rPr>
        <w:t>300</w:t>
      </w:r>
      <w:r>
        <w:rPr>
          <w:rFonts w:ascii="宋体" w:hAnsi="宋体" w:cs="宋体" w:eastAsia="宋体" w:hint="default"/>
          <w:spacing w:val="-46"/>
        </w:rPr>
        <w:t> </w:t>
      </w:r>
      <w:r>
        <w:rPr/>
        <w:t>万个，超过</w:t>
      </w:r>
      <w:r>
        <w:rPr>
          <w:spacing w:val="-46"/>
        </w:rPr>
        <w:t> </w:t>
      </w:r>
      <w:r>
        <w:rPr>
          <w:rFonts w:ascii="宋体" w:hAnsi="宋体" w:cs="宋体" w:eastAsia="宋体" w:hint="default"/>
        </w:rPr>
        <w:t>60%</w:t>
      </w:r>
      <w:r>
        <w:rPr/>
        <w:t>以上 的网页都会有图片内容。伴随着移动互联网的快速发展，网站、</w:t>
      </w:r>
      <w:r>
        <w:rPr>
          <w:rFonts w:ascii="宋体" w:hAnsi="宋体" w:cs="宋体" w:eastAsia="宋体" w:hint="default"/>
        </w:rPr>
        <w:t>APP</w:t>
      </w:r>
      <w:r>
        <w:rPr/>
        <w:t>、微博、微信、公众号、电子商务、自媒体等众多新兴 媒介的出现对于图片的需求量更正以成倍的速度在增加。</w:t>
      </w:r>
    </w:p>
    <w:p>
      <w:pPr>
        <w:pStyle w:val="BodyText"/>
        <w:spacing w:line="240" w:lineRule="auto" w:before="19"/>
        <w:ind w:left="514" w:right="0"/>
        <w:jc w:val="left"/>
      </w:pPr>
      <w:r>
        <w:rPr/>
        <w:t>截至</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月，微博月活跃用户增至</w:t>
      </w:r>
      <w:r>
        <w:rPr>
          <w:spacing w:val="-46"/>
        </w:rPr>
        <w:t> </w:t>
      </w:r>
      <w:r>
        <w:rPr>
          <w:rFonts w:ascii="宋体" w:hAnsi="宋体" w:cs="宋体" w:eastAsia="宋体" w:hint="default"/>
        </w:rPr>
        <w:t>3.92</w:t>
      </w:r>
      <w:r>
        <w:rPr>
          <w:rFonts w:ascii="宋体" w:hAnsi="宋体" w:cs="宋体" w:eastAsia="宋体" w:hint="default"/>
          <w:spacing w:val="-46"/>
        </w:rPr>
        <w:t> </w:t>
      </w:r>
      <w:r>
        <w:rPr/>
        <w:t>亿；根据微信发布的《</w:t>
      </w:r>
      <w:r>
        <w:rPr>
          <w:rFonts w:ascii="宋体" w:hAnsi="宋体" w:cs="宋体" w:eastAsia="宋体" w:hint="default"/>
        </w:rPr>
        <w:t>2017</w:t>
      </w:r>
      <w:r>
        <w:rPr>
          <w:rFonts w:ascii="宋体" w:hAnsi="宋体" w:cs="宋体" w:eastAsia="宋体" w:hint="default"/>
          <w:spacing w:val="-46"/>
        </w:rPr>
        <w:t> </w:t>
      </w:r>
      <w:r>
        <w:rPr/>
        <w:t>微信数据报告</w:t>
      </w:r>
      <w:r>
        <w:rPr>
          <w:spacing w:val="-90"/>
        </w:rPr>
        <w:t>》</w:t>
      </w:r>
      <w:r>
        <w:rPr/>
        <w:t>，微信公众号月活数量已达</w:t>
      </w:r>
    </w:p>
    <w:p>
      <w:pPr>
        <w:pStyle w:val="BodyText"/>
        <w:spacing w:line="316" w:lineRule="auto" w:before="76"/>
        <w:ind w:left="154" w:right="1131"/>
        <w:jc w:val="both"/>
      </w:pPr>
      <w:r>
        <w:rPr>
          <w:rFonts w:ascii="宋体" w:hAnsi="宋体" w:cs="宋体" w:eastAsia="宋体" w:hint="default"/>
        </w:rPr>
        <w:t>350</w:t>
      </w:r>
      <w:r>
        <w:rPr>
          <w:rFonts w:ascii="宋体" w:hAnsi="宋体" w:cs="宋体" w:eastAsia="宋体" w:hint="default"/>
          <w:spacing w:val="-33"/>
        </w:rPr>
        <w:t> </w:t>
      </w:r>
      <w:r>
        <w:rPr>
          <w:spacing w:val="-1"/>
        </w:rPr>
        <w:t>万个。以微信公众号、微博、今日头条等为代表的互联网社交媒体实现了爆发式增长，数以百万的“自媒体”形成新的</w:t>
      </w:r>
      <w:r>
        <w:rPr>
          <w:spacing w:val="-88"/>
        </w:rPr>
        <w:t> </w:t>
      </w:r>
      <w:r>
        <w:rPr>
          <w:spacing w:val="-88"/>
        </w:rPr>
      </w:r>
      <w:r>
        <w:rPr>
          <w:spacing w:val="-2"/>
        </w:rPr>
        <w:t>内容生态；根据网易人工智能事业部发布的《自媒体行业现状研究与未来趋势分析》显示，图片仍是自媒体在创作时的主流</w:t>
      </w:r>
      <w:r>
        <w:rPr>
          <w:spacing w:val="-66"/>
        </w:rPr>
        <w:t> </w:t>
      </w:r>
      <w:r>
        <w:rPr>
          <w:spacing w:val="-66"/>
        </w:rPr>
      </w:r>
      <w:r>
        <w:rPr/>
        <w:t>素材选择，占比为</w:t>
      </w:r>
      <w:r>
        <w:rPr>
          <w:spacing w:val="-46"/>
        </w:rPr>
        <w:t> </w:t>
      </w:r>
      <w:r>
        <w:rPr>
          <w:rFonts w:ascii="Times New Roman" w:hAnsi="Times New Roman" w:cs="Times New Roman" w:eastAsia="Times New Roman" w:hint="default"/>
        </w:rPr>
        <w:t>62.5%</w:t>
      </w:r>
      <w:r>
        <w:rPr/>
        <w:t>。</w:t>
      </w:r>
    </w:p>
    <w:p>
      <w:pPr>
        <w:pStyle w:val="BodyText"/>
        <w:spacing w:line="307" w:lineRule="auto"/>
        <w:ind w:right="1130" w:firstLine="360"/>
        <w:jc w:val="both"/>
      </w:pPr>
      <w:r>
        <w:rPr/>
        <w:t>与此同时，与传统图片市场紧密相关的广告行业继续保持稳健增长。根据国家工商总局数据显示，</w:t>
      </w:r>
      <w:r>
        <w:rPr>
          <w:rFonts w:ascii="宋体" w:hAnsi="宋体" w:cs="宋体" w:eastAsia="宋体" w:hint="default"/>
        </w:rPr>
        <w:t>2017 </w:t>
      </w:r>
      <w:r>
        <w:rPr/>
        <w:t>年全国广告经 </w:t>
      </w:r>
      <w:r>
        <w:rPr>
          <w:spacing w:val="-6"/>
        </w:rPr>
        <w:t>营额</w:t>
      </w:r>
      <w:r>
        <w:rPr>
          <w:rFonts w:ascii="宋体" w:hAnsi="宋体" w:cs="宋体" w:eastAsia="宋体" w:hint="default"/>
          <w:spacing w:val="-6"/>
        </w:rPr>
        <w:t>6,896.41</w:t>
      </w:r>
      <w:r>
        <w:rPr>
          <w:spacing w:val="-6"/>
        </w:rPr>
        <w:t>亿元，同比增长</w:t>
      </w:r>
      <w:r>
        <w:rPr>
          <w:rFonts w:ascii="宋体" w:hAnsi="宋体" w:cs="宋体" w:eastAsia="宋体" w:hint="default"/>
          <w:spacing w:val="-6"/>
        </w:rPr>
        <w:t>6.3%</w:t>
      </w:r>
      <w:r>
        <w:rPr>
          <w:spacing w:val="-6"/>
        </w:rPr>
        <w:t>。据</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w:t>
      </w:r>
      <w:r>
        <w:rPr>
          <w:spacing w:val="-6"/>
        </w:rPr>
        <w:t>月</w:t>
      </w:r>
      <w:r>
        <w:rPr>
          <w:color w:val="333333"/>
          <w:spacing w:val="-6"/>
        </w:rPr>
        <w:t>中国互联网络信息中心</w:t>
      </w:r>
      <w:r>
        <w:rPr>
          <w:spacing w:val="-6"/>
        </w:rPr>
        <w:t>第</w:t>
      </w:r>
      <w:r>
        <w:rPr>
          <w:rFonts w:ascii="Times New Roman" w:hAnsi="Times New Roman" w:cs="Times New Roman" w:eastAsia="Times New Roman" w:hint="default"/>
          <w:spacing w:val="-6"/>
        </w:rPr>
        <w:t>41</w:t>
      </w:r>
      <w:r>
        <w:rPr>
          <w:spacing w:val="-6"/>
        </w:rPr>
        <w:t>次《中国互联网广告络发展状况统计报告》，</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1"/>
        </w:rPr>
        <w:t>年中国网络广告市场规模</w:t>
      </w:r>
      <w:r>
        <w:rPr>
          <w:rFonts w:ascii="Times New Roman" w:hAnsi="Times New Roman" w:cs="Times New Roman" w:eastAsia="Times New Roman" w:hint="default"/>
          <w:spacing w:val="-1"/>
        </w:rPr>
        <w:t>2,957</w:t>
      </w:r>
      <w:r>
        <w:rPr>
          <w:spacing w:val="-1"/>
        </w:rPr>
        <w:t>亿元，较</w:t>
      </w:r>
      <w:r>
        <w:rPr>
          <w:rFonts w:ascii="Times New Roman" w:hAnsi="Times New Roman" w:cs="Times New Roman" w:eastAsia="Times New Roman" w:hint="default"/>
          <w:spacing w:val="-1"/>
        </w:rPr>
        <w:t>2016</w:t>
      </w:r>
      <w:r>
        <w:rPr>
          <w:spacing w:val="-1"/>
        </w:rPr>
        <w:t>年同期增长</w:t>
      </w:r>
      <w:r>
        <w:rPr>
          <w:rFonts w:ascii="Times New Roman" w:hAnsi="Times New Roman" w:cs="Times New Roman" w:eastAsia="Times New Roman" w:hint="default"/>
          <w:spacing w:val="-1"/>
        </w:rPr>
        <w:t>28.8%</w:t>
      </w:r>
      <w:r>
        <w:rPr>
          <w:spacing w:val="-1"/>
        </w:rPr>
        <w:t>。据艾瑞咨询《</w:t>
      </w:r>
      <w:r>
        <w:rPr>
          <w:rFonts w:ascii="Times New Roman" w:hAnsi="Times New Roman" w:cs="Times New Roman" w:eastAsia="Times New Roman" w:hint="default"/>
          <w:spacing w:val="-1"/>
        </w:rPr>
        <w:t>2017</w:t>
      </w:r>
      <w:r>
        <w:rPr>
          <w:spacing w:val="-1"/>
        </w:rPr>
        <w:t>年度数据发布》预测，</w:t>
      </w:r>
      <w:r>
        <w:rPr>
          <w:rFonts w:ascii="Times New Roman" w:hAnsi="Times New Roman" w:cs="Times New Roman" w:eastAsia="Times New Roman" w:hint="default"/>
          <w:spacing w:val="-1"/>
        </w:rPr>
        <w:t>2018</w:t>
      </w:r>
      <w:r>
        <w:rPr>
          <w:spacing w:val="-1"/>
        </w:rPr>
        <w:t>年至</w:t>
      </w:r>
      <w:r>
        <w:rPr>
          <w:rFonts w:ascii="Times New Roman" w:hAnsi="Times New Roman" w:cs="Times New Roman" w:eastAsia="Times New Roman" w:hint="default"/>
          <w:spacing w:val="-1"/>
        </w:rPr>
        <w:t>2020</w:t>
      </w:r>
      <w:r>
        <w:rPr>
          <w:spacing w:val="-1"/>
        </w:rPr>
        <w:t>年中</w:t>
      </w:r>
      <w:r>
        <w:rPr>
          <w:spacing w:val="-79"/>
        </w:rPr>
        <w:t> </w:t>
      </w:r>
      <w:r>
        <w:rPr/>
        <w:t>国网络广告市场规模将达到</w:t>
      </w:r>
      <w:r>
        <w:rPr>
          <w:rFonts w:ascii="Times New Roman" w:hAnsi="Times New Roman" w:cs="Times New Roman" w:eastAsia="Times New Roman" w:hint="default"/>
        </w:rPr>
        <w:t>4,970</w:t>
      </w:r>
      <w:r>
        <w:rPr/>
        <w:t>亿元、</w:t>
      </w:r>
      <w:r>
        <w:rPr>
          <w:rFonts w:ascii="Times New Roman" w:hAnsi="Times New Roman" w:cs="Times New Roman" w:eastAsia="Times New Roman" w:hint="default"/>
        </w:rPr>
        <w:t>6,214</w:t>
      </w:r>
      <w:r>
        <w:rPr/>
        <w:t>亿元及</w:t>
      </w:r>
      <w:r>
        <w:rPr>
          <w:rFonts w:ascii="Times New Roman" w:hAnsi="Times New Roman" w:cs="Times New Roman" w:eastAsia="Times New Roman" w:hint="default"/>
        </w:rPr>
        <w:t>7,651</w:t>
      </w:r>
      <w:r>
        <w:rPr/>
        <w:t>亿元。</w:t>
      </w:r>
    </w:p>
    <w:p>
      <w:pPr>
        <w:pStyle w:val="BodyText"/>
        <w:spacing w:line="316" w:lineRule="auto" w:before="7"/>
        <w:ind w:right="1131" w:firstLine="360"/>
        <w:jc w:val="both"/>
      </w:pPr>
      <w:r>
        <w:rPr>
          <w:spacing w:val="-2"/>
        </w:rPr>
        <w:t>因此，对图片、视频的需求激增导致图片市场从小众的专业市场变成了大众的海量市场，规模有了一个质的飞跃，达到</w:t>
      </w:r>
      <w:r>
        <w:rPr/>
        <w:t> 了“池塘变大海”的效果。</w:t>
      </w:r>
    </w:p>
    <w:p>
      <w:pPr>
        <w:spacing w:line="240" w:lineRule="auto" w:before="5"/>
        <w:rPr>
          <w:rFonts w:ascii="宋体" w:hAnsi="宋体" w:cs="宋体" w:eastAsia="宋体" w:hint="default"/>
          <w:sz w:val="13"/>
          <w:szCs w:val="13"/>
        </w:rPr>
      </w:pPr>
    </w:p>
    <w:p>
      <w:pPr>
        <w:spacing w:line="360" w:lineRule="auto" w:before="0"/>
        <w:ind w:left="613" w:right="1037" w:hanging="99"/>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、技术创新驱动内容产业升级</w:t>
      </w:r>
      <w:r>
        <w:rPr>
          <w:rFonts w:ascii="宋体" w:hAnsi="宋体" w:cs="宋体" w:eastAsia="宋体" w:hint="default"/>
          <w:b/>
          <w:bCs/>
          <w:w w:val="99"/>
          <w:sz w:val="18"/>
          <w:szCs w:val="18"/>
        </w:rPr>
        <w:t> </w:t>
      </w:r>
      <w:r>
        <w:rPr>
          <w:rFonts w:ascii="宋体" w:hAnsi="宋体" w:cs="宋体" w:eastAsia="宋体" w:hint="default"/>
          <w:spacing w:val="-2"/>
          <w:sz w:val="18"/>
          <w:szCs w:val="18"/>
        </w:rPr>
        <w:t>互联网技术使内容产业呈现生产环节大众化、分发环节去中心化、消费环节个性化的特征，改变了传统内容创作模式、</w:t>
      </w:r>
    </w:p>
    <w:p>
      <w:pPr>
        <w:pStyle w:val="BodyText"/>
        <w:spacing w:line="221" w:lineRule="exact"/>
        <w:ind w:left="154" w:right="0"/>
        <w:jc w:val="left"/>
      </w:pPr>
      <w:r>
        <w:rPr/>
        <w:t>传播模式和消费模式。而大数据、人工智能、区块链等技术</w:t>
      </w:r>
      <w:r>
        <w:rPr>
          <w:color w:val="121212"/>
        </w:rPr>
        <w:t>已经在内容生产、内容传播、版权保护等各个方面对行业产生巨</w:t>
      </w:r>
      <w:r>
        <w:rPr/>
      </w:r>
    </w:p>
    <w:p>
      <w:pPr>
        <w:pStyle w:val="BodyText"/>
        <w:spacing w:line="319" w:lineRule="auto" w:before="77"/>
        <w:ind w:right="0"/>
        <w:jc w:val="left"/>
      </w:pPr>
      <w:r>
        <w:rPr>
          <w:color w:val="121212"/>
          <w:spacing w:val="-2"/>
        </w:rPr>
        <w:t>大影响。机器人写稿已经不是新闻，</w:t>
      </w:r>
      <w:r>
        <w:rPr>
          <w:color w:val="181818"/>
          <w:spacing w:val="-2"/>
        </w:rPr>
        <w:t>人工智能可以取代标准化的体力劳动和智力劳动，图像识别、图像搜索、智能标签以及</w:t>
      </w:r>
      <w:r>
        <w:rPr>
          <w:color w:val="181818"/>
          <w:spacing w:val="-66"/>
        </w:rPr>
        <w:t> </w:t>
      </w:r>
      <w:r>
        <w:rPr>
          <w:color w:val="181818"/>
          <w:spacing w:val="-66"/>
        </w:rPr>
      </w:r>
      <w:r>
        <w:rPr>
          <w:color w:val="181818"/>
          <w:spacing w:val="-4"/>
        </w:rPr>
        <w:t>机器学习都大大提高了包括图片、视频等内容生产的效率和降低内容生产成本；</w:t>
      </w:r>
      <w:r>
        <w:rPr>
          <w:color w:val="121212"/>
          <w:spacing w:val="-4"/>
        </w:rPr>
        <w:t>内容传播方面，集合了用户内容消费大数据、</w:t>
      </w:r>
      <w:r>
        <w:rPr>
          <w:color w:val="121212"/>
          <w:spacing w:val="-44"/>
        </w:rPr>
        <w:t> </w:t>
      </w:r>
      <w:r>
        <w:rPr>
          <w:color w:val="121212"/>
          <w:spacing w:val="-44"/>
        </w:rPr>
      </w:r>
      <w:r>
        <w:rPr>
          <w:color w:val="121212"/>
          <w:spacing w:val="-2"/>
        </w:rPr>
        <w:t>社交关系、知识图谱等技术的智能搜索和智能推荐成为主流的内容分发方式，大大提高了内容分发的效率；而区块链、人工</w:t>
      </w:r>
      <w:r>
        <w:rPr>
          <w:color w:val="121212"/>
          <w:spacing w:val="-65"/>
        </w:rPr>
        <w:t> </w:t>
      </w:r>
      <w:r>
        <w:rPr>
          <w:color w:val="121212"/>
          <w:spacing w:val="-65"/>
        </w:rPr>
      </w:r>
      <w:r>
        <w:rPr>
          <w:color w:val="121212"/>
        </w:rPr>
        <w:t>智能技术的结合已经开始广泛应用于版权作品的确权和维权领域，大大提升了版权保护的效率。</w:t>
      </w:r>
      <w:r>
        <w:rPr/>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firstLine="1"/>
        <w:jc w:val="left"/>
      </w:pPr>
      <w:r>
        <w:rPr>
          <w:rFonts w:ascii="宋体" w:hAnsi="宋体" w:cs="宋体" w:eastAsia="宋体" w:hint="default"/>
          <w:b/>
          <w:bCs/>
        </w:rPr>
        <w:t>3</w:t>
      </w:r>
      <w:r>
        <w:rPr>
          <w:rFonts w:ascii="宋体" w:hAnsi="宋体" w:cs="宋体" w:eastAsia="宋体" w:hint="default"/>
          <w:b/>
          <w:bCs/>
        </w:rPr>
        <w:t>、内容应用场景化</w:t>
      </w:r>
      <w:r>
        <w:rPr>
          <w:rFonts w:ascii="宋体" w:hAnsi="宋体" w:cs="宋体" w:eastAsia="宋体" w:hint="default"/>
          <w:b/>
          <w:bCs/>
          <w:w w:val="99"/>
        </w:rPr>
        <w:t> </w:t>
      </w:r>
      <w:r>
        <w:rPr>
          <w:spacing w:val="-2"/>
        </w:rPr>
        <w:t>移动互联网应用服务和场景不断丰富，扩展了内容产业细分领域，产业规模不断扩大。互联网平台型企业大量涌现与发</w:t>
      </w:r>
    </w:p>
    <w:p>
      <w:pPr>
        <w:pStyle w:val="BodyText"/>
        <w:spacing w:line="224" w:lineRule="exact"/>
        <w:ind w:right="0"/>
        <w:jc w:val="left"/>
      </w:pPr>
      <w:r>
        <w:rPr/>
        <w:t>展，使得版权内容运用效率大幅提高，改变了优质版权内容的创作与传播方式，也带动了大众文娱消费习惯和内容传播渠道</w:t>
      </w:r>
    </w:p>
    <w:p>
      <w:pPr>
        <w:pStyle w:val="BodyText"/>
        <w:spacing w:line="319" w:lineRule="auto" w:before="76"/>
        <w:ind w:right="1033"/>
        <w:jc w:val="left"/>
      </w:pPr>
      <w:r>
        <w:rPr>
          <w:spacing w:val="-2"/>
        </w:rPr>
        <w:t>的变迁。自媒体、信息流广告、智能设计、智能视频剪辑等等，通过技术创新，在特定内容消费场景下，为海量的长尾用户</w:t>
      </w:r>
      <w:r>
        <w:rPr>
          <w:spacing w:val="-72"/>
        </w:rPr>
        <w:t> </w:t>
      </w:r>
      <w:r>
        <w:rPr>
          <w:spacing w:val="-72"/>
        </w:rPr>
      </w:r>
      <w:r>
        <w:rPr/>
        <w:t>提供差异化的内容服务成为行业发展趋势。这对内容产业的上游在内容生产、平台连接、技术创新方面提出了更高的要求！</w:t>
      </w:r>
    </w:p>
    <w:p>
      <w:pPr>
        <w:pStyle w:val="Heading5"/>
        <w:spacing w:line="240" w:lineRule="auto" w:before="17"/>
        <w:ind w:right="0"/>
        <w:jc w:val="left"/>
        <w:rPr>
          <w:b w:val="0"/>
          <w:bCs w:val="0"/>
        </w:rPr>
      </w:pPr>
      <w:r>
        <w:rPr>
          <w:rFonts w:ascii="宋体" w:hAnsi="宋体" w:cs="宋体" w:eastAsia="宋体" w:hint="default"/>
        </w:rPr>
        <w:t>4</w:t>
      </w:r>
      <w:r>
        <w:rPr/>
        <w:t>、内容生产社会化</w:t>
      </w:r>
      <w:r>
        <w:rPr>
          <w:b w:val="0"/>
          <w:bCs w:val="0"/>
        </w:rPr>
      </w:r>
    </w:p>
    <w:p>
      <w:pPr>
        <w:pStyle w:val="BodyText"/>
        <w:spacing w:line="316" w:lineRule="auto" w:before="76"/>
        <w:ind w:right="1129" w:firstLine="360"/>
        <w:jc w:val="both"/>
      </w:pPr>
      <w:r>
        <w:rPr/>
        <w:t>市场研究公司</w:t>
      </w:r>
      <w:r>
        <w:rPr>
          <w:spacing w:val="-37"/>
        </w:rPr>
        <w:t> </w:t>
      </w:r>
      <w:r>
        <w:rPr>
          <w:rFonts w:ascii="宋体" w:hAnsi="宋体" w:cs="宋体" w:eastAsia="宋体" w:hint="default"/>
        </w:rPr>
        <w:t>Zenith</w:t>
      </w:r>
      <w:r>
        <w:rPr>
          <w:rFonts w:ascii="宋体" w:hAnsi="宋体" w:cs="宋体" w:eastAsia="宋体" w:hint="default"/>
          <w:spacing w:val="-38"/>
        </w:rPr>
        <w:t> </w:t>
      </w:r>
      <w:r>
        <w:rPr/>
        <w:t>的报告显示，根据对</w:t>
      </w:r>
      <w:r>
        <w:rPr>
          <w:spacing w:val="-37"/>
        </w:rPr>
        <w:t> </w:t>
      </w:r>
      <w:r>
        <w:rPr>
          <w:rFonts w:ascii="宋体" w:hAnsi="宋体" w:cs="宋体" w:eastAsia="宋体" w:hint="default"/>
        </w:rPr>
        <w:t>52</w:t>
      </w:r>
      <w:r>
        <w:rPr>
          <w:rFonts w:ascii="宋体" w:hAnsi="宋体" w:cs="宋体" w:eastAsia="宋体" w:hint="default"/>
          <w:spacing w:val="-38"/>
        </w:rPr>
        <w:t> </w:t>
      </w:r>
      <w:r>
        <w:rPr/>
        <w:t>个国家和地区的调查，</w:t>
      </w:r>
      <w:r>
        <w:rPr>
          <w:rFonts w:ascii="宋体" w:hAnsi="宋体" w:cs="宋体" w:eastAsia="宋体" w:hint="default"/>
        </w:rPr>
        <w:t>2017</w:t>
      </w:r>
      <w:r>
        <w:rPr>
          <w:rFonts w:ascii="宋体" w:hAnsi="宋体" w:cs="宋体" w:eastAsia="宋体" w:hint="default"/>
          <w:spacing w:val="-38"/>
        </w:rPr>
        <w:t> </w:t>
      </w:r>
      <w:r>
        <w:rPr/>
        <w:t>年的全球智能手机普及率是</w:t>
      </w:r>
      <w:r>
        <w:rPr>
          <w:spacing w:val="-37"/>
        </w:rPr>
        <w:t> </w:t>
      </w:r>
      <w:r>
        <w:rPr>
          <w:rFonts w:ascii="宋体" w:hAnsi="宋体" w:cs="宋体" w:eastAsia="宋体" w:hint="default"/>
        </w:rPr>
        <w:t>63%</w:t>
      </w:r>
      <w:r>
        <w:rPr/>
        <w:t>，</w:t>
      </w:r>
      <w:r>
        <w:rPr>
          <w:rFonts w:ascii="宋体" w:hAnsi="宋体" w:cs="宋体" w:eastAsia="宋体" w:hint="default"/>
        </w:rPr>
        <w:t>2018</w:t>
      </w:r>
      <w:r>
        <w:rPr>
          <w:rFonts w:ascii="宋体" w:hAnsi="宋体" w:cs="宋体" w:eastAsia="宋体" w:hint="default"/>
          <w:spacing w:val="-38"/>
        </w:rPr>
        <w:t> </w:t>
      </w:r>
      <w:r>
        <w:rPr/>
        <w:t>年预 计达到</w:t>
      </w:r>
      <w:r>
        <w:rPr>
          <w:spacing w:val="-41"/>
        </w:rPr>
        <w:t> </w:t>
      </w:r>
      <w:r>
        <w:rPr>
          <w:rFonts w:ascii="宋体" w:hAnsi="宋体" w:cs="宋体" w:eastAsia="宋体" w:hint="default"/>
          <w:spacing w:val="-2"/>
        </w:rPr>
        <w:t>66%</w:t>
      </w:r>
      <w:r>
        <w:rPr>
          <w:spacing w:val="-2"/>
        </w:rPr>
        <w:t>。根据相机和镜头产品协会（</w:t>
      </w:r>
      <w:r>
        <w:rPr>
          <w:rFonts w:ascii="宋体" w:hAnsi="宋体" w:cs="宋体" w:eastAsia="宋体" w:hint="default"/>
          <w:spacing w:val="-2"/>
        </w:rPr>
        <w:t>CIPA</w:t>
      </w:r>
      <w:r>
        <w:rPr>
          <w:spacing w:val="-2"/>
        </w:rPr>
        <w:t>）的统计数据，数码相机行业触底，</w:t>
      </w:r>
      <w:r>
        <w:rPr>
          <w:rFonts w:ascii="宋体" w:hAnsi="宋体" w:cs="宋体" w:eastAsia="宋体" w:hint="default"/>
          <w:spacing w:val="-2"/>
        </w:rPr>
        <w:t>2017</w:t>
      </w:r>
      <w:r>
        <w:rPr>
          <w:rFonts w:ascii="宋体" w:hAnsi="宋体" w:cs="宋体" w:eastAsia="宋体" w:hint="default"/>
          <w:spacing w:val="-41"/>
        </w:rPr>
        <w:t> </w:t>
      </w:r>
      <w:r>
        <w:rPr>
          <w:spacing w:val="-1"/>
        </w:rPr>
        <w:t>年销量近十年来首次回升。随着摄影</w:t>
      </w:r>
      <w:r>
        <w:rPr/>
        <w:t> </w:t>
      </w:r>
      <w:r>
        <w:rPr>
          <w:spacing w:val="-2"/>
        </w:rPr>
        <w:t>设备的智能化、小型化、廉价化、易用化，社会进入了全民摄影年代，人人都是摄影师，内容生产社会化。摄影日渐成为内</w:t>
      </w:r>
      <w:r>
        <w:rPr>
          <w:spacing w:val="-72"/>
        </w:rPr>
        <w:t> </w:t>
      </w:r>
      <w:r>
        <w:rPr>
          <w:spacing w:val="-72"/>
        </w:rPr>
      </w:r>
      <w:r>
        <w:rPr>
          <w:spacing w:val="-2"/>
        </w:rPr>
        <w:t>容生产的一种工具和方式。移动互联网，让摄影师的准入门槛降低，将影响金字塔顶部的供稿人，使其由专业摄影师扩展为</w:t>
      </w:r>
      <w:r>
        <w:rPr>
          <w:spacing w:val="-66"/>
        </w:rPr>
        <w:t> </w:t>
      </w:r>
      <w:r>
        <w:rPr>
          <w:spacing w:val="-66"/>
        </w:rPr>
      </w:r>
      <w:r>
        <w:rPr/>
        <w:t>拥有拍照设备（相机、手机）的个人。</w:t>
      </w:r>
      <w:r>
        <w:rPr>
          <w:rFonts w:ascii="宋体" w:hAnsi="宋体" w:cs="宋体" w:eastAsia="宋体" w:hint="default"/>
        </w:rPr>
        <w:t>500px</w:t>
      </w:r>
      <w:r>
        <w:rPr>
          <w:rFonts w:ascii="宋体" w:hAnsi="宋体" w:cs="宋体" w:eastAsia="宋体" w:hint="default"/>
          <w:spacing w:val="-45"/>
        </w:rPr>
        <w:t> </w:t>
      </w:r>
      <w:r>
        <w:rPr/>
        <w:t>摄影社区拥有覆盖</w:t>
      </w:r>
      <w:r>
        <w:rPr>
          <w:spacing w:val="-45"/>
        </w:rPr>
        <w:t> </w:t>
      </w:r>
      <w:r>
        <w:rPr>
          <w:rFonts w:ascii="宋体" w:hAnsi="宋体" w:cs="宋体" w:eastAsia="宋体" w:hint="default"/>
        </w:rPr>
        <w:t>195</w:t>
      </w:r>
      <w:r>
        <w:rPr>
          <w:rFonts w:ascii="宋体" w:hAnsi="宋体" w:cs="宋体" w:eastAsia="宋体" w:hint="default"/>
          <w:spacing w:val="-45"/>
        </w:rPr>
        <w:t> </w:t>
      </w:r>
      <w:r>
        <w:rPr/>
        <w:t>个国家和地区的</w:t>
      </w:r>
      <w:r>
        <w:rPr>
          <w:spacing w:val="-45"/>
        </w:rPr>
        <w:t> </w:t>
      </w:r>
      <w:r>
        <w:rPr>
          <w:rFonts w:ascii="宋体" w:hAnsi="宋体" w:cs="宋体" w:eastAsia="宋体" w:hint="default"/>
        </w:rPr>
        <w:t>1,300</w:t>
      </w:r>
      <w:r>
        <w:rPr>
          <w:rFonts w:ascii="宋体" w:hAnsi="宋体" w:cs="宋体" w:eastAsia="宋体" w:hint="default"/>
          <w:spacing w:val="-44"/>
        </w:rPr>
        <w:t> </w:t>
      </w:r>
      <w:r>
        <w:rPr/>
        <w:t>万注册摄影师、</w:t>
      </w:r>
      <w:r>
        <w:rPr>
          <w:rFonts w:ascii="宋体" w:hAnsi="宋体" w:cs="宋体" w:eastAsia="宋体" w:hint="default"/>
        </w:rPr>
        <w:t>100</w:t>
      </w:r>
      <w:r>
        <w:rPr>
          <w:rFonts w:ascii="宋体" w:hAnsi="宋体" w:cs="宋体" w:eastAsia="宋体" w:hint="default"/>
          <w:spacing w:val="-45"/>
        </w:rPr>
        <w:t> </w:t>
      </w:r>
      <w:r>
        <w:rPr/>
        <w:t>万的月活用 户，每周有超过</w:t>
      </w:r>
      <w:r>
        <w:rPr>
          <w:spacing w:val="-38"/>
        </w:rPr>
        <w:t> </w:t>
      </w:r>
      <w:r>
        <w:rPr>
          <w:rFonts w:ascii="宋体" w:hAnsi="宋体" w:cs="宋体" w:eastAsia="宋体" w:hint="default"/>
        </w:rPr>
        <w:t>20</w:t>
      </w:r>
      <w:r>
        <w:rPr>
          <w:rFonts w:ascii="宋体" w:hAnsi="宋体" w:cs="宋体" w:eastAsia="宋体" w:hint="default"/>
          <w:spacing w:val="-39"/>
        </w:rPr>
        <w:t> </w:t>
      </w:r>
      <w:r>
        <w:rPr>
          <w:spacing w:val="-1"/>
        </w:rPr>
        <w:t>万张图片被上传，每天产生</w:t>
      </w:r>
      <w:r>
        <w:rPr>
          <w:spacing w:val="-38"/>
        </w:rPr>
        <w:t> </w:t>
      </w:r>
      <w:r>
        <w:rPr>
          <w:rFonts w:ascii="宋体" w:hAnsi="宋体" w:cs="宋体" w:eastAsia="宋体" w:hint="default"/>
        </w:rPr>
        <w:t>200</w:t>
      </w:r>
      <w:r>
        <w:rPr>
          <w:rFonts w:ascii="宋体" w:hAnsi="宋体" w:cs="宋体" w:eastAsia="宋体" w:hint="default"/>
          <w:spacing w:val="-39"/>
        </w:rPr>
        <w:t> </w:t>
      </w:r>
      <w:r>
        <w:rPr>
          <w:spacing w:val="-11"/>
        </w:rPr>
        <w:t>万次社交互动。“人人都是摄影师”，以</w:t>
      </w:r>
      <w:r>
        <w:rPr>
          <w:spacing w:val="-38"/>
        </w:rPr>
        <w:t> </w:t>
      </w:r>
      <w:r>
        <w:rPr>
          <w:rFonts w:ascii="宋体" w:hAnsi="宋体" w:cs="宋体" w:eastAsia="宋体" w:hint="default"/>
        </w:rPr>
        <w:t>500px</w:t>
      </w:r>
      <w:r>
        <w:rPr>
          <w:rFonts w:ascii="宋体" w:hAnsi="宋体" w:cs="宋体" w:eastAsia="宋体" w:hint="default"/>
          <w:spacing w:val="-39"/>
        </w:rPr>
        <w:t> </w:t>
      </w:r>
      <w:r>
        <w:rPr>
          <w:spacing w:val="-1"/>
        </w:rPr>
        <w:t>为代表的社会化生产成为</w:t>
      </w:r>
      <w:r>
        <w:rPr/>
        <w:t> 行业趋势。</w:t>
      </w:r>
    </w:p>
    <w:p>
      <w:pPr>
        <w:pStyle w:val="Heading5"/>
        <w:spacing w:line="240" w:lineRule="auto" w:before="20"/>
        <w:ind w:right="0"/>
        <w:jc w:val="left"/>
        <w:rPr>
          <w:b w:val="0"/>
          <w:bCs w:val="0"/>
        </w:rPr>
      </w:pPr>
      <w:r>
        <w:rPr>
          <w:rFonts w:ascii="宋体" w:hAnsi="宋体" w:cs="宋体" w:eastAsia="宋体" w:hint="default"/>
        </w:rPr>
        <w:t>5</w:t>
      </w:r>
      <w:r>
        <w:rPr/>
        <w:t>、版权保护成为社会共识，版权产业进入快速发展期</w:t>
      </w:r>
      <w:r>
        <w:rPr>
          <w:b w:val="0"/>
          <w:bCs w:val="0"/>
        </w:rPr>
      </w:r>
    </w:p>
    <w:p>
      <w:pPr>
        <w:pStyle w:val="BodyText"/>
        <w:spacing w:line="319" w:lineRule="auto" w:before="116"/>
        <w:ind w:right="1129" w:firstLine="360"/>
        <w:jc w:val="both"/>
      </w:pPr>
      <w:r>
        <w:rPr/>
        <w:t>《</w:t>
      </w:r>
      <w:r>
        <w:rPr>
          <w:rFonts w:ascii="宋体" w:hAnsi="宋体" w:cs="宋体" w:eastAsia="宋体" w:hint="default"/>
        </w:rPr>
        <w:t>2017</w:t>
      </w:r>
      <w:r>
        <w:rPr/>
        <w:t>中国网络版权产业发展报告（摘要版）》显示，在</w:t>
      </w:r>
      <w:r>
        <w:rPr>
          <w:rFonts w:ascii="宋体" w:hAnsi="宋体" w:cs="宋体" w:eastAsia="宋体" w:hint="default"/>
        </w:rPr>
        <w:t>2006-2016</w:t>
      </w:r>
      <w:r>
        <w:rPr/>
        <w:t>的</w:t>
      </w:r>
      <w:r>
        <w:rPr>
          <w:rFonts w:ascii="宋体" w:hAnsi="宋体" w:cs="宋体" w:eastAsia="宋体" w:hint="default"/>
        </w:rPr>
        <w:t>10</w:t>
      </w:r>
      <w:r>
        <w:rPr/>
        <w:t>年间，我国网络核心版权产业行业规模从</w:t>
      </w:r>
      <w:r>
        <w:rPr>
          <w:rFonts w:ascii="宋体" w:hAnsi="宋体" w:cs="宋体" w:eastAsia="宋体" w:hint="default"/>
        </w:rPr>
        <w:t>2006 </w:t>
      </w:r>
      <w:r>
        <w:rPr/>
        <w:t>年的</w:t>
      </w:r>
      <w:r>
        <w:rPr>
          <w:rFonts w:ascii="宋体" w:hAnsi="宋体" w:cs="宋体" w:eastAsia="宋体" w:hint="default"/>
        </w:rPr>
        <w:t>163.8</w:t>
      </w:r>
      <w:r>
        <w:rPr/>
        <w:t>亿元增长到</w:t>
      </w:r>
      <w:r>
        <w:rPr>
          <w:rFonts w:ascii="宋体" w:hAnsi="宋体" w:cs="宋体" w:eastAsia="宋体" w:hint="default"/>
        </w:rPr>
        <w:t>2016</w:t>
      </w:r>
      <w:r>
        <w:rPr/>
        <w:t>年的</w:t>
      </w:r>
      <w:r>
        <w:rPr>
          <w:rFonts w:ascii="宋体" w:hAnsi="宋体" w:cs="宋体" w:eastAsia="宋体" w:hint="default"/>
        </w:rPr>
        <w:t>5,086.9</w:t>
      </w:r>
      <w:r>
        <w:rPr/>
        <w:t>亿元，年增长率保持在</w:t>
      </w:r>
      <w:r>
        <w:rPr>
          <w:rFonts w:ascii="宋体" w:hAnsi="宋体" w:cs="宋体" w:eastAsia="宋体" w:hint="default"/>
        </w:rPr>
        <w:t>30%</w:t>
      </w:r>
      <w:r>
        <w:rPr/>
        <w:t>以上，产业规模增长超过了</w:t>
      </w:r>
      <w:r>
        <w:rPr>
          <w:rFonts w:ascii="宋体" w:hAnsi="宋体" w:cs="宋体" w:eastAsia="宋体" w:hint="default"/>
        </w:rPr>
        <w:t>30</w:t>
      </w:r>
      <w:r>
        <w:rPr/>
        <w:t>倍，中国网络核心版权产业</w:t>
      </w:r>
      <w:r>
        <w:rPr>
          <w:spacing w:val="-83"/>
        </w:rPr>
        <w:t> </w:t>
      </w:r>
      <w:r>
        <w:rPr>
          <w:spacing w:val="-83"/>
        </w:rPr>
      </w:r>
      <w:r>
        <w:rPr>
          <w:spacing w:val="-2"/>
        </w:rPr>
        <w:t>规模大幅增长，已经成为中国经济增长的新动能。近年来版权产业对促进经济社会发展的重要作用日益凸显，中国版权的创</w:t>
      </w:r>
      <w:r>
        <w:rPr>
          <w:spacing w:val="-65"/>
        </w:rPr>
        <w:t> </w:t>
      </w:r>
      <w:r>
        <w:rPr>
          <w:spacing w:val="-65"/>
        </w:rPr>
      </w:r>
      <w:r>
        <w:rPr>
          <w:spacing w:val="-2"/>
        </w:rPr>
        <w:t>造、运用、保护和管理水平不断提高，立法、司法保护、行政执法、版权社会服务、版权产业发展成绩斐然，各界对版权保</w:t>
      </w:r>
      <w:r>
        <w:rPr>
          <w:spacing w:val="-66"/>
        </w:rPr>
        <w:t> </w:t>
      </w:r>
      <w:r>
        <w:rPr>
          <w:spacing w:val="-66"/>
        </w:rPr>
      </w:r>
      <w:r>
        <w:rPr/>
        <w:t>护的力度也在不断加大，版权事业进入快速发展的新阶段。</w:t>
      </w:r>
    </w:p>
    <w:p>
      <w:pPr>
        <w:pStyle w:val="BodyText"/>
        <w:spacing w:line="300" w:lineRule="auto" w:before="55"/>
        <w:ind w:left="154"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年全国人大常委会及各省、区、市人大常委会对</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spacing w:val="-3"/>
        </w:rPr>
        <w:t>个省、区、市、开展著作权法执法检查，这是著作权法自</w:t>
      </w:r>
      <w:r>
        <w:rPr>
          <w:spacing w:val="-49"/>
        </w:rPr>
        <w:t> </w:t>
      </w:r>
      <w:r>
        <w:rPr>
          <w:rFonts w:ascii="Times New Roman" w:hAnsi="Times New Roman" w:cs="Times New Roman" w:eastAsia="Times New Roman" w:hint="default"/>
        </w:rPr>
        <w:t>1991 </w:t>
      </w:r>
      <w:r>
        <w:rPr/>
        <w:t>年实施以来最大规模的一次执法检查；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年，最高法院批准在南京、苏州、武汉、成都、济南、福州、青岛、合肥、杭 州、宁波、深圳</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个市设立了跨区域管辖的知识产权专门法庭，促进知识产权案件裁判的标准、尺度统一和质量提升。这 对于进一步健全司法保护体系，加大包括版权在内的知识产权司法保护力度具有重要意义。</w:t>
      </w:r>
    </w:p>
    <w:p>
      <w:pPr>
        <w:pStyle w:val="BodyText"/>
        <w:spacing w:line="240" w:lineRule="auto" w:before="31"/>
        <w:ind w:left="51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年，国家版权局、国家网信办、公安部、工信部等四部门联合开展了第</w:t>
      </w:r>
      <w:r>
        <w:rPr>
          <w:spacing w:val="-67"/>
        </w:rPr>
        <w:t> </w:t>
      </w:r>
      <w:r>
        <w:rPr>
          <w:rFonts w:ascii="Times New Roman" w:hAnsi="Times New Roman" w:cs="Times New Roman" w:eastAsia="Times New Roman" w:hint="default"/>
        </w:rPr>
        <w:t>13</w:t>
      </w:r>
      <w:r>
        <w:rPr>
          <w:rFonts w:ascii="Times New Roman" w:hAnsi="Times New Roman" w:cs="Times New Roman" w:eastAsia="Times New Roman" w:hint="default"/>
          <w:spacing w:val="-22"/>
        </w:rPr>
        <w:t> </w:t>
      </w:r>
      <w:r>
        <w:rPr/>
        <w:t>次打击网络侵权盗版“剑网</w:t>
      </w:r>
      <w:r>
        <w:rPr>
          <w:spacing w:val="-67"/>
        </w:rPr>
        <w:t> </w:t>
      </w:r>
      <w:r>
        <w:rPr>
          <w:rFonts w:ascii="Times New Roman" w:hAnsi="Times New Roman" w:cs="Times New Roman" w:eastAsia="Times New Roman" w:hint="default"/>
        </w:rPr>
        <w:t>2017</w:t>
      </w:r>
      <w:r>
        <w:rPr/>
        <w:t>”专项</w:t>
      </w:r>
    </w:p>
    <w:p>
      <w:pPr>
        <w:pStyle w:val="BodyText"/>
        <w:spacing w:line="240" w:lineRule="auto" w:before="63"/>
        <w:ind w:left="154" w:right="0"/>
        <w:jc w:val="left"/>
      </w:pPr>
      <w:r>
        <w:rPr/>
        <w:t>行动。各级版权执法监管部门会同网信、工信、公安等部门共检查网站</w:t>
      </w:r>
      <w:r>
        <w:rPr>
          <w:spacing w:val="-45"/>
        </w:rPr>
        <w:t> </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万个，关闭侵权盗版网站</w:t>
      </w:r>
      <w:r>
        <w:rPr>
          <w:spacing w:val="-46"/>
        </w:rPr>
        <w:t> </w:t>
      </w:r>
      <w:r>
        <w:rPr>
          <w:rFonts w:ascii="Times New Roman" w:hAnsi="Times New Roman" w:cs="Times New Roman" w:eastAsia="Times New Roman" w:hint="default"/>
        </w:rPr>
        <w:t>2,554</w:t>
      </w:r>
      <w:r>
        <w:rPr>
          <w:rFonts w:ascii="Times New Roman" w:hAnsi="Times New Roman" w:cs="Times New Roman" w:eastAsia="Times New Roman" w:hint="default"/>
          <w:spacing w:val="-1"/>
        </w:rPr>
        <w:t> </w:t>
      </w:r>
      <w:r>
        <w:rPr/>
        <w:t>个，删除侵权盗</w:t>
      </w:r>
    </w:p>
    <w:p>
      <w:pPr>
        <w:pStyle w:val="BodyText"/>
        <w:spacing w:line="240" w:lineRule="auto" w:before="63"/>
        <w:ind w:left="154" w:right="0"/>
        <w:jc w:val="left"/>
      </w:pPr>
      <w:r>
        <w:rPr/>
        <w:t>版链接</w:t>
      </w:r>
      <w:r>
        <w:rPr>
          <w:spacing w:val="-54"/>
        </w:rPr>
        <w:t> </w:t>
      </w:r>
      <w:r>
        <w:rPr>
          <w:rFonts w:ascii="Times New Roman" w:hAnsi="Times New Roman" w:cs="Times New Roman" w:eastAsia="Times New Roman" w:hint="default"/>
        </w:rPr>
        <w:t>71</w:t>
      </w:r>
      <w:r>
        <w:rPr>
          <w:rFonts w:ascii="Times New Roman" w:hAnsi="Times New Roman" w:cs="Times New Roman" w:eastAsia="Times New Roman" w:hint="default"/>
          <w:spacing w:val="-9"/>
        </w:rPr>
        <w:t> </w:t>
      </w:r>
      <w:r>
        <w:rPr/>
        <w:t>万条，收缴侵权盗版制品</w:t>
      </w:r>
      <w:r>
        <w:rPr>
          <w:spacing w:val="-54"/>
        </w:rPr>
        <w:t> </w:t>
      </w:r>
      <w:r>
        <w:rPr>
          <w:rFonts w:ascii="Times New Roman" w:hAnsi="Times New Roman" w:cs="Times New Roman" w:eastAsia="Times New Roman" w:hint="default"/>
        </w:rPr>
        <w:t>276</w:t>
      </w:r>
      <w:r>
        <w:rPr>
          <w:rFonts w:ascii="Times New Roman" w:hAnsi="Times New Roman" w:cs="Times New Roman" w:eastAsia="Times New Roman" w:hint="default"/>
          <w:spacing w:val="-9"/>
        </w:rPr>
        <w:t> </w:t>
      </w:r>
      <w:r>
        <w:rPr/>
        <w:t>万件，立案调查网络侵权盗版案件</w:t>
      </w:r>
      <w:r>
        <w:rPr>
          <w:spacing w:val="-54"/>
        </w:rPr>
        <w:t> </w:t>
      </w:r>
      <w:r>
        <w:rPr>
          <w:rFonts w:ascii="Times New Roman" w:hAnsi="Times New Roman" w:cs="Times New Roman" w:eastAsia="Times New Roman" w:hint="default"/>
        </w:rPr>
        <w:t>543</w:t>
      </w:r>
      <w:r>
        <w:rPr>
          <w:rFonts w:ascii="Times New Roman" w:hAnsi="Times New Roman" w:cs="Times New Roman" w:eastAsia="Times New Roman" w:hint="default"/>
          <w:spacing w:val="-9"/>
        </w:rPr>
        <w:t> </w:t>
      </w:r>
      <w:r>
        <w:rPr/>
        <w:t>件，会同公安部门查办刑事案件</w:t>
      </w:r>
      <w:r>
        <w:rPr>
          <w:spacing w:val="-54"/>
        </w:rPr>
        <w:t> </w:t>
      </w:r>
      <w:r>
        <w:rPr>
          <w:rFonts w:ascii="Times New Roman" w:hAnsi="Times New Roman" w:cs="Times New Roman" w:eastAsia="Times New Roman" w:hint="default"/>
        </w:rPr>
        <w:t>57</w:t>
      </w:r>
      <w:r>
        <w:rPr>
          <w:rFonts w:ascii="Times New Roman" w:hAnsi="Times New Roman" w:cs="Times New Roman" w:eastAsia="Times New Roman" w:hint="default"/>
          <w:spacing w:val="-9"/>
        </w:rPr>
        <w:t> </w:t>
      </w:r>
      <w:r>
        <w:rPr>
          <w:spacing w:val="-6"/>
        </w:rPr>
        <w:t>件、涉案</w:t>
      </w:r>
    </w:p>
    <w:p>
      <w:pPr>
        <w:pStyle w:val="BodyText"/>
        <w:spacing w:line="240" w:lineRule="auto" w:before="63"/>
        <w:ind w:left="154" w:right="0"/>
        <w:jc w:val="left"/>
      </w:pPr>
      <w:r>
        <w:rPr/>
        <w:t>金额</w:t>
      </w:r>
      <w:r>
        <w:rPr>
          <w:spacing w:val="-48"/>
        </w:rPr>
        <w:t> </w:t>
      </w:r>
      <w:r>
        <w:rPr>
          <w:rFonts w:ascii="Times New Roman" w:hAnsi="Times New Roman" w:cs="Times New Roman" w:eastAsia="Times New Roman" w:hint="default"/>
        </w:rPr>
        <w:t>1.07</w:t>
      </w:r>
      <w:r>
        <w:rPr>
          <w:rFonts w:ascii="Times New Roman" w:hAnsi="Times New Roman" w:cs="Times New Roman" w:eastAsia="Times New Roman" w:hint="default"/>
          <w:spacing w:val="-2"/>
        </w:rPr>
        <w:t> </w:t>
      </w:r>
      <w:r>
        <w:rPr>
          <w:spacing w:val="-3"/>
        </w:rPr>
        <w:t>亿元，并向社会公开发布</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件网络侵权盗版典型案件。</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3"/>
        </w:rPr>
        <w:t>日，在国家版权局主办的</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中国网络版</w:t>
      </w:r>
    </w:p>
    <w:p>
      <w:pPr>
        <w:pStyle w:val="BodyText"/>
        <w:spacing w:line="240" w:lineRule="auto" w:before="63"/>
        <w:ind w:left="154" w:right="0"/>
        <w:jc w:val="left"/>
      </w:pPr>
      <w:r>
        <w:rPr/>
        <w:t>权保护大会上</w:t>
      </w:r>
      <w:r>
        <w:rPr>
          <w:spacing w:val="-35"/>
        </w:rPr>
        <w:t>，</w:t>
      </w:r>
      <w:r>
        <w:rPr/>
        <w:t>人民日报社</w:t>
      </w:r>
      <w:r>
        <w:rPr>
          <w:spacing w:val="-35"/>
        </w:rPr>
        <w:t>、</w:t>
      </w:r>
      <w:r>
        <w:rPr/>
        <w:t>新华社</w:t>
      </w:r>
      <w:r>
        <w:rPr>
          <w:spacing w:val="-35"/>
        </w:rPr>
        <w:t>、</w:t>
      </w:r>
      <w:r>
        <w:rPr/>
        <w:t>中央电视台</w:t>
      </w:r>
      <w:r>
        <w:rPr>
          <w:spacing w:val="-35"/>
        </w:rPr>
        <w:t>、</w:t>
      </w:r>
      <w:r>
        <w:rPr/>
        <w:t>中国搜索等</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家中央</w:t>
      </w:r>
      <w:r>
        <w:rPr>
          <w:spacing w:val="1"/>
        </w:rPr>
        <w:t>新</w:t>
      </w:r>
      <w:r>
        <w:rPr/>
        <w:t>闻单位发起成</w:t>
      </w:r>
      <w:r>
        <w:rPr>
          <w:spacing w:val="-35"/>
        </w:rPr>
        <w:t>立</w:t>
      </w:r>
      <w:r>
        <w:rPr/>
        <w:t>“中国新闻媒体版权保护联盟</w:t>
      </w:r>
      <w:r>
        <w:rPr>
          <w:spacing w:val="-89"/>
        </w:rPr>
        <w:t>”</w:t>
      </w:r>
      <w:r>
        <w:rPr/>
        <w:t>，</w:t>
      </w:r>
    </w:p>
    <w:p>
      <w:pPr>
        <w:pStyle w:val="BodyText"/>
        <w:spacing w:line="300" w:lineRule="auto" w:before="63"/>
        <w:ind w:left="154" w:right="1118"/>
        <w:jc w:val="left"/>
      </w:pPr>
      <w:r>
        <w:rPr/>
        <w:t>并发布</w:t>
      </w:r>
      <w:r>
        <w:rPr>
          <w:spacing w:val="-14"/>
        </w:rPr>
        <w:t>了</w:t>
      </w:r>
      <w:r>
        <w:rPr/>
        <w:t>《中国新闻媒体版权保护联盟宣言</w:t>
      </w:r>
      <w:r>
        <w:rPr>
          <w:spacing w:val="-90"/>
        </w:rPr>
        <w:t>》</w:t>
      </w:r>
      <w:r>
        <w:rPr>
          <w:spacing w:val="-14"/>
        </w:rPr>
        <w:t>。</w:t>
      </w:r>
      <w:r>
        <w:rPr/>
        <w:t>除</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1"/>
        </w:rPr>
        <w:t>家</w:t>
      </w:r>
      <w:r>
        <w:rPr/>
        <w:t>联盟发起单位之外</w:t>
      </w:r>
      <w:r>
        <w:rPr>
          <w:spacing w:val="-14"/>
        </w:rPr>
        <w:t>，</w:t>
      </w:r>
      <w:r>
        <w:rPr/>
        <w:t>全国还有</w:t>
      </w:r>
      <w:r>
        <w:rPr>
          <w:spacing w:val="-46"/>
        </w:rPr>
        <w:t> </w:t>
      </w:r>
      <w:r>
        <w:rPr>
          <w:rFonts w:ascii="Times New Roman" w:hAnsi="Times New Roman" w:cs="Times New Roman" w:eastAsia="Times New Roman" w:hint="default"/>
        </w:rPr>
        <w:t>122</w:t>
      </w:r>
      <w:r>
        <w:rPr>
          <w:rFonts w:ascii="Times New Roman" w:hAnsi="Times New Roman" w:cs="Times New Roman" w:eastAsia="Times New Roman" w:hint="default"/>
          <w:spacing w:val="-1"/>
        </w:rPr>
        <w:t> </w:t>
      </w:r>
      <w:r>
        <w:rPr/>
        <w:t>家报</w:t>
      </w:r>
      <w:r>
        <w:rPr>
          <w:spacing w:val="1"/>
        </w:rPr>
        <w:t>纸</w:t>
      </w:r>
      <w:r>
        <w:rPr>
          <w:spacing w:val="-14"/>
        </w:rPr>
        <w:t>、</w:t>
      </w:r>
      <w:r>
        <w:rPr/>
        <w:t>期刊</w:t>
      </w:r>
      <w:r>
        <w:rPr>
          <w:spacing w:val="-14"/>
        </w:rPr>
        <w:t>、</w:t>
      </w:r>
      <w:r>
        <w:rPr/>
        <w:t>电台</w:t>
      </w:r>
      <w:r>
        <w:rPr>
          <w:spacing w:val="-15"/>
        </w:rPr>
        <w:t>、</w:t>
      </w:r>
      <w:r>
        <w:rPr/>
        <w:t>电视台发布</w:t>
      </w:r>
      <w:r>
        <w:rPr/>
        <w:t> 了《关于加强新闻作品版权保护的声明</w:t>
      </w:r>
      <w:r>
        <w:rPr>
          <w:spacing w:val="-90"/>
        </w:rPr>
        <w:t>》</w:t>
      </w:r>
      <w:r>
        <w:rPr/>
        <w:t>，旗帜鲜明地表达了维护版权的坚定立场。</w:t>
      </w:r>
    </w:p>
    <w:p>
      <w:pPr>
        <w:pStyle w:val="BodyText"/>
        <w:spacing w:line="314" w:lineRule="auto" w:before="31"/>
        <w:ind w:right="0" w:firstLine="360"/>
        <w:jc w:val="left"/>
      </w:pP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7</w:t>
      </w:r>
      <w:r>
        <w:rPr>
          <w:rFonts w:ascii="宋体" w:hAnsi="宋体" w:cs="宋体" w:eastAsia="宋体" w:hint="default"/>
          <w:spacing w:val="-46"/>
        </w:rPr>
        <w:t> </w:t>
      </w:r>
      <w:r>
        <w:rPr/>
        <w:t>月</w:t>
      </w:r>
      <w:r>
        <w:rPr>
          <w:spacing w:val="-47"/>
        </w:rPr>
        <w:t> </w:t>
      </w:r>
      <w:r>
        <w:rPr>
          <w:rFonts w:ascii="宋体" w:hAnsi="宋体" w:cs="宋体" w:eastAsia="宋体" w:hint="default"/>
        </w:rPr>
        <w:t>28</w:t>
      </w:r>
      <w:r>
        <w:rPr>
          <w:rFonts w:ascii="宋体" w:hAnsi="宋体" w:cs="宋体" w:eastAsia="宋体" w:hint="default"/>
          <w:spacing w:val="-46"/>
        </w:rPr>
        <w:t> </w:t>
      </w:r>
      <w:r>
        <w:rPr/>
        <w:t>日，由中国版权协会主办、中国版权产业网承办的“互联网</w:t>
      </w:r>
      <w:r>
        <w:rPr>
          <w:rFonts w:ascii="宋体" w:hAnsi="宋体" w:cs="宋体" w:eastAsia="宋体" w:hint="default"/>
        </w:rPr>
        <w:t>+</w:t>
      </w:r>
      <w:r>
        <w:rPr/>
        <w:t>图片版权保护与产业发展”研讨会在北 京举行，这是国内首次召开以图片版权保护为专题的高规格研讨会。图片继音乐、视频、文学版权之后，作为互联网版</w:t>
      </w:r>
      <w:r>
        <w:rPr>
          <w:spacing w:val="-57"/>
        </w:rPr>
        <w:t> </w:t>
      </w:r>
      <w:r>
        <w:rPr>
          <w:spacing w:val="-57"/>
        </w:rPr>
      </w:r>
      <w:r>
        <w:rPr/>
        <w:t>权问题的重灾区，正在为各方所关注。 </w:t>
      </w:r>
      <w:r>
        <w:rPr>
          <w:rFonts w:ascii="Times New Roman" w:hAnsi="Times New Roman" w:cs="Times New Roman" w:eastAsia="Times New Roman" w:hint="default"/>
          <w:spacing w:val="-5"/>
        </w:rPr>
        <w:t>2018</w:t>
      </w:r>
      <w:r>
        <w:rPr>
          <w:spacing w:val="-5"/>
        </w:rPr>
        <w:t>年第十三届全国人大《政府工作报告》中明确指出：“强化知识产权保护，实行侵权惩罚性赔偿制度”。</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27</w:t>
      </w:r>
      <w:r>
        <w:rPr>
          <w:spacing w:val="-5"/>
        </w:rPr>
        <w:t>日，</w:t>
      </w:r>
      <w:r>
        <w:rPr>
          <w:spacing w:val="-47"/>
        </w:rPr>
        <w:t> </w:t>
      </w:r>
      <w:r>
        <w:rPr/>
        <w:t>中共中央办公厅 </w:t>
      </w:r>
      <w:r>
        <w:rPr>
          <w:spacing w:val="-4"/>
        </w:rPr>
        <w:t>国务院办公厅印发《关于加强知识产权审判领域改革创新若干问题的意见》。《意见》是“两办”印发的第</w:t>
      </w:r>
      <w:r>
        <w:rPr>
          <w:spacing w:val="-82"/>
        </w:rPr>
        <w:t> </w:t>
      </w:r>
      <w:r>
        <w:rPr>
          <w:spacing w:val="-82"/>
        </w:rPr>
      </w:r>
      <w:r>
        <w:rPr>
          <w:spacing w:val="-2"/>
        </w:rPr>
        <w:t>一个专门面向知识产权审判的里程碑式的纲领性文件，确立了新时代人民法院知识产权审判工作的指导思想、基本原则、改</w:t>
      </w:r>
      <w:r>
        <w:rPr>
          <w:spacing w:val="-66"/>
        </w:rPr>
        <w:t> </w:t>
      </w:r>
      <w:r>
        <w:rPr>
          <w:spacing w:val="-66"/>
        </w:rPr>
      </w:r>
      <w:r>
        <w:rPr>
          <w:spacing w:val="-2"/>
        </w:rPr>
        <w:t>革目标和重点措施，将从程序和制度上全面加快我国知识产权保护的审判体系和审判标准的现代化进程。政策的出台为我国</w:t>
      </w:r>
      <w:r>
        <w:rPr>
          <w:spacing w:val="-64"/>
        </w:rPr>
        <w:t> </w:t>
      </w:r>
      <w:r>
        <w:rPr>
          <w:spacing w:val="-64"/>
        </w:rPr>
      </w:r>
      <w:r>
        <w:rPr/>
        <w:t>版权事业发展注入了强劲动力，为建设版权强国和创新型国家提供了保障。</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主要系新增对辽宁新兴文化、广州易教优培、北京视觉像素投资以及对唱游公司实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缴资本所致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主要系内部开发形成软件系统所致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主要系理财产品到期收回所致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Corbis </w:t>
            </w:r>
            <w:r>
              <w:rPr>
                <w:rFonts w:ascii="宋体" w:hAnsi="宋体" w:cs="宋体" w:eastAsia="宋体" w:hint="default"/>
                <w:sz w:val="18"/>
                <w:szCs w:val="18"/>
              </w:rPr>
              <w:t>图片素材资产完成交割以及增加的定期存单质押所致</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sz w:val="21"/>
          <w:szCs w:val="21"/>
        </w:rPr>
        <w:t>2</w:t>
      </w:r>
      <w:r>
        <w:rPr>
          <w:sz w:val="21"/>
          <w:szCs w:val="21"/>
        </w:rPr>
        <w:t>、</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5"/>
        <w:spacing w:line="240" w:lineRule="auto" w:before="25"/>
        <w:ind w:left="606" w:right="0"/>
        <w:jc w:val="left"/>
        <w:rPr>
          <w:b w:val="0"/>
          <w:bCs w:val="0"/>
        </w:rPr>
      </w:pPr>
      <w:r>
        <w:rPr>
          <w:rFonts w:ascii="宋体" w:hAnsi="宋体" w:cs="宋体" w:eastAsia="宋体" w:hint="default"/>
        </w:rPr>
        <w:t>1</w:t>
      </w:r>
      <w:r>
        <w:rPr/>
        <w:t>、稀缺的互联网平台型商业模式</w:t>
      </w:r>
      <w:r>
        <w:rPr>
          <w:b w:val="0"/>
          <w:bCs w:val="0"/>
        </w:rPr>
      </w:r>
    </w:p>
    <w:p>
      <w:pPr>
        <w:pStyle w:val="BodyText"/>
        <w:spacing w:line="316" w:lineRule="auto" w:before="76"/>
        <w:ind w:left="154" w:right="0" w:firstLine="450"/>
        <w:jc w:val="left"/>
      </w:pPr>
      <w:r>
        <w:rPr/>
        <w:t>公司拥有</w:t>
      </w:r>
      <w:r>
        <w:rPr>
          <w:spacing w:val="-46"/>
        </w:rPr>
        <w:t> </w:t>
      </w:r>
      <w:r>
        <w:rPr>
          <w:rFonts w:ascii="宋体" w:hAnsi="宋体" w:cs="宋体" w:eastAsia="宋体" w:hint="default"/>
        </w:rPr>
        <w:t>PGC</w:t>
      </w:r>
      <w:r>
        <w:rPr>
          <w:rFonts w:ascii="宋体" w:hAnsi="宋体" w:cs="宋体" w:eastAsia="宋体" w:hint="default"/>
          <w:spacing w:val="-45"/>
        </w:rPr>
        <w:t> </w:t>
      </w:r>
      <w:r>
        <w:rPr/>
        <w:t>视觉内容互联网版权交易的稀缺的双边平台，一边连接内容生产者，一边连接内容使用者，是内容生态 </w:t>
      </w:r>
      <w:r>
        <w:rPr>
          <w:spacing w:val="-2"/>
        </w:rPr>
        <w:t>的“基础设施”。公司通过自主研发并运用业内领先的大数据、人工智能等互联网技术，通过内容、产品、用户运营，为平</w:t>
      </w:r>
      <w:r>
        <w:rPr>
          <w:spacing w:val="-72"/>
        </w:rPr>
        <w:t> </w:t>
      </w:r>
      <w:r>
        <w:rPr>
          <w:spacing w:val="-72"/>
        </w:rPr>
      </w:r>
      <w:r>
        <w:rPr>
          <w:spacing w:val="-4"/>
        </w:rPr>
        <w:t>台各方提供高效率的版权交易和增值服务。一方面为内容生产者的版权内容实现价值变现，一方面通过技术创新、数据驱动，</w:t>
      </w:r>
      <w:r>
        <w:rPr>
          <w:spacing w:val="-44"/>
        </w:rPr>
        <w:t> </w:t>
      </w:r>
      <w:r>
        <w:rPr>
          <w:spacing w:val="-44"/>
        </w:rPr>
      </w:r>
      <w:r>
        <w:rPr>
          <w:spacing w:val="-2"/>
        </w:rPr>
        <w:t>不断提高产品服务的交付能力，基于客户需求、应用场景，更高效地全方位覆盖市场。平台的供需两端碎片化程度越高、数</w:t>
      </w:r>
      <w:r>
        <w:rPr>
          <w:spacing w:val="-66"/>
        </w:rPr>
        <w:t> </w:t>
      </w:r>
      <w:r>
        <w:rPr>
          <w:spacing w:val="-66"/>
        </w:rPr>
      </w:r>
      <w:r>
        <w:rPr>
          <w:spacing w:val="-2"/>
        </w:rPr>
        <w:t>量越大、市场覆盖范围越广，则平台的“数据化、智能化”的服务能力也越强，形成自我加强的平台效应。这一平台模式还</w:t>
      </w:r>
      <w:r>
        <w:rPr>
          <w:spacing w:val="-72"/>
        </w:rPr>
        <w:t> </w:t>
      </w:r>
      <w:r>
        <w:rPr>
          <w:spacing w:val="-72"/>
        </w:rPr>
      </w:r>
      <w:r>
        <w:rPr/>
        <w:t>拥有边际成本低、轻资产、零库存、现金流好、议价能力强等诸多特性。</w:t>
      </w:r>
    </w:p>
    <w:p>
      <w:pPr>
        <w:pStyle w:val="Heading5"/>
        <w:spacing w:line="240" w:lineRule="auto"/>
        <w:ind w:right="0"/>
        <w:jc w:val="left"/>
        <w:rPr>
          <w:b w:val="0"/>
          <w:bCs w:val="0"/>
        </w:rPr>
      </w:pPr>
      <w:r>
        <w:rPr>
          <w:rFonts w:ascii="宋体" w:hAnsi="宋体" w:cs="宋体" w:eastAsia="宋体" w:hint="default"/>
        </w:rPr>
        <w:t>2</w:t>
      </w:r>
      <w:r>
        <w:rPr/>
        <w:t>、</w:t>
      </w:r>
      <w:r>
        <w:rPr>
          <w:spacing w:val="-6"/>
        </w:rPr>
        <w:t> </w:t>
      </w:r>
      <w:r>
        <w:rPr/>
        <w:t>海量优质视觉内容高筑竞争壁垒</w:t>
      </w:r>
      <w:r>
        <w:rPr>
          <w:b w:val="0"/>
          <w:bCs w:val="0"/>
        </w:rPr>
      </w:r>
    </w:p>
    <w:p>
      <w:pPr>
        <w:pStyle w:val="BodyText"/>
        <w:spacing w:line="316" w:lineRule="auto" w:before="76"/>
        <w:ind w:right="1129" w:firstLine="360"/>
        <w:jc w:val="both"/>
      </w:pPr>
      <w:r>
        <w:rPr/>
        <w:t>公司与全球第一大图片库</w:t>
      </w:r>
      <w:r>
        <w:rPr>
          <w:spacing w:val="-46"/>
        </w:rPr>
        <w:t> </w:t>
      </w:r>
      <w:r>
        <w:rPr>
          <w:rFonts w:ascii="宋体" w:hAnsi="宋体" w:cs="宋体" w:eastAsia="宋体" w:hint="default"/>
        </w:rPr>
        <w:t>Getty</w:t>
      </w:r>
      <w:r>
        <w:rPr>
          <w:rFonts w:ascii="宋体" w:hAnsi="宋体" w:cs="宋体" w:eastAsia="宋体" w:hint="default"/>
          <w:spacing w:val="-38"/>
        </w:rPr>
        <w:t> </w:t>
      </w:r>
      <w:r>
        <w:rPr>
          <w:rFonts w:ascii="宋体" w:hAnsi="宋体" w:cs="宋体" w:eastAsia="宋体" w:hint="default"/>
        </w:rPr>
        <w:t>Images</w:t>
      </w:r>
      <w:r>
        <w:rPr>
          <w:rFonts w:ascii="宋体" w:hAnsi="宋体" w:cs="宋体" w:eastAsia="宋体" w:hint="default"/>
          <w:spacing w:val="-46"/>
        </w:rPr>
        <w:t> </w:t>
      </w:r>
      <w:r>
        <w:rPr/>
        <w:t>建立独家战略合作伙伴关系、收购比尔·盖茨创办的全球第三大图片库</w:t>
      </w:r>
      <w:r>
        <w:rPr>
          <w:spacing w:val="-46"/>
        </w:rPr>
        <w:t> </w:t>
      </w:r>
      <w:r>
        <w:rPr>
          <w:rFonts w:ascii="宋体" w:hAnsi="宋体" w:cs="宋体" w:eastAsia="宋体" w:hint="default"/>
        </w:rPr>
        <w:t>Corbis Images</w:t>
      </w:r>
      <w:r>
        <w:rPr>
          <w:rFonts w:ascii="宋体" w:hAnsi="宋体" w:cs="宋体" w:eastAsia="宋体" w:hint="default"/>
          <w:spacing w:val="-30"/>
        </w:rPr>
        <w:t> </w:t>
      </w:r>
      <w:r>
        <w:rPr/>
        <w:t>及国际知名的线上摄影社区</w:t>
      </w:r>
      <w:r>
        <w:rPr>
          <w:spacing w:val="-30"/>
        </w:rPr>
        <w:t> </w:t>
      </w:r>
      <w:r>
        <w:rPr>
          <w:rFonts w:ascii="宋体" w:hAnsi="宋体" w:cs="宋体" w:eastAsia="宋体" w:hint="default"/>
          <w:spacing w:val="-3"/>
        </w:rPr>
        <w:t>500px</w:t>
      </w:r>
      <w:r>
        <w:rPr>
          <w:spacing w:val="-3"/>
        </w:rPr>
        <w:t>，拥有了近乎垄断的海量、全面、独家的优质正版视觉内容资源，建立了强大的内</w:t>
      </w:r>
      <w:r>
        <w:rPr>
          <w:spacing w:val="-85"/>
        </w:rPr>
        <w:t> </w:t>
      </w:r>
      <w:r>
        <w:rPr>
          <w:spacing w:val="-85"/>
        </w:rPr>
      </w:r>
      <w:r>
        <w:rPr/>
        <w:t>容护城河。公司与全球近</w:t>
      </w:r>
      <w:r>
        <w:rPr>
          <w:spacing w:val="-38"/>
        </w:rPr>
        <w:t> </w:t>
      </w:r>
      <w:r>
        <w:rPr>
          <w:rFonts w:ascii="宋体" w:hAnsi="宋体" w:cs="宋体" w:eastAsia="宋体" w:hint="default"/>
        </w:rPr>
        <w:t>30</w:t>
      </w:r>
      <w:r>
        <w:rPr>
          <w:rFonts w:ascii="宋体" w:hAnsi="宋体" w:cs="宋体" w:eastAsia="宋体" w:hint="default"/>
          <w:spacing w:val="-38"/>
        </w:rPr>
        <w:t> </w:t>
      </w:r>
      <w:r>
        <w:rPr/>
        <w:t>余万签约供稿人和</w:t>
      </w:r>
      <w:r>
        <w:rPr>
          <w:spacing w:val="-37"/>
        </w:rPr>
        <w:t> </w:t>
      </w:r>
      <w:r>
        <w:rPr>
          <w:rFonts w:ascii="宋体" w:hAnsi="宋体" w:cs="宋体" w:eastAsia="宋体" w:hint="default"/>
        </w:rPr>
        <w:t>240</w:t>
      </w:r>
      <w:r>
        <w:rPr>
          <w:rFonts w:ascii="宋体" w:hAnsi="宋体" w:cs="宋体" w:eastAsia="宋体" w:hint="default"/>
          <w:spacing w:val="-38"/>
        </w:rPr>
        <w:t> </w:t>
      </w:r>
      <w:r>
        <w:rPr/>
        <w:t>余家品牌机构建立了内容合作，在线提供超过</w:t>
      </w:r>
      <w:r>
        <w:rPr>
          <w:spacing w:val="-37"/>
        </w:rPr>
        <w:t> </w:t>
      </w:r>
      <w:r>
        <w:rPr>
          <w:rFonts w:ascii="宋体" w:hAnsi="宋体" w:cs="宋体" w:eastAsia="宋体" w:hint="default"/>
        </w:rPr>
        <w:t>2</w:t>
      </w:r>
      <w:r>
        <w:rPr>
          <w:rFonts w:ascii="宋体" w:hAnsi="宋体" w:cs="宋体" w:eastAsia="宋体" w:hint="default"/>
          <w:spacing w:val="-38"/>
        </w:rPr>
        <w:t> </w:t>
      </w:r>
      <w:r>
        <w:rPr/>
        <w:t>亿张图片、</w:t>
      </w:r>
      <w:r>
        <w:rPr>
          <w:rFonts w:ascii="宋体" w:hAnsi="宋体" w:cs="宋体" w:eastAsia="宋体" w:hint="default"/>
        </w:rPr>
        <w:t>1,000</w:t>
      </w:r>
      <w:r>
        <w:rPr>
          <w:rFonts w:ascii="宋体" w:hAnsi="宋体" w:cs="宋体" w:eastAsia="宋体" w:hint="default"/>
          <w:spacing w:val="-38"/>
        </w:rPr>
        <w:t> </w:t>
      </w:r>
      <w:r>
        <w:rPr/>
        <w:t>万条</w:t>
      </w:r>
    </w:p>
    <w:p>
      <w:pPr>
        <w:pStyle w:val="BodyText"/>
        <w:spacing w:line="316" w:lineRule="auto" w:before="19"/>
        <w:ind w:left="154" w:right="1114"/>
        <w:jc w:val="left"/>
      </w:pPr>
      <w:r>
        <w:rPr/>
        <w:t>视频素材和</w:t>
      </w:r>
      <w:r>
        <w:rPr>
          <w:spacing w:val="-41"/>
        </w:rPr>
        <w:t> </w:t>
      </w:r>
      <w:r>
        <w:rPr>
          <w:rFonts w:ascii="宋体" w:hAnsi="宋体" w:cs="宋体" w:eastAsia="宋体" w:hint="default"/>
        </w:rPr>
        <w:t>35</w:t>
      </w:r>
      <w:r>
        <w:rPr>
          <w:rFonts w:ascii="宋体" w:hAnsi="宋体" w:cs="宋体" w:eastAsia="宋体" w:hint="default"/>
          <w:spacing w:val="-41"/>
        </w:rPr>
        <w:t> </w:t>
      </w:r>
      <w:r>
        <w:rPr/>
        <w:t>万首各种曲风的音乐或音效；能够为客户提供从图片、视频到音乐，从时效编辑类内容到创意素材，从当代 时事热点到历史档案、从高端到微利、从全球创意趋势到本土东方潮流的全方位一站式内容服务。</w:t>
      </w:r>
    </w:p>
    <w:p>
      <w:pPr>
        <w:pStyle w:val="BodyText"/>
        <w:spacing w:line="316" w:lineRule="auto" w:before="19"/>
        <w:ind w:right="1033" w:firstLine="360"/>
        <w:jc w:val="left"/>
      </w:pPr>
      <w:r>
        <w:rPr/>
        <w:t>公司以现金方式收购美国</w:t>
      </w:r>
      <w:r>
        <w:rPr>
          <w:spacing w:val="-52"/>
        </w:rPr>
        <w:t> </w:t>
      </w:r>
      <w:r>
        <w:rPr>
          <w:rFonts w:ascii="宋体" w:hAnsi="宋体" w:cs="宋体" w:eastAsia="宋体" w:hint="default"/>
        </w:rPr>
        <w:t>500PX,INC.</w:t>
      </w:r>
      <w:r>
        <w:rPr/>
        <w:t>公司</w:t>
      </w:r>
      <w:r>
        <w:rPr>
          <w:spacing w:val="-52"/>
        </w:rPr>
        <w:t> </w:t>
      </w:r>
      <w:r>
        <w:rPr>
          <w:rFonts w:ascii="宋体" w:hAnsi="宋体" w:cs="宋体" w:eastAsia="宋体" w:hint="default"/>
        </w:rPr>
        <w:t>100%</w:t>
      </w:r>
      <w:r>
        <w:rPr/>
        <w:t>股权。本次收购</w:t>
      </w:r>
      <w:r>
        <w:rPr>
          <w:spacing w:val="-52"/>
        </w:rPr>
        <w:t> </w:t>
      </w:r>
      <w:r>
        <w:rPr>
          <w:rFonts w:ascii="宋体" w:hAnsi="宋体" w:cs="宋体" w:eastAsia="宋体" w:hint="default"/>
        </w:rPr>
        <w:t>500px</w:t>
      </w:r>
      <w:r>
        <w:rPr/>
        <w:t>，是继收购</w:t>
      </w:r>
      <w:r>
        <w:rPr>
          <w:spacing w:val="-52"/>
        </w:rPr>
        <w:t> </w:t>
      </w:r>
      <w:r>
        <w:rPr>
          <w:rFonts w:ascii="宋体" w:hAnsi="宋体" w:cs="宋体" w:eastAsia="宋体" w:hint="default"/>
        </w:rPr>
        <w:t>Corbis</w:t>
      </w:r>
      <w:r>
        <w:rPr>
          <w:rFonts w:ascii="宋体" w:hAnsi="宋体" w:cs="宋体" w:eastAsia="宋体" w:hint="default"/>
          <w:spacing w:val="-50"/>
        </w:rPr>
        <w:t> </w:t>
      </w:r>
      <w:r>
        <w:rPr/>
        <w:t>资产后，公司全球化战略的又 </w:t>
      </w:r>
      <w:r>
        <w:rPr>
          <w:spacing w:val="-5"/>
        </w:rPr>
        <w:t>一重要举措。国际领先的摄影互联网社区</w:t>
      </w:r>
      <w:r>
        <w:rPr>
          <w:spacing w:val="-45"/>
        </w:rPr>
        <w:t> </w:t>
      </w:r>
      <w:r>
        <w:rPr>
          <w:rFonts w:ascii="宋体" w:hAnsi="宋体" w:cs="宋体" w:eastAsia="宋体" w:hint="default"/>
          <w:spacing w:val="-12"/>
        </w:rPr>
        <w:t>500px</w:t>
      </w:r>
      <w:r>
        <w:rPr>
          <w:spacing w:val="-12"/>
        </w:rPr>
        <w:t>，通过网站、移动应用</w:t>
      </w:r>
      <w:r>
        <w:rPr>
          <w:spacing w:val="-45"/>
        </w:rPr>
        <w:t> </w:t>
      </w:r>
      <w:r>
        <w:rPr>
          <w:rFonts w:ascii="宋体" w:hAnsi="宋体" w:cs="宋体" w:eastAsia="宋体" w:hint="default"/>
        </w:rPr>
        <w:t>app</w:t>
      </w:r>
      <w:r>
        <w:rPr>
          <w:rFonts w:ascii="宋体" w:hAnsi="宋体" w:cs="宋体" w:eastAsia="宋体" w:hint="default"/>
          <w:spacing w:val="-44"/>
        </w:rPr>
        <w:t> </w:t>
      </w:r>
      <w:r>
        <w:rPr/>
        <w:t>覆盖了全球</w:t>
      </w:r>
      <w:r>
        <w:rPr>
          <w:spacing w:val="-45"/>
        </w:rPr>
        <w:t> </w:t>
      </w:r>
      <w:r>
        <w:rPr>
          <w:rFonts w:ascii="宋体" w:hAnsi="宋体" w:cs="宋体" w:eastAsia="宋体" w:hint="default"/>
        </w:rPr>
        <w:t>195</w:t>
      </w:r>
      <w:r>
        <w:rPr>
          <w:rFonts w:ascii="宋体" w:hAnsi="宋体" w:cs="宋体" w:eastAsia="宋体" w:hint="default"/>
          <w:spacing w:val="-45"/>
        </w:rPr>
        <w:t> </w:t>
      </w:r>
      <w:r>
        <w:rPr>
          <w:spacing w:val="-7"/>
        </w:rPr>
        <w:t>个国家和地区，注册用户超过</w:t>
      </w:r>
      <w:r>
        <w:rPr>
          <w:spacing w:val="-45"/>
        </w:rPr>
        <w:t> </w:t>
      </w:r>
      <w:r>
        <w:rPr>
          <w:rFonts w:ascii="宋体" w:hAnsi="宋体" w:cs="宋体" w:eastAsia="宋体" w:hint="default"/>
        </w:rPr>
        <w:t>1,300</w:t>
      </w:r>
      <w:r>
        <w:rPr>
          <w:rFonts w:ascii="宋体" w:hAnsi="宋体" w:cs="宋体" w:eastAsia="宋体" w:hint="default"/>
          <w:spacing w:val="-88"/>
        </w:rPr>
        <w:t> </w:t>
      </w:r>
      <w:r>
        <w:rPr>
          <w:rFonts w:ascii="宋体" w:hAnsi="宋体" w:cs="宋体" w:eastAsia="宋体" w:hint="default"/>
          <w:spacing w:val="-88"/>
        </w:rPr>
      </w:r>
      <w:r>
        <w:rPr>
          <w:spacing w:val="-6"/>
        </w:rPr>
        <w:t>万（包括专业摄影人才、摄影爱好者），签约合作的供稿人近</w:t>
      </w:r>
      <w:r>
        <w:rPr>
          <w:spacing w:val="-35"/>
        </w:rPr>
        <w:t> </w:t>
      </w:r>
      <w:r>
        <w:rPr>
          <w:rFonts w:ascii="宋体" w:hAnsi="宋体" w:cs="宋体" w:eastAsia="宋体" w:hint="default"/>
        </w:rPr>
        <w:t>30</w:t>
      </w:r>
      <w:r>
        <w:rPr>
          <w:rFonts w:ascii="宋体" w:hAnsi="宋体" w:cs="宋体" w:eastAsia="宋体" w:hint="default"/>
          <w:spacing w:val="-36"/>
        </w:rPr>
        <w:t> </w:t>
      </w:r>
      <w:r>
        <w:rPr>
          <w:spacing w:val="-2"/>
        </w:rPr>
        <w:t>万。本次收购，大大拓展了公司获取海量全球优质视觉内容</w:t>
      </w:r>
      <w:r>
        <w:rPr>
          <w:spacing w:val="-70"/>
        </w:rPr>
        <w:t> </w:t>
      </w:r>
      <w:r>
        <w:rPr>
          <w:spacing w:val="-70"/>
        </w:rPr>
      </w:r>
      <w:r>
        <w:rPr/>
        <w:t>的能力，并不断巩固和强化公司内容的核心竞争力，进一步加强了公司在图片行业的主导地位，完善公司的行业生态布局。 通过</w:t>
      </w:r>
      <w:r>
        <w:rPr>
          <w:spacing w:val="-67"/>
        </w:rPr>
        <w:t> </w:t>
      </w:r>
      <w:r>
        <w:rPr>
          <w:rFonts w:ascii="宋体" w:hAnsi="宋体" w:cs="宋体" w:eastAsia="宋体" w:hint="default"/>
        </w:rPr>
        <w:t>500px</w:t>
      </w:r>
      <w:r>
        <w:rPr>
          <w:rFonts w:ascii="宋体" w:hAnsi="宋体" w:cs="宋体" w:eastAsia="宋体" w:hint="default"/>
          <w:spacing w:val="-67"/>
        </w:rPr>
        <w:t> </w:t>
      </w:r>
      <w:r>
        <w:rPr/>
        <w:t>全球化的互联网平台，公司将为全球千万级用户提供社交互动、内容生产、交易变现、版权保护的全链路一站式 服务。</w:t>
      </w:r>
    </w:p>
    <w:p>
      <w:pPr>
        <w:pStyle w:val="Heading5"/>
        <w:spacing w:line="240" w:lineRule="auto"/>
        <w:ind w:left="516" w:right="0"/>
        <w:jc w:val="left"/>
        <w:rPr>
          <w:b w:val="0"/>
          <w:bCs w:val="0"/>
        </w:rPr>
      </w:pPr>
      <w:r>
        <w:rPr>
          <w:rFonts w:ascii="宋体" w:hAnsi="宋体" w:cs="宋体" w:eastAsia="宋体" w:hint="default"/>
        </w:rPr>
        <w:t>3</w:t>
      </w:r>
      <w:r>
        <w:rPr/>
        <w:t>、海量的图像大数据和强大的技术创新能力</w:t>
      </w:r>
      <w:r>
        <w:rPr>
          <w:b w:val="0"/>
          <w:bCs w:val="0"/>
        </w:rPr>
      </w:r>
    </w:p>
    <w:p>
      <w:pPr>
        <w:pStyle w:val="BodyText"/>
        <w:spacing w:line="319" w:lineRule="auto" w:before="76"/>
        <w:ind w:right="1033" w:firstLine="450"/>
        <w:jc w:val="left"/>
      </w:pPr>
      <w:r>
        <w:rPr/>
        <w:t>经过近</w:t>
      </w:r>
      <w:r>
        <w:rPr>
          <w:spacing w:val="-67"/>
        </w:rPr>
        <w:t> </w:t>
      </w:r>
      <w:r>
        <w:rPr>
          <w:rFonts w:ascii="宋体" w:hAnsi="宋体" w:cs="宋体" w:eastAsia="宋体" w:hint="default"/>
        </w:rPr>
        <w:t>20</w:t>
      </w:r>
      <w:r>
        <w:rPr>
          <w:rFonts w:ascii="宋体" w:hAnsi="宋体" w:cs="宋体" w:eastAsia="宋体" w:hint="default"/>
          <w:spacing w:val="-67"/>
        </w:rPr>
        <w:t> </w:t>
      </w:r>
      <w:r>
        <w:rPr/>
        <w:t>年的运营积累，公司拥有亿级图片、视频、音乐数据，近百万的结构化的关键词描述体系，以及持续产生的 千万级的用户行为数据，大数据已经成为了公司非常有价值的核心资产。公司成立了专注人工智能、搜索算法的技术团队， </w:t>
      </w:r>
      <w:r>
        <w:rPr>
          <w:spacing w:val="-8"/>
        </w:rPr>
        <w:t>基于客户使用需求和应用场景，通过数据的沉淀和挖掘，不断打造核心的“数据提升技术”、“技术驱动服务”、“服务回馈数</w:t>
      </w:r>
      <w:r>
        <w:rPr>
          <w:spacing w:val="-86"/>
        </w:rPr>
        <w:t> </w:t>
      </w:r>
      <w:r>
        <w:rPr>
          <w:spacing w:val="-86"/>
        </w:rPr>
      </w:r>
      <w:r>
        <w:rPr/>
        <w:t>据”闭环运行模式 ，提升了公司核心竞争力。</w:t>
      </w:r>
    </w:p>
    <w:p>
      <w:pPr>
        <w:pStyle w:val="BodyText"/>
        <w:spacing w:line="240" w:lineRule="auto" w:before="17"/>
        <w:ind w:left="514" w:right="0"/>
        <w:jc w:val="left"/>
      </w:pPr>
      <w:r>
        <w:rPr/>
        <w:t>结合前瞻性的客户应用需求，公司基于大数据、人工智能等技术，自主研发了业内先进的智能搜索、版权追踪、图像识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t>别、自动标签、智能配图等技术，正式推出 </w:t>
      </w:r>
      <w:r>
        <w:rPr>
          <w:rFonts w:ascii="宋体" w:hAnsi="宋体" w:cs="宋体" w:eastAsia="宋体" w:hint="default"/>
        </w:rPr>
        <w:t>API</w:t>
      </w:r>
      <w:r>
        <w:rPr/>
        <w:t>（</w:t>
      </w:r>
      <w:r>
        <w:rPr>
          <w:rFonts w:ascii="宋体" w:hAnsi="宋体" w:cs="宋体" w:eastAsia="宋体" w:hint="default"/>
        </w:rPr>
        <w:t>Application Programming Interface,</w:t>
      </w:r>
      <w:r>
        <w:rPr>
          <w:rFonts w:ascii="宋体" w:hAnsi="宋体" w:cs="宋体" w:eastAsia="宋体" w:hint="default"/>
          <w:spacing w:val="4"/>
        </w:rPr>
        <w:t> </w:t>
      </w:r>
      <w:r>
        <w:rPr/>
        <w:t>应用程序编程接口）服务及基于 </w:t>
      </w:r>
      <w:r>
        <w:rPr>
          <w:rFonts w:ascii="宋体" w:hAnsi="宋体" w:cs="宋体" w:eastAsia="宋体" w:hint="default"/>
        </w:rPr>
        <w:t>SaaS(Software as a Service)</w:t>
      </w:r>
      <w:r>
        <w:rPr/>
        <w:t>的 </w:t>
      </w:r>
      <w:r>
        <w:rPr>
          <w:rFonts w:ascii="宋体" w:hAnsi="宋体" w:cs="宋体" w:eastAsia="宋体" w:hint="default"/>
        </w:rPr>
        <w:t>VDAM (Visual Data Asset</w:t>
      </w:r>
      <w:r>
        <w:rPr>
          <w:rFonts w:ascii="宋体" w:hAnsi="宋体" w:cs="宋体" w:eastAsia="宋体" w:hint="default"/>
          <w:spacing w:val="5"/>
        </w:rPr>
        <w:t> </w:t>
      </w:r>
      <w:r>
        <w:rPr>
          <w:rFonts w:ascii="宋体" w:hAnsi="宋体" w:cs="宋体" w:eastAsia="宋体" w:hint="default"/>
        </w:rPr>
        <w:t>Management</w:t>
      </w:r>
      <w:r>
        <w:rPr/>
        <w:t>，视觉数据资产管理系统</w:t>
      </w:r>
      <w:r>
        <w:rPr>
          <w:rFonts w:ascii="宋体" w:hAnsi="宋体" w:cs="宋体" w:eastAsia="宋体" w:hint="default"/>
        </w:rPr>
        <w:t>)</w:t>
      </w:r>
      <w:r>
        <w:rPr/>
        <w:t>产品，提升了服务于百 </w:t>
      </w:r>
      <w:r>
        <w:rPr>
          <w:spacing w:val="-2"/>
        </w:rPr>
        <w:t>度、腾讯、阿里巴巴等互联网平台及各类大型企业的能力，不断优化了客户的产品体验，为公司保持领先优势提供了持续的</w:t>
      </w:r>
      <w:r>
        <w:rPr>
          <w:spacing w:val="-66"/>
        </w:rPr>
        <w:t> </w:t>
      </w:r>
      <w:r>
        <w:rPr>
          <w:spacing w:val="-66"/>
        </w:rPr>
      </w:r>
      <w:r>
        <w:rPr/>
        <w:t>动力。</w:t>
      </w:r>
      <w:r>
        <w:rPr>
          <w:rFonts w:ascii="宋体" w:hAnsi="宋体" w:cs="宋体" w:eastAsia="宋体" w:hint="default"/>
        </w:rPr>
        <w:t>2017</w:t>
      </w:r>
      <w:r>
        <w:rPr>
          <w:rFonts w:ascii="宋体" w:hAnsi="宋体" w:cs="宋体" w:eastAsia="宋体" w:hint="default"/>
          <w:spacing w:val="-59"/>
        </w:rPr>
        <w:t> </w:t>
      </w:r>
      <w:r>
        <w:rPr/>
        <w:t>年</w:t>
      </w:r>
      <w:r>
        <w:rPr>
          <w:spacing w:val="-58"/>
        </w:rPr>
        <w:t> </w:t>
      </w:r>
      <w:r>
        <w:rPr>
          <w:rFonts w:ascii="宋体" w:hAnsi="宋体" w:cs="宋体" w:eastAsia="宋体" w:hint="default"/>
        </w:rPr>
        <w:t>3</w:t>
      </w:r>
      <w:r>
        <w:rPr>
          <w:rFonts w:ascii="宋体" w:hAnsi="宋体" w:cs="宋体" w:eastAsia="宋体" w:hint="default"/>
          <w:spacing w:val="-59"/>
        </w:rPr>
        <w:t> </w:t>
      </w:r>
      <w:r>
        <w:rPr>
          <w:spacing w:val="-3"/>
        </w:rPr>
        <w:t>月，《科技中的设计报告</w:t>
      </w:r>
      <w:r>
        <w:rPr>
          <w:spacing w:val="-59"/>
        </w:rPr>
        <w:t> </w:t>
      </w:r>
      <w:r>
        <w:rPr>
          <w:rFonts w:ascii="宋体" w:hAnsi="宋体" w:cs="宋体" w:eastAsia="宋体" w:hint="default"/>
        </w:rPr>
        <w:t>2017</w:t>
      </w:r>
      <w:r>
        <w:rPr/>
        <w:t>》将公司与阿里巴巴、小米等公司一起入选中国互联网“科技</w:t>
      </w:r>
      <w:r>
        <w:rPr>
          <w:rFonts w:ascii="宋体" w:hAnsi="宋体" w:cs="宋体" w:eastAsia="宋体" w:hint="default"/>
        </w:rPr>
        <w:t>+</w:t>
      </w:r>
      <w:r>
        <w:rPr/>
        <w:t>设计”代表之 一。</w:t>
      </w:r>
    </w:p>
    <w:p>
      <w:pPr>
        <w:spacing w:line="316" w:lineRule="auto" w:before="17"/>
        <w:ind w:left="513" w:right="1033" w:hanging="89"/>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、全方位的市场覆盖和高效获客能力</w:t>
      </w:r>
      <w:r>
        <w:rPr>
          <w:rFonts w:ascii="宋体" w:hAnsi="宋体" w:cs="宋体" w:eastAsia="宋体" w:hint="default"/>
          <w:b/>
          <w:bCs/>
          <w:w w:val="99"/>
          <w:sz w:val="18"/>
          <w:szCs w:val="18"/>
        </w:rPr>
        <w:t> </w:t>
      </w:r>
      <w:r>
        <w:rPr>
          <w:rFonts w:ascii="宋体" w:hAnsi="宋体" w:cs="宋体" w:eastAsia="宋体" w:hint="default"/>
          <w:sz w:val="18"/>
          <w:szCs w:val="18"/>
        </w:rPr>
        <w:t>作为全球最大的版权数字内容平台之一，公司汇集了全球及本土范围内品类全面、高端优质的版权素材，提供从图片、</w:t>
      </w:r>
    </w:p>
    <w:p>
      <w:pPr>
        <w:pStyle w:val="BodyText"/>
        <w:spacing w:line="316" w:lineRule="auto" w:before="19"/>
        <w:ind w:right="1129"/>
        <w:jc w:val="both"/>
      </w:pPr>
      <w:r>
        <w:rPr>
          <w:spacing w:val="-2"/>
        </w:rPr>
        <w:t>视频到音乐、从时效编辑类内容到创意素材、从当代时事热点到历史档案、从全球创意趋势到本土东方潮流、从高端到微利</w:t>
      </w:r>
      <w:r>
        <w:rPr>
          <w:spacing w:val="-65"/>
        </w:rPr>
        <w:t> </w:t>
      </w:r>
      <w:r>
        <w:rPr>
          <w:spacing w:val="-65"/>
        </w:rPr>
      </w:r>
      <w:r>
        <w:rPr/>
        <w:t>等海量的</w:t>
      </w:r>
      <w:r>
        <w:rPr>
          <w:spacing w:val="-41"/>
        </w:rPr>
        <w:t> </w:t>
      </w:r>
      <w:r>
        <w:rPr>
          <w:rFonts w:ascii="宋体" w:hAnsi="宋体" w:cs="宋体" w:eastAsia="宋体" w:hint="default"/>
        </w:rPr>
        <w:t>PGC</w:t>
      </w:r>
      <w:r>
        <w:rPr>
          <w:rFonts w:ascii="宋体" w:hAnsi="宋体" w:cs="宋体" w:eastAsia="宋体" w:hint="default"/>
          <w:spacing w:val="-40"/>
        </w:rPr>
        <w:t> </w:t>
      </w:r>
      <w:r>
        <w:rPr>
          <w:spacing w:val="-2"/>
        </w:rPr>
        <w:t>内容，优质海量的优质内容吸引了从内容互联网平台、传媒、企业、广告营销服务机构以及数百万的社交媒体</w:t>
      </w:r>
      <w:r>
        <w:rPr/>
        <w:t> 等客户使用我们的服务，图片、视频、音乐素材被广泛应用于网站、</w:t>
      </w:r>
      <w:r>
        <w:rPr>
          <w:rFonts w:ascii="宋体" w:hAnsi="宋体" w:cs="宋体" w:eastAsia="宋体" w:hint="default"/>
        </w:rPr>
        <w:t>app</w:t>
      </w:r>
      <w:r>
        <w:rPr/>
        <w:t>、报刊、出版、影视、广告创意、设计制作、社会 </w:t>
      </w:r>
      <w:r>
        <w:rPr>
          <w:spacing w:val="-3"/>
        </w:rPr>
        <w:t>化营销等各种业务场景。公司通过多样的交付平台（包括网站、</w:t>
      </w:r>
      <w:r>
        <w:rPr>
          <w:rFonts w:ascii="宋体" w:hAnsi="宋体" w:cs="宋体" w:eastAsia="宋体" w:hint="default"/>
          <w:spacing w:val="-3"/>
        </w:rPr>
        <w:t>API</w:t>
      </w:r>
      <w:r>
        <w:rPr>
          <w:spacing w:val="-3"/>
        </w:rPr>
        <w:t>、</w:t>
      </w:r>
      <w:r>
        <w:rPr>
          <w:rFonts w:ascii="宋体" w:hAnsi="宋体" w:cs="宋体" w:eastAsia="宋体" w:hint="default"/>
          <w:spacing w:val="-3"/>
        </w:rPr>
        <w:t>VDAM</w:t>
      </w:r>
      <w:r>
        <w:rPr>
          <w:spacing w:val="-3"/>
        </w:rPr>
        <w:t>）、自主研发的业内领先的大数据、人工智能等互</w:t>
      </w:r>
      <w:r>
        <w:rPr/>
        <w:t> </w:t>
      </w:r>
      <w:r>
        <w:rPr>
          <w:spacing w:val="-2"/>
        </w:rPr>
        <w:t>联网技术，使客户能高效便捷地搜索并找到所需内容，并通过内容运营、灵活多样的授权模式及产品组合，可以为各类客户</w:t>
      </w:r>
      <w:r>
        <w:rPr>
          <w:spacing w:val="-66"/>
        </w:rPr>
        <w:t> </w:t>
      </w:r>
      <w:r>
        <w:rPr>
          <w:spacing w:val="-66"/>
        </w:rPr>
      </w:r>
      <w:r>
        <w:rPr/>
        <w:t>提供安全可依赖的全方位一站式服务。</w:t>
      </w:r>
    </w:p>
    <w:p>
      <w:pPr>
        <w:pStyle w:val="BodyText"/>
        <w:spacing w:line="316" w:lineRule="auto" w:before="19"/>
        <w:ind w:left="154" w:right="1129" w:firstLine="360"/>
        <w:jc w:val="both"/>
      </w:pPr>
      <w:r>
        <w:rPr>
          <w:spacing w:val="-2"/>
        </w:rPr>
        <w:t>公司自行研发了鹰眼（图像版权网络追踪系统），能够追踪到公司拥有的图片在网络上的使用情况，更好地锁定潜在的</w:t>
      </w:r>
      <w:r>
        <w:rPr/>
        <w:t> </w:t>
      </w:r>
      <w:r>
        <w:rPr>
          <w:spacing w:val="-2"/>
        </w:rPr>
        <w:t>客户并满足其需求，实现精准营销，大大降低了获客成本，实现客户数量大幅增长。报告期内，公司通过“鹰眼”发现的潜</w:t>
      </w:r>
      <w:r>
        <w:rPr>
          <w:spacing w:val="-70"/>
        </w:rPr>
        <w:t> </w:t>
      </w:r>
      <w:r>
        <w:rPr>
          <w:spacing w:val="-70"/>
        </w:rPr>
      </w:r>
      <w:r>
        <w:rPr/>
        <w:t>在客户数量较去年同期有超过</w:t>
      </w:r>
      <w:r>
        <w:rPr>
          <w:spacing w:val="-46"/>
        </w:rPr>
        <w:t> </w:t>
      </w:r>
      <w:r>
        <w:rPr>
          <w:rFonts w:ascii="宋体" w:hAnsi="宋体" w:cs="宋体" w:eastAsia="宋体" w:hint="default"/>
        </w:rPr>
        <w:t>84%</w:t>
      </w:r>
      <w:r>
        <w:rPr/>
        <w:t>的增长；通过“鹰眼”新增年度协议客户数量较去年同期增长超过</w:t>
      </w:r>
      <w:r>
        <w:rPr>
          <w:spacing w:val="-46"/>
        </w:rPr>
        <w:t> </w:t>
      </w:r>
      <w:r>
        <w:rPr>
          <w:rFonts w:ascii="宋体" w:hAnsi="宋体" w:cs="宋体" w:eastAsia="宋体" w:hint="default"/>
        </w:rPr>
        <w:t>54%</w:t>
      </w:r>
      <w:r>
        <w:rPr/>
        <w:t>。</w:t>
      </w:r>
    </w:p>
    <w:p>
      <w:pPr>
        <w:pStyle w:val="BodyText"/>
        <w:spacing w:line="316" w:lineRule="auto" w:before="19"/>
        <w:ind w:right="1129" w:firstLine="360"/>
        <w:jc w:val="both"/>
      </w:pPr>
      <w:r>
        <w:rPr>
          <w:spacing w:val="-2"/>
        </w:rPr>
        <w:t>公司还先后与百度、腾讯、阿里巴巴、一点资讯、凤凰网、搜狗等互联网平台签署战略合作协议，初步完成了基于内容</w:t>
      </w:r>
      <w:r>
        <w:rPr/>
        <w:t> </w:t>
      </w:r>
      <w:r>
        <w:rPr>
          <w:spacing w:val="-2"/>
        </w:rPr>
        <w:t>的技术对接，使得公司内容能覆盖到海量长尾市场。与互联网平台的连接及赋能，大大提升了公司优质正版内容触达客户的</w:t>
      </w:r>
      <w:r>
        <w:rPr>
          <w:spacing w:val="-67"/>
        </w:rPr>
        <w:t> </w:t>
      </w:r>
      <w:r>
        <w:rPr>
          <w:spacing w:val="-67"/>
        </w:rPr>
      </w:r>
      <w:r>
        <w:rPr/>
        <w:t>深度和广度，提升了公司作为内容生态的“基础设施”的地位和全面深度覆盖市场的能力。</w:t>
      </w:r>
    </w:p>
    <w:p>
      <w:pPr>
        <w:spacing w:line="316" w:lineRule="auto" w:before="19"/>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、行业标杆的版权保护能力</w:t>
      </w:r>
      <w:r>
        <w:rPr>
          <w:rFonts w:ascii="宋体" w:hAnsi="宋体" w:cs="宋体" w:eastAsia="宋体" w:hint="default"/>
          <w:b/>
          <w:bCs/>
          <w:w w:val="99"/>
          <w:sz w:val="18"/>
          <w:szCs w:val="18"/>
        </w:rPr>
        <w:t> </w:t>
      </w:r>
      <w:r>
        <w:rPr>
          <w:rFonts w:ascii="宋体" w:hAnsi="宋体" w:cs="宋体" w:eastAsia="宋体" w:hint="default"/>
          <w:spacing w:val="-2"/>
          <w:sz w:val="18"/>
          <w:szCs w:val="18"/>
        </w:rPr>
        <w:t>公司是国内第一家利用互联网技术创建的正版图片交易平台，通过多年的实践建立了业界领先的完善的图像版权管理体</w:t>
      </w:r>
    </w:p>
    <w:p>
      <w:pPr>
        <w:pStyle w:val="BodyText"/>
        <w:spacing w:line="319" w:lineRule="auto" w:before="19"/>
        <w:ind w:right="1132"/>
        <w:jc w:val="both"/>
      </w:pPr>
      <w:r>
        <w:rPr>
          <w:spacing w:val="-2"/>
        </w:rPr>
        <w:t>系和流程；公司高度重视版权保护工作以及相关能力建设。公司对版权保护有关司法案件，多次入选法院系统的知识产权典</w:t>
      </w:r>
      <w:r>
        <w:rPr>
          <w:spacing w:val="-66"/>
        </w:rPr>
        <w:t> </w:t>
      </w:r>
      <w:r>
        <w:rPr>
          <w:spacing w:val="-66"/>
        </w:rPr>
      </w:r>
      <w:r>
        <w:rPr>
          <w:spacing w:val="-3"/>
        </w:rPr>
        <w:t>型案例，受到政府部门的高度评价。</w:t>
      </w:r>
      <w:r>
        <w:rPr>
          <w:rFonts w:ascii="宋体" w:hAnsi="宋体" w:cs="宋体" w:eastAsia="宋体" w:hint="default"/>
          <w:spacing w:val="-3"/>
        </w:rPr>
        <w:t>2017</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1"/>
        </w:rPr>
        <w:t> </w:t>
      </w:r>
      <w:r>
        <w:rPr>
          <w:rFonts w:ascii="宋体" w:hAnsi="宋体" w:cs="宋体" w:eastAsia="宋体" w:hint="default"/>
        </w:rPr>
        <w:t>20</w:t>
      </w:r>
      <w:r>
        <w:rPr>
          <w:rFonts w:ascii="宋体" w:hAnsi="宋体" w:cs="宋体" w:eastAsia="宋体" w:hint="default"/>
          <w:spacing w:val="-41"/>
        </w:rPr>
        <w:t> </w:t>
      </w:r>
      <w:r>
        <w:rPr>
          <w:spacing w:val="-3"/>
        </w:rPr>
        <w:t>日，公司对版权保护的案件入选“</w:t>
      </w:r>
      <w:r>
        <w:rPr>
          <w:rFonts w:ascii="宋体" w:hAnsi="宋体" w:cs="宋体" w:eastAsia="宋体" w:hint="default"/>
          <w:spacing w:val="-3"/>
        </w:rPr>
        <w:t>2016</w:t>
      </w:r>
      <w:r>
        <w:rPr>
          <w:rFonts w:ascii="宋体" w:hAnsi="宋体" w:cs="宋体" w:eastAsia="宋体" w:hint="default"/>
          <w:spacing w:val="-41"/>
        </w:rPr>
        <w:t> </w:t>
      </w:r>
      <w:r>
        <w:rPr/>
        <w:t>年度北京法院十大知识产权创新 性典型案例”。</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26</w:t>
      </w:r>
      <w:r>
        <w:rPr>
          <w:rFonts w:ascii="宋体" w:hAnsi="宋体" w:cs="宋体" w:eastAsia="宋体" w:hint="default"/>
          <w:spacing w:val="-46"/>
        </w:rPr>
        <w:t> </w:t>
      </w:r>
      <w:r>
        <w:rPr/>
        <w:t>日，公司对版权保护的案例入选“福建省律师知识产权十大典型案例”。</w:t>
      </w:r>
    </w:p>
    <w:p>
      <w:pPr>
        <w:pStyle w:val="BodyText"/>
        <w:spacing w:line="316" w:lineRule="auto" w:before="17"/>
        <w:ind w:right="1131" w:firstLine="360"/>
        <w:jc w:val="both"/>
      </w:pPr>
      <w:r>
        <w:rPr>
          <w:spacing w:val="-2"/>
        </w:rPr>
        <w:t>公司在版权保护的技术创新方面积极探索，处于行业领先地位。公司是国内第一家将“可信时间戳”用于图片版权的确</w:t>
      </w:r>
      <w:r>
        <w:rPr/>
        <w:t> </w:t>
      </w:r>
      <w:r>
        <w:rPr>
          <w:spacing w:val="-2"/>
        </w:rPr>
        <w:t>权和认证的公司；并基于图像大数据与人工智能技术自行研发了“鹰眼”——图像版权网络追踪系统，能够追踪到公司拥有</w:t>
      </w:r>
      <w:r>
        <w:rPr>
          <w:spacing w:val="-65"/>
        </w:rPr>
        <w:t> </w:t>
      </w:r>
      <w:r>
        <w:rPr>
          <w:spacing w:val="-65"/>
        </w:rPr>
      </w:r>
      <w:r>
        <w:rPr/>
        <w:t>图片在网络上的使用情况，大幅降低版权保护的成本，有效的保护了版权人的利益。</w:t>
      </w:r>
    </w:p>
    <w:p>
      <w:pPr>
        <w:pStyle w:val="BodyText"/>
        <w:spacing w:line="240" w:lineRule="auto" w:before="19"/>
        <w:ind w:left="513" w:right="0"/>
        <w:jc w:val="left"/>
      </w:pP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2"/>
        </w:rPr>
        <w:t> </w:t>
      </w:r>
      <w:r>
        <w:rPr/>
        <w:t>日</w:t>
      </w:r>
      <w:r>
        <w:rPr>
          <w:spacing w:val="-90"/>
        </w:rPr>
        <w:t>，</w:t>
      </w:r>
      <w:r>
        <w:rPr/>
        <w:t>由全国人大常委会副委员长吉炳轩带队的全国人大常委会著作权法执法检查组到公司进行实地检查，</w:t>
      </w:r>
    </w:p>
    <w:p>
      <w:pPr>
        <w:pStyle w:val="BodyText"/>
        <w:spacing w:line="316" w:lineRule="auto" w:before="76"/>
        <w:ind w:right="1032"/>
        <w:jc w:val="left"/>
      </w:pPr>
      <w:r>
        <w:rPr>
          <w:spacing w:val="-3"/>
        </w:rPr>
        <w:t>就版权保护的发展、版权传播等问题进行了深入调研，充分肯定了公司在贯彻著作权法方面取得的成绩。</w:t>
      </w:r>
      <w:r>
        <w:rPr>
          <w:rFonts w:ascii="宋体" w:hAnsi="宋体" w:cs="宋体" w:eastAsia="宋体" w:hint="default"/>
          <w:spacing w:val="-3"/>
        </w:rPr>
        <w:t>2017</w:t>
      </w:r>
      <w:r>
        <w:rPr>
          <w:rFonts w:ascii="宋体" w:hAnsi="宋体" w:cs="宋体" w:eastAsia="宋体" w:hint="default"/>
          <w:spacing w:val="-42"/>
        </w:rPr>
        <w:t> </w:t>
      </w:r>
      <w:r>
        <w:rPr/>
        <w:t>年</w:t>
      </w:r>
      <w:r>
        <w:rPr>
          <w:spacing w:val="-42"/>
        </w:rPr>
        <w:t> </w:t>
      </w:r>
      <w:r>
        <w:rPr>
          <w:rFonts w:ascii="宋体" w:hAnsi="宋体" w:cs="宋体" w:eastAsia="宋体" w:hint="default"/>
        </w:rPr>
        <w:t>7</w:t>
      </w:r>
      <w:r>
        <w:rPr>
          <w:rFonts w:ascii="宋体" w:hAnsi="宋体" w:cs="宋体" w:eastAsia="宋体" w:hint="default"/>
          <w:spacing w:val="-41"/>
        </w:rPr>
        <w:t> </w:t>
      </w:r>
      <w:r>
        <w:rPr/>
        <w:t>月</w:t>
      </w:r>
      <w:r>
        <w:rPr>
          <w:spacing w:val="-42"/>
        </w:rPr>
        <w:t> </w:t>
      </w:r>
      <w:r>
        <w:rPr>
          <w:rFonts w:ascii="宋体" w:hAnsi="宋体" w:cs="宋体" w:eastAsia="宋体" w:hint="default"/>
        </w:rPr>
        <w:t>28</w:t>
      </w:r>
      <w:r>
        <w:rPr>
          <w:rFonts w:ascii="宋体" w:hAnsi="宋体" w:cs="宋体" w:eastAsia="宋体" w:hint="default"/>
          <w:spacing w:val="-42"/>
        </w:rPr>
        <w:t> </w:t>
      </w:r>
      <w:r>
        <w:rPr/>
        <w:t>日， 由中国版权协会主办、中国版权产业网承办的“互联网</w:t>
      </w:r>
      <w:r>
        <w:rPr>
          <w:rFonts w:ascii="宋体" w:hAnsi="宋体" w:cs="宋体" w:eastAsia="宋体" w:hint="default"/>
        </w:rPr>
        <w:t>+</w:t>
      </w:r>
      <w:r>
        <w:rPr/>
        <w:t>图片版权保护与产业发展”研讨会在北京举行，这是国内首次召开</w:t>
      </w:r>
      <w:r>
        <w:rPr>
          <w:spacing w:val="-82"/>
        </w:rPr>
        <w:t> </w:t>
      </w:r>
      <w:r>
        <w:rPr>
          <w:spacing w:val="-82"/>
        </w:rPr>
      </w:r>
      <w:r>
        <w:rPr/>
        <w:t>以图片版权保护为专题的高规格研讨会，公司作为版权图片行业代表应邀参会并发言。</w:t>
      </w:r>
      <w:r>
        <w:rPr>
          <w:rFonts w:ascii="宋体" w:hAnsi="宋体" w:cs="宋体" w:eastAsia="宋体" w:hint="default"/>
        </w:rPr>
        <w:t>2017</w:t>
      </w:r>
      <w:r>
        <w:rPr>
          <w:rFonts w:ascii="宋体" w:hAnsi="宋体" w:cs="宋体" w:eastAsia="宋体" w:hint="default"/>
          <w:spacing w:val="-35"/>
        </w:rPr>
        <w:t> </w:t>
      </w:r>
      <w:r>
        <w:rPr/>
        <w:t>年</w:t>
      </w:r>
      <w:r>
        <w:rPr>
          <w:spacing w:val="-35"/>
        </w:rPr>
        <w:t> </w:t>
      </w:r>
      <w:r>
        <w:rPr>
          <w:rFonts w:ascii="宋体" w:hAnsi="宋体" w:cs="宋体" w:eastAsia="宋体" w:hint="default"/>
        </w:rPr>
        <w:t>11</w:t>
      </w:r>
      <w:r>
        <w:rPr>
          <w:rFonts w:ascii="宋体" w:hAnsi="宋体" w:cs="宋体" w:eastAsia="宋体" w:hint="default"/>
          <w:spacing w:val="-35"/>
        </w:rPr>
        <w:t> </w:t>
      </w:r>
      <w:r>
        <w:rPr/>
        <w:t>月</w:t>
      </w:r>
      <w:r>
        <w:rPr>
          <w:spacing w:val="-35"/>
        </w:rPr>
        <w:t> </w:t>
      </w:r>
      <w:r>
        <w:rPr>
          <w:rFonts w:ascii="宋体" w:hAnsi="宋体" w:cs="宋体" w:eastAsia="宋体" w:hint="default"/>
        </w:rPr>
        <w:t>24</w:t>
      </w:r>
      <w:r>
        <w:rPr>
          <w:rFonts w:ascii="宋体" w:hAnsi="宋体" w:cs="宋体" w:eastAsia="宋体" w:hint="default"/>
          <w:spacing w:val="-35"/>
        </w:rPr>
        <w:t> </w:t>
      </w:r>
      <w:r>
        <w:rPr/>
        <w:t>日，公司第二次获 得中国版权协会颁发的“中国版权年度最具影响力企业”的荣誉。</w:t>
      </w:r>
    </w:p>
    <w:p>
      <w:pPr>
        <w:pStyle w:val="BodyText"/>
        <w:spacing w:line="316" w:lineRule="auto" w:before="19"/>
        <w:ind w:right="0" w:firstLine="361"/>
        <w:jc w:val="left"/>
      </w:pPr>
      <w:r>
        <w:rPr>
          <w:rFonts w:ascii="宋体" w:hAnsi="宋体" w:cs="宋体" w:eastAsia="宋体" w:hint="default"/>
          <w:b/>
          <w:bCs/>
        </w:rPr>
        <w:t>6</w:t>
      </w:r>
      <w:r>
        <w:rPr>
          <w:rFonts w:ascii="宋体" w:hAnsi="宋体" w:cs="宋体" w:eastAsia="宋体" w:hint="default"/>
          <w:b/>
          <w:bCs/>
        </w:rPr>
        <w:t>、经验丰富的管理团队</w:t>
      </w:r>
      <w:r>
        <w:rPr>
          <w:rFonts w:ascii="宋体" w:hAnsi="宋体" w:cs="宋体" w:eastAsia="宋体" w:hint="default"/>
          <w:b/>
          <w:bCs/>
          <w:w w:val="99"/>
        </w:rPr>
        <w:t> </w:t>
      </w:r>
      <w:r>
        <w:rPr>
          <w:spacing w:val="-2"/>
        </w:rPr>
        <w:t>公司董事长廖杰先生、总裁梁军女士、执行董事、副总裁柴继军先生为公司创始团队，在公司任职均超过</w:t>
      </w:r>
      <w:r>
        <w:rPr>
          <w:rFonts w:ascii="宋体" w:hAnsi="宋体" w:cs="宋体" w:eastAsia="宋体" w:hint="default"/>
          <w:spacing w:val="-2"/>
        </w:rPr>
        <w:t>10</w:t>
      </w:r>
      <w:r>
        <w:rPr>
          <w:spacing w:val="-2"/>
        </w:rPr>
        <w:t>年以上，具有丰</w:t>
      </w:r>
      <w:r>
        <w:rPr>
          <w:spacing w:val="-64"/>
        </w:rPr>
        <w:t> </w:t>
      </w:r>
      <w:r>
        <w:rPr>
          <w:spacing w:val="-64"/>
        </w:rPr>
      </w:r>
      <w:r>
        <w:rPr>
          <w:spacing w:val="-2"/>
        </w:rPr>
        <w:t>富的行业与管理经验。廖杰先生为股东廖道训、吴玉瑞之子，梁军女士为股东吴春红之女、梁世平之妹，柴继军先生为公司</w:t>
      </w:r>
      <w:r>
        <w:rPr>
          <w:spacing w:val="-66"/>
        </w:rPr>
        <w:t> </w:t>
      </w:r>
      <w:r>
        <w:rPr>
          <w:spacing w:val="-66"/>
        </w:rPr>
      </w:r>
      <w:r>
        <w:rPr>
          <w:spacing w:val="-2"/>
        </w:rPr>
        <w:t>股东，公司核心管理层均为控股股东或其直系亲属，上述股东作为十名一致行动人的主要成员，共持有公司股份的</w:t>
      </w:r>
      <w:r>
        <w:rPr>
          <w:rFonts w:ascii="宋体" w:hAnsi="宋体" w:cs="宋体" w:eastAsia="宋体" w:hint="default"/>
          <w:spacing w:val="-2"/>
        </w:rPr>
        <w:t>46.61</w:t>
      </w:r>
      <w:r>
        <w:rPr>
          <w:spacing w:val="-2"/>
        </w:rPr>
        <w:t>％。</w:t>
      </w:r>
      <w:r>
        <w:rPr>
          <w:spacing w:val="-59"/>
        </w:rPr>
        <w:t> </w:t>
      </w:r>
      <w:r>
        <w:rPr/>
        <w:t>公司管理层人员稳定，与股东利益高度一致。公司聚集了一批在互联网传媒行业从业多年的核心人才</w:t>
      </w:r>
      <w:r>
        <w:rPr>
          <w:rFonts w:ascii="宋体" w:hAnsi="宋体" w:cs="宋体" w:eastAsia="宋体" w:hint="default"/>
        </w:rPr>
        <w:t>,</w:t>
      </w:r>
      <w:r>
        <w:rPr/>
        <w:t>中高层管理团队均在 业内历练多年</w:t>
      </w:r>
      <w:r>
        <w:rPr>
          <w:rFonts w:ascii="宋体" w:hAnsi="宋体" w:cs="宋体" w:eastAsia="宋体" w:hint="default"/>
        </w:rPr>
        <w:t>,</w:t>
      </w:r>
      <w:r>
        <w:rPr/>
        <w:t>具有丰富管理经验及国际化视野。</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firstLine="360"/>
        <w:jc w:val="left"/>
      </w:pPr>
      <w:r>
        <w:rPr>
          <w:spacing w:val="-2"/>
        </w:rPr>
        <w:t>报告期内，公司基于战略发展规划，聚焦主营业务－“视觉内容与服务”，剥离了“数字娱乐”等非主营业务，实现了</w:t>
      </w:r>
      <w:r>
        <w:rPr/>
        <w:t> </w:t>
      </w:r>
      <w:r>
        <w:rPr>
          <w:spacing w:val="-2"/>
        </w:rPr>
        <w:t>主营业务的快速增长，并通过不断提升公司的运营效率，优化了公司从利润到现金流的整体经营成果，取得了符合公司战略</w:t>
      </w:r>
      <w:r>
        <w:rPr>
          <w:spacing w:val="-66"/>
        </w:rPr>
        <w:t> </w:t>
      </w:r>
      <w:r>
        <w:rPr>
          <w:spacing w:val="-66"/>
        </w:rPr>
      </w:r>
      <w:r>
        <w:rPr/>
        <w:t>目标的良好效果。</w:t>
      </w:r>
      <w:r>
        <w:rPr>
          <w:rFonts w:ascii="Times New Roman" w:hAnsi="Times New Roman" w:cs="Times New Roman" w:eastAsia="Times New Roman" w:hint="default"/>
        </w:rPr>
        <w:t>2017</w:t>
      </w:r>
      <w:r>
        <w:rPr/>
        <w:t>年，公司营业收入</w:t>
      </w:r>
      <w:r>
        <w:rPr>
          <w:rFonts w:ascii="Times New Roman" w:hAnsi="Times New Roman" w:cs="Times New Roman" w:eastAsia="Times New Roman" w:hint="default"/>
        </w:rPr>
        <w:t>81,457.05</w:t>
      </w:r>
      <w:r>
        <w:rPr/>
        <w:t>万元，比</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10.75%</w:t>
      </w:r>
      <w:r>
        <w:rPr/>
        <w:t>；其中公司核心主营业务－“视觉内容</w:t>
      </w:r>
      <w:r>
        <w:rPr>
          <w:spacing w:val="-19"/>
        </w:rPr>
        <w:t> </w:t>
      </w:r>
      <w:r>
        <w:rPr>
          <w:spacing w:val="-19"/>
        </w:rPr>
      </w:r>
      <w:r>
        <w:rPr>
          <w:spacing w:val="-1"/>
        </w:rPr>
        <w:t>与服务”实现营业收入</w:t>
      </w:r>
      <w:r>
        <w:rPr>
          <w:rFonts w:ascii="Times New Roman" w:hAnsi="Times New Roman" w:cs="Times New Roman" w:eastAsia="Times New Roman" w:hint="default"/>
          <w:spacing w:val="-1"/>
        </w:rPr>
        <w:t>58,374.45</w:t>
      </w:r>
      <w:r>
        <w:rPr>
          <w:spacing w:val="-1"/>
        </w:rPr>
        <w:t>万元，比</w:t>
      </w:r>
      <w:r>
        <w:rPr>
          <w:rFonts w:ascii="Times New Roman" w:hAnsi="Times New Roman" w:cs="Times New Roman" w:eastAsia="Times New Roman" w:hint="default"/>
          <w:spacing w:val="-1"/>
        </w:rPr>
        <w:t>2016</w:t>
      </w:r>
      <w:r>
        <w:rPr>
          <w:spacing w:val="-1"/>
        </w:rPr>
        <w:t>年同期增长</w:t>
      </w:r>
      <w:r>
        <w:rPr>
          <w:rFonts w:ascii="Times New Roman" w:hAnsi="Times New Roman" w:cs="Times New Roman" w:eastAsia="Times New Roman" w:hint="default"/>
          <w:spacing w:val="-1"/>
        </w:rPr>
        <w:t>30.13%</w:t>
      </w:r>
      <w:r>
        <w:rPr>
          <w:spacing w:val="-1"/>
        </w:rPr>
        <w:t>，实现营业毛利</w:t>
      </w:r>
      <w:r>
        <w:rPr>
          <w:rFonts w:ascii="Times New Roman" w:hAnsi="Times New Roman" w:cs="Times New Roman" w:eastAsia="Times New Roman" w:hint="default"/>
          <w:spacing w:val="-1"/>
        </w:rPr>
        <w:t>40,205.00</w:t>
      </w:r>
      <w:r>
        <w:rPr>
          <w:spacing w:val="-1"/>
        </w:rPr>
        <w:t>万元，较</w:t>
      </w:r>
      <w:r>
        <w:rPr>
          <w:rFonts w:ascii="Times New Roman" w:hAnsi="Times New Roman" w:cs="Times New Roman" w:eastAsia="Times New Roman" w:hint="default"/>
          <w:spacing w:val="-1"/>
        </w:rPr>
        <w:t>2016</w:t>
      </w:r>
      <w:r>
        <w:rPr>
          <w:spacing w:val="-1"/>
        </w:rPr>
        <w:t>年同期增长</w:t>
      </w:r>
      <w:r>
        <w:rPr>
          <w:rFonts w:ascii="Times New Roman" w:hAnsi="Times New Roman" w:cs="Times New Roman" w:eastAsia="Times New Roman" w:hint="default"/>
          <w:spacing w:val="-1"/>
        </w:rPr>
        <w:t>31.06%</w:t>
      </w:r>
      <w:r>
        <w:rPr>
          <w:spacing w:val="-1"/>
        </w:rPr>
        <w:t>。</w:t>
      </w:r>
      <w:r>
        <w:rPr>
          <w:spacing w:val="-46"/>
        </w:rPr>
        <w:t> </w:t>
      </w:r>
      <w:r>
        <w:rPr/>
        <w:t>报告期内实现归属于上市公司股东的净利润</w:t>
      </w:r>
      <w:r>
        <w:rPr>
          <w:rFonts w:ascii="Times New Roman" w:hAnsi="Times New Roman" w:cs="Times New Roman" w:eastAsia="Times New Roman" w:hint="default"/>
        </w:rPr>
        <w:t>29,082.09</w:t>
      </w:r>
      <w:r>
        <w:rPr/>
        <w:t>万元，比</w:t>
      </w:r>
      <w:r>
        <w:rPr>
          <w:rFonts w:ascii="Times New Roman" w:hAnsi="Times New Roman" w:cs="Times New Roman" w:eastAsia="Times New Roman" w:hint="default"/>
        </w:rPr>
        <w:t>2016</w:t>
      </w:r>
      <w:r>
        <w:rPr/>
        <w:t>年同期增长</w:t>
      </w:r>
      <w:r>
        <w:rPr>
          <w:rFonts w:ascii="Times New Roman" w:hAnsi="Times New Roman" w:cs="Times New Roman" w:eastAsia="Times New Roman" w:hint="default"/>
        </w:rPr>
        <w:t>35.48%</w:t>
      </w:r>
      <w:r>
        <w:rPr/>
        <w:t>。</w:t>
      </w:r>
    </w:p>
    <w:p>
      <w:pPr>
        <w:pStyle w:val="BodyText"/>
        <w:spacing w:line="300" w:lineRule="auto" w:before="43"/>
        <w:ind w:right="1048" w:firstLine="360"/>
        <w:jc w:val="left"/>
      </w:pPr>
      <w:r>
        <w:rPr/>
        <w:t>报告期末，公司总资产</w:t>
      </w:r>
      <w:r>
        <w:rPr>
          <w:rFonts w:ascii="Times New Roman" w:hAnsi="Times New Roman" w:cs="Times New Roman" w:eastAsia="Times New Roman" w:hint="default"/>
        </w:rPr>
        <w:t>409,946.53</w:t>
      </w:r>
      <w:r>
        <w:rPr/>
        <w:t>万元，同比增长</w:t>
      </w:r>
      <w:r>
        <w:rPr>
          <w:rFonts w:ascii="Times New Roman" w:hAnsi="Times New Roman" w:cs="Times New Roman" w:eastAsia="Times New Roman" w:hint="default"/>
        </w:rPr>
        <w:t>16.34%</w:t>
      </w:r>
      <w:r>
        <w:rPr/>
        <w:t>；归属上市公司股东的净资产</w:t>
      </w:r>
      <w:r>
        <w:rPr>
          <w:rFonts w:ascii="Times New Roman" w:hAnsi="Times New Roman" w:cs="Times New Roman" w:eastAsia="Times New Roman" w:hint="default"/>
        </w:rPr>
        <w:t>257,249.90</w:t>
      </w:r>
      <w:r>
        <w:rPr/>
        <w:t>万元，同比增长</w:t>
      </w:r>
      <w:r>
        <w:rPr>
          <w:rFonts w:ascii="Times New Roman" w:hAnsi="Times New Roman" w:cs="Times New Roman" w:eastAsia="Times New Roman" w:hint="default"/>
        </w:rPr>
        <w:t>12%</w:t>
      </w:r>
      <w:r>
        <w:rPr/>
        <w:t>； 经营活动产生的现金流量净额</w:t>
      </w:r>
      <w:r>
        <w:rPr>
          <w:rFonts w:ascii="Times New Roman" w:hAnsi="Times New Roman" w:cs="Times New Roman" w:eastAsia="Times New Roman" w:hint="default"/>
        </w:rPr>
        <w:t>25,012.76</w:t>
      </w:r>
      <w:r>
        <w:rPr/>
        <w:t>万元，同比增长</w:t>
      </w:r>
      <w:r>
        <w:rPr>
          <w:rFonts w:ascii="Times New Roman" w:hAnsi="Times New Roman" w:cs="Times New Roman" w:eastAsia="Times New Roman" w:hint="default"/>
        </w:rPr>
        <w:t>6.67%</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Heading5"/>
        <w:spacing w:line="240" w:lineRule="auto" w:before="0"/>
        <w:ind w:right="0"/>
        <w:jc w:val="left"/>
        <w:rPr>
          <w:b w:val="0"/>
          <w:bCs w:val="0"/>
        </w:rPr>
      </w:pPr>
      <w:r>
        <w:rPr/>
        <w:t>（一）</w:t>
      </w:r>
      <w:r>
        <w:rPr>
          <w:spacing w:val="85"/>
        </w:rPr>
        <w:t> </w:t>
      </w:r>
      <w:r>
        <w:rPr/>
        <w:t>主营业务情况</w:t>
      </w:r>
      <w:r>
        <w:rPr>
          <w:b w:val="0"/>
          <w:bCs w:val="0"/>
        </w:rPr>
      </w:r>
    </w:p>
    <w:p>
      <w:pPr>
        <w:pStyle w:val="BodyText"/>
        <w:spacing w:line="240" w:lineRule="auto" w:before="115"/>
        <w:ind w:left="514" w:right="0"/>
        <w:jc w:val="left"/>
      </w:pPr>
      <w:r>
        <w:rPr/>
        <w:t>报告期内</w:t>
      </w:r>
      <w:r>
        <w:rPr>
          <w:spacing w:val="-11"/>
        </w:rPr>
        <w:t>，</w:t>
      </w:r>
      <w:r>
        <w:rPr/>
        <w:t>公司的主营业务</w:t>
      </w:r>
      <w:r>
        <w:rPr>
          <w:rFonts w:ascii="Times New Roman" w:hAnsi="Times New Roman" w:cs="Times New Roman" w:eastAsia="Times New Roman" w:hint="default"/>
        </w:rPr>
        <w:t>—</w:t>
      </w:r>
      <w:r>
        <w:rPr>
          <w:rFonts w:ascii="Times New Roman" w:hAnsi="Times New Roman" w:cs="Times New Roman" w:eastAsia="Times New Roman" w:hint="default"/>
          <w:spacing w:val="-11"/>
        </w:rPr>
        <w:t>—</w:t>
      </w:r>
      <w:r>
        <w:rPr/>
        <w:t>“视觉内容与服务</w:t>
      </w:r>
      <w:r>
        <w:rPr>
          <w:spacing w:val="-90"/>
        </w:rPr>
        <w:t>”</w:t>
      </w:r>
      <w:r>
        <w:rPr>
          <w:spacing w:val="-11"/>
        </w:rPr>
        <w:t>，</w:t>
      </w:r>
      <w:r>
        <w:rPr/>
        <w:t>实现营业收入</w:t>
      </w:r>
      <w:r>
        <w:rPr>
          <w:spacing w:val="-46"/>
        </w:rPr>
        <w:t> </w:t>
      </w:r>
      <w:r>
        <w:rPr>
          <w:rFonts w:ascii="Times New Roman" w:hAnsi="Times New Roman" w:cs="Times New Roman" w:eastAsia="Times New Roman" w:hint="default"/>
        </w:rPr>
        <w:t>58,374.45</w:t>
      </w:r>
      <w:r>
        <w:rPr>
          <w:rFonts w:ascii="Times New Roman" w:hAnsi="Times New Roman" w:cs="Times New Roman" w:eastAsia="Times New Roman" w:hint="default"/>
          <w:spacing w:val="-1"/>
        </w:rPr>
        <w:t> </w:t>
      </w:r>
      <w:r>
        <w:rPr/>
        <w:t>万元</w:t>
      </w:r>
      <w:r>
        <w:rPr>
          <w:spacing w:val="-11"/>
        </w:rPr>
        <w:t>，</w:t>
      </w:r>
      <w:r>
        <w:rPr/>
        <w:t>比</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
        </w:rPr>
        <w:t>年</w:t>
      </w:r>
      <w:r>
        <w:rPr/>
        <w:t>同期增长</w:t>
      </w:r>
      <w:r>
        <w:rPr>
          <w:spacing w:val="-46"/>
        </w:rPr>
        <w:t> </w:t>
      </w:r>
      <w:r>
        <w:rPr>
          <w:rFonts w:ascii="Times New Roman" w:hAnsi="Times New Roman" w:cs="Times New Roman" w:eastAsia="Times New Roman" w:hint="default"/>
        </w:rPr>
        <w:t>30.13%</w:t>
      </w:r>
      <w:r>
        <w:rPr>
          <w:spacing w:val="-11"/>
        </w:rPr>
        <w:t>；</w:t>
      </w:r>
      <w:r>
        <w:rPr>
          <w:spacing w:val="1"/>
        </w:rPr>
        <w:t>其</w:t>
      </w:r>
      <w:r>
        <w:rPr/>
        <w:t>中</w:t>
      </w:r>
    </w:p>
    <w:p>
      <w:pPr>
        <w:pStyle w:val="BodyText"/>
        <w:spacing w:line="338" w:lineRule="auto" w:before="64"/>
        <w:ind w:left="514" w:right="1116" w:hanging="360"/>
        <w:jc w:val="left"/>
      </w:pP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年客户数比</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年同期增长</w:t>
      </w:r>
      <w:r>
        <w:rPr>
          <w:spacing w:val="-46"/>
        </w:rPr>
        <w:t> </w:t>
      </w:r>
      <w:r>
        <w:rPr>
          <w:rFonts w:ascii="Times New Roman" w:hAnsi="Times New Roman" w:cs="Times New Roman" w:eastAsia="Times New Roman" w:hint="default"/>
        </w:rPr>
        <w:t>24.7%</w:t>
      </w: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年底，获得公司视觉内容授权的国内客户已达</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万个。 基于行业发展趋势及巨大市场空间，公司通过对于全球优质的</w:t>
      </w:r>
      <w:r>
        <w:rPr>
          <w:spacing w:val="-37"/>
        </w:rPr>
        <w:t> </w:t>
      </w:r>
      <w:r>
        <w:rPr>
          <w:rFonts w:ascii="Times New Roman" w:hAnsi="Times New Roman" w:cs="Times New Roman" w:eastAsia="Times New Roman" w:hint="default"/>
        </w:rPr>
        <w:t>PGC</w:t>
      </w:r>
      <w:r>
        <w:rPr>
          <w:rFonts w:ascii="Times New Roman" w:hAnsi="Times New Roman" w:cs="Times New Roman" w:eastAsia="Times New Roman" w:hint="default"/>
          <w:spacing w:val="8"/>
        </w:rPr>
        <w:t> </w:t>
      </w:r>
      <w:r>
        <w:rPr/>
        <w:t>视觉内容的控制力、灵活多样的产品组合及授权模</w:t>
      </w:r>
    </w:p>
    <w:p>
      <w:pPr>
        <w:pStyle w:val="BodyText"/>
        <w:spacing w:line="217" w:lineRule="exact"/>
        <w:ind w:right="0"/>
        <w:jc w:val="left"/>
      </w:pPr>
      <w:r>
        <w:rPr/>
        <w:t>式、业界领先的基于图像大数据的人工智能技术、以及持续增强的获客能力及服务客户的能力，驱动主营业务快速增长。公</w:t>
      </w:r>
    </w:p>
    <w:p>
      <w:pPr>
        <w:pStyle w:val="BodyText"/>
        <w:spacing w:line="319" w:lineRule="auto" w:before="76"/>
        <w:ind w:right="1131"/>
        <w:jc w:val="both"/>
      </w:pPr>
      <w:r>
        <w:rPr>
          <w:spacing w:val="-2"/>
        </w:rPr>
        <w:t>司持续加强对各细分领域的用户的应用场景、用户行为及内容需求的差异化的全方位的研究，优化改进公司的业务策略、技</w:t>
      </w:r>
      <w:r>
        <w:rPr>
          <w:spacing w:val="-66"/>
        </w:rPr>
        <w:t> </w:t>
      </w:r>
      <w:r>
        <w:rPr>
          <w:spacing w:val="-66"/>
        </w:rPr>
      </w:r>
      <w:r>
        <w:rPr>
          <w:spacing w:val="-2"/>
        </w:rPr>
        <w:t>术能力、市场销售、运营体系、组织结构以及相关核心能力的打造，持续提升公司对内容生态的深度连接和全面覆盖市场的</w:t>
      </w:r>
      <w:r>
        <w:rPr>
          <w:spacing w:val="-66"/>
        </w:rPr>
        <w:t> </w:t>
      </w:r>
      <w:r>
        <w:rPr>
          <w:spacing w:val="-66"/>
        </w:rPr>
      </w:r>
      <w:r>
        <w:rPr/>
        <w:t>能力。</w:t>
      </w:r>
    </w:p>
    <w:p>
      <w:pPr>
        <w:spacing w:line="357" w:lineRule="auto" w:before="56"/>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62"/>
          <w:sz w:val="18"/>
          <w:szCs w:val="18"/>
        </w:rPr>
        <w:t> </w:t>
      </w:r>
      <w:r>
        <w:rPr>
          <w:rFonts w:ascii="宋体" w:hAnsi="宋体" w:cs="宋体" w:eastAsia="宋体" w:hint="default"/>
          <w:b/>
          <w:bCs/>
          <w:sz w:val="18"/>
          <w:szCs w:val="18"/>
        </w:rPr>
        <w:t>不断增强对于全球优质的</w:t>
      </w:r>
      <w:r>
        <w:rPr>
          <w:rFonts w:ascii="宋体" w:hAnsi="宋体" w:cs="宋体" w:eastAsia="宋体" w:hint="default"/>
          <w:b/>
          <w:bCs/>
          <w:spacing w:val="-46"/>
          <w:sz w:val="18"/>
          <w:szCs w:val="18"/>
        </w:rPr>
        <w:t> </w:t>
      </w:r>
      <w:r>
        <w:rPr>
          <w:rFonts w:ascii="宋体" w:hAnsi="宋体" w:cs="宋体" w:eastAsia="宋体" w:hint="default"/>
          <w:b/>
          <w:bCs/>
          <w:sz w:val="18"/>
          <w:szCs w:val="18"/>
        </w:rPr>
        <w:t>PGC</w:t>
      </w:r>
      <w:r>
        <w:rPr>
          <w:rFonts w:ascii="宋体" w:hAnsi="宋体" w:cs="宋体" w:eastAsia="宋体" w:hint="default"/>
          <w:b/>
          <w:bCs/>
          <w:spacing w:val="-45"/>
          <w:sz w:val="18"/>
          <w:szCs w:val="18"/>
        </w:rPr>
        <w:t> </w:t>
      </w:r>
      <w:r>
        <w:rPr>
          <w:rFonts w:ascii="宋体" w:hAnsi="宋体" w:cs="宋体" w:eastAsia="宋体" w:hint="default"/>
          <w:b/>
          <w:bCs/>
          <w:sz w:val="18"/>
          <w:szCs w:val="18"/>
        </w:rPr>
        <w:t>视觉内容的控制力</w:t>
      </w:r>
      <w:r>
        <w:rPr>
          <w:rFonts w:ascii="宋体" w:hAnsi="宋体" w:cs="宋体" w:eastAsia="宋体" w:hint="default"/>
          <w:b/>
          <w:bCs/>
          <w:w w:val="99"/>
          <w:sz w:val="18"/>
          <w:szCs w:val="18"/>
        </w:rPr>
        <w:t> </w:t>
      </w:r>
      <w:r>
        <w:rPr>
          <w:rFonts w:ascii="宋体" w:hAnsi="宋体" w:cs="宋体" w:eastAsia="宋体" w:hint="default"/>
          <w:spacing w:val="-2"/>
          <w:sz w:val="18"/>
          <w:szCs w:val="18"/>
        </w:rPr>
        <w:t>视觉内容的数量、质量和丰富全面性，以及独家及自有化程度是公司核心业务增长的关键驱动因素之一，公司多年来持</w:t>
      </w:r>
    </w:p>
    <w:p>
      <w:pPr>
        <w:pStyle w:val="BodyText"/>
        <w:spacing w:line="224" w:lineRule="exact"/>
        <w:ind w:left="154" w:right="0"/>
        <w:jc w:val="left"/>
      </w:pPr>
      <w:r>
        <w:rPr/>
        <w:t>续整合全球最优质的</w:t>
      </w:r>
      <w:r>
        <w:rPr>
          <w:spacing w:val="-44"/>
        </w:rPr>
        <w:t> </w:t>
      </w:r>
      <w:r>
        <w:rPr>
          <w:rFonts w:ascii="宋体" w:hAnsi="宋体" w:cs="宋体" w:eastAsia="宋体" w:hint="default"/>
        </w:rPr>
        <w:t>PGC</w:t>
      </w:r>
      <w:r>
        <w:rPr>
          <w:rFonts w:ascii="宋体" w:hAnsi="宋体" w:cs="宋体" w:eastAsia="宋体" w:hint="default"/>
          <w:spacing w:val="-44"/>
        </w:rPr>
        <w:t> </w:t>
      </w:r>
      <w:r>
        <w:rPr>
          <w:spacing w:val="-2"/>
        </w:rPr>
        <w:t>视觉内容资源，提升对优质内容的全面掌控精耕细作构筑强大的内容资源护城河。公司目前在编辑</w:t>
      </w:r>
    </w:p>
    <w:p>
      <w:pPr>
        <w:pStyle w:val="BodyText"/>
        <w:spacing w:line="316" w:lineRule="auto" w:before="76"/>
        <w:ind w:left="154" w:right="1120"/>
        <w:jc w:val="left"/>
      </w:pPr>
      <w:r>
        <w:rPr>
          <w:spacing w:val="-2"/>
        </w:rPr>
        <w:t>类与创意类、图片、视频与音乐、国际与本土、高端与微利等各个方面，拥有全方位的内容竞争优势，在市场上形成了“你</w:t>
      </w:r>
      <w:r>
        <w:rPr>
          <w:spacing w:val="-72"/>
        </w:rPr>
        <w:t> </w:t>
      </w:r>
      <w:r>
        <w:rPr>
          <w:spacing w:val="-72"/>
        </w:rPr>
      </w:r>
      <w:r>
        <w:rPr/>
        <w:t>无我有，你有我优”的良好态势，为客户提供一站式的服务。截至</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日，公司拥有的</w:t>
      </w:r>
      <w:r>
        <w:rPr>
          <w:spacing w:val="-44"/>
        </w:rPr>
        <w:t> </w:t>
      </w:r>
      <w:r>
        <w:rPr>
          <w:rFonts w:ascii="宋体" w:hAnsi="宋体" w:cs="宋体" w:eastAsia="宋体" w:hint="default"/>
        </w:rPr>
        <w:t>PGC</w:t>
      </w:r>
      <w:r>
        <w:rPr>
          <w:rFonts w:ascii="宋体" w:hAnsi="宋体" w:cs="宋体" w:eastAsia="宋体" w:hint="default"/>
          <w:spacing w:val="-45"/>
        </w:rPr>
        <w:t> </w:t>
      </w:r>
      <w:r>
        <w:rPr/>
        <w:t>视觉内容的互联网</w:t>
      </w:r>
    </w:p>
    <w:p>
      <w:pPr>
        <w:pStyle w:val="BodyText"/>
        <w:spacing w:line="316" w:lineRule="auto" w:before="19"/>
        <w:ind w:left="154" w:right="1117"/>
        <w:jc w:val="left"/>
      </w:pPr>
      <w:r>
        <w:rPr/>
        <w:t>版权交易平台在线提供超过</w:t>
      </w:r>
      <w:r>
        <w:rPr>
          <w:spacing w:val="-35"/>
        </w:rPr>
        <w:t> </w:t>
      </w:r>
      <w:r>
        <w:rPr>
          <w:rFonts w:ascii="宋体" w:hAnsi="宋体" w:cs="宋体" w:eastAsia="宋体" w:hint="default"/>
        </w:rPr>
        <w:t>2</w:t>
      </w:r>
      <w:r>
        <w:rPr>
          <w:rFonts w:ascii="宋体" w:hAnsi="宋体" w:cs="宋体" w:eastAsia="宋体" w:hint="default"/>
          <w:spacing w:val="-35"/>
        </w:rPr>
        <w:t> </w:t>
      </w:r>
      <w:r>
        <w:rPr/>
        <w:t>亿张图片、</w:t>
      </w:r>
      <w:r>
        <w:rPr>
          <w:rFonts w:ascii="宋体" w:hAnsi="宋体" w:cs="宋体" w:eastAsia="宋体" w:hint="default"/>
        </w:rPr>
        <w:t>1,000</w:t>
      </w:r>
      <w:r>
        <w:rPr>
          <w:rFonts w:ascii="宋体" w:hAnsi="宋体" w:cs="宋体" w:eastAsia="宋体" w:hint="default"/>
          <w:spacing w:val="-35"/>
        </w:rPr>
        <w:t> </w:t>
      </w:r>
      <w:r>
        <w:rPr/>
        <w:t>万条视频素材和</w:t>
      </w:r>
      <w:r>
        <w:rPr>
          <w:spacing w:val="-35"/>
        </w:rPr>
        <w:t> </w:t>
      </w:r>
      <w:r>
        <w:rPr>
          <w:rFonts w:ascii="宋体" w:hAnsi="宋体" w:cs="宋体" w:eastAsia="宋体" w:hint="default"/>
        </w:rPr>
        <w:t>35</w:t>
      </w:r>
      <w:r>
        <w:rPr>
          <w:rFonts w:ascii="宋体" w:hAnsi="宋体" w:cs="宋体" w:eastAsia="宋体" w:hint="default"/>
          <w:spacing w:val="-35"/>
        </w:rPr>
        <w:t> </w:t>
      </w:r>
      <w:r>
        <w:rPr/>
        <w:t>万首各种曲风的音乐或音效，是全球最大同类数字内容 平台之一。</w:t>
      </w:r>
    </w:p>
    <w:p>
      <w:pPr>
        <w:pStyle w:val="BodyText"/>
        <w:spacing w:line="316" w:lineRule="auto" w:before="19"/>
        <w:ind w:left="514" w:right="1126"/>
        <w:jc w:val="left"/>
      </w:pPr>
      <w:r>
        <w:rPr/>
        <w:t>公司视觉内容主要来源为三部分：自有版权内容、机构供应商内容和签约供稿人内容。 报告期内，公司进一步整合及强化了优质自有版权内容。公司在  </w:t>
      </w:r>
      <w:r>
        <w:rPr>
          <w:rFonts w:ascii="宋体" w:hAnsi="宋体" w:cs="宋体" w:eastAsia="宋体" w:hint="default"/>
        </w:rPr>
        <w:t>2017</w:t>
      </w:r>
      <w:r>
        <w:rPr>
          <w:rFonts w:ascii="宋体" w:hAnsi="宋体" w:cs="宋体" w:eastAsia="宋体" w:hint="default"/>
          <w:spacing w:val="-4"/>
        </w:rPr>
        <w:t> </w:t>
      </w:r>
      <w:r>
        <w:rPr/>
        <w:t>年底启动了对全球国际领先的互联网摄影社区</w:t>
      </w:r>
    </w:p>
    <w:p>
      <w:pPr>
        <w:pStyle w:val="BodyText"/>
        <w:spacing w:line="316" w:lineRule="auto" w:before="19"/>
        <w:ind w:right="1029"/>
        <w:jc w:val="left"/>
      </w:pPr>
      <w:r>
        <w:rPr>
          <w:rFonts w:ascii="宋体" w:hAnsi="宋体" w:cs="宋体" w:eastAsia="宋体" w:hint="default"/>
        </w:rPr>
        <w:t>500PX,INC.</w:t>
      </w:r>
      <w:r>
        <w:rPr/>
        <w:t>公司</w:t>
      </w:r>
      <w:r>
        <w:rPr>
          <w:spacing w:val="-59"/>
        </w:rPr>
        <w:t> </w:t>
      </w:r>
      <w:r>
        <w:rPr>
          <w:rFonts w:ascii="宋体" w:hAnsi="宋体" w:cs="宋体" w:eastAsia="宋体" w:hint="default"/>
        </w:rPr>
        <w:t>100%</w:t>
      </w:r>
      <w:r>
        <w:rPr/>
        <w:t>股权的现金收购。收购</w:t>
      </w:r>
      <w:r>
        <w:rPr>
          <w:spacing w:val="-59"/>
        </w:rPr>
        <w:t> </w:t>
      </w:r>
      <w:r>
        <w:rPr>
          <w:rFonts w:ascii="宋体" w:hAnsi="宋体" w:cs="宋体" w:eastAsia="宋体" w:hint="default"/>
          <w:spacing w:val="-3"/>
        </w:rPr>
        <w:t>500px</w:t>
      </w:r>
      <w:r>
        <w:rPr>
          <w:spacing w:val="-3"/>
        </w:rPr>
        <w:t>，是继收购</w:t>
      </w:r>
      <w:r>
        <w:rPr>
          <w:spacing w:val="-59"/>
        </w:rPr>
        <w:t> </w:t>
      </w:r>
      <w:r>
        <w:rPr>
          <w:rFonts w:ascii="宋体" w:hAnsi="宋体" w:cs="宋体" w:eastAsia="宋体" w:hint="default"/>
        </w:rPr>
        <w:t>Corbis</w:t>
      </w:r>
      <w:r>
        <w:rPr>
          <w:rFonts w:ascii="宋体" w:hAnsi="宋体" w:cs="宋体" w:eastAsia="宋体" w:hint="default"/>
          <w:spacing w:val="-59"/>
        </w:rPr>
        <w:t> </w:t>
      </w:r>
      <w:r>
        <w:rPr/>
        <w:t>资产后，公司全球化战略的又一重要举措。通过网站、 移动应用</w:t>
      </w:r>
      <w:r>
        <w:rPr>
          <w:spacing w:val="-44"/>
        </w:rPr>
        <w:t> </w:t>
      </w:r>
      <w:r>
        <w:rPr>
          <w:rFonts w:ascii="宋体" w:hAnsi="宋体" w:cs="宋体" w:eastAsia="宋体" w:hint="default"/>
        </w:rPr>
        <w:t>app</w:t>
      </w:r>
      <w:r>
        <w:rPr/>
        <w:t>，</w:t>
      </w:r>
      <w:r>
        <w:rPr>
          <w:rFonts w:ascii="宋体" w:hAnsi="宋体" w:cs="宋体" w:eastAsia="宋体" w:hint="default"/>
        </w:rPr>
        <w:t>500px</w:t>
      </w:r>
      <w:r>
        <w:rPr>
          <w:rFonts w:ascii="宋体" w:hAnsi="宋体" w:cs="宋体" w:eastAsia="宋体" w:hint="default"/>
          <w:spacing w:val="-45"/>
        </w:rPr>
        <w:t> </w:t>
      </w:r>
      <w:r>
        <w:rPr/>
        <w:t>覆盖了全球</w:t>
      </w:r>
      <w:r>
        <w:rPr>
          <w:spacing w:val="-45"/>
        </w:rPr>
        <w:t> </w:t>
      </w:r>
      <w:r>
        <w:rPr>
          <w:rFonts w:ascii="宋体" w:hAnsi="宋体" w:cs="宋体" w:eastAsia="宋体" w:hint="default"/>
        </w:rPr>
        <w:t>195</w:t>
      </w:r>
      <w:r>
        <w:rPr>
          <w:rFonts w:ascii="宋体" w:hAnsi="宋体" w:cs="宋体" w:eastAsia="宋体" w:hint="default"/>
          <w:spacing w:val="-45"/>
        </w:rPr>
        <w:t> </w:t>
      </w:r>
      <w:r>
        <w:rPr/>
        <w:t>个国家和地区，包括专业摄影人才、摄影爱好者在内的注册用户超过</w:t>
      </w:r>
      <w:r>
        <w:rPr>
          <w:spacing w:val="-44"/>
        </w:rPr>
        <w:t> </w:t>
      </w:r>
      <w:r>
        <w:rPr>
          <w:rFonts w:ascii="宋体" w:hAnsi="宋体" w:cs="宋体" w:eastAsia="宋体" w:hint="default"/>
        </w:rPr>
        <w:t>1,300</w:t>
      </w:r>
      <w:r>
        <w:rPr>
          <w:rFonts w:ascii="宋体" w:hAnsi="宋体" w:cs="宋体" w:eastAsia="宋体" w:hint="default"/>
          <w:spacing w:val="-46"/>
        </w:rPr>
        <w:t> </w:t>
      </w:r>
      <w:r>
        <w:rPr/>
        <w:t>万。本次 收购，使公司与全球近</w:t>
      </w:r>
      <w:r>
        <w:rPr>
          <w:spacing w:val="-41"/>
        </w:rPr>
        <w:t> </w:t>
      </w:r>
      <w:r>
        <w:rPr>
          <w:rFonts w:ascii="宋体" w:hAnsi="宋体" w:cs="宋体" w:eastAsia="宋体" w:hint="default"/>
        </w:rPr>
        <w:t>30</w:t>
      </w:r>
      <w:r>
        <w:rPr>
          <w:rFonts w:ascii="宋体" w:hAnsi="宋体" w:cs="宋体" w:eastAsia="宋体" w:hint="default"/>
          <w:spacing w:val="-41"/>
        </w:rPr>
        <w:t> </w:t>
      </w:r>
      <w:r>
        <w:rPr/>
        <w:t>万名供稿人建立了签约合作关系，拓展了公司不断生产海量全球优质视觉内容的能力，巩固和强 </w:t>
      </w:r>
      <w:r>
        <w:rPr>
          <w:spacing w:val="-2"/>
        </w:rPr>
        <w:t>化公司内容的核心竞争力，进一步加强了公司在图片行业的主导地位，完善公司的行业生态布局，同时，强化了战略投资的</w:t>
      </w:r>
      <w:r>
        <w:rPr>
          <w:spacing w:val="-66"/>
        </w:rPr>
        <w:t> </w:t>
      </w:r>
      <w:r>
        <w:rPr>
          <w:spacing w:val="-66"/>
        </w:rPr>
      </w:r>
      <w:r>
        <w:rPr/>
        <w:t>国内领先的设计师社区（</w:t>
      </w:r>
      <w:r>
        <w:rPr>
          <w:rFonts w:ascii="宋体" w:hAnsi="宋体" w:cs="宋体" w:eastAsia="宋体" w:hint="default"/>
        </w:rPr>
        <w:t>shijue.me</w:t>
      </w:r>
      <w:r>
        <w:rPr/>
        <w:t>）以及摄影师社区</w:t>
      </w:r>
      <w:r>
        <w:rPr>
          <w:rFonts w:ascii="宋体" w:hAnsi="宋体" w:cs="宋体" w:eastAsia="宋体" w:hint="default"/>
        </w:rPr>
        <w:t>(500px.me)</w:t>
      </w:r>
      <w:r>
        <w:rPr/>
        <w:t>。报告期内，社区开通了签约供稿人功能，社区注册用户</w:t>
      </w:r>
      <w:r>
        <w:rPr>
          <w:spacing w:val="-83"/>
        </w:rPr>
        <w:t> </w:t>
      </w:r>
      <w:r>
        <w:rPr>
          <w:spacing w:val="-83"/>
        </w:rPr>
      </w:r>
      <w:r>
        <w:rPr/>
        <w:t>经过审核后即可成为视觉中国的签约供稿人，直接在社区上传内容、查阅授权记录、查看统计数据。社区为</w:t>
      </w:r>
      <w:r>
        <w:rPr>
          <w:spacing w:val="-65"/>
        </w:rPr>
        <w:t> </w:t>
      </w:r>
      <w:r>
        <w:rPr>
          <w:rFonts w:ascii="宋体" w:hAnsi="宋体" w:cs="宋体" w:eastAsia="宋体" w:hint="default"/>
        </w:rPr>
        <w:t>PGC</w:t>
      </w:r>
      <w:r>
        <w:rPr>
          <w:rFonts w:ascii="宋体" w:hAnsi="宋体" w:cs="宋体" w:eastAsia="宋体" w:hint="default"/>
          <w:spacing w:val="-66"/>
        </w:rPr>
        <w:t> </w:t>
      </w:r>
      <w:r>
        <w:rPr/>
        <w:t>视觉内容的 </w:t>
      </w:r>
      <w:r>
        <w:rPr>
          <w:spacing w:val="-2"/>
        </w:rPr>
        <w:t>创作者（摄影师、设计师、漫画师、插画师等）提供展示、分享、交流、学习以及变现服务，提升社区会员的体验以及用户</w:t>
      </w:r>
      <w:r>
        <w:rPr>
          <w:spacing w:val="-69"/>
        </w:rPr>
        <w:t> </w:t>
      </w:r>
      <w:r>
        <w:rPr>
          <w:spacing w:val="-69"/>
        </w:rPr>
      </w:r>
      <w:r>
        <w:rPr>
          <w:spacing w:val="-2"/>
        </w:rPr>
        <w:t>黏性，大大提升了公司在本土内容方面的竞争力。报告期内，公司的本土内容涵盖从图片，插画，矢量图，到设计模板等满</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足客户全方位内容生产需要的品类，自有本土品牌的销量获得大幅增长。</w:t>
      </w:r>
    </w:p>
    <w:p>
      <w:pPr>
        <w:pStyle w:val="BodyText"/>
        <w:spacing w:line="312" w:lineRule="auto" w:before="117"/>
        <w:ind w:left="154" w:right="1131" w:firstLine="360"/>
        <w:jc w:val="both"/>
      </w:pPr>
      <w:r>
        <w:rPr/>
        <w:t>合作机构方面，在报告期内公司进一步加强了与</w:t>
      </w:r>
      <w:r>
        <w:rPr>
          <w:spacing w:val="-41"/>
        </w:rPr>
        <w:t> </w:t>
      </w:r>
      <w:r>
        <w:rPr>
          <w:rFonts w:ascii="宋体" w:hAnsi="宋体" w:cs="宋体" w:eastAsia="宋体" w:hint="default"/>
        </w:rPr>
        <w:t>Getty Images</w:t>
      </w:r>
      <w:r>
        <w:rPr>
          <w:rFonts w:ascii="宋体" w:hAnsi="宋体" w:cs="宋体" w:eastAsia="宋体" w:hint="default"/>
          <w:spacing w:val="-41"/>
        </w:rPr>
        <w:t> </w:t>
      </w:r>
      <w:r>
        <w:rPr/>
        <w:t>战略性的双向排他性多维度合作，并在海外市场进一步 向深度和广度延伸和扩展。</w:t>
      </w:r>
      <w:r>
        <w:rPr>
          <w:rFonts w:ascii="宋体" w:hAnsi="宋体" w:cs="宋体" w:eastAsia="宋体" w:hint="default"/>
        </w:rPr>
        <w:t>2017</w:t>
      </w:r>
      <w:r>
        <w:rPr>
          <w:rFonts w:ascii="宋体" w:hAnsi="宋体" w:cs="宋体" w:eastAsia="宋体" w:hint="default"/>
          <w:spacing w:val="-28"/>
        </w:rPr>
        <w:t> </w:t>
      </w:r>
      <w:r>
        <w:rPr/>
        <w:t>年</w:t>
      </w:r>
      <w:r>
        <w:rPr>
          <w:spacing w:val="-28"/>
        </w:rPr>
        <w:t> </w:t>
      </w:r>
      <w:r>
        <w:rPr>
          <w:rFonts w:ascii="宋体" w:hAnsi="宋体" w:cs="宋体" w:eastAsia="宋体" w:hint="default"/>
        </w:rPr>
        <w:t>6</w:t>
      </w:r>
      <w:r>
        <w:rPr>
          <w:rFonts w:ascii="宋体" w:hAnsi="宋体" w:cs="宋体" w:eastAsia="宋体" w:hint="default"/>
          <w:spacing w:val="-28"/>
        </w:rPr>
        <w:t> </w:t>
      </w:r>
      <w:r>
        <w:rPr/>
        <w:t>月，公司与中国新闻社（</w:t>
      </w:r>
      <w:r>
        <w:rPr>
          <w:rFonts w:ascii="宋体" w:hAnsi="宋体" w:cs="宋体" w:eastAsia="宋体" w:hint="default"/>
        </w:rPr>
        <w:t>China News Service</w:t>
      </w:r>
      <w:r>
        <w:rPr/>
        <w:t>）下设公司北京中新雅视文化发展有限 </w:t>
      </w:r>
      <w:r>
        <w:rPr>
          <w:spacing w:val="-2"/>
        </w:rPr>
        <w:t>公司签订了《战略合作协议》，双方就中国新闻社下属中国新闻社图片网络中心（</w:t>
      </w:r>
      <w:hyperlink r:id="rId12">
        <w:r>
          <w:rPr>
            <w:rFonts w:ascii="Times New Roman" w:hAnsi="Times New Roman" w:cs="Times New Roman" w:eastAsia="Times New Roman" w:hint="default"/>
            <w:spacing w:val="-2"/>
          </w:rPr>
          <w:t>www.cnsphoto.com</w:t>
        </w:r>
      </w:hyperlink>
      <w:r>
        <w:rPr>
          <w:spacing w:val="-2"/>
        </w:rPr>
        <w:t>）拥有的图片就内容授</w:t>
      </w:r>
      <w:r>
        <w:rPr>
          <w:spacing w:val="-52"/>
        </w:rPr>
        <w:t> </w:t>
      </w:r>
      <w:r>
        <w:rPr>
          <w:spacing w:val="-52"/>
        </w:rPr>
      </w:r>
      <w:r>
        <w:rPr/>
        <w:t>权、分发及海外传播达成了合作协议。中国新闻社是中国加强国际传播能力建设的</w:t>
      </w:r>
      <w:r>
        <w:rPr>
          <w:spacing w:val="-44"/>
        </w:rPr>
        <w:t> </w:t>
      </w:r>
      <w:r>
        <w:rPr>
          <w:rFonts w:ascii="Times New Roman" w:hAnsi="Times New Roman" w:cs="Times New Roman" w:eastAsia="Times New Roman" w:hint="default"/>
        </w:rPr>
        <w:t>6 </w:t>
      </w:r>
      <w:r>
        <w:rPr/>
        <w:t>家中央媒体之一，拥有</w:t>
      </w:r>
      <w:r>
        <w:rPr>
          <w:spacing w:val="-44"/>
        </w:rPr>
        <w:t> </w:t>
      </w:r>
      <w:r>
        <w:rPr>
          <w:rFonts w:ascii="宋体" w:hAnsi="宋体" w:cs="宋体" w:eastAsia="宋体" w:hint="default"/>
        </w:rPr>
        <w:t>46</w:t>
      </w:r>
      <w:r>
        <w:rPr>
          <w:rFonts w:ascii="宋体" w:hAnsi="宋体" w:cs="宋体" w:eastAsia="宋体" w:hint="default"/>
          <w:spacing w:val="-45"/>
        </w:rPr>
        <w:t> </w:t>
      </w:r>
      <w:r>
        <w:rPr/>
        <w:t>个境内外分</w:t>
      </w:r>
    </w:p>
    <w:p>
      <w:pPr>
        <w:pStyle w:val="BodyText"/>
        <w:spacing w:line="240" w:lineRule="auto" w:before="3"/>
        <w:ind w:right="0"/>
        <w:jc w:val="left"/>
      </w:pPr>
      <w:r>
        <w:rPr/>
        <w:t>社和超过</w:t>
      </w:r>
      <w:r>
        <w:rPr>
          <w:spacing w:val="-42"/>
        </w:rPr>
        <w:t> </w:t>
      </w:r>
      <w:r>
        <w:rPr>
          <w:rFonts w:ascii="宋体" w:hAnsi="宋体" w:cs="宋体" w:eastAsia="宋体" w:hint="default"/>
        </w:rPr>
        <w:t>100</w:t>
      </w:r>
      <w:r>
        <w:rPr>
          <w:rFonts w:ascii="宋体" w:hAnsi="宋体" w:cs="宋体" w:eastAsia="宋体" w:hint="default"/>
          <w:spacing w:val="-41"/>
        </w:rPr>
        <w:t> </w:t>
      </w:r>
      <w:r>
        <w:rPr/>
        <w:t>名摄影记者，现库存图片约</w:t>
      </w:r>
      <w:r>
        <w:rPr>
          <w:spacing w:val="-42"/>
        </w:rPr>
        <w:t> </w:t>
      </w:r>
      <w:r>
        <w:rPr>
          <w:rFonts w:ascii="宋体" w:hAnsi="宋体" w:cs="宋体" w:eastAsia="宋体" w:hint="default"/>
        </w:rPr>
        <w:t>300</w:t>
      </w:r>
      <w:r>
        <w:rPr>
          <w:rFonts w:ascii="宋体" w:hAnsi="宋体" w:cs="宋体" w:eastAsia="宋体" w:hint="default"/>
          <w:spacing w:val="-42"/>
        </w:rPr>
        <w:t> </w:t>
      </w:r>
      <w:r>
        <w:rPr>
          <w:spacing w:val="-3"/>
        </w:rPr>
        <w:t>万张，每天滚动播发时政、经济、文化、教育、娱乐、体育、科技等领域的新</w:t>
      </w:r>
    </w:p>
    <w:p>
      <w:pPr>
        <w:pStyle w:val="BodyText"/>
        <w:spacing w:line="319" w:lineRule="auto" w:before="76"/>
        <w:ind w:left="154" w:right="1117"/>
        <w:jc w:val="left"/>
      </w:pPr>
      <w:r>
        <w:rPr/>
        <w:t>闻图片及漫画图表作品</w:t>
      </w:r>
      <w:r>
        <w:rPr>
          <w:spacing w:val="-46"/>
        </w:rPr>
        <w:t> </w:t>
      </w:r>
      <w:r>
        <w:rPr>
          <w:rFonts w:ascii="宋体" w:hAnsi="宋体" w:cs="宋体" w:eastAsia="宋体" w:hint="default"/>
        </w:rPr>
        <w:t>600</w:t>
      </w:r>
      <w:r>
        <w:rPr>
          <w:rFonts w:ascii="宋体" w:hAnsi="宋体" w:cs="宋体" w:eastAsia="宋体" w:hint="default"/>
          <w:spacing w:val="-45"/>
        </w:rPr>
        <w:t> </w:t>
      </w:r>
      <w:r>
        <w:rPr>
          <w:spacing w:val="-2"/>
        </w:rPr>
        <w:t>张以上。该合作将在编辑类图片的时效性、丰富性上进一步提升公司的竞争力。公司在报告期还</w:t>
      </w:r>
      <w:r>
        <w:rPr/>
        <w:t> 顺利与一些主要供应商如路透社、法新社、南方日报、浙报集团、环球网、财新传媒等完成了内容的合作签约或续约。</w:t>
      </w:r>
    </w:p>
    <w:p>
      <w:pPr>
        <w:pStyle w:val="BodyText"/>
        <w:spacing w:line="240" w:lineRule="auto" w:before="56"/>
        <w:ind w:left="514" w:right="0"/>
        <w:jc w:val="left"/>
      </w:pPr>
      <w:r>
        <w:rPr>
          <w:spacing w:val="-2"/>
        </w:rPr>
        <w:t>报告期内，为满足客户日益增长的视频素材需求，公司视频产品全面升级。目前，公司拥有创意视频</w:t>
      </w:r>
      <w:r>
        <w:rPr/>
        <w:t> </w:t>
      </w:r>
      <w:r>
        <w:rPr>
          <w:rFonts w:ascii="宋体" w:hAnsi="宋体" w:cs="宋体" w:eastAsia="宋体" w:hint="default"/>
        </w:rPr>
        <w:t>200</w:t>
      </w:r>
      <w:r>
        <w:rPr>
          <w:rFonts w:ascii="宋体" w:hAnsi="宋体" w:cs="宋体" w:eastAsia="宋体" w:hint="default"/>
          <w:spacing w:val="-68"/>
        </w:rPr>
        <w:t> </w:t>
      </w:r>
      <w:r>
        <w:rPr>
          <w:spacing w:val="-3"/>
        </w:rPr>
        <w:t>万条，编辑类</w:t>
      </w:r>
    </w:p>
    <w:p>
      <w:pPr>
        <w:pStyle w:val="BodyText"/>
        <w:spacing w:line="319" w:lineRule="auto" w:before="76"/>
        <w:ind w:right="1027"/>
        <w:jc w:val="left"/>
      </w:pPr>
      <w:r>
        <w:rPr/>
        <w:t>视频</w:t>
      </w:r>
      <w:r>
        <w:rPr>
          <w:spacing w:val="-44"/>
        </w:rPr>
        <w:t> </w:t>
      </w:r>
      <w:r>
        <w:rPr>
          <w:rFonts w:ascii="宋体" w:hAnsi="宋体" w:cs="宋体" w:eastAsia="宋体" w:hint="default"/>
        </w:rPr>
        <w:t>800</w:t>
      </w:r>
      <w:r>
        <w:rPr>
          <w:rFonts w:ascii="宋体" w:hAnsi="宋体" w:cs="宋体" w:eastAsia="宋体" w:hint="default"/>
          <w:spacing w:val="-43"/>
        </w:rPr>
        <w:t> </w:t>
      </w:r>
      <w:r>
        <w:rPr/>
        <w:t>万条，每月更新超过</w:t>
      </w:r>
      <w:r>
        <w:rPr>
          <w:spacing w:val="-44"/>
        </w:rPr>
        <w:t> </w:t>
      </w:r>
      <w:r>
        <w:rPr>
          <w:rFonts w:ascii="宋体" w:hAnsi="宋体" w:cs="宋体" w:eastAsia="宋体" w:hint="default"/>
        </w:rPr>
        <w:t>30,000</w:t>
      </w:r>
      <w:r>
        <w:rPr>
          <w:rFonts w:ascii="宋体" w:hAnsi="宋体" w:cs="宋体" w:eastAsia="宋体" w:hint="default"/>
          <w:spacing w:val="-44"/>
        </w:rPr>
        <w:t> </w:t>
      </w:r>
      <w:r>
        <w:rPr/>
        <w:t>条视频素材。内容涵盖世界各地风光、城市建筑、自然类、野生动植物、历史档案、 </w:t>
      </w:r>
      <w:r>
        <w:rPr>
          <w:spacing w:val="-3"/>
        </w:rPr>
        <w:t>奇闻趣事、体育娱乐等方方面面，以及航拍摄影、延时摄影、生物摄影、微距摄影、高速摄影、</w:t>
      </w:r>
      <w:r>
        <w:rPr>
          <w:rFonts w:ascii="宋体" w:hAnsi="宋体" w:cs="宋体" w:eastAsia="宋体" w:hint="default"/>
          <w:spacing w:val="-3"/>
        </w:rPr>
        <w:t>360</w:t>
      </w:r>
      <w:r>
        <w:rPr>
          <w:rFonts w:ascii="宋体" w:hAnsi="宋体" w:cs="宋体" w:eastAsia="宋体" w:hint="default"/>
          <w:spacing w:val="-39"/>
        </w:rPr>
        <w:t> </w:t>
      </w:r>
      <w:r>
        <w:rPr/>
        <w:t>等特殊拍摄的视频影像。 </w:t>
      </w:r>
      <w:r>
        <w:rPr>
          <w:spacing w:val="5"/>
        </w:rPr>
        <w:t>公司与全球近 </w:t>
      </w:r>
      <w:r>
        <w:rPr>
          <w:rFonts w:ascii="宋体" w:hAnsi="宋体" w:cs="宋体" w:eastAsia="宋体" w:hint="default"/>
        </w:rPr>
        <w:t>50 </w:t>
      </w:r>
      <w:r>
        <w:rPr>
          <w:spacing w:val="4"/>
        </w:rPr>
        <w:t>个品牌独家合作，包括全资收购的 </w:t>
      </w:r>
      <w:r>
        <w:rPr>
          <w:rFonts w:ascii="宋体" w:hAnsi="宋体" w:cs="宋体" w:eastAsia="宋体" w:hint="default"/>
        </w:rPr>
        <w:t>Corbis Motion </w:t>
      </w:r>
      <w:r>
        <w:rPr>
          <w:spacing w:val="3"/>
        </w:rPr>
        <w:t>以及 </w:t>
      </w:r>
      <w:r>
        <w:rPr>
          <w:rFonts w:ascii="宋体" w:hAnsi="宋体" w:cs="宋体" w:eastAsia="宋体" w:hint="default"/>
        </w:rPr>
        <w:t>BBC Creative, Bloomberg, SONY</w:t>
      </w:r>
      <w:r>
        <w:rPr>
          <w:rFonts w:ascii="宋体" w:hAnsi="宋体" w:cs="宋体" w:eastAsia="宋体" w:hint="default"/>
          <w:spacing w:val="62"/>
        </w:rPr>
        <w:t> </w:t>
      </w:r>
      <w:r>
        <w:rPr>
          <w:rFonts w:ascii="宋体" w:hAnsi="宋体" w:cs="宋体" w:eastAsia="宋体" w:hint="default"/>
        </w:rPr>
        <w:t>Pictures,</w:t>
      </w:r>
      <w:r>
        <w:rPr>
          <w:rFonts w:ascii="宋体" w:hAnsi="宋体" w:cs="宋体" w:eastAsia="宋体" w:hint="default"/>
        </w:rPr>
        <w:t> Newsflare,</w:t>
      </w:r>
      <w:r>
        <w:rPr>
          <w:rFonts w:ascii="宋体" w:hAnsi="宋体" w:cs="宋体" w:eastAsia="宋体" w:hint="default"/>
          <w:spacing w:val="24"/>
        </w:rPr>
        <w:t> </w:t>
      </w:r>
      <w:r>
        <w:rPr>
          <w:spacing w:val="5"/>
        </w:rPr>
        <w:t>浙视频等。此外，公司还与诸多特色视频内容的供应商合作，如专注美食类的</w:t>
      </w:r>
      <w:r>
        <w:rPr>
          <w:spacing w:val="24"/>
        </w:rPr>
        <w:t> </w:t>
      </w:r>
      <w:r>
        <w:rPr>
          <w:rFonts w:ascii="宋体" w:hAnsi="宋体" w:cs="宋体" w:eastAsia="宋体" w:hint="default"/>
          <w:spacing w:val="2"/>
        </w:rPr>
        <w:t>stockfood</w:t>
      </w:r>
      <w:r>
        <w:rPr>
          <w:spacing w:val="2"/>
        </w:rPr>
        <w:t>，专注商务类的</w:t>
      </w:r>
      <w:r>
        <w:rPr>
          <w:spacing w:val="-79"/>
        </w:rPr>
        <w:t> </w:t>
      </w:r>
      <w:r>
        <w:rPr>
          <w:spacing w:val="-79"/>
        </w:rPr>
      </w:r>
      <w:r>
        <w:rPr>
          <w:rFonts w:ascii="宋体" w:hAnsi="宋体" w:cs="宋体" w:eastAsia="宋体" w:hint="default"/>
        </w:rPr>
        <w:t>wavebreak media</w:t>
      </w:r>
      <w:r>
        <w:rPr/>
        <w:t>，专注日本内容的</w:t>
      </w:r>
      <w:r>
        <w:rPr>
          <w:spacing w:val="-44"/>
        </w:rPr>
        <w:t> </w:t>
      </w:r>
      <w:r>
        <w:rPr>
          <w:rFonts w:ascii="宋体" w:hAnsi="宋体" w:cs="宋体" w:eastAsia="宋体" w:hint="default"/>
        </w:rPr>
        <w:t>AFLO</w:t>
      </w:r>
      <w:r>
        <w:rPr>
          <w:rFonts w:ascii="宋体" w:hAnsi="宋体" w:cs="宋体" w:eastAsia="宋体" w:hint="default"/>
          <w:spacing w:val="-44"/>
        </w:rPr>
        <w:t> </w:t>
      </w:r>
      <w:r>
        <w:rPr/>
        <w:t>等。公司自有品牌东星娱乐、</w:t>
      </w:r>
      <w:r>
        <w:rPr>
          <w:rFonts w:ascii="宋体" w:hAnsi="宋体" w:cs="宋体" w:eastAsia="宋体" w:hint="default"/>
        </w:rPr>
        <w:t>SinoFootage</w:t>
      </w:r>
      <w:r>
        <w:rPr/>
        <w:t>，有近</w:t>
      </w:r>
      <w:r>
        <w:rPr>
          <w:spacing w:val="-43"/>
        </w:rPr>
        <w:t> </w:t>
      </w:r>
      <w:r>
        <w:rPr>
          <w:rFonts w:ascii="宋体" w:hAnsi="宋体" w:cs="宋体" w:eastAsia="宋体" w:hint="default"/>
        </w:rPr>
        <w:t>1,000</w:t>
      </w:r>
      <w:r>
        <w:rPr>
          <w:rFonts w:ascii="宋体" w:hAnsi="宋体" w:cs="宋体" w:eastAsia="宋体" w:hint="default"/>
          <w:spacing w:val="-44"/>
        </w:rPr>
        <w:t> </w:t>
      </w:r>
      <w:r>
        <w:rPr/>
        <w:t>名专业视频签约供稿人， </w:t>
      </w:r>
      <w:r>
        <w:rPr>
          <w:spacing w:val="-2"/>
        </w:rPr>
        <w:t>提供更新、更优质的中国本土视频素材。报告期内公司推出了视频产品的全新界面，优化了搜索引擎，提升了用户体验。注</w:t>
      </w:r>
      <w:r>
        <w:rPr>
          <w:spacing w:val="-66"/>
        </w:rPr>
        <w:t> </w:t>
      </w:r>
      <w:r>
        <w:rPr>
          <w:spacing w:val="-66"/>
        </w:rPr>
      </w:r>
      <w:r>
        <w:rPr>
          <w:spacing w:val="-2"/>
        </w:rPr>
        <w:t>册用户可直接在网站浏览并下载清晰度较高的低码视频；优化了签约供稿人视频上传流程，方便供稿人实现在线提交视频素</w:t>
      </w:r>
      <w:r>
        <w:rPr>
          <w:spacing w:val="-64"/>
        </w:rPr>
        <w:t> </w:t>
      </w:r>
      <w:r>
        <w:rPr>
          <w:spacing w:val="-64"/>
        </w:rPr>
      </w:r>
      <w:r>
        <w:rPr/>
        <w:t>材，为未来视频业务的增长奠定了基础。</w:t>
      </w:r>
    </w:p>
    <w:p>
      <w:pPr>
        <w:pStyle w:val="Heading5"/>
        <w:spacing w:line="240" w:lineRule="auto" w:before="55"/>
        <w:ind w:right="0"/>
        <w:jc w:val="left"/>
        <w:rPr>
          <w:b w:val="0"/>
          <w:bCs w:val="0"/>
        </w:rPr>
      </w:pPr>
      <w:r>
        <w:rPr>
          <w:rFonts w:ascii="宋体" w:hAnsi="宋体" w:cs="宋体" w:eastAsia="宋体" w:hint="default"/>
        </w:rPr>
        <w:t>2</w:t>
      </w:r>
      <w:r>
        <w:rPr/>
        <w:t>、强化业界领先的基于图像大数据的人工智能技术</w:t>
      </w:r>
      <w:r>
        <w:rPr>
          <w:b w:val="0"/>
          <w:bCs w:val="0"/>
        </w:rPr>
      </w:r>
    </w:p>
    <w:p>
      <w:pPr>
        <w:pStyle w:val="BodyText"/>
        <w:spacing w:line="312" w:lineRule="auto" w:before="117"/>
        <w:ind w:right="1132" w:firstLine="360"/>
        <w:jc w:val="both"/>
      </w:pPr>
      <w:r>
        <w:rPr/>
        <w:t>经过近</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年的运营积累，公司拥有全面、高水准的亿级图片、视频、音乐数据，与之关联的近百万的结构化的关键词 </w:t>
      </w:r>
      <w:r>
        <w:rPr>
          <w:spacing w:val="-2"/>
        </w:rPr>
        <w:t>标签数据、以及持续产生的千万级的用户行为数据，通过公司自主研发的业内领先的大数据、人工智能技术和特有的商业模</w:t>
      </w:r>
      <w:r>
        <w:rPr>
          <w:spacing w:val="-66"/>
        </w:rPr>
        <w:t> </w:t>
      </w:r>
      <w:r>
        <w:rPr>
          <w:spacing w:val="-66"/>
        </w:rPr>
      </w:r>
      <w:r>
        <w:rPr>
          <w:spacing w:val="-11"/>
        </w:rPr>
        <w:t>式，形成了“数据提升技术”、“技术驱动服务”、“服务回馈数据”独具特色闭环运行模式，“越服务，越懂服务”，建立了行</w:t>
      </w:r>
      <w:r>
        <w:rPr>
          <w:spacing w:val="-88"/>
        </w:rPr>
        <w:t> </w:t>
      </w:r>
      <w:r>
        <w:rPr>
          <w:spacing w:val="-88"/>
        </w:rPr>
      </w:r>
      <w:r>
        <w:rPr/>
        <w:t>业内的高技术壁垒，形成了显著的竞争优势，以产品、技术驱动业务快速增长。</w:t>
      </w:r>
    </w:p>
    <w:p>
      <w:pPr>
        <w:pStyle w:val="BodyText"/>
        <w:tabs>
          <w:tab w:pos="6544" w:val="left" w:leader="none"/>
        </w:tabs>
        <w:spacing w:line="304" w:lineRule="auto" w:before="62"/>
        <w:ind w:right="1039" w:firstLine="360"/>
        <w:jc w:val="left"/>
      </w:pPr>
      <w:r>
        <w:rPr>
          <w:spacing w:val="-9"/>
        </w:rPr>
        <w:t>大数据方面，公司在“自有数据（海量图片和标签）不断校准”以及“服务客户”、“对接各大互联网平台”、“收集用户</w:t>
      </w:r>
      <w:r>
        <w:rPr/>
        <w:t> 用图场景”等方面努力拓展自身的大数据积累和建设，形成了行业内独有的高质量核心数据：</w:t>
      </w:r>
      <w:r>
        <w:rPr>
          <w:rFonts w:ascii="Times New Roman" w:hAnsi="Times New Roman" w:cs="Times New Roman" w:eastAsia="Times New Roman" w:hint="default"/>
        </w:rPr>
        <w:t>1</w:t>
      </w:r>
      <w:r>
        <w:rPr/>
        <w:t>）拥有亿级的准确元数据的 </w:t>
      </w:r>
      <w:r>
        <w:rPr>
          <w:spacing w:val="-5"/>
        </w:rPr>
        <w:t>图像大数据、</w:t>
      </w:r>
      <w:r>
        <w:rPr>
          <w:rFonts w:ascii="Times New Roman" w:hAnsi="Times New Roman" w:cs="Times New Roman" w:eastAsia="Times New Roman" w:hint="default"/>
          <w:spacing w:val="-5"/>
        </w:rPr>
        <w:t>2</w:t>
      </w:r>
      <w:r>
        <w:rPr>
          <w:spacing w:val="-5"/>
        </w:rPr>
        <w:t>）超过</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spacing w:val="-5"/>
        </w:rPr>
        <w:t>万条词库标签、</w:t>
      </w:r>
      <w:r>
        <w:rPr>
          <w:rFonts w:ascii="Times New Roman" w:hAnsi="Times New Roman" w:cs="Times New Roman" w:eastAsia="Times New Roman" w:hint="default"/>
          <w:spacing w:val="-5"/>
        </w:rPr>
        <w:t>3</w:t>
      </w:r>
      <w:r>
        <w:rPr>
          <w:spacing w:val="-5"/>
        </w:rPr>
        <w:t>）近</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5"/>
        </w:rPr>
        <w:t>万条基于垂直领域（行业）的标签、</w:t>
      </w:r>
      <w:r>
        <w:rPr>
          <w:rFonts w:ascii="Times New Roman" w:hAnsi="Times New Roman" w:cs="Times New Roman" w:eastAsia="Times New Roman" w:hint="default"/>
          <w:spacing w:val="-5"/>
        </w:rPr>
        <w:t>4</w:t>
      </w:r>
      <w:r>
        <w:rPr>
          <w:spacing w:val="-5"/>
        </w:rPr>
        <w:t>）超过</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w:t>
      </w:r>
      <w:r>
        <w:rPr>
          <w:rFonts w:ascii="Times New Roman" w:hAnsi="Times New Roman" w:cs="Times New Roman" w:eastAsia="Times New Roman" w:hint="default"/>
        </w:rPr>
        <w:t>/</w:t>
      </w:r>
      <w:r>
        <w:rPr/>
        <w:t>天的用户行为数据、 </w:t>
      </w:r>
      <w:r>
        <w:rPr>
          <w:rFonts w:ascii="Times New Roman" w:hAnsi="Times New Roman" w:cs="Times New Roman" w:eastAsia="Times New Roman" w:hint="default"/>
        </w:rPr>
        <w:t>5</w:t>
      </w:r>
      <w:r>
        <w:rPr/>
        <w:t>）超过</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万以上的人物知识图谱。</w:t>
      </w:r>
      <w:r>
        <w:rPr>
          <w:spacing w:val="-30"/>
        </w:rPr>
        <w:t> </w:t>
      </w:r>
      <w:r>
        <w:rPr/>
        <w:t>技术方面，公司拥有行业内领先的图像识别、图像理解等视觉人工智能技术。结合大</w:t>
      </w:r>
      <w:r>
        <w:rPr/>
        <w:t> </w:t>
      </w:r>
      <w:r>
        <w:rPr>
          <w:spacing w:val="-2"/>
        </w:rPr>
        <w:t>数据，公司建立了一整套研究、开发、迭代体系，同时与国内外大学研究机构等建立了合作科研体系，不断提升人工智能在</w:t>
      </w:r>
      <w:r>
        <w:rPr>
          <w:spacing w:val="-66"/>
        </w:rPr>
        <w:t> </w:t>
      </w:r>
      <w:r>
        <w:rPr>
          <w:spacing w:val="-66"/>
        </w:rPr>
      </w:r>
      <w:r>
        <w:rPr/>
        <w:t>视觉方面的各项应用：</w:t>
      </w:r>
      <w:r>
        <w:rPr>
          <w:rFonts w:ascii="Times New Roman" w:hAnsi="Times New Roman" w:cs="Times New Roman" w:eastAsia="Times New Roman" w:hint="default"/>
        </w:rPr>
        <w:t>1</w:t>
      </w:r>
      <w:r>
        <w:rPr/>
        <w:t>） 图像识别技术、</w:t>
      </w:r>
      <w:r>
        <w:rPr>
          <w:rFonts w:ascii="Times New Roman" w:hAnsi="Times New Roman" w:cs="Times New Roman" w:eastAsia="Times New Roman" w:hint="default"/>
        </w:rPr>
        <w:t>2</w:t>
      </w:r>
      <w:r>
        <w:rPr/>
        <w:t>）智能搜索技术、</w:t>
      </w:r>
      <w:r>
        <w:rPr>
          <w:rFonts w:ascii="Times New Roman" w:hAnsi="Times New Roman" w:cs="Times New Roman" w:eastAsia="Times New Roman" w:hint="default"/>
        </w:rPr>
        <w:t>3</w:t>
      </w:r>
      <w:r>
        <w:rPr/>
        <w:t>）词库技术。</w:t>
        <w:tab/>
        <w:t>在产品服务方面，报告期内，公司依托上 述核心技术与大数据，不断进行产品服务的迭代与创新，包括：</w:t>
      </w:r>
      <w:r>
        <w:rPr>
          <w:rFonts w:ascii="Times New Roman" w:hAnsi="Times New Roman" w:cs="Times New Roman" w:eastAsia="Times New Roman" w:hint="default"/>
        </w:rPr>
        <w:t>1</w:t>
      </w:r>
      <w:r>
        <w:rPr/>
        <w:t>）多样的交付平台、</w:t>
      </w:r>
      <w:r>
        <w:rPr>
          <w:rFonts w:ascii="Times New Roman" w:hAnsi="Times New Roman" w:cs="Times New Roman" w:eastAsia="Times New Roman" w:hint="default"/>
        </w:rPr>
        <w:t>2</w:t>
      </w:r>
      <w:r>
        <w:rPr/>
        <w:t>）弹性搜索架构、</w:t>
      </w:r>
      <w:r>
        <w:rPr>
          <w:rFonts w:ascii="Times New Roman" w:hAnsi="Times New Roman" w:cs="Times New Roman" w:eastAsia="Times New Roman" w:hint="default"/>
        </w:rPr>
        <w:t>3</w:t>
      </w:r>
      <w:r>
        <w:rPr/>
        <w:t>）鹰眼平台、</w:t>
      </w:r>
      <w:r>
        <w:rPr>
          <w:rFonts w:ascii="Times New Roman" w:hAnsi="Times New Roman" w:cs="Times New Roman" w:eastAsia="Times New Roman" w:hint="default"/>
        </w:rPr>
        <w:t>4</w:t>
      </w:r>
      <w:r>
        <w:rPr/>
        <w:t>） 大象</w:t>
      </w:r>
      <w:r>
        <w:rPr>
          <w:spacing w:val="-38"/>
        </w:rPr>
        <w:t> </w:t>
      </w:r>
      <w:r>
        <w:rPr>
          <w:rFonts w:ascii="Times New Roman" w:hAnsi="Times New Roman" w:cs="Times New Roman" w:eastAsia="Times New Roman" w:hint="default"/>
          <w:spacing w:val="-1"/>
          <w:w w:val="99"/>
        </w:rPr>
        <w:t>AI</w:t>
      </w:r>
      <w:r>
        <w:rPr>
          <w:rFonts w:ascii="Times New Roman" w:hAnsi="Times New Roman" w:cs="Times New Roman" w:eastAsia="Times New Roman" w:hint="default"/>
          <w:spacing w:val="7"/>
          <w:w w:val="99"/>
        </w:rPr>
        <w:t> </w:t>
      </w:r>
      <w:r>
        <w:rPr>
          <w:spacing w:val="-5"/>
        </w:rPr>
        <w:t>平台（自动标签、人脸识别、文章智能配图）。</w:t>
      </w:r>
    </w:p>
    <w:p>
      <w:pPr>
        <w:pStyle w:val="BodyText"/>
        <w:spacing w:line="304" w:lineRule="auto" w:before="47"/>
        <w:ind w:right="1092" w:firstLine="360"/>
        <w:jc w:val="both"/>
      </w:pPr>
      <w:r>
        <w:rPr>
          <w:spacing w:val="-2"/>
        </w:rPr>
        <w:t>其中，交付平台方面，公司根据业务需求和客户形态，打造了网站、</w:t>
      </w:r>
      <w:r>
        <w:rPr>
          <w:rFonts w:ascii="Times New Roman" w:hAnsi="Times New Roman" w:cs="Times New Roman" w:eastAsia="Times New Roman" w:hint="default"/>
          <w:spacing w:val="-2"/>
        </w:rPr>
        <w:t>API</w:t>
      </w:r>
      <w:r>
        <w:rPr>
          <w:spacing w:val="-2"/>
        </w:rPr>
        <w:t>、</w:t>
      </w:r>
      <w:r>
        <w:rPr>
          <w:rFonts w:ascii="Times New Roman" w:hAnsi="Times New Roman" w:cs="Times New Roman" w:eastAsia="Times New Roman" w:hint="default"/>
          <w:spacing w:val="-2"/>
        </w:rPr>
        <w:t>VDAM</w:t>
      </w:r>
      <w:r>
        <w:rPr>
          <w:rFonts w:ascii="Times New Roman" w:hAnsi="Times New Roman" w:cs="Times New Roman" w:eastAsia="Times New Roman" w:hint="default"/>
          <w:spacing w:val="9"/>
        </w:rPr>
        <w:t> </w:t>
      </w:r>
      <w:r>
        <w:rPr>
          <w:spacing w:val="-1"/>
        </w:rPr>
        <w:t>等交付平台，通过各类平台向客户交</w:t>
      </w:r>
      <w:r>
        <w:rPr/>
        <w:t> 付图像、视频、音乐等内容；报告期内，公司打造版权交易双平台</w:t>
      </w:r>
      <w:r>
        <w:rPr>
          <w:spacing w:val="-54"/>
        </w:rPr>
        <w:t> </w:t>
      </w:r>
      <w:hyperlink r:id="rId8">
        <w:r>
          <w:rPr>
            <w:rFonts w:ascii="Times New Roman" w:hAnsi="Times New Roman" w:cs="Times New Roman" w:eastAsia="Times New Roman" w:hint="default"/>
            <w:spacing w:val="-3"/>
          </w:rPr>
          <w:t>www.vcg.com</w:t>
        </w:r>
      </w:hyperlink>
      <w:r>
        <w:rPr>
          <w:spacing w:val="-3"/>
        </w:rPr>
        <w:t>、</w:t>
      </w:r>
      <w:hyperlink r:id="rId13">
        <w:r>
          <w:rPr>
            <w:rFonts w:ascii="Times New Roman" w:hAnsi="Times New Roman" w:cs="Times New Roman" w:eastAsia="Times New Roman" w:hint="default"/>
            <w:spacing w:val="-3"/>
          </w:rPr>
          <w:t>www.veer.com</w:t>
        </w:r>
      </w:hyperlink>
      <w:r>
        <w:rPr>
          <w:spacing w:val="-3"/>
        </w:rPr>
        <w:t>；根据不同的客户类型、使</w:t>
      </w:r>
      <w:r>
        <w:rPr/>
        <w:t> </w:t>
      </w:r>
      <w:r>
        <w:rPr>
          <w:spacing w:val="-2"/>
        </w:rPr>
        <w:t>用需求提供不同的解决方案，全面满足客户的用图需求，为客户提供全方位、全品类、一站式的内容、技术、增值服务。其</w:t>
      </w:r>
      <w:r>
        <w:rPr>
          <w:spacing w:val="-71"/>
        </w:rPr>
        <w:t> </w:t>
      </w:r>
      <w:r>
        <w:rPr>
          <w:spacing w:val="-71"/>
        </w:rPr>
      </w:r>
      <w:r>
        <w:rPr/>
        <w:t>中</w:t>
      </w:r>
      <w:r>
        <w:rPr>
          <w:spacing w:val="-54"/>
        </w:rPr>
        <w:t> </w:t>
      </w:r>
      <w:hyperlink r:id="rId8">
        <w:r>
          <w:rPr>
            <w:rFonts w:ascii="Times New Roman" w:hAnsi="Times New Roman" w:cs="Times New Roman" w:eastAsia="Times New Roman" w:hint="default"/>
          </w:rPr>
          <w:t>www.vcg.com</w:t>
        </w:r>
      </w:hyperlink>
      <w:r>
        <w:rPr>
          <w:rFonts w:ascii="Times New Roman" w:hAnsi="Times New Roman" w:cs="Times New Roman" w:eastAsia="Times New Roman" w:hint="default"/>
          <w:spacing w:val="-9"/>
        </w:rPr>
        <w:t> </w:t>
      </w:r>
      <w:r>
        <w:rPr/>
        <w:t>主要服务于大型客户，可以为用户提供全面的可定制化的内容服务；而</w:t>
      </w:r>
      <w:r>
        <w:rPr>
          <w:spacing w:val="-54"/>
        </w:rPr>
        <w:t> </w:t>
      </w:r>
      <w:hyperlink r:id="rId13">
        <w:r>
          <w:rPr>
            <w:rFonts w:ascii="Times New Roman" w:hAnsi="Times New Roman" w:cs="Times New Roman" w:eastAsia="Times New Roman" w:hint="default"/>
          </w:rPr>
          <w:t>www.veer.com</w:t>
        </w:r>
      </w:hyperlink>
      <w:r>
        <w:rPr>
          <w:rFonts w:ascii="Times New Roman" w:hAnsi="Times New Roman" w:cs="Times New Roman" w:eastAsia="Times New Roman" w:hint="default"/>
          <w:spacing w:val="-9"/>
        </w:rPr>
        <w:t> </w:t>
      </w:r>
      <w:r>
        <w:rPr/>
        <w:t>主要针对中小企业， 采用电商模式，为客户提供性价比高、支付便捷的产品。</w:t>
      </w:r>
    </w:p>
    <w:p>
      <w:pPr>
        <w:pStyle w:val="BodyText"/>
        <w:spacing w:line="300" w:lineRule="auto" w:before="66"/>
        <w:ind w:right="1129" w:firstLine="360"/>
        <w:jc w:val="both"/>
      </w:pPr>
      <w:r>
        <w:rPr/>
        <w:t>报告期内，公司正式推出</w:t>
      </w:r>
      <w:r>
        <w:rPr>
          <w:spacing w:val="-59"/>
        </w:rPr>
        <w:t> </w:t>
      </w:r>
      <w:r>
        <w:rPr>
          <w:rFonts w:ascii="Times New Roman" w:hAnsi="Times New Roman" w:cs="Times New Roman" w:eastAsia="Times New Roman" w:hint="default"/>
        </w:rPr>
        <w:t>API</w:t>
      </w:r>
      <w:r>
        <w:rPr/>
        <w:t>（</w:t>
      </w:r>
      <w:r>
        <w:rPr>
          <w:rFonts w:ascii="Times New Roman" w:hAnsi="Times New Roman" w:cs="Times New Roman" w:eastAsia="Times New Roman" w:hint="default"/>
        </w:rPr>
        <w:t>Application</w:t>
      </w:r>
      <w:r>
        <w:rPr>
          <w:rFonts w:ascii="Times New Roman" w:hAnsi="Times New Roman" w:cs="Times New Roman" w:eastAsia="Times New Roman" w:hint="default"/>
          <w:spacing w:val="-14"/>
        </w:rPr>
        <w:t> </w:t>
      </w:r>
      <w:r>
        <w:rPr>
          <w:rFonts w:ascii="Times New Roman" w:hAnsi="Times New Roman" w:cs="Times New Roman" w:eastAsia="Times New Roman" w:hint="default"/>
        </w:rPr>
        <w:t>Programming</w:t>
      </w:r>
      <w:r>
        <w:rPr>
          <w:rFonts w:ascii="Times New Roman" w:hAnsi="Times New Roman" w:cs="Times New Roman" w:eastAsia="Times New Roman" w:hint="default"/>
          <w:spacing w:val="-14"/>
        </w:rPr>
        <w:t> </w:t>
      </w:r>
      <w:r>
        <w:rPr>
          <w:rFonts w:ascii="Times New Roman" w:hAnsi="Times New Roman" w:cs="Times New Roman" w:eastAsia="Times New Roman" w:hint="default"/>
        </w:rPr>
        <w:t>Interface,</w:t>
      </w:r>
      <w:r>
        <w:rPr>
          <w:rFonts w:ascii="Times New Roman" w:hAnsi="Times New Roman" w:cs="Times New Roman" w:eastAsia="Times New Roman" w:hint="default"/>
          <w:spacing w:val="20"/>
        </w:rPr>
        <w:t> </w:t>
      </w:r>
      <w:r>
        <w:rPr/>
        <w:t>应用程序编程接口）服务，以方便客户使用。客户可</w:t>
      </w:r>
      <w:r>
        <w:rPr>
          <w:w w:val="99"/>
        </w:rPr>
        <w:t> </w:t>
      </w:r>
      <w:r>
        <w:rPr/>
        <w:t>通过</w:t>
      </w:r>
      <w:r>
        <w:rPr>
          <w:spacing w:val="-47"/>
        </w:rPr>
        <w:t> </w:t>
      </w:r>
      <w:r>
        <w:rPr>
          <w:rFonts w:ascii="Times New Roman" w:hAnsi="Times New Roman" w:cs="Times New Roman" w:eastAsia="Times New Roman" w:hint="default"/>
        </w:rPr>
        <w:t>API</w:t>
      </w:r>
      <w:r>
        <w:rPr>
          <w:rFonts w:ascii="Times New Roman" w:hAnsi="Times New Roman" w:cs="Times New Roman" w:eastAsia="Times New Roman" w:hint="default"/>
          <w:spacing w:val="-1"/>
        </w:rPr>
        <w:t> </w:t>
      </w:r>
      <w:r>
        <w:rPr/>
        <w:t>服务连接视觉中国高质量正版内容，结合自己的应用场景自由调用</w:t>
      </w:r>
      <w:r>
        <w:rPr>
          <w:spacing w:val="-47"/>
        </w:rPr>
        <w:t> </w:t>
      </w:r>
      <w:r>
        <w:rPr>
          <w:rFonts w:ascii="Times New Roman" w:hAnsi="Times New Roman" w:cs="Times New Roman" w:eastAsia="Times New Roman" w:hint="default"/>
          <w:spacing w:val="-3"/>
        </w:rPr>
        <w:t>API</w:t>
      </w:r>
      <w:r>
        <w:rPr>
          <w:spacing w:val="-3"/>
        </w:rPr>
        <w:t>，灵活满足内容需求。报告期内，公司</w:t>
      </w:r>
      <w:r>
        <w:rPr>
          <w:spacing w:val="-47"/>
        </w:rPr>
        <w:t> </w:t>
      </w:r>
      <w:r>
        <w:rPr>
          <w:rFonts w:ascii="Times New Roman" w:hAnsi="Times New Roman" w:cs="Times New Roman" w:eastAsia="Times New Roman" w:hint="default"/>
        </w:rPr>
        <w:t>API</w:t>
      </w:r>
      <w:r>
        <w:rPr>
          <w:rFonts w:ascii="Times New Roman" w:hAnsi="Times New Roman" w:cs="Times New Roman" w:eastAsia="Times New Roman" w:hint="default"/>
          <w:spacing w:val="-1"/>
          <w:w w:val="99"/>
        </w:rPr>
        <w:t> </w:t>
      </w:r>
      <w:r>
        <w:rPr>
          <w:spacing w:val="-2"/>
        </w:rPr>
        <w:t>与百度、腾讯、阿里巴巴、一点资讯、网易、新浪、凤凰网、新华网、</w:t>
      </w:r>
      <w:r>
        <w:rPr>
          <w:rFonts w:ascii="Times New Roman" w:hAnsi="Times New Roman" w:cs="Times New Roman" w:eastAsia="Times New Roman" w:hint="default"/>
          <w:spacing w:val="-2"/>
        </w:rPr>
        <w:t>360</w:t>
      </w:r>
      <w:r>
        <w:rPr>
          <w:spacing w:val="-2"/>
        </w:rPr>
        <w:t>、搜狗、高德地图、途牛网等</w:t>
      </w:r>
      <w:r>
        <w:rPr>
          <w:spacing w:val="-43"/>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家各类客户的应 用场景完成对接。</w:t>
      </w:r>
    </w:p>
    <w:p>
      <w:pPr>
        <w:pStyle w:val="BodyText"/>
        <w:spacing w:line="309" w:lineRule="auto" w:before="71"/>
        <w:ind w:left="154" w:right="1032" w:firstLine="360"/>
        <w:jc w:val="left"/>
      </w:pPr>
      <w:r>
        <w:rPr>
          <w:spacing w:val="-6"/>
        </w:rPr>
        <w:t>报告期内，公司完成了基于</w:t>
      </w:r>
      <w:r>
        <w:rPr>
          <w:spacing w:val="-44"/>
        </w:rPr>
        <w:t> </w:t>
      </w:r>
      <w:r>
        <w:rPr>
          <w:rFonts w:ascii="Times New Roman" w:hAnsi="Times New Roman" w:cs="Times New Roman" w:eastAsia="Times New Roman" w:hint="default"/>
          <w:w w:val="99"/>
        </w:rPr>
        <w:t>SaaS(Software</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as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rFonts w:ascii="Times New Roman" w:hAnsi="Times New Roman" w:cs="Times New Roman" w:eastAsia="Times New Roman" w:hint="default"/>
          <w:w w:val="99"/>
        </w:rPr>
        <w:t>Service)</w:t>
      </w:r>
      <w:r>
        <w:rPr>
          <w:w w:val="99"/>
        </w:rPr>
        <w:t>的</w:t>
      </w:r>
      <w:r>
        <w:rPr>
          <w:spacing w:val="-44"/>
          <w:w w:val="99"/>
        </w:rPr>
        <w:t> </w:t>
      </w:r>
      <w:r>
        <w:rPr>
          <w:rFonts w:ascii="Times New Roman" w:hAnsi="Times New Roman" w:cs="Times New Roman" w:eastAsia="Times New Roman" w:hint="default"/>
          <w:spacing w:val="-1"/>
          <w:w w:val="99"/>
        </w:rPr>
        <w:t>VDAM</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2"/>
          <w:w w:val="99"/>
        </w:rPr>
        <w:t>(Visual</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Data</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spacing w:val="-1"/>
          <w:w w:val="99"/>
        </w:rPr>
        <w:t>Asset</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4"/>
        </w:rPr>
        <w:t>Management</w:t>
      </w:r>
      <w:r>
        <w:rPr>
          <w:spacing w:val="-4"/>
        </w:rPr>
        <w:t>，视觉数据资产管理系统</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t>产品的开发，帮助公司客户进行视觉内容的生产和管理、视觉内容的传播和分发，为客户提供“内容＋技术”的全面服务， </w:t>
      </w:r>
      <w:r>
        <w:rPr>
          <w:rFonts w:ascii="Times New Roman" w:hAnsi="Times New Roman" w:cs="Times New Roman" w:eastAsia="Times New Roman" w:hint="default"/>
        </w:rPr>
        <w:t>VDAM</w:t>
      </w:r>
      <w:r>
        <w:rPr>
          <w:rFonts w:ascii="Times New Roman" w:hAnsi="Times New Roman" w:cs="Times New Roman" w:eastAsia="Times New Roman" w:hint="default"/>
          <w:spacing w:val="-2"/>
        </w:rPr>
        <w:t> </w:t>
      </w:r>
      <w:r>
        <w:rPr/>
        <w:t>的推广能够增加客户黏性，提升客户使用公司产品与服务的体验，为公司保持领先优势和持续发展提供动力。</w:t>
      </w:r>
    </w:p>
    <w:p>
      <w:pPr>
        <w:pStyle w:val="BodyText"/>
        <w:spacing w:line="240" w:lineRule="auto" w:before="43"/>
        <w:ind w:left="514" w:right="0"/>
        <w:jc w:val="left"/>
      </w:pPr>
      <w:r>
        <w:rPr/>
        <w:t>报告期内，公司建设完成了基于图像大数据与人工智能技术自行研发了“鹰眼”</w:t>
      </w:r>
      <w:r>
        <w:rPr>
          <w:rFonts w:ascii="Times New Roman" w:hAnsi="Times New Roman" w:cs="Times New Roman" w:eastAsia="Times New Roman" w:hint="default"/>
        </w:rPr>
        <w:t>——</w:t>
      </w:r>
      <w:r>
        <w:rPr/>
        <w:t>图像互联网版权保护平台，该平台</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24"/>
        <w:jc w:val="left"/>
      </w:pPr>
      <w:r>
        <w:rPr/>
        <w:t>包括自动全网爬虫、自动图像比对、授权比对自动生成报告等多项自主研发的技术能力，自动处理约</w:t>
      </w:r>
      <w:r>
        <w:rPr>
          <w:spacing w:val="-65"/>
        </w:rPr>
        <w:t> </w:t>
      </w:r>
      <w:r>
        <w:rPr>
          <w:rFonts w:ascii="Times New Roman" w:hAnsi="Times New Roman" w:cs="Times New Roman" w:eastAsia="Times New Roman" w:hint="default"/>
        </w:rPr>
        <w:t>200</w:t>
      </w:r>
      <w:r>
        <w:rPr>
          <w:rFonts w:ascii="Times New Roman" w:hAnsi="Times New Roman" w:cs="Times New Roman" w:eastAsia="Times New Roman" w:hint="default"/>
          <w:spacing w:val="-21"/>
        </w:rPr>
        <w:t> </w:t>
      </w:r>
      <w:r>
        <w:rPr/>
        <w:t>万</w:t>
      </w:r>
      <w:r>
        <w:rPr>
          <w:rFonts w:ascii="Times New Roman" w:hAnsi="Times New Roman" w:cs="Times New Roman" w:eastAsia="Times New Roman" w:hint="default"/>
        </w:rPr>
        <w:t>/</w:t>
      </w:r>
      <w:r>
        <w:rPr/>
        <w:t>天以上的数据， </w:t>
      </w:r>
      <w:r>
        <w:rPr>
          <w:spacing w:val="-2"/>
        </w:rPr>
        <w:t>能够追踪到公司拥有图片在网络上的使用情况，并提供授权管理分析、在线侵权证据保全等一站式的版权保护服务，大幅降</w:t>
      </w:r>
      <w:r>
        <w:rPr>
          <w:spacing w:val="-66"/>
        </w:rPr>
        <w:t> </w:t>
      </w:r>
      <w:r>
        <w:rPr>
          <w:spacing w:val="-66"/>
        </w:rPr>
      </w:r>
      <w:r>
        <w:rPr>
          <w:spacing w:val="-2"/>
        </w:rPr>
        <w:t>低版权保护的成本，有效的保护了版权人的利益。鹰眼平台既为公司自身的版权保护提供技术服务，也正在逐步将向第三方</w:t>
      </w:r>
      <w:r>
        <w:rPr>
          <w:spacing w:val="-66"/>
        </w:rPr>
        <w:t> </w:t>
      </w:r>
      <w:r>
        <w:rPr>
          <w:spacing w:val="-66"/>
        </w:rPr>
      </w:r>
      <w:r>
        <w:rPr/>
        <w:t>开放相关能力，提供版权保护服务。</w:t>
      </w:r>
    </w:p>
    <w:p>
      <w:pPr>
        <w:spacing w:line="357" w:lineRule="auto" w:before="62"/>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3. </w:t>
      </w:r>
      <w:r>
        <w:rPr>
          <w:rFonts w:ascii="宋体" w:hAnsi="宋体" w:cs="宋体" w:eastAsia="宋体" w:hint="default"/>
          <w:b/>
          <w:bCs/>
          <w:sz w:val="18"/>
          <w:szCs w:val="18"/>
        </w:rPr>
        <w:t>全面覆盖市场、深度连接内容生态</w:t>
      </w:r>
      <w:r>
        <w:rPr>
          <w:rFonts w:ascii="宋体" w:hAnsi="宋体" w:cs="宋体" w:eastAsia="宋体" w:hint="default"/>
          <w:b/>
          <w:bCs/>
          <w:w w:val="99"/>
          <w:sz w:val="18"/>
          <w:szCs w:val="18"/>
        </w:rPr>
        <w:t> </w:t>
      </w:r>
      <w:r>
        <w:rPr>
          <w:rFonts w:ascii="宋体" w:hAnsi="宋体" w:cs="宋体" w:eastAsia="宋体" w:hint="default"/>
          <w:spacing w:val="-2"/>
          <w:sz w:val="18"/>
          <w:szCs w:val="18"/>
        </w:rPr>
        <w:t>基于行业及市场的发展趋势及巨大发展空间，公司持续加强对各细分领域的用户的应用场景、用户行为及内容需求的差</w:t>
      </w:r>
    </w:p>
    <w:p>
      <w:pPr>
        <w:pStyle w:val="BodyText"/>
        <w:spacing w:line="224" w:lineRule="exact"/>
        <w:ind w:left="154" w:right="0"/>
        <w:jc w:val="left"/>
      </w:pPr>
      <w:r>
        <w:rPr/>
        <w:t>异化的全方位的研究，优化改进公司的业务策略、组织结构、市场销售、运营体系以及相关核心能力的打造，持续提升公司</w:t>
      </w:r>
    </w:p>
    <w:p>
      <w:pPr>
        <w:pStyle w:val="BodyText"/>
        <w:spacing w:line="316" w:lineRule="auto" w:before="76"/>
        <w:ind w:right="1129"/>
        <w:jc w:val="both"/>
      </w:pPr>
      <w:r>
        <w:rPr/>
        <w:t>对内容生态的连接和全面深度覆盖市场的能力。报告期内，公司还通过品牌推广、市场营销以及“鹰眼”—</w:t>
      </w:r>
      <w:r>
        <w:rPr>
          <w:spacing w:val="8"/>
        </w:rPr>
        <w:t> </w:t>
      </w:r>
      <w:r>
        <w:rPr/>
        <w:t>图像互联网版</w:t>
      </w:r>
      <w:r>
        <w:rPr/>
        <w:t> </w:t>
      </w:r>
      <w:r>
        <w:rPr>
          <w:spacing w:val="-2"/>
        </w:rPr>
        <w:t>权保护平台，提升公司获客能力和效率。根据市场变化，公司重点对互联网平台、媒体、广告营销与服务、企业客户等四个</w:t>
      </w:r>
      <w:r>
        <w:rPr>
          <w:spacing w:val="-68"/>
        </w:rPr>
        <w:t> </w:t>
      </w:r>
      <w:r>
        <w:rPr>
          <w:spacing w:val="-68"/>
        </w:rPr>
      </w:r>
      <w:r>
        <w:rPr/>
        <w:t>目标市场进行了开拓。</w:t>
      </w:r>
    </w:p>
    <w:p>
      <w:pPr>
        <w:pStyle w:val="BodyText"/>
        <w:spacing w:line="316" w:lineRule="auto" w:before="19"/>
        <w:ind w:left="514" w:right="0"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）互联网平台</w:t>
      </w:r>
      <w:r>
        <w:rPr>
          <w:rFonts w:ascii="宋体" w:hAnsi="宋体" w:cs="宋体" w:eastAsia="宋体" w:hint="default"/>
          <w:b/>
          <w:bCs/>
          <w:w w:val="99"/>
        </w:rPr>
        <w:t> </w:t>
      </w:r>
      <w:r>
        <w:rPr>
          <w:spacing w:val="-2"/>
        </w:rPr>
        <w:t>报告期内，公司先后与百度、腾讯、阿里巴巴、一点资讯、凤凰网、搜狗等互联网平台签署战略合作协议，初步完成了</w:t>
      </w:r>
    </w:p>
    <w:p>
      <w:pPr>
        <w:pStyle w:val="BodyText"/>
        <w:spacing w:line="316" w:lineRule="auto" w:before="19"/>
        <w:ind w:right="1033"/>
        <w:jc w:val="left"/>
      </w:pPr>
      <w:r>
        <w:rPr>
          <w:spacing w:val="-2"/>
        </w:rPr>
        <w:t>基于内容的技术对接，使得公司内容能覆盖到的海量的长尾市场。公司通过与互联网平台的连接及赋能，提升了优质正版内</w:t>
      </w:r>
      <w:r>
        <w:rPr>
          <w:spacing w:val="-67"/>
        </w:rPr>
        <w:t> </w:t>
      </w:r>
      <w:r>
        <w:rPr>
          <w:spacing w:val="-67"/>
        </w:rPr>
      </w:r>
      <w:r>
        <w:rPr>
          <w:spacing w:val="-2"/>
        </w:rPr>
        <w:t>容触达客户的深度和广度，持续提升公司作为内容生态的“基础设施”的地位和全面深度覆盖市场的能力，促进了内容生态</w:t>
      </w:r>
      <w:r>
        <w:rPr>
          <w:spacing w:val="-64"/>
        </w:rPr>
        <w:t> </w:t>
      </w:r>
      <w:r>
        <w:rPr>
          <w:spacing w:val="-64"/>
        </w:rPr>
      </w:r>
      <w:r>
        <w:rPr/>
        <w:t>使用者对正版素材的使用，对行业健康发展起到了推动作用。根据应用场景，目前公司分别接入了：搜索引擎、广告平台、 自媒体平台、创意设计平台以及智能终端、旅游出行、电子商务等服务应用场景。（见附图二）</w:t>
      </w:r>
    </w:p>
    <w:p>
      <w:pPr>
        <w:spacing w:line="240" w:lineRule="auto" w:before="8"/>
        <w:rPr>
          <w:rFonts w:ascii="宋体" w:hAnsi="宋体" w:cs="宋体" w:eastAsia="宋体" w:hint="default"/>
          <w:sz w:val="5"/>
          <w:szCs w:val="5"/>
        </w:rPr>
      </w:pPr>
    </w:p>
    <w:p>
      <w:pPr>
        <w:spacing w:line="3610" w:lineRule="exact"/>
        <w:ind w:left="51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220045" cy="229285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5220045" cy="2292857"/>
                    </a:xfrm>
                    <a:prstGeom prst="rect">
                      <a:avLst/>
                    </a:prstGeom>
                  </pic:spPr>
                </pic:pic>
              </a:graphicData>
            </a:graphic>
          </wp:inline>
        </w:drawing>
      </w:r>
      <w:r>
        <w:rPr>
          <w:rFonts w:ascii="宋体" w:hAnsi="宋体" w:cs="宋体" w:eastAsia="宋体" w:hint="default"/>
          <w:position w:val="-71"/>
          <w:sz w:val="20"/>
          <w:szCs w:val="20"/>
        </w:rPr>
      </w:r>
    </w:p>
    <w:p>
      <w:pPr>
        <w:pStyle w:val="BodyText"/>
        <w:spacing w:line="316" w:lineRule="auto" w:before="79"/>
        <w:ind w:left="513" w:right="1123"/>
        <w:jc w:val="left"/>
      </w:pPr>
      <w:r>
        <w:rPr/>
        <w:t>（附图二） 报告期内，在自媒体平台方面，公司先后与一点资讯</w:t>
      </w:r>
      <w:r>
        <w:rPr>
          <w:rFonts w:ascii="宋体" w:hAnsi="宋体" w:cs="宋体" w:eastAsia="宋体" w:hint="default"/>
        </w:rPr>
        <w:t>/</w:t>
      </w:r>
      <w:r>
        <w:rPr/>
        <w:t>凤凰网（大风号）、腾讯网（企鹅号）、百度（百家号）、阿里</w:t>
      </w:r>
    </w:p>
    <w:p>
      <w:pPr>
        <w:pStyle w:val="BodyText"/>
        <w:spacing w:line="316" w:lineRule="auto" w:before="19"/>
        <w:ind w:left="154" w:right="1032"/>
        <w:jc w:val="left"/>
      </w:pPr>
      <w:r>
        <w:rPr/>
        <w:t>巴巴（大鱼号）的自媒体平台完成了数据接入工作，为数百万自媒体用户提供优质正版内容，共同构建自媒体共赢生态圈； </w:t>
      </w:r>
      <w:r>
        <w:rPr>
          <w:spacing w:val="-2"/>
        </w:rPr>
        <w:t>公司还与百度霓裳、阿里汇川等广告平台完成了数据接入工作，为数十万中小企业组提供广告的创意内容服务；目前公司正</w:t>
      </w:r>
      <w:r>
        <w:rPr>
          <w:spacing w:val="-66"/>
        </w:rPr>
        <w:t> </w:t>
      </w:r>
      <w:r>
        <w:rPr>
          <w:spacing w:val="-66"/>
        </w:rPr>
      </w:r>
      <w:r>
        <w:rPr/>
        <w:t>在和各平台公司紧密合作，持续提升用户体验。</w:t>
      </w:r>
    </w:p>
    <w:p>
      <w:pPr>
        <w:pStyle w:val="BodyText"/>
        <w:spacing w:line="316" w:lineRule="auto" w:before="19"/>
        <w:ind w:left="154" w:right="1130" w:firstLine="360"/>
        <w:jc w:val="both"/>
      </w:pPr>
      <w:r>
        <w:rPr>
          <w:spacing w:val="-2"/>
        </w:rPr>
        <w:t>在搜索引擎方面，公司与百度、搜狗等先后签订战略合作协议。根据协议约定，公司与百度、搜狗建立全面、深入、互</w:t>
      </w:r>
      <w:r>
        <w:rPr/>
        <w:t> </w:t>
      </w:r>
      <w:r>
        <w:rPr>
          <w:spacing w:val="-2"/>
        </w:rPr>
        <w:t>为优先的战略合作关系。在用户搜索图片时，优先展示公司图片，并标注“版权”信息，用户点击图片后跳转至图片所在视</w:t>
      </w:r>
      <w:r>
        <w:rPr>
          <w:spacing w:val="-67"/>
        </w:rPr>
        <w:t> </w:t>
      </w:r>
      <w:r>
        <w:rPr>
          <w:spacing w:val="-67"/>
        </w:rPr>
      </w:r>
      <w:r>
        <w:rPr/>
        <w:t>觉中国网站，为公司带来更多的流量。</w:t>
      </w:r>
    </w:p>
    <w:p>
      <w:pPr>
        <w:pStyle w:val="BodyText"/>
        <w:spacing w:line="316" w:lineRule="auto" w:before="19"/>
        <w:ind w:left="154" w:right="1130" w:firstLine="360"/>
        <w:jc w:val="both"/>
      </w:pPr>
      <w:r>
        <w:rPr/>
        <w:t>公司将继续紧抓战略机遇期，依托优质 </w:t>
      </w:r>
      <w:r>
        <w:rPr>
          <w:rFonts w:ascii="宋体" w:hAnsi="宋体" w:cs="宋体" w:eastAsia="宋体" w:hint="default"/>
        </w:rPr>
        <w:t>PGC</w:t>
      </w:r>
      <w:r>
        <w:rPr>
          <w:rFonts w:ascii="宋体" w:hAnsi="宋体" w:cs="宋体" w:eastAsia="宋体" w:hint="default"/>
          <w:spacing w:val="7"/>
        </w:rPr>
        <w:t> </w:t>
      </w:r>
      <w:r>
        <w:rPr/>
        <w:t>视觉内容核心资源，继续扩大、夯实与互联网平台（大流量入口）的战略 </w:t>
      </w:r>
      <w:r>
        <w:rPr>
          <w:spacing w:val="-2"/>
        </w:rPr>
        <w:t>合作，将优质内容与大数据、人工智能技术相结合，提升多渠道分发交付能力，不断提升获客效率，高效拓展长尾市场，促</w:t>
      </w:r>
      <w:r>
        <w:rPr>
          <w:spacing w:val="-67"/>
        </w:rPr>
        <w:t> </w:t>
      </w:r>
      <w:r>
        <w:rPr>
          <w:spacing w:val="-67"/>
        </w:rPr>
      </w:r>
      <w:r>
        <w:rPr/>
        <w:t>进主营业务增长。</w:t>
      </w:r>
    </w:p>
    <w:p>
      <w:pPr>
        <w:pStyle w:val="BodyText"/>
        <w:spacing w:line="319" w:lineRule="auto" w:before="19"/>
        <w:ind w:left="514" w:right="1118" w:firstLine="6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）媒体</w:t>
      </w:r>
      <w:r>
        <w:rPr>
          <w:rFonts w:ascii="宋体" w:hAnsi="宋体" w:cs="宋体" w:eastAsia="宋体" w:hint="default"/>
          <w:b/>
          <w:bCs/>
          <w:spacing w:val="1"/>
          <w:w w:val="99"/>
        </w:rPr>
        <w:t> </w:t>
      </w:r>
      <w:r>
        <w:rPr>
          <w:spacing w:val="-2"/>
        </w:rPr>
        <w:t>媒体市场是公司核心的目标市场之一。报告期内，公司重点把握传统媒体的融合转型，自媒体的迅速发展，社会对媒体</w:t>
      </w:r>
    </w:p>
    <w:p>
      <w:pPr>
        <w:pStyle w:val="BodyText"/>
        <w:spacing w:line="316" w:lineRule="auto" w:before="17"/>
        <w:ind w:right="1118"/>
        <w:jc w:val="left"/>
      </w:pPr>
      <w:r>
        <w:rPr>
          <w:spacing w:val="-2"/>
        </w:rPr>
        <w:t>社会责任感的要求提升等的趋势，在保持传统媒体市场的绝对优势的同时，抓住新媒体的发展机遇，实现了媒体业务的整体</w:t>
      </w:r>
      <w:r>
        <w:rPr>
          <w:spacing w:val="-66"/>
        </w:rPr>
        <w:t> </w:t>
      </w:r>
      <w:r>
        <w:rPr>
          <w:spacing w:val="-66"/>
        </w:rPr>
      </w:r>
      <w:r>
        <w:rPr/>
        <w:t>持续增长。</w:t>
      </w:r>
    </w:p>
    <w:p>
      <w:pPr>
        <w:pStyle w:val="BodyText"/>
        <w:spacing w:line="240" w:lineRule="auto" w:before="19"/>
        <w:ind w:left="574" w:right="0"/>
        <w:jc w:val="left"/>
      </w:pPr>
      <w:r>
        <w:rPr/>
        <w:t>公司拥有强大的编辑类内容的竞争优势，及自有的经验丰富的编辑内容运营团队，在编辑类图片资源、运营、内容交</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付与服务上优势突出，公司严格的内容审核体系，及全面优质的体现核心价值观的内容，是广大媒体客户的安全优质的主要</w:t>
      </w:r>
      <w:r>
        <w:rPr>
          <w:spacing w:val="-66"/>
        </w:rPr>
        <w:t> </w:t>
      </w:r>
      <w:r>
        <w:rPr>
          <w:spacing w:val="-66"/>
        </w:rPr>
      </w:r>
      <w:r>
        <w:rPr/>
        <w:t>内容来源。</w:t>
      </w:r>
    </w:p>
    <w:p>
      <w:pPr>
        <w:pStyle w:val="BodyText"/>
        <w:spacing w:line="319" w:lineRule="auto" w:before="19"/>
        <w:ind w:right="1130" w:firstLine="360"/>
        <w:jc w:val="both"/>
      </w:pPr>
      <w:r>
        <w:rPr>
          <w:spacing w:val="-2"/>
        </w:rPr>
        <w:t>国内主要媒体客户均为公司合作多年的年度合作客户，合作期内均顺利续约合作，包括：国有新闻网站（新华网、中国</w:t>
      </w:r>
      <w:r>
        <w:rPr/>
        <w:t> </w:t>
      </w:r>
      <w:r>
        <w:rPr>
          <w:spacing w:val="-2"/>
        </w:rPr>
        <w:t>网、中国日报网、中国青年网、中工网、光明网、东方网等）、报业及新媒体（人民日报、中国青年报、中国日报、广州日</w:t>
      </w:r>
      <w:r>
        <w:rPr>
          <w:spacing w:val="-72"/>
        </w:rPr>
        <w:t> </w:t>
      </w:r>
      <w:r>
        <w:rPr>
          <w:spacing w:val="-72"/>
        </w:rPr>
      </w:r>
      <w:r>
        <w:rPr>
          <w:spacing w:val="-2"/>
        </w:rPr>
        <w:t>报、南方日报、新华日报等）、电视台（央视、北京电视台、湖南卫视、江苏电视台等）、商业门户网站（新浪、腾讯、搜</w:t>
      </w:r>
      <w:r>
        <w:rPr>
          <w:spacing w:val="-64"/>
        </w:rPr>
        <w:t> </w:t>
      </w:r>
      <w:r>
        <w:rPr>
          <w:spacing w:val="-64"/>
        </w:rPr>
      </w:r>
      <w:r>
        <w:rPr/>
        <w:t>狐、网易、凤凰等）、视频网站（优酷、爱奇艺、腾讯视频、</w:t>
      </w:r>
      <w:r>
        <w:rPr>
          <w:rFonts w:ascii="宋体" w:hAnsi="宋体" w:cs="宋体" w:eastAsia="宋体" w:hint="default"/>
        </w:rPr>
        <w:t>PPTV</w:t>
      </w:r>
      <w:r>
        <w:rPr/>
        <w:t>、芒果</w:t>
      </w:r>
      <w:r>
        <w:rPr>
          <w:spacing w:val="-41"/>
        </w:rPr>
        <w:t> </w:t>
      </w:r>
      <w:r>
        <w:rPr>
          <w:rFonts w:ascii="宋体" w:hAnsi="宋体" w:cs="宋体" w:eastAsia="宋体" w:hint="default"/>
        </w:rPr>
        <w:t>TV</w:t>
      </w:r>
      <w:r>
        <w:rPr>
          <w:rFonts w:ascii="宋体" w:hAnsi="宋体" w:cs="宋体" w:eastAsia="宋体" w:hint="default"/>
          <w:spacing w:val="-41"/>
        </w:rPr>
        <w:t> </w:t>
      </w:r>
      <w:r>
        <w:rPr/>
        <w:t>等）以及杂志（时尚、赫斯特、康泰纳仕、现 代传播、财新等）。</w:t>
      </w:r>
    </w:p>
    <w:p>
      <w:pPr>
        <w:pStyle w:val="BodyText"/>
        <w:spacing w:line="316" w:lineRule="auto" w:before="17"/>
        <w:ind w:right="1130" w:firstLine="360"/>
        <w:jc w:val="both"/>
      </w:pPr>
      <w:r>
        <w:rPr>
          <w:rFonts w:ascii="宋体" w:hAnsi="宋体" w:cs="宋体" w:eastAsia="宋体" w:hint="default"/>
        </w:rPr>
        <w:t>2017</w:t>
      </w:r>
      <w:r>
        <w:rPr>
          <w:rFonts w:ascii="宋体" w:hAnsi="宋体" w:cs="宋体" w:eastAsia="宋体" w:hint="default"/>
          <w:spacing w:val="6"/>
        </w:rPr>
        <w:t> </w:t>
      </w:r>
      <w:r>
        <w:rPr/>
        <w:t>年以来，媒体市场出现新的发展趋势：移动互联网资讯聚合平台、自媒体等发展迅猛，公司及时把握市场变化， 与一点资讯、趣头条、得到、视觉志、一条、吴晓波、十点读书、黎贝卡的异想世界、秦朔朋友圈、</w:t>
      </w:r>
      <w:r>
        <w:rPr>
          <w:rFonts w:ascii="宋体" w:hAnsi="宋体" w:cs="宋体" w:eastAsia="宋体" w:hint="default"/>
        </w:rPr>
        <w:t>gogoboi</w:t>
      </w:r>
      <w:r>
        <w:rPr/>
        <w:t>、叶檀财经等</w:t>
      </w:r>
      <w:r>
        <w:rPr>
          <w:spacing w:val="-83"/>
        </w:rPr>
        <w:t> </w:t>
      </w:r>
      <w:r>
        <w:rPr/>
        <w:t>新型互联网公司签署了长期合作协议。</w:t>
      </w:r>
    </w:p>
    <w:p>
      <w:pPr>
        <w:pStyle w:val="BodyText"/>
        <w:spacing w:line="316" w:lineRule="auto" w:before="19"/>
        <w:ind w:left="573" w:right="1118"/>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）广告营销与服务</w:t>
      </w:r>
      <w:r>
        <w:rPr>
          <w:rFonts w:ascii="宋体" w:hAnsi="宋体" w:cs="宋体" w:eastAsia="宋体" w:hint="default"/>
          <w:b/>
          <w:bCs/>
          <w:w w:val="99"/>
        </w:rPr>
        <w:t> </w:t>
      </w:r>
      <w:r>
        <w:rPr>
          <w:spacing w:val="-3"/>
        </w:rPr>
        <w:t>公司另外一个传统优势市场是广告营销与服务公司（</w:t>
      </w:r>
      <w:r>
        <w:rPr>
          <w:rFonts w:ascii="Times New Roman" w:hAnsi="Times New Roman" w:cs="Times New Roman" w:eastAsia="Times New Roman" w:hint="default"/>
          <w:spacing w:val="-3"/>
        </w:rPr>
        <w:t>Agency</w:t>
      </w:r>
      <w:r>
        <w:rPr>
          <w:spacing w:val="-3"/>
        </w:rPr>
        <w:t>）。公司多年致力为各类广告公司提供全球及本土高质量及</w:t>
      </w:r>
    </w:p>
    <w:p>
      <w:pPr>
        <w:pStyle w:val="BodyText"/>
        <w:spacing w:line="316" w:lineRule="auto"/>
        <w:ind w:right="1033"/>
        <w:jc w:val="left"/>
      </w:pPr>
      <w:r>
        <w:rPr>
          <w:spacing w:val="-2"/>
        </w:rPr>
        <w:t>丰富全面的内容，作为专业的版权服务公司，公司加强了为客户提供全球范围内专业化的版权增值服务。针对广告公司所服</w:t>
      </w:r>
      <w:r>
        <w:rPr>
          <w:spacing w:val="-66"/>
        </w:rPr>
        <w:t> </w:t>
      </w:r>
      <w:r>
        <w:rPr>
          <w:spacing w:val="-66"/>
        </w:rPr>
      </w:r>
      <w:r>
        <w:rPr/>
        <w:t>务的最终客户的行业及特性，精细化管理，深挖客户需求，全面参与客户的工作流程，提供相应的内容产品以及委托拍摄、 </w:t>
      </w:r>
      <w:r>
        <w:rPr>
          <w:spacing w:val="-2"/>
        </w:rPr>
        <w:t>版权清除等增值服务，使客户能安全无忧使用图片及视频音乐素材，发挥创意，成为客户可依赖的专业视觉顾问，大大加强</w:t>
      </w:r>
      <w:r>
        <w:rPr>
          <w:spacing w:val="-65"/>
        </w:rPr>
        <w:t> </w:t>
      </w:r>
      <w:r>
        <w:rPr>
          <w:spacing w:val="-65"/>
        </w:rPr>
      </w:r>
      <w:r>
        <w:rPr>
          <w:spacing w:val="-2"/>
        </w:rPr>
        <w:t>了客户对公司的黏性和依赖。公司把握线上与线下，新媒体及自媒体的发展趋势，公司积极拓展与数字广告公司的合作。在</w:t>
      </w:r>
      <w:r>
        <w:rPr>
          <w:spacing w:val="-66"/>
        </w:rPr>
        <w:t> </w:t>
      </w:r>
      <w:r>
        <w:rPr>
          <w:spacing w:val="-66"/>
        </w:rPr>
      </w:r>
      <w:r>
        <w:rPr/>
        <w:t>整个广告行业面临社会化营销挑战的前提下仍然实现了广告客户群的超过</w:t>
      </w:r>
      <w:r>
        <w:rPr>
          <w:spacing w:val="-45"/>
        </w:rPr>
        <w:t> </w:t>
      </w:r>
      <w:r>
        <w:rPr>
          <w:rFonts w:ascii="Times New Roman" w:hAnsi="Times New Roman" w:cs="Times New Roman" w:eastAsia="Times New Roman" w:hint="default"/>
        </w:rPr>
        <w:t>20%</w:t>
      </w:r>
      <w:r>
        <w:rPr/>
        <w:t>的业绩增长。</w:t>
      </w:r>
    </w:p>
    <w:p>
      <w:pPr>
        <w:pStyle w:val="BodyText"/>
        <w:spacing w:line="316" w:lineRule="auto"/>
        <w:ind w:right="1029" w:firstLine="420"/>
        <w:jc w:val="left"/>
      </w:pPr>
      <w:r>
        <w:rPr/>
        <w:t>公司在国内独家代理全球第一大图片库</w:t>
      </w:r>
      <w:r>
        <w:rPr>
          <w:spacing w:val="-55"/>
        </w:rPr>
        <w:t> </w:t>
      </w:r>
      <w:r>
        <w:rPr>
          <w:rFonts w:ascii="宋体" w:hAnsi="宋体" w:cs="宋体" w:eastAsia="宋体" w:hint="default"/>
        </w:rPr>
        <w:t>Getty</w:t>
      </w:r>
      <w:r>
        <w:rPr>
          <w:rFonts w:ascii="宋体" w:hAnsi="宋体" w:cs="宋体" w:eastAsia="宋体" w:hint="default"/>
          <w:spacing w:val="-54"/>
        </w:rPr>
        <w:t> </w:t>
      </w:r>
      <w:r>
        <w:rPr>
          <w:rFonts w:ascii="宋体" w:hAnsi="宋体" w:cs="宋体" w:eastAsia="宋体" w:hint="default"/>
        </w:rPr>
        <w:t>Images</w:t>
      </w:r>
      <w:r>
        <w:rPr/>
        <w:t>，并通过收购比尔·盖茨创办的全球第三大图片库</w:t>
      </w:r>
      <w:r>
        <w:rPr>
          <w:spacing w:val="-55"/>
        </w:rPr>
        <w:t> </w:t>
      </w:r>
      <w:r>
        <w:rPr>
          <w:rFonts w:ascii="宋体" w:hAnsi="宋体" w:cs="宋体" w:eastAsia="宋体" w:hint="default"/>
        </w:rPr>
        <w:t>Corbis</w:t>
      </w:r>
      <w:r>
        <w:rPr>
          <w:rFonts w:ascii="宋体" w:hAnsi="宋体" w:cs="宋体" w:eastAsia="宋体" w:hint="default"/>
          <w:spacing w:val="-54"/>
        </w:rPr>
        <w:t> </w:t>
      </w:r>
      <w:r>
        <w:rPr>
          <w:rFonts w:ascii="宋体" w:hAnsi="宋体" w:cs="宋体" w:eastAsia="宋体" w:hint="default"/>
        </w:rPr>
        <w:t>Images</w:t>
      </w:r>
      <w:r>
        <w:rPr>
          <w:rFonts w:ascii="宋体" w:hAnsi="宋体" w:cs="宋体" w:eastAsia="宋体" w:hint="default"/>
        </w:rPr>
        <w:t> </w:t>
      </w:r>
      <w:r>
        <w:rPr/>
        <w:t>及国际知名的线上摄影社区</w:t>
      </w:r>
      <w:r>
        <w:rPr>
          <w:spacing w:val="-45"/>
        </w:rPr>
        <w:t> </w:t>
      </w:r>
      <w:r>
        <w:rPr>
          <w:rFonts w:ascii="宋体" w:hAnsi="宋体" w:cs="宋体" w:eastAsia="宋体" w:hint="default"/>
          <w:spacing w:val="-2"/>
        </w:rPr>
        <w:t>500px</w:t>
      </w:r>
      <w:r>
        <w:rPr>
          <w:spacing w:val="-2"/>
        </w:rPr>
        <w:t>，拥有垄断性的优质内容和品牌优势，在这一市场一直保持很高的市场占有率。</w:t>
      </w:r>
      <w:r>
        <w:rPr>
          <w:rFonts w:ascii="宋体" w:hAnsi="宋体" w:cs="宋体" w:eastAsia="宋体" w:hint="default"/>
          <w:spacing w:val="-2"/>
        </w:rPr>
        <w:t>WPP</w:t>
      </w:r>
      <w:r>
        <w:rPr>
          <w:rFonts w:ascii="宋体" w:hAnsi="宋体" w:cs="宋体" w:eastAsia="宋体" w:hint="default"/>
          <w:spacing w:val="-45"/>
        </w:rPr>
        <w:t> </w:t>
      </w:r>
      <w:r>
        <w:rPr/>
        <w:t>集团、 宏盟集团、</w:t>
      </w:r>
      <w:r>
        <w:rPr>
          <w:rFonts w:ascii="宋体" w:hAnsi="宋体" w:cs="宋体" w:eastAsia="宋体" w:hint="default"/>
        </w:rPr>
        <w:t>IPG</w:t>
      </w:r>
      <w:r>
        <w:rPr>
          <w:rFonts w:ascii="宋体" w:hAnsi="宋体" w:cs="宋体" w:eastAsia="宋体" w:hint="default"/>
          <w:spacing w:val="-41"/>
        </w:rPr>
        <w:t> </w:t>
      </w:r>
      <w:r>
        <w:rPr/>
        <w:t>集团、阳狮集团、</w:t>
      </w:r>
      <w:r>
        <w:rPr>
          <w:rFonts w:ascii="宋体" w:hAnsi="宋体" w:cs="宋体" w:eastAsia="宋体" w:hint="default"/>
        </w:rPr>
        <w:t>HAVAS</w:t>
      </w:r>
      <w:r>
        <w:rPr>
          <w:rFonts w:ascii="宋体" w:hAnsi="宋体" w:cs="宋体" w:eastAsia="宋体" w:hint="default"/>
          <w:spacing w:val="-41"/>
        </w:rPr>
        <w:t> </w:t>
      </w:r>
      <w:r>
        <w:rPr/>
        <w:t>集团、电通集团、蓝色光标、华扬联众、卅六策、广东省广告集团等行业重要客户 均与公司签署了年度框架合作协议。</w:t>
      </w:r>
    </w:p>
    <w:p>
      <w:pPr>
        <w:pStyle w:val="BodyText"/>
        <w:spacing w:line="319" w:lineRule="auto" w:before="19"/>
        <w:ind w:left="514" w:right="0"/>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）企业客户</w:t>
      </w:r>
      <w:r>
        <w:rPr>
          <w:rFonts w:ascii="宋体" w:hAnsi="宋体" w:cs="宋体" w:eastAsia="宋体" w:hint="default"/>
          <w:b/>
          <w:bCs/>
          <w:w w:val="99"/>
        </w:rPr>
        <w:t> </w:t>
      </w:r>
      <w:r>
        <w:rPr>
          <w:spacing w:val="-4"/>
        </w:rPr>
        <w:t>顺应“互联网＋”及移动互连网时代企业营销的数字化，社会化，场景化的变化趋势，市场对优质版权内容有巨大需求。</w:t>
      </w:r>
    </w:p>
    <w:p>
      <w:pPr>
        <w:pStyle w:val="BodyText"/>
        <w:spacing w:line="316" w:lineRule="auto" w:before="17"/>
        <w:ind w:left="154" w:right="1131"/>
        <w:jc w:val="both"/>
      </w:pPr>
      <w:r>
        <w:rPr>
          <w:spacing w:val="-2"/>
        </w:rPr>
        <w:t>公司在报告期内加强了企业客户销售体系，抓住了企业新媒体营销的市场机遇，除了充分应用多种形式的市场化手段对潜在</w:t>
      </w:r>
      <w:r>
        <w:rPr>
          <w:spacing w:val="-64"/>
        </w:rPr>
        <w:t> </w:t>
      </w:r>
      <w:r>
        <w:rPr>
          <w:spacing w:val="-64"/>
        </w:rPr>
      </w:r>
      <w:r>
        <w:rPr>
          <w:spacing w:val="-2"/>
        </w:rPr>
        <w:t>客户进行引导培育之外，公司基于图像大数据及人工智能技术，自行研发了“鹰眼”图像互联网版权保护平台，能够追踪到</w:t>
      </w:r>
      <w:r>
        <w:rPr>
          <w:spacing w:val="-66"/>
        </w:rPr>
        <w:t> </w:t>
      </w:r>
      <w:r>
        <w:rPr>
          <w:spacing w:val="-66"/>
        </w:rPr>
      </w:r>
      <w:r>
        <w:rPr>
          <w:spacing w:val="-2"/>
        </w:rPr>
        <w:t>公司拥有的图片在网络上的使用情况，更好地锁定潜在的客户并满足其需求，进而对客户进行正版化引导及转化，实现精准</w:t>
      </w:r>
      <w:r>
        <w:rPr>
          <w:spacing w:val="-65"/>
        </w:rPr>
        <w:t> </w:t>
      </w:r>
      <w:r>
        <w:rPr>
          <w:spacing w:val="-65"/>
        </w:rPr>
      </w:r>
      <w:r>
        <w:rPr/>
        <w:t>获客，大大降低了获客成本，客户数量大幅增长，通过销售</w:t>
      </w:r>
      <w:r>
        <w:rPr>
          <w:rFonts w:ascii="宋体" w:hAnsi="宋体" w:cs="宋体" w:eastAsia="宋体" w:hint="default"/>
        </w:rPr>
        <w:t>+</w:t>
      </w:r>
      <w:r>
        <w:rPr/>
        <w:t>技术</w:t>
      </w:r>
      <w:r>
        <w:rPr>
          <w:rFonts w:ascii="宋体" w:hAnsi="宋体" w:cs="宋体" w:eastAsia="宋体" w:hint="default"/>
        </w:rPr>
        <w:t>+</w:t>
      </w:r>
      <w:r>
        <w:rPr/>
        <w:t>服务驱动收入增长。</w:t>
      </w:r>
    </w:p>
    <w:p>
      <w:pPr>
        <w:pStyle w:val="BodyText"/>
        <w:spacing w:line="316" w:lineRule="auto" w:before="19"/>
        <w:ind w:right="1033" w:firstLine="360"/>
        <w:jc w:val="left"/>
      </w:pPr>
      <w:r>
        <w:rPr/>
        <w:t>报告期内，公司针对细分垂直行业采用差异化的商机管理、客户拓展、客户引导转化及产品授权模式，重点开拓金融、 旅游、交通、快消、互联网科技等行业客户。截至</w:t>
      </w:r>
      <w:r>
        <w:rPr>
          <w:spacing w:val="-27"/>
        </w:rPr>
        <w:t> </w:t>
      </w:r>
      <w:r>
        <w:rPr>
          <w:rFonts w:ascii="宋体" w:hAnsi="宋体" w:cs="宋体" w:eastAsia="宋体" w:hint="default"/>
        </w:rPr>
        <w:t>2017</w:t>
      </w:r>
      <w:r>
        <w:rPr>
          <w:rFonts w:ascii="宋体" w:hAnsi="宋体" w:cs="宋体" w:eastAsia="宋体" w:hint="default"/>
          <w:spacing w:val="-28"/>
        </w:rPr>
        <w:t> </w:t>
      </w:r>
      <w:r>
        <w:rPr/>
        <w:t>年底，企业客户数较上年新增</w:t>
      </w:r>
      <w:r>
        <w:rPr>
          <w:spacing w:val="-28"/>
        </w:rPr>
        <w:t> </w:t>
      </w:r>
      <w:r>
        <w:rPr>
          <w:rFonts w:ascii="宋体" w:hAnsi="宋体" w:cs="宋体" w:eastAsia="宋体" w:hint="default"/>
        </w:rPr>
        <w:t>48.7%</w:t>
      </w:r>
      <w:r>
        <w:rPr/>
        <w:t>，其中年度长协客户占比超过 </w:t>
      </w:r>
      <w:r>
        <w:rPr>
          <w:rFonts w:ascii="宋体" w:hAnsi="宋体" w:cs="宋体" w:eastAsia="宋体" w:hint="default"/>
        </w:rPr>
        <w:t>43%</w:t>
      </w:r>
      <w:r>
        <w:rPr/>
        <w:t>。针对企业大客户，公司与控股子公司卓越发挥协同效应，深挖其它延展商机，为各类客户如品牌企业、政府机构、旅</w:t>
      </w:r>
      <w:r>
        <w:rPr>
          <w:spacing w:val="-83"/>
        </w:rPr>
        <w:t> </w:t>
      </w:r>
      <w:r>
        <w:rPr>
          <w:spacing w:val="-83"/>
        </w:rPr>
      </w:r>
      <w:r>
        <w:rPr>
          <w:spacing w:val="-5"/>
        </w:rPr>
        <w:t>游行业、体育赛事及娱乐活动的主办方等提供视觉内容生产、管理及传播的“视觉</w:t>
      </w:r>
      <w:r>
        <w:rPr>
          <w:rFonts w:ascii="宋体" w:hAnsi="宋体" w:cs="宋体" w:eastAsia="宋体" w:hint="default"/>
          <w:spacing w:val="-5"/>
        </w:rPr>
        <w:t>+</w:t>
      </w:r>
      <w:r>
        <w:rPr>
          <w:spacing w:val="-5"/>
        </w:rPr>
        <w:t>品牌”、“视觉</w:t>
      </w:r>
      <w:r>
        <w:rPr>
          <w:rFonts w:ascii="宋体" w:hAnsi="宋体" w:cs="宋体" w:eastAsia="宋体" w:hint="default"/>
          <w:spacing w:val="-5"/>
        </w:rPr>
        <w:t>+</w:t>
      </w:r>
      <w:r>
        <w:rPr>
          <w:spacing w:val="-5"/>
        </w:rPr>
        <w:t>旅游”、“视觉</w:t>
      </w:r>
      <w:r>
        <w:rPr>
          <w:rFonts w:ascii="宋体" w:hAnsi="宋体" w:cs="宋体" w:eastAsia="宋体" w:hint="default"/>
          <w:spacing w:val="-5"/>
        </w:rPr>
        <w:t>+</w:t>
      </w:r>
      <w:r>
        <w:rPr>
          <w:spacing w:val="-5"/>
        </w:rPr>
        <w:t>城市”、</w:t>
      </w:r>
      <w:r>
        <w:rPr>
          <w:spacing w:val="-72"/>
        </w:rPr>
        <w:t> </w:t>
      </w:r>
      <w:r>
        <w:rPr>
          <w:spacing w:val="-72"/>
        </w:rPr>
      </w:r>
      <w:r>
        <w:rPr>
          <w:spacing w:val="-4"/>
        </w:rPr>
        <w:t>“视觉</w:t>
      </w:r>
      <w:r>
        <w:rPr>
          <w:rFonts w:ascii="宋体" w:hAnsi="宋体" w:cs="宋体" w:eastAsia="宋体" w:hint="default"/>
          <w:spacing w:val="-4"/>
        </w:rPr>
        <w:t>+</w:t>
      </w:r>
      <w:r>
        <w:rPr>
          <w:spacing w:val="-4"/>
        </w:rPr>
        <w:t>体育</w:t>
      </w:r>
      <w:r>
        <w:rPr>
          <w:rFonts w:ascii="宋体" w:hAnsi="宋体" w:cs="宋体" w:eastAsia="宋体" w:hint="default"/>
          <w:spacing w:val="-4"/>
        </w:rPr>
        <w:t>/</w:t>
      </w:r>
      <w:r>
        <w:rPr>
          <w:spacing w:val="-4"/>
        </w:rPr>
        <w:t>娱乐”等视觉营销解决方案，全方位满足客户的视觉内容需求，为公司带来新的业绩增长。报告期内，为华为、</w:t>
      </w:r>
      <w:r>
        <w:rPr>
          <w:spacing w:val="-40"/>
        </w:rPr>
        <w:t> </w:t>
      </w:r>
      <w:r>
        <w:rPr>
          <w:spacing w:val="-40"/>
        </w:rPr>
      </w:r>
      <w:r>
        <w:rPr/>
        <w:t>索尼、宝马、雀巢、维多利亚的秘密、摩拜单车、</w:t>
      </w:r>
      <w:r>
        <w:rPr>
          <w:rFonts w:ascii="宋体" w:hAnsi="宋体" w:cs="宋体" w:eastAsia="宋体" w:hint="default"/>
        </w:rPr>
        <w:t>ofo</w:t>
      </w:r>
      <w:r>
        <w:rPr/>
        <w:t>、统一、青岛啤酒、华侨城、美克美家、海昌集团、嘉实基金、中信</w:t>
      </w:r>
      <w:r>
        <w:rPr>
          <w:spacing w:val="-82"/>
        </w:rPr>
        <w:t> </w:t>
      </w:r>
      <w:r>
        <w:rPr>
          <w:spacing w:val="-82"/>
        </w:rPr>
      </w:r>
      <w:r>
        <w:rPr/>
        <w:t>银行、国家旅游局、江苏省旅游局、北京冬奥会组委、国资委新闻中心等品牌与机构提供了相关增值服务。</w:t>
      </w:r>
    </w:p>
    <w:p>
      <w:pPr>
        <w:pStyle w:val="BodyText"/>
        <w:spacing w:line="316" w:lineRule="auto" w:before="19"/>
        <w:ind w:right="1131" w:firstLine="360"/>
        <w:jc w:val="both"/>
      </w:pPr>
      <w:r>
        <w:rPr>
          <w:spacing w:val="-2"/>
        </w:rPr>
        <w:t>公司采取市场化手段与销售服务相结合的手段，持续高效开拓中小客户的长尾市场。公司通过与互联网大流量平台建立</w:t>
      </w:r>
      <w:r>
        <w:rPr/>
        <w:t> </w:t>
      </w:r>
      <w:r>
        <w:rPr>
          <w:spacing w:val="-1"/>
        </w:rPr>
        <w:t>战略合作关系、优化</w:t>
      </w:r>
      <w:r>
        <w:rPr>
          <w:spacing w:val="-33"/>
        </w:rPr>
        <w:t> </w:t>
      </w:r>
      <w:r>
        <w:rPr>
          <w:rFonts w:ascii="宋体" w:hAnsi="宋体" w:cs="宋体" w:eastAsia="宋体" w:hint="default"/>
          <w:spacing w:val="-1"/>
        </w:rPr>
        <w:t>SEM/SEO</w:t>
      </w:r>
      <w:r>
        <w:rPr>
          <w:spacing w:val="-1"/>
        </w:rPr>
        <w:t>、提升客服质量、加大市场推广和品牌营销，更好地培育和服务中长尾市场。公司不断优化产</w:t>
      </w:r>
      <w:r>
        <w:rPr>
          <w:spacing w:val="-87"/>
        </w:rPr>
        <w:t> </w:t>
      </w:r>
      <w:r>
        <w:rPr>
          <w:spacing w:val="-87"/>
        </w:rPr>
      </w:r>
      <w:r>
        <w:rPr/>
        <w:t>品组合，为中长尾客户提供与之体量需求与预算对应的产品及授权模式，持续扩大对长尾市场的覆盖。</w:t>
      </w:r>
    </w:p>
    <w:p>
      <w:pPr>
        <w:pStyle w:val="BodyText"/>
        <w:spacing w:line="316" w:lineRule="auto" w:before="19"/>
        <w:ind w:right="1131" w:firstLine="360"/>
        <w:jc w:val="both"/>
      </w:pPr>
      <w:r>
        <w:rPr>
          <w:spacing w:val="-2"/>
        </w:rPr>
        <w:t>随着公司版权跟踪技术手段的不断增强及客户转化效率的不断提升，公司未来签约服务的客户数量会持续增加。为提升</w:t>
      </w:r>
      <w:r>
        <w:rPr/>
        <w:t> </w:t>
      </w:r>
      <w:r>
        <w:rPr>
          <w:spacing w:val="-2"/>
        </w:rPr>
        <w:t>对各主要垂直行业的不同体量客户的覆盖及服务，公司强化了商机管理、市场营销、内容运营及客户服务体系，以及对大客</w:t>
      </w:r>
      <w:r>
        <w:rPr>
          <w:spacing w:val="-66"/>
        </w:rPr>
        <w:t> </w:t>
      </w:r>
      <w:r>
        <w:rPr>
          <w:spacing w:val="-66"/>
        </w:rPr>
      </w:r>
      <w:r>
        <w:rPr/>
        <w:t>户及中长尾客户的不同的营销及服务体系，精耕细作，为在巨大的市场空间中高速发展打下了坚实的基础。</w:t>
      </w:r>
    </w:p>
    <w:p>
      <w:pPr>
        <w:spacing w:line="240" w:lineRule="auto" w:before="5"/>
        <w:rPr>
          <w:rFonts w:ascii="宋体" w:hAnsi="宋体" w:cs="宋体" w:eastAsia="宋体" w:hint="default"/>
          <w:sz w:val="13"/>
          <w:szCs w:val="13"/>
        </w:rPr>
      </w:pPr>
    </w:p>
    <w:p>
      <w:pPr>
        <w:spacing w:line="360" w:lineRule="auto" w:before="0"/>
        <w:ind w:left="513" w:right="1114" w:firstLine="1"/>
        <w:jc w:val="left"/>
        <w:rPr>
          <w:rFonts w:ascii="宋体" w:hAnsi="宋体" w:cs="宋体" w:eastAsia="宋体" w:hint="default"/>
          <w:sz w:val="18"/>
          <w:szCs w:val="18"/>
        </w:rPr>
      </w:pPr>
      <w:r>
        <w:rPr>
          <w:rFonts w:ascii="宋体" w:hAnsi="宋体" w:cs="宋体" w:eastAsia="宋体" w:hint="default"/>
          <w:b/>
          <w:bCs/>
          <w:sz w:val="18"/>
          <w:szCs w:val="18"/>
        </w:rPr>
        <w:t>（二）与主营业务协同互动，积极构建“视觉</w:t>
      </w:r>
      <w:r>
        <w:rPr>
          <w:rFonts w:ascii="宋体" w:hAnsi="宋体" w:cs="宋体" w:eastAsia="宋体" w:hint="default"/>
          <w:sz w:val="18"/>
          <w:szCs w:val="18"/>
        </w:rPr>
        <w:t>+</w:t>
      </w:r>
      <w:r>
        <w:rPr>
          <w:rFonts w:ascii="宋体" w:hAnsi="宋体" w:cs="宋体" w:eastAsia="宋体" w:hint="default"/>
          <w:b/>
          <w:bCs/>
          <w:sz w:val="18"/>
          <w:szCs w:val="18"/>
        </w:rPr>
        <w:t>”战略布局</w:t>
      </w:r>
      <w:r>
        <w:rPr>
          <w:rFonts w:ascii="宋体" w:hAnsi="宋体" w:cs="宋体" w:eastAsia="宋体" w:hint="default"/>
          <w:b/>
          <w:bCs/>
          <w:w w:val="99"/>
          <w:sz w:val="18"/>
          <w:szCs w:val="18"/>
        </w:rPr>
        <w:t> </w:t>
      </w:r>
      <w:r>
        <w:rPr>
          <w:rFonts w:ascii="宋体" w:hAnsi="宋体" w:cs="宋体" w:eastAsia="宋体" w:hint="default"/>
          <w:sz w:val="18"/>
          <w:szCs w:val="18"/>
        </w:rPr>
        <w:t>公司在聚焦主营业务，强化世界级的版权内容平台的前提下，将核心竞争力与旅游、教育等</w:t>
      </w:r>
      <w:r>
        <w:rPr>
          <w:rFonts w:ascii="宋体" w:hAnsi="宋体" w:cs="宋体" w:eastAsia="宋体" w:hint="default"/>
          <w:spacing w:val="-40"/>
          <w:sz w:val="18"/>
          <w:szCs w:val="18"/>
        </w:rPr>
        <w:t> </w:t>
      </w:r>
      <w:r>
        <w:rPr>
          <w:rFonts w:ascii="宋体" w:hAnsi="宋体" w:cs="宋体" w:eastAsia="宋体" w:hint="default"/>
          <w:sz w:val="18"/>
          <w:szCs w:val="18"/>
        </w:rPr>
        <w:t>2C</w:t>
      </w:r>
      <w:r>
        <w:rPr>
          <w:rFonts w:ascii="宋体" w:hAnsi="宋体" w:cs="宋体" w:eastAsia="宋体" w:hint="default"/>
          <w:spacing w:val="-41"/>
          <w:sz w:val="18"/>
          <w:szCs w:val="18"/>
        </w:rPr>
        <w:t> </w:t>
      </w:r>
      <w:r>
        <w:rPr>
          <w:rFonts w:ascii="宋体" w:hAnsi="宋体" w:cs="宋体" w:eastAsia="宋体" w:hint="default"/>
          <w:sz w:val="18"/>
          <w:szCs w:val="18"/>
        </w:rPr>
        <w:t>产业相结合，充分发挥</w:t>
      </w:r>
    </w:p>
    <w:p>
      <w:pPr>
        <w:pStyle w:val="BodyText"/>
        <w:spacing w:line="221" w:lineRule="exact"/>
        <w:ind w:right="0"/>
        <w:jc w:val="left"/>
      </w:pPr>
      <w:r>
        <w:rPr/>
        <w:t>互联网传媒、旅游、教育等业务板块之间的协同效应，构建“视觉</w:t>
      </w:r>
      <w:r>
        <w:rPr>
          <w:rFonts w:ascii="宋体" w:hAnsi="宋体" w:cs="宋体" w:eastAsia="宋体" w:hint="default"/>
        </w:rPr>
        <w:t>+</w:t>
      </w:r>
      <w:r>
        <w:rPr/>
        <w:t>产业”的战略布局。报告期内，公司通过转让艾特凡斯，</w:t>
      </w:r>
    </w:p>
    <w:p>
      <w:pPr>
        <w:pStyle w:val="BodyText"/>
        <w:spacing w:line="240" w:lineRule="auto" w:before="77"/>
        <w:ind w:right="0"/>
        <w:jc w:val="left"/>
      </w:pPr>
      <w:r>
        <w:rPr/>
        <w:t>剥离非主营业务，进一步优化资产结构。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80" w:right="1190" w:hanging="16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视觉</w:t>
      </w:r>
      <w:r>
        <w:rPr>
          <w:rFonts w:ascii="宋体" w:hAnsi="宋体" w:cs="宋体" w:eastAsia="宋体" w:hint="default"/>
        </w:rPr>
        <w:t>+</w:t>
      </w:r>
      <w:r>
        <w:rPr>
          <w:rFonts w:ascii="宋体" w:hAnsi="宋体" w:cs="宋体" w:eastAsia="宋体" w:hint="default"/>
          <w:b/>
          <w:bCs/>
        </w:rPr>
        <w:t>产业：旅游</w:t>
      </w:r>
      <w:r>
        <w:rPr>
          <w:rFonts w:ascii="宋体" w:hAnsi="宋体" w:cs="宋体" w:eastAsia="宋体" w:hint="default"/>
          <w:b/>
          <w:bCs/>
          <w:w w:val="99"/>
        </w:rPr>
        <w:t> </w:t>
      </w:r>
      <w:r>
        <w:rPr/>
        <w:t>旅游行业与公司的主营业务有着较高的协同效应，是公司“互联网</w:t>
      </w:r>
      <w:r>
        <w:rPr>
          <w:rFonts w:ascii="宋体" w:hAnsi="宋体" w:cs="宋体" w:eastAsia="宋体" w:hint="default"/>
        </w:rPr>
        <w:t>+</w:t>
      </w:r>
      <w:r>
        <w:rPr/>
        <w:t>视觉</w:t>
      </w:r>
      <w:r>
        <w:rPr>
          <w:rFonts w:ascii="宋体" w:hAnsi="宋体" w:cs="宋体" w:eastAsia="宋体" w:hint="default"/>
        </w:rPr>
        <w:t>+</w:t>
      </w:r>
      <w:r>
        <w:rPr/>
        <w:t>行业”战略的重要体现。</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2</w:t>
      </w:r>
      <w:r>
        <w:rPr>
          <w:rFonts w:ascii="宋体" w:hAnsi="宋体" w:cs="宋体" w:eastAsia="宋体" w:hint="default"/>
          <w:spacing w:val="-47"/>
        </w:rPr>
        <w:t> </w:t>
      </w:r>
      <w:r>
        <w:rPr/>
        <w:t>月</w:t>
      </w:r>
      <w:r>
        <w:rPr>
          <w:spacing w:val="-46"/>
        </w:rPr>
        <w:t> </w:t>
      </w:r>
      <w:r>
        <w:rPr>
          <w:rFonts w:ascii="宋体" w:hAnsi="宋体" w:cs="宋体" w:eastAsia="宋体" w:hint="default"/>
        </w:rPr>
        <w:t>6</w:t>
      </w:r>
      <w:r>
        <w:rPr>
          <w:rFonts w:ascii="宋体" w:hAnsi="宋体" w:cs="宋体" w:eastAsia="宋体" w:hint="default"/>
          <w:spacing w:val="-47"/>
        </w:rPr>
        <w:t> </w:t>
      </w:r>
      <w:r>
        <w:rPr/>
        <w:t>日</w:t>
      </w:r>
    </w:p>
    <w:p>
      <w:pPr>
        <w:pStyle w:val="BodyText"/>
        <w:spacing w:line="319" w:lineRule="auto" w:before="31"/>
        <w:ind w:right="1094"/>
        <w:jc w:val="both"/>
      </w:pPr>
      <w:r>
        <w:rPr/>
        <w:t>国家旅游数据中心发布《</w:t>
      </w:r>
      <w:r>
        <w:rPr>
          <w:rFonts w:ascii="宋体" w:hAnsi="宋体" w:cs="宋体" w:eastAsia="宋体" w:hint="default"/>
        </w:rPr>
        <w:t>2017</w:t>
      </w:r>
      <w:r>
        <w:rPr>
          <w:rFonts w:ascii="宋体" w:hAnsi="宋体" w:cs="宋体" w:eastAsia="宋体" w:hint="default"/>
          <w:spacing w:val="-46"/>
        </w:rPr>
        <w:t> </w:t>
      </w:r>
      <w:r>
        <w:rPr/>
        <w:t>年全年旅游市场及综合贡献数据报告》。</w:t>
      </w:r>
      <w:r>
        <w:rPr>
          <w:rFonts w:ascii="宋体" w:hAnsi="宋体" w:cs="宋体" w:eastAsia="宋体" w:hint="default"/>
        </w:rPr>
        <w:t>2017</w:t>
      </w:r>
      <w:r>
        <w:rPr>
          <w:rFonts w:ascii="宋体" w:hAnsi="宋体" w:cs="宋体" w:eastAsia="宋体" w:hint="default"/>
          <w:spacing w:val="-46"/>
        </w:rPr>
        <w:t> </w:t>
      </w:r>
      <w:r>
        <w:rPr/>
        <w:t>年，国内旅游市场高速增长，入出境市场平稳 发展，供给侧结构性改革成效明显。国内旅游人数</w:t>
      </w:r>
      <w:r>
        <w:rPr>
          <w:spacing w:val="-45"/>
        </w:rPr>
        <w:t> </w:t>
      </w:r>
      <w:r>
        <w:rPr>
          <w:rFonts w:ascii="宋体" w:hAnsi="宋体" w:cs="宋体" w:eastAsia="宋体" w:hint="default"/>
        </w:rPr>
        <w:t>50.01</w:t>
      </w:r>
      <w:r>
        <w:rPr>
          <w:rFonts w:ascii="宋体" w:hAnsi="宋体" w:cs="宋体" w:eastAsia="宋体" w:hint="default"/>
          <w:spacing w:val="-46"/>
        </w:rPr>
        <w:t> </w:t>
      </w:r>
      <w:r>
        <w:rPr/>
        <w:t>亿人次，比上年同期增长</w:t>
      </w:r>
      <w:r>
        <w:rPr>
          <w:spacing w:val="-46"/>
        </w:rPr>
        <w:t> </w:t>
      </w:r>
      <w:r>
        <w:rPr>
          <w:rFonts w:ascii="宋体" w:hAnsi="宋体" w:cs="宋体" w:eastAsia="宋体" w:hint="default"/>
        </w:rPr>
        <w:t>12.8%</w:t>
      </w:r>
      <w:r>
        <w:rPr/>
        <w:t>；入出境旅游总人数</w:t>
      </w:r>
      <w:r>
        <w:rPr>
          <w:spacing w:val="-46"/>
        </w:rPr>
        <w:t> </w:t>
      </w:r>
      <w:r>
        <w:rPr>
          <w:rFonts w:ascii="宋体" w:hAnsi="宋体" w:cs="宋体" w:eastAsia="宋体" w:hint="default"/>
        </w:rPr>
        <w:t>2.7</w:t>
      </w:r>
      <w:r>
        <w:rPr>
          <w:rFonts w:ascii="宋体" w:hAnsi="宋体" w:cs="宋体" w:eastAsia="宋体" w:hint="default"/>
          <w:spacing w:val="-45"/>
        </w:rPr>
        <w:t> </w:t>
      </w:r>
      <w:r>
        <w:rPr/>
        <w:t>亿人次， 同比增长</w:t>
      </w:r>
      <w:r>
        <w:rPr>
          <w:spacing w:val="-47"/>
        </w:rPr>
        <w:t> </w:t>
      </w:r>
      <w:r>
        <w:rPr>
          <w:rFonts w:ascii="宋体" w:hAnsi="宋体" w:cs="宋体" w:eastAsia="宋体" w:hint="default"/>
        </w:rPr>
        <w:t>3.7%</w:t>
      </w:r>
      <w:r>
        <w:rPr/>
        <w:t>；全年实现旅游总收入</w:t>
      </w:r>
      <w:r>
        <w:rPr>
          <w:spacing w:val="-47"/>
        </w:rPr>
        <w:t> </w:t>
      </w:r>
      <w:r>
        <w:rPr>
          <w:rFonts w:ascii="宋体" w:hAnsi="宋体" w:cs="宋体" w:eastAsia="宋体" w:hint="default"/>
        </w:rPr>
        <w:t>5.40</w:t>
      </w:r>
      <w:r>
        <w:rPr>
          <w:rFonts w:ascii="宋体" w:hAnsi="宋体" w:cs="宋体" w:eastAsia="宋体" w:hint="default"/>
          <w:spacing w:val="-46"/>
        </w:rPr>
        <w:t> </w:t>
      </w:r>
      <w:r>
        <w:rPr>
          <w:spacing w:val="-4"/>
        </w:rPr>
        <w:t>万亿元，增长</w:t>
      </w:r>
      <w:r>
        <w:rPr>
          <w:spacing w:val="-47"/>
        </w:rPr>
        <w:t> </w:t>
      </w:r>
      <w:r>
        <w:rPr>
          <w:rFonts w:ascii="宋体" w:hAnsi="宋体" w:cs="宋体" w:eastAsia="宋体" w:hint="default"/>
          <w:spacing w:val="-3"/>
        </w:rPr>
        <w:t>15.1%</w:t>
      </w:r>
      <w:r>
        <w:rPr>
          <w:spacing w:val="-3"/>
        </w:rPr>
        <w:t>。初步测算，全年全国旅游业对</w:t>
      </w:r>
      <w:r>
        <w:rPr>
          <w:spacing w:val="-47"/>
        </w:rPr>
        <w:t> </w:t>
      </w:r>
      <w:r>
        <w:rPr>
          <w:rFonts w:ascii="宋体" w:hAnsi="宋体" w:cs="宋体" w:eastAsia="宋体" w:hint="default"/>
        </w:rPr>
        <w:t>GDP</w:t>
      </w:r>
      <w:r>
        <w:rPr>
          <w:rFonts w:ascii="宋体" w:hAnsi="宋体" w:cs="宋体" w:eastAsia="宋体" w:hint="default"/>
          <w:spacing w:val="-46"/>
        </w:rPr>
        <w:t> </w:t>
      </w:r>
      <w:r>
        <w:rPr/>
        <w:t>的综合贡献为</w:t>
      </w:r>
      <w:r>
        <w:rPr>
          <w:spacing w:val="-47"/>
        </w:rPr>
        <w:t> </w:t>
      </w:r>
      <w:r>
        <w:rPr>
          <w:rFonts w:ascii="宋体" w:hAnsi="宋体" w:cs="宋体" w:eastAsia="宋体" w:hint="default"/>
        </w:rPr>
        <w:t>9.13</w:t>
      </w:r>
      <w:r>
        <w:rPr>
          <w:rFonts w:ascii="宋体" w:hAnsi="宋体" w:cs="宋体" w:eastAsia="宋体" w:hint="default"/>
          <w:spacing w:val="-47"/>
        </w:rPr>
        <w:t> </w:t>
      </w:r>
      <w:r>
        <w:rPr/>
        <w:t>万亿</w:t>
      </w:r>
      <w:r>
        <w:rPr>
          <w:spacing w:val="1"/>
        </w:rPr>
        <w:t> </w:t>
      </w:r>
      <w:r>
        <w:rPr/>
        <w:t>元，占</w:t>
      </w:r>
      <w:r>
        <w:rPr>
          <w:spacing w:val="-46"/>
        </w:rPr>
        <w:t> </w:t>
      </w:r>
      <w:r>
        <w:rPr>
          <w:rFonts w:ascii="宋体" w:hAnsi="宋体" w:cs="宋体" w:eastAsia="宋体" w:hint="default"/>
        </w:rPr>
        <w:t>GDP</w:t>
      </w:r>
      <w:r>
        <w:rPr>
          <w:rFonts w:ascii="宋体" w:hAnsi="宋体" w:cs="宋体" w:eastAsia="宋体" w:hint="default"/>
          <w:spacing w:val="-46"/>
        </w:rPr>
        <w:t> </w:t>
      </w:r>
      <w:r>
        <w:rPr/>
        <w:t>总量的</w:t>
      </w:r>
      <w:r>
        <w:rPr>
          <w:spacing w:val="-46"/>
        </w:rPr>
        <w:t> </w:t>
      </w:r>
      <w:r>
        <w:rPr>
          <w:rFonts w:ascii="宋体" w:hAnsi="宋体" w:cs="宋体" w:eastAsia="宋体" w:hint="default"/>
        </w:rPr>
        <w:t>11.04%</w:t>
      </w:r>
      <w:r>
        <w:rPr/>
        <w:t>。</w:t>
      </w:r>
      <w:r>
        <w:rPr>
          <w:rFonts w:ascii="宋体" w:hAnsi="宋体" w:cs="宋体" w:eastAsia="宋体" w:hint="default"/>
        </w:rPr>
        <w:t>2017</w:t>
      </w:r>
      <w:r>
        <w:rPr>
          <w:rFonts w:ascii="宋体" w:hAnsi="宋体" w:cs="宋体" w:eastAsia="宋体" w:hint="default"/>
          <w:spacing w:val="-46"/>
        </w:rPr>
        <w:t> </w:t>
      </w:r>
      <w:r>
        <w:rPr/>
        <w:t>年我国旅游经济保持快速增长，</w:t>
      </w:r>
      <w:r>
        <w:rPr>
          <w:rFonts w:ascii="宋体" w:hAnsi="宋体" w:cs="宋体" w:eastAsia="宋体" w:hint="default"/>
        </w:rPr>
        <w:t>2018</w:t>
      </w:r>
      <w:r>
        <w:rPr>
          <w:rFonts w:ascii="宋体" w:hAnsi="宋体" w:cs="宋体" w:eastAsia="宋体" w:hint="default"/>
          <w:spacing w:val="-46"/>
        </w:rPr>
        <w:t> </w:t>
      </w:r>
      <w:r>
        <w:rPr/>
        <w:t>年将继续保持繁荣增长的乐观发展趋势。</w:t>
      </w:r>
    </w:p>
    <w:p>
      <w:pPr>
        <w:pStyle w:val="BodyText"/>
        <w:spacing w:line="316" w:lineRule="auto" w:before="17"/>
        <w:ind w:right="1025" w:firstLine="360"/>
        <w:jc w:val="left"/>
      </w:pPr>
      <w:r>
        <w:rPr>
          <w:spacing w:val="-4"/>
        </w:rPr>
        <w:t>原国家旅游局修订了《旅行社条例》《导游人员管理条例》《中国公民出国旅游管理办法》，制定修订《导游管理办法》</w:t>
      </w:r>
      <w:r>
        <w:rPr/>
        <w:t> 等</w:t>
      </w:r>
      <w:r>
        <w:rPr>
          <w:spacing w:val="-67"/>
        </w:rPr>
        <w:t> </w:t>
      </w:r>
      <w:r>
        <w:rPr>
          <w:rFonts w:ascii="宋体" w:hAnsi="宋体" w:cs="宋体" w:eastAsia="宋体" w:hint="default"/>
        </w:rPr>
        <w:t>3</w:t>
      </w:r>
      <w:r>
        <w:rPr>
          <w:rFonts w:ascii="宋体" w:hAnsi="宋体" w:cs="宋体" w:eastAsia="宋体" w:hint="default"/>
          <w:spacing w:val="-67"/>
        </w:rPr>
        <w:t> </w:t>
      </w:r>
      <w:r>
        <w:rPr/>
        <w:t>件旅游规章，《导游管理办法》对导游执业的许可、管理、保障与激励、罚则等作了明确规定，并规定导游出现强迫购 </w:t>
      </w:r>
      <w:r>
        <w:rPr>
          <w:spacing w:val="-2"/>
        </w:rPr>
        <w:t>物、吃回扣等行为时，最高处罚可以吊销导游资格证。《导游管理办法》规定，导游证采用电子证件形式，以电子数据形式</w:t>
      </w:r>
      <w:r>
        <w:rPr>
          <w:spacing w:val="-70"/>
        </w:rPr>
        <w:t> </w:t>
      </w:r>
      <w:r>
        <w:rPr>
          <w:spacing w:val="-70"/>
        </w:rPr>
      </w:r>
      <w:r>
        <w:rPr>
          <w:spacing w:val="-2"/>
        </w:rPr>
        <w:t>存储于导游个人的移动电话等移动终端设备中，游客、景区、执法人员等通过扫描电子导游证上的二维码识别导游身份。今</w:t>
      </w:r>
      <w:r>
        <w:rPr>
          <w:spacing w:val="-66"/>
        </w:rPr>
        <w:t> </w:t>
      </w:r>
      <w:r>
        <w:rPr>
          <w:spacing w:val="-66"/>
        </w:rPr>
      </w:r>
      <w:r>
        <w:rPr/>
        <w:t>后，导游将使用电子导游证、佩戴卡片式“导游身份标识”，并开启“全国导游之家”</w:t>
      </w:r>
      <w:r>
        <w:rPr>
          <w:rFonts w:ascii="宋体" w:hAnsi="宋体" w:cs="宋体" w:eastAsia="宋体" w:hint="default"/>
        </w:rPr>
        <w:t>APP</w:t>
      </w:r>
      <w:r>
        <w:rPr>
          <w:rFonts w:ascii="宋体" w:hAnsi="宋体" w:cs="宋体" w:eastAsia="宋体" w:hint="default"/>
          <w:spacing w:val="-58"/>
        </w:rPr>
        <w:t> </w:t>
      </w:r>
      <w:r>
        <w:rPr/>
        <w:t>执业，导游的执业轨迹、评价信 </w:t>
      </w:r>
      <w:r>
        <w:rPr>
          <w:spacing w:val="-2"/>
        </w:rPr>
        <w:t>息、奖惩情况等信息，都将归集于电子导游证内，形成导游的“执业档案”。可以看出，政府对旅游秩序整治和行业监管达</w:t>
      </w:r>
      <w:r>
        <w:rPr>
          <w:spacing w:val="-70"/>
        </w:rPr>
        <w:t> </w:t>
      </w:r>
      <w:r>
        <w:rPr>
          <w:spacing w:val="-70"/>
        </w:rPr>
      </w:r>
      <w:r>
        <w:rPr/>
        <w:t>到了一个新的高度。</w:t>
      </w:r>
    </w:p>
    <w:p>
      <w:pPr>
        <w:pStyle w:val="BodyText"/>
        <w:spacing w:line="316" w:lineRule="auto" w:before="19"/>
        <w:ind w:right="1025" w:firstLine="360"/>
        <w:jc w:val="left"/>
      </w:pPr>
      <w:r>
        <w:rPr/>
        <w:t>公司于</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spacing w:val="-3"/>
        </w:rPr>
        <w:t>月中标国家旅游局“国家智慧旅游公共服务平台”</w:t>
      </w:r>
      <w:r>
        <w:rPr>
          <w:rFonts w:ascii="宋体" w:hAnsi="宋体" w:cs="宋体" w:eastAsia="宋体" w:hint="default"/>
          <w:spacing w:val="-3"/>
        </w:rPr>
        <w:t>20</w:t>
      </w:r>
      <w:r>
        <w:rPr>
          <w:rFonts w:ascii="宋体" w:hAnsi="宋体" w:cs="宋体" w:eastAsia="宋体" w:hint="default"/>
          <w:spacing w:val="-44"/>
        </w:rPr>
        <w:t> </w:t>
      </w:r>
      <w:r>
        <w:rPr>
          <w:spacing w:val="-3"/>
        </w:rPr>
        <w:t>年的特许经营权，并参股</w:t>
      </w:r>
      <w:r>
        <w:rPr>
          <w:spacing w:val="-44"/>
        </w:rPr>
        <w:t> </w:t>
      </w:r>
      <w:r>
        <w:rPr>
          <w:rFonts w:ascii="宋体" w:hAnsi="宋体" w:cs="宋体" w:eastAsia="宋体" w:hint="default"/>
        </w:rPr>
        <w:t>45%</w:t>
      </w:r>
      <w:r>
        <w:rPr/>
        <w:t>成立了唱游信息技 术有限公司作为视觉中国在旅游行业的项目实施载体。</w:t>
      </w:r>
      <w:r>
        <w:rPr>
          <w:rFonts w:ascii="宋体" w:hAnsi="宋体" w:cs="宋体" w:eastAsia="宋体" w:hint="default"/>
        </w:rPr>
        <w:t>2017</w:t>
      </w:r>
      <w:r>
        <w:rPr>
          <w:rFonts w:ascii="宋体" w:hAnsi="宋体" w:cs="宋体" w:eastAsia="宋体" w:hint="default"/>
          <w:spacing w:val="-46"/>
        </w:rPr>
        <w:t> </w:t>
      </w:r>
      <w:r>
        <w:rPr/>
        <w:t>年，随着“国家智慧旅游公共服务平台”、“全国旅游监管服 </w:t>
      </w:r>
      <w:r>
        <w:rPr>
          <w:spacing w:val="-4"/>
        </w:rPr>
        <w:t>务平台”和“国家旅游产业运行监测与应急指挥平台”陆续上线，逐渐形成了基于旅游行业大数据的国家旅游综合管理平台。</w:t>
      </w:r>
      <w:r>
        <w:rPr>
          <w:spacing w:val="-46"/>
        </w:rPr>
        <w:t> </w:t>
      </w:r>
      <w:r>
        <w:rPr>
          <w:spacing w:val="-46"/>
        </w:rPr>
      </w:r>
      <w:r>
        <w:rPr>
          <w:rFonts w:ascii="宋体" w:hAnsi="宋体" w:cs="宋体" w:eastAsia="宋体" w:hint="default"/>
        </w:rPr>
        <w:t>2017</w:t>
      </w:r>
      <w:r>
        <w:rPr>
          <w:rFonts w:ascii="宋体" w:hAnsi="宋体" w:cs="宋体" w:eastAsia="宋体" w:hint="default"/>
          <w:spacing w:val="-46"/>
        </w:rPr>
        <w:t> </w:t>
      </w:r>
      <w:r>
        <w:rPr/>
        <w:t>年，完成“全国旅游监管服务平台”</w:t>
      </w:r>
      <w:r>
        <w:rPr>
          <w:rFonts w:ascii="宋体" w:hAnsi="宋体" w:cs="宋体" w:eastAsia="宋体" w:hint="default"/>
        </w:rPr>
        <w:t>6</w:t>
      </w:r>
      <w:r>
        <w:rPr>
          <w:rFonts w:ascii="宋体" w:hAnsi="宋体" w:cs="宋体" w:eastAsia="宋体" w:hint="default"/>
          <w:spacing w:val="-46"/>
        </w:rPr>
        <w:t> </w:t>
      </w:r>
      <w:r>
        <w:rPr/>
        <w:t>省市试点和</w:t>
      </w:r>
      <w:r>
        <w:rPr>
          <w:spacing w:val="-46"/>
        </w:rPr>
        <w:t> </w:t>
      </w:r>
      <w:r>
        <w:rPr>
          <w:rFonts w:ascii="宋体" w:hAnsi="宋体" w:cs="宋体" w:eastAsia="宋体" w:hint="default"/>
        </w:rPr>
        <w:t>17</w:t>
      </w:r>
      <w:r>
        <w:rPr>
          <w:rFonts w:ascii="宋体" w:hAnsi="宋体" w:cs="宋体" w:eastAsia="宋体" w:hint="default"/>
          <w:spacing w:val="-45"/>
        </w:rPr>
        <w:t> </w:t>
      </w:r>
      <w:r>
        <w:rPr/>
        <w:t>省培训落地工程，实现全国旅行社信息管理、团队管理、电子行 </w:t>
      </w:r>
      <w:r>
        <w:rPr>
          <w:spacing w:val="-2"/>
        </w:rPr>
        <w:t>程单和电子合同的统一监管，将全国旅游咨询投诉数据、全国导游认证评价数据、全国旅行社团队数据全部打通，以信息技</w:t>
      </w:r>
      <w:r>
        <w:rPr>
          <w:spacing w:val="-66"/>
        </w:rPr>
        <w:t> </w:t>
      </w:r>
      <w:r>
        <w:rPr>
          <w:spacing w:val="-66"/>
        </w:rPr>
      </w:r>
      <w:r>
        <w:rPr/>
        <w:t>术手段推动旅游治理体系和治理能力现代化。截止到</w:t>
      </w:r>
      <w:r>
        <w:rPr>
          <w:spacing w:val="-45"/>
        </w:rPr>
        <w:t> </w:t>
      </w:r>
      <w:r>
        <w:rPr>
          <w:rFonts w:ascii="宋体" w:hAnsi="宋体" w:cs="宋体" w:eastAsia="宋体" w:hint="default"/>
        </w:rPr>
        <w:t>2017</w:t>
      </w:r>
      <w:r>
        <w:rPr>
          <w:rFonts w:ascii="宋体" w:hAnsi="宋体" w:cs="宋体" w:eastAsia="宋体" w:hint="default"/>
          <w:spacing w:val="-46"/>
        </w:rPr>
        <w:t> </w:t>
      </w:r>
      <w:r>
        <w:rPr/>
        <w:t>年底，共组织地方培训会</w:t>
      </w:r>
      <w:r>
        <w:rPr>
          <w:spacing w:val="-46"/>
        </w:rPr>
        <w:t> </w:t>
      </w:r>
      <w:r>
        <w:rPr>
          <w:rFonts w:ascii="宋体" w:hAnsi="宋体" w:cs="宋体" w:eastAsia="宋体" w:hint="default"/>
        </w:rPr>
        <w:t>87</w:t>
      </w:r>
      <w:r>
        <w:rPr>
          <w:rFonts w:ascii="宋体" w:hAnsi="宋体" w:cs="宋体" w:eastAsia="宋体" w:hint="default"/>
          <w:spacing w:val="-45"/>
        </w:rPr>
        <w:t> </w:t>
      </w:r>
      <w:r>
        <w:rPr/>
        <w:t>场，培训旅行社</w:t>
      </w:r>
      <w:r>
        <w:rPr>
          <w:spacing w:val="-46"/>
        </w:rPr>
        <w:t> </w:t>
      </w:r>
      <w:r>
        <w:rPr>
          <w:rFonts w:ascii="宋体" w:hAnsi="宋体" w:cs="宋体" w:eastAsia="宋体" w:hint="default"/>
        </w:rPr>
        <w:t>9796</w:t>
      </w:r>
      <w:r>
        <w:rPr>
          <w:rFonts w:ascii="宋体" w:hAnsi="宋体" w:cs="宋体" w:eastAsia="宋体" w:hint="default"/>
          <w:spacing w:val="-46"/>
        </w:rPr>
        <w:t> </w:t>
      </w:r>
      <w:r>
        <w:rPr/>
        <w:t>家，共计培训</w:t>
      </w:r>
    </w:p>
    <w:p>
      <w:pPr>
        <w:pStyle w:val="BodyText"/>
        <w:spacing w:line="316" w:lineRule="auto" w:before="19"/>
        <w:ind w:left="154" w:right="1133"/>
        <w:jc w:val="both"/>
      </w:pPr>
      <w:r>
        <w:rPr>
          <w:rFonts w:ascii="宋体" w:hAnsi="宋体" w:cs="宋体" w:eastAsia="宋体" w:hint="default"/>
        </w:rPr>
        <w:t>16,082</w:t>
      </w:r>
      <w:r>
        <w:rPr>
          <w:rFonts w:ascii="宋体" w:hAnsi="宋体" w:cs="宋体" w:eastAsia="宋体" w:hint="default"/>
          <w:spacing w:val="-46"/>
        </w:rPr>
        <w:t> </w:t>
      </w:r>
      <w:r>
        <w:rPr/>
        <w:t>人次，实现全国范围内的游客的投诉和咨询、导游的从业资质和评估、旅行社的资质审批、电子合同和团队信息等 </w:t>
      </w:r>
      <w:r>
        <w:rPr>
          <w:spacing w:val="-2"/>
        </w:rPr>
        <w:t>数据的对接、融合和分析，并为游客、涉旅企业和政府提供刚性需求的服务，真正做到“政府服务市场，大众服务大众”的</w:t>
      </w:r>
      <w:r>
        <w:rPr>
          <w:spacing w:val="-71"/>
        </w:rPr>
        <w:t> </w:t>
      </w:r>
      <w:r>
        <w:rPr>
          <w:spacing w:val="-71"/>
        </w:rPr>
      </w:r>
      <w:r>
        <w:rPr/>
        <w:t>全新的行业生态。在公共服务方面，唱游公司在</w:t>
      </w:r>
      <w:r>
        <w:rPr>
          <w:spacing w:val="-45"/>
        </w:rPr>
        <w:t> </w:t>
      </w:r>
      <w:r>
        <w:rPr>
          <w:rFonts w:ascii="宋体" w:hAnsi="宋体" w:cs="宋体" w:eastAsia="宋体" w:hint="default"/>
        </w:rPr>
        <w:t>2017</w:t>
      </w:r>
      <w:r>
        <w:rPr>
          <w:rFonts w:ascii="宋体" w:hAnsi="宋体" w:cs="宋体" w:eastAsia="宋体" w:hint="default"/>
          <w:spacing w:val="-46"/>
        </w:rPr>
        <w:t> </w:t>
      </w:r>
      <w:r>
        <w:rPr/>
        <w:t>年承接和开发了全国旅游厕所项目管理系统，全国旅游厕所项目管理</w:t>
      </w:r>
    </w:p>
    <w:p>
      <w:pPr>
        <w:pStyle w:val="BodyText"/>
        <w:spacing w:line="316" w:lineRule="auto" w:before="19"/>
        <w:ind w:right="1139"/>
        <w:jc w:val="both"/>
      </w:pPr>
      <w:r>
        <w:rPr/>
        <w:t>系统支持全国旅游厕所的计划申报、审核、进度填报、评定验收等环节的在线操作和管理。唱游公司在</w:t>
      </w:r>
      <w:r>
        <w:rPr>
          <w:spacing w:val="-45"/>
        </w:rPr>
        <w:t> </w:t>
      </w:r>
      <w:r>
        <w:rPr>
          <w:rFonts w:ascii="宋体" w:hAnsi="宋体" w:cs="宋体" w:eastAsia="宋体" w:hint="default"/>
        </w:rPr>
        <w:t>2017</w:t>
      </w:r>
      <w:r>
        <w:rPr>
          <w:rFonts w:ascii="宋体" w:hAnsi="宋体" w:cs="宋体" w:eastAsia="宋体" w:hint="default"/>
          <w:spacing w:val="-46"/>
        </w:rPr>
        <w:t> </w:t>
      </w:r>
      <w:r>
        <w:rPr/>
        <w:t>年分别与高德 地图和百度地图签订了战略合作伙伴，在公共服务和商业服务上积极探索。</w:t>
      </w:r>
    </w:p>
    <w:p>
      <w:pPr>
        <w:pStyle w:val="BodyText"/>
        <w:spacing w:line="338" w:lineRule="auto" w:before="59"/>
        <w:ind w:left="469" w:right="1167" w:firstLine="224"/>
        <w:jc w:val="left"/>
      </w:pPr>
      <w:r>
        <w:rPr>
          <w:rFonts w:ascii="Times New Roman" w:hAnsi="Times New Roman" w:cs="Times New Roman" w:eastAsia="Times New Roman" w:hint="default"/>
          <w:b/>
          <w:bCs/>
        </w:rPr>
        <w:t>2</w:t>
      </w:r>
      <w:r>
        <w:rPr>
          <w:rFonts w:ascii="宋体" w:hAnsi="宋体" w:cs="宋体" w:eastAsia="宋体" w:hint="default"/>
          <w:b/>
          <w:bCs/>
        </w:rPr>
        <w:t>、视觉</w:t>
      </w:r>
      <w:r>
        <w:rPr>
          <w:rFonts w:ascii="Times New Roman" w:hAnsi="Times New Roman" w:cs="Times New Roman" w:eastAsia="Times New Roman" w:hint="default"/>
        </w:rPr>
        <w:t>+</w:t>
      </w:r>
      <w:r>
        <w:rPr>
          <w:rFonts w:ascii="宋体" w:hAnsi="宋体" w:cs="宋体" w:eastAsia="宋体" w:hint="default"/>
          <w:b/>
          <w:bCs/>
        </w:rPr>
        <w:t>产业：教育</w:t>
      </w:r>
      <w:r>
        <w:rPr>
          <w:rFonts w:ascii="宋体" w:hAnsi="宋体" w:cs="宋体" w:eastAsia="宋体" w:hint="default"/>
          <w:b/>
          <w:bCs/>
          <w:w w:val="99"/>
        </w:rPr>
        <w:t> </w:t>
      </w:r>
      <w:r>
        <w:rPr/>
        <w:t>教育产业对优质内容是刚需，对教育的投入符合国家的发展战略。公司从</w:t>
      </w:r>
      <w:r>
        <w:rPr>
          <w:rFonts w:ascii="宋体" w:hAnsi="宋体" w:cs="宋体" w:eastAsia="宋体" w:hint="default"/>
        </w:rPr>
        <w:t>2015</w:t>
      </w:r>
      <w:r>
        <w:rPr/>
        <w:t>年开始切入教育行业，开始了“视觉</w:t>
      </w:r>
      <w:r>
        <w:rPr>
          <w:rFonts w:ascii="宋体" w:hAnsi="宋体" w:cs="宋体" w:eastAsia="宋体" w:hint="default"/>
        </w:rPr>
        <w:t>+</w:t>
      </w:r>
      <w:r>
        <w:rPr/>
        <w:t>教</w:t>
      </w:r>
    </w:p>
    <w:p>
      <w:pPr>
        <w:pStyle w:val="BodyText"/>
        <w:spacing w:line="316" w:lineRule="auto" w:before="2"/>
        <w:ind w:right="0"/>
        <w:jc w:val="left"/>
      </w:pPr>
      <w:r>
        <w:rPr>
          <w:spacing w:val="-2"/>
        </w:rPr>
        <w:t>育”的布局，先后参与湖北司马彦文化科技有限公司、广东易教优培教育科技有限公司的投资，增强对</w:t>
      </w:r>
      <w:r>
        <w:rPr>
          <w:rFonts w:ascii="宋体" w:hAnsi="宋体" w:cs="宋体" w:eastAsia="宋体" w:hint="default"/>
          <w:spacing w:val="-2"/>
        </w:rPr>
        <w:t>K12</w:t>
      </w:r>
      <w:r>
        <w:rPr>
          <w:spacing w:val="-2"/>
        </w:rPr>
        <w:t>教育市场的覆盖。</w:t>
      </w:r>
      <w:r>
        <w:rPr>
          <w:spacing w:val="-61"/>
        </w:rPr>
        <w:t> </w:t>
      </w:r>
      <w:r>
        <w:rPr/>
        <w:t>公司希望通过与教育行业的平台型公司，及</w:t>
      </w:r>
      <w:r>
        <w:rPr>
          <w:rFonts w:ascii="宋体" w:hAnsi="宋体" w:cs="宋体" w:eastAsia="宋体" w:hint="default"/>
        </w:rPr>
        <w:t>K12</w:t>
      </w:r>
      <w:r>
        <w:rPr/>
        <w:t>教育的优质“流量”入口的战略合作，通过积累的</w:t>
      </w:r>
      <w:r>
        <w:rPr>
          <w:rFonts w:ascii="宋体" w:hAnsi="宋体" w:cs="宋体" w:eastAsia="宋体" w:hint="default"/>
        </w:rPr>
        <w:t>K12</w:t>
      </w:r>
      <w:r>
        <w:rPr>
          <w:rFonts w:ascii="宋体" w:hAnsi="宋体" w:cs="宋体" w:eastAsia="宋体" w:hint="default"/>
          <w:spacing w:val="36"/>
        </w:rPr>
        <w:t> </w:t>
      </w:r>
      <w:r>
        <w:rPr/>
        <w:t>师生资源，着手打造 对</w:t>
      </w:r>
      <w:r>
        <w:rPr>
          <w:rFonts w:ascii="宋体" w:hAnsi="宋体" w:cs="宋体" w:eastAsia="宋体" w:hint="default"/>
        </w:rPr>
        <w:t>K12</w:t>
      </w:r>
      <w:r>
        <w:rPr/>
        <w:t>师生教育提升的视觉产品与服务能力，生意模式成型，将优质“视觉”核心业务逐步地拓展到</w:t>
      </w:r>
      <w:r>
        <w:rPr>
          <w:rFonts w:ascii="宋体" w:hAnsi="宋体" w:cs="宋体" w:eastAsia="宋体" w:hint="default"/>
        </w:rPr>
        <w:t>K12</w:t>
      </w:r>
      <w:r>
        <w:rPr/>
        <w:t>市场，形成版权</w:t>
      </w:r>
      <w:r>
        <w:rPr>
          <w:rFonts w:ascii="宋体" w:hAnsi="宋体" w:cs="宋体" w:eastAsia="宋体" w:hint="default"/>
        </w:rPr>
        <w:t>IP </w:t>
      </w:r>
      <w:r>
        <w:rPr/>
        <w:t>切入教育行业的初步战略布局。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22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814,570,532.71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735,497,004.94</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654,321,277.15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561,263,739.42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16.58%</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160,249,255.56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174,233,265.52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23.69%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583,744,525.12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448,575,036.15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70,576,752.03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112,688,703.27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20,136,699.54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54,907,594.10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140,112,556.02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119,325,671.42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778,240,344.58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722,070,812.37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36,330,188.13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13,426,192.57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170.59%</w:t>
            </w:r>
          </w:p>
        </w:tc>
      </w:tr>
    </w:tbl>
    <w:p>
      <w:pPr>
        <w:pStyle w:val="BodyText"/>
        <w:spacing w:line="360" w:lineRule="auto" w:before="51"/>
        <w:ind w:left="514" w:right="5892" w:hanging="360"/>
        <w:jc w:val="left"/>
      </w:pPr>
      <w:r>
        <w:rPr/>
        <w:t>注：互联网传媒包含：①视觉内容与服务，②广告创意服务； 旅游及其他包含：①数字娱乐，②软件信息服务。</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7"/>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654,321,277.15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208,239,481.42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160,249,255.56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69,865,687.83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11.52%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583,744,525.12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181,694,568.68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70,576,752.03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26,544,912.74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20,136,699.54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3,787,208.10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54.57%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140,112,556.02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66,078,479.73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778,240,344.58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277,032,785.74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36,330,188.13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1,072,383.51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6"/>
        <w:ind w:left="0" w:right="131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208,239,481.42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208,987,730.07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69,865,687.83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96,030,457.56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-27.25%</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181,694,568.68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141,818,308.41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广告创意服务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26,544,912.74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67,169,421.66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3,787,208.10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40,288,092.99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设备采购及安装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66,078,479.73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55,742,364.57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71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w:t>
      </w:r>
      <w:r>
        <w:rPr>
          <w:rFonts w:ascii="Times New Roman" w:hAnsi="Times New Roman" w:cs="Times New Roman" w:eastAsia="Times New Roman" w:hint="default"/>
        </w:rPr>
        <w:t>“</w:t>
      </w:r>
      <w:r>
        <w:rPr/>
        <w:t>第十一节，八、合并范围的变更</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2"/>
          <w:szCs w:val="22"/>
        </w:rPr>
      </w:pPr>
    </w:p>
    <w:p>
      <w:pPr>
        <w:pStyle w:val="Heading3"/>
        <w:spacing w:line="240" w:lineRule="auto"/>
        <w:ind w:left="15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78"/>
        <w:gridCol w:w="4816"/>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115,043,614.23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2" w:right="0"/>
              <w:jc w:val="left"/>
              <w:rPr>
                <w:rFonts w:ascii="Times New Roman" w:hAnsi="Times New Roman" w:cs="Times New Roman" w:eastAsia="Times New Roman" w:hint="default"/>
                <w:sz w:val="18"/>
                <w:szCs w:val="18"/>
              </w:rPr>
            </w:pPr>
            <w:r>
              <w:rPr>
                <w:rFonts w:ascii="Times New Roman"/>
                <w:sz w:val="18"/>
              </w:rPr>
              <w:t>36,330,188.13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20,656,892.00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18,952,966.98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15,913,567.13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115,043,614.23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14.11%</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21"/>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115,443,802.25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41.51%</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50,720,260.73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43,266,497.17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8,796,907.61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6,652,800.00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6,007,336.74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115,443,802.25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41.51%</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6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7"/>
        <w:gridCol w:w="1429"/>
        <w:gridCol w:w="1481"/>
        <w:gridCol w:w="1120"/>
        <w:gridCol w:w="3778"/>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71,542,100.81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68,651,777.89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主要系由于销售规模增长所致</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125,031,616.98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105,839,978.14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18.13%</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主要系由于技术相关费用增加所致</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35,229,297.62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22,949,743.88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53.51%</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主要是由于本期带息负债规模上升所致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本年度公司技术研发项目的：符合公司视觉内容与服务业务规划与发展。 公司研发投入情况</w:t>
      </w:r>
    </w:p>
    <w:tbl>
      <w:tblPr>
        <w:tblW w:w="0" w:type="auto"/>
        <w:jc w:val="left"/>
        <w:tblInd w:w="160" w:type="dxa"/>
        <w:tblLayout w:type="fixed"/>
        <w:tblCellMar>
          <w:top w:w="0" w:type="dxa"/>
          <w:left w:w="0" w:type="dxa"/>
          <w:bottom w:w="0" w:type="dxa"/>
          <w:right w:w="0" w:type="dxa"/>
        </w:tblCellMar>
        <w:tblLook w:val="01E0"/>
      </w:tblPr>
      <w:tblGrid>
        <w:gridCol w:w="2954"/>
        <w:gridCol w:w="2404"/>
        <w:gridCol w:w="2393"/>
        <w:gridCol w:w="1754"/>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130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2392"/>
        <w:gridCol w:w="2393"/>
        <w:gridCol w:w="175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50,165,448.42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35,585,089.40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40.97%</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11,006,456.82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338" w:lineRule="auto" w:before="43"/>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主要系由于公司于本报告期内完成了研发并正式投入使用所致</w:t>
      </w:r>
    </w:p>
    <w:p>
      <w:pPr>
        <w:spacing w:line="240" w:lineRule="auto" w:before="4"/>
        <w:rPr>
          <w:rFonts w:ascii="宋体" w:hAnsi="宋体" w:cs="宋体" w:eastAsia="宋体" w:hint="default"/>
          <w:sz w:val="21"/>
          <w:szCs w:val="21"/>
        </w:rPr>
      </w:pPr>
    </w:p>
    <w:p>
      <w:pPr>
        <w:pStyle w:val="Heading3"/>
        <w:spacing w:line="240" w:lineRule="auto"/>
        <w:ind w:left="154"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0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404"/>
        <w:gridCol w:w="2392"/>
        <w:gridCol w:w="1756"/>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916,778,958.78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843,909,119.29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666,651,328.90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609,424,608.37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250,127,629.88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234,484,510.92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252,816,251.40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189,447,743.32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425,616,781.61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1,028,796,474.06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-172,800,530.21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-839,348,730.74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417,006,650.42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761,671,075.41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555,903,380.39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342,720,869.44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-138,896,729.97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418,950,205.97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-133.15%</w:t>
            </w:r>
            <w:r>
              <w:rPr>
                <w:rFonts w:ascii="Times New Roman"/>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-65,583,726.46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-183,829,057.66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-64.32%</w:t>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203"/>
        <w:jc w:val="left"/>
      </w:pPr>
      <w:r>
        <w:rPr>
          <w:rFonts w:ascii="Times New Roman" w:hAnsi="Times New Roman" w:cs="Times New Roman" w:eastAsia="Times New Roman" w:hint="default"/>
        </w:rPr>
        <w:t>1</w:t>
      </w:r>
      <w:r>
        <w:rPr/>
        <w:t>、 投资活动现金流入小计较上年同期增加 </w:t>
      </w:r>
      <w:r>
        <w:rPr>
          <w:rFonts w:ascii="Times New Roman" w:hAnsi="Times New Roman" w:cs="Times New Roman" w:eastAsia="Times New Roman" w:hint="default"/>
        </w:rPr>
        <w:t>63,368,508.08 </w:t>
      </w:r>
      <w:r>
        <w:rPr/>
        <w:t>元，同比增长</w:t>
      </w:r>
      <w:r>
        <w:rPr>
          <w:spacing w:val="-5"/>
        </w:rPr>
        <w:t> </w:t>
      </w:r>
      <w:r>
        <w:rPr>
          <w:rFonts w:ascii="Times New Roman" w:hAnsi="Times New Roman" w:cs="Times New Roman" w:eastAsia="Times New Roman" w:hint="default"/>
        </w:rPr>
        <w:t>33.45%</w:t>
      </w:r>
      <w:r>
        <w:rPr/>
        <w:t>，主要系处置子公司收到对价款及收到被 投资企业分红所致；</w:t>
      </w:r>
    </w:p>
    <w:p>
      <w:pPr>
        <w:pStyle w:val="BodyText"/>
        <w:spacing w:line="302" w:lineRule="auto" w:before="68"/>
        <w:ind w:right="1120"/>
        <w:jc w:val="left"/>
      </w:pPr>
      <w:r>
        <w:rPr>
          <w:rFonts w:ascii="Times New Roman" w:hAnsi="Times New Roman" w:cs="Times New Roman" w:eastAsia="Times New Roman" w:hint="default"/>
        </w:rPr>
        <w:t>2</w:t>
      </w:r>
      <w:r>
        <w:rPr/>
        <w:t>、 投资活动现金流出小计较上年同期减少 </w:t>
      </w:r>
      <w:r>
        <w:rPr>
          <w:rFonts w:ascii="Times New Roman" w:hAnsi="Times New Roman" w:cs="Times New Roman" w:eastAsia="Times New Roman" w:hint="default"/>
        </w:rPr>
        <w:t>603,179,692.45 </w:t>
      </w:r>
      <w:r>
        <w:rPr>
          <w:spacing w:val="-3"/>
        </w:rPr>
        <w:t>元，同比降低</w:t>
      </w:r>
      <w:r>
        <w:rPr>
          <w:spacing w:val="-24"/>
        </w:rPr>
        <w:t> </w:t>
      </w:r>
      <w:r>
        <w:rPr>
          <w:rFonts w:ascii="Times New Roman" w:hAnsi="Times New Roman" w:cs="Times New Roman" w:eastAsia="Times New Roman" w:hint="default"/>
        </w:rPr>
        <w:t>58.63</w:t>
      </w:r>
      <w:r>
        <w:rPr/>
        <w:t>，主要系本期投资项目较上年同期有所减少 所致；</w:t>
      </w:r>
    </w:p>
    <w:p>
      <w:pPr>
        <w:pStyle w:val="BodyText"/>
        <w:spacing w:line="302" w:lineRule="auto" w:before="68"/>
        <w:ind w:right="1207"/>
        <w:jc w:val="left"/>
      </w:pPr>
      <w:r>
        <w:rPr>
          <w:rFonts w:ascii="Times New Roman" w:hAnsi="Times New Roman" w:cs="Times New Roman" w:eastAsia="Times New Roman" w:hint="default"/>
        </w:rPr>
        <w:t>3</w:t>
      </w:r>
      <w:r>
        <w:rPr/>
        <w:t>、</w:t>
      </w:r>
      <w:r>
        <w:rPr>
          <w:spacing w:val="-1"/>
        </w:rPr>
        <w:t> </w:t>
      </w:r>
      <w:r>
        <w:rPr/>
        <w:t>筹资活动产生的现金流量净额较上年同期减少</w:t>
      </w:r>
      <w:r>
        <w:rPr>
          <w:spacing w:val="-46"/>
        </w:rPr>
        <w:t> </w:t>
      </w:r>
      <w:r>
        <w:rPr>
          <w:rFonts w:ascii="Times New Roman" w:hAnsi="Times New Roman" w:cs="Times New Roman" w:eastAsia="Times New Roman" w:hint="default"/>
        </w:rPr>
        <w:t>557,846,935.94</w:t>
      </w:r>
      <w:r>
        <w:rPr>
          <w:rFonts w:ascii="Times New Roman" w:hAnsi="Times New Roman" w:cs="Times New Roman" w:eastAsia="Times New Roman" w:hint="default"/>
          <w:spacing w:val="-1"/>
        </w:rPr>
        <w:t> </w:t>
      </w:r>
      <w:r>
        <w:rPr/>
        <w:t>元，同比降低</w:t>
      </w:r>
      <w:r>
        <w:rPr>
          <w:spacing w:val="-47"/>
        </w:rPr>
        <w:t> </w:t>
      </w:r>
      <w:r>
        <w:rPr>
          <w:rFonts w:ascii="Times New Roman" w:hAnsi="Times New Roman" w:cs="Times New Roman" w:eastAsia="Times New Roman" w:hint="default"/>
        </w:rPr>
        <w:t>133.15%</w:t>
      </w:r>
      <w:r>
        <w:rPr/>
        <w:t>，主要系本期归还</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年股东借 款所致。</w:t>
      </w:r>
    </w:p>
    <w:p>
      <w:pPr>
        <w:pStyle w:val="BodyText"/>
        <w:spacing w:line="240" w:lineRule="auto" w:before="70"/>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65,708,413.22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18.60%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权益法核算的被投资单位 净利润变动</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远期结售汇金融产品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14,863,838.22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应收款项坏账准备增加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217,195.45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违约金利得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492,340.63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1068"/>
        <w:gridCol w:w="1195"/>
        <w:gridCol w:w="1063"/>
        <w:gridCol w:w="798"/>
        <w:gridCol w:w="2918"/>
      </w:tblGrid>
      <w:tr>
        <w:trPr>
          <w:trHeight w:val="40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13" w:space="0" w:color="D2D2D2"/>
              <w:right w:val="single" w:sz="4" w:space="0" w:color="000000"/>
            </w:tcBorders>
          </w:tcPr>
          <w:p>
            <w:pPr/>
          </w:p>
        </w:tc>
        <w:tc>
          <w:tcPr>
            <w:tcW w:w="2918" w:type="dxa"/>
            <w:vMerge w:val="restart"/>
            <w:tcBorders>
              <w:top w:val="single" w:sz="4" w:space="0" w:color="000000"/>
              <w:left w:val="single" w:sz="4" w:space="0" w:color="000000"/>
              <w:right w:val="single" w:sz="4" w:space="0" w:color="000000"/>
            </w:tcBorders>
          </w:tcPr>
          <w:p>
            <w:pP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13" w:space="0" w:color="D2D2D2"/>
              <w:right w:val="single" w:sz="4" w:space="0" w:color="000000"/>
            </w:tcBorders>
          </w:tcPr>
          <w:p>
            <w:pPr/>
          </w:p>
        </w:tc>
        <w:tc>
          <w:tcPr>
            <w:tcW w:w="2918" w:type="dxa"/>
            <w:vMerge/>
            <w:tcBorders>
              <w:left w:val="single" w:sz="4" w:space="0" w:color="000000"/>
              <w:right w:val="single" w:sz="4" w:space="0" w:color="000000"/>
            </w:tcBorders>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13" w:space="0" w:color="D2D2D2"/>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13" w:space="0" w:color="D2D2D2"/>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390,502,762.13</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9.53%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467,837,177.36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-3.75%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货币资金较期初减少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77,334,415.23 </w:t>
            </w:r>
            <w:r>
              <w:rPr>
                <w:rFonts w:ascii="宋体" w:hAnsi="宋体" w:cs="宋体" w:eastAsia="宋体" w:hint="default"/>
                <w:spacing w:val="-10"/>
                <w:sz w:val="18"/>
                <w:szCs w:val="18"/>
              </w:rPr>
              <w:t>元，减幅</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16.53%</w:t>
            </w:r>
            <w:r>
              <w:rPr>
                <w:rFonts w:ascii="宋体" w:hAnsi="宋体" w:cs="宋体" w:eastAsia="宋体" w:hint="default"/>
                <w:spacing w:val="-3"/>
                <w:sz w:val="18"/>
                <w:szCs w:val="18"/>
              </w:rPr>
              <w:t>。主要系由于偿还股</w:t>
            </w:r>
            <w:r>
              <w:rPr>
                <w:rFonts w:ascii="宋体" w:hAnsi="宋体" w:cs="宋体" w:eastAsia="宋体" w:hint="default"/>
                <w:sz w:val="18"/>
                <w:szCs w:val="18"/>
              </w:rPr>
              <w:t> 东借款及合并范围变化所致。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2D2D2"/>
              <w:right w:val="single" w:sz="4" w:space="0" w:color="000000"/>
            </w:tcBorders>
          </w:tcPr>
          <w:p>
            <w:pPr/>
          </w:p>
        </w:tc>
        <w:tc>
          <w:tcPr>
            <w:tcW w:w="106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352,261,537.61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345,424,723.69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29,394,917.05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29,405,082.48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1,073,608,363.30</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26.19%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820,095,673.49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长期股权投资较期初增加</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253,512,689.81 </w:t>
            </w:r>
            <w:r>
              <w:rPr>
                <w:rFonts w:ascii="宋体" w:hAnsi="宋体" w:cs="宋体" w:eastAsia="宋体" w:hint="default"/>
                <w:sz w:val="18"/>
                <w:szCs w:val="18"/>
              </w:rPr>
              <w:t>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30.91%</w:t>
            </w:r>
            <w:r>
              <w:rPr>
                <w:rFonts w:ascii="宋体" w:hAnsi="宋体" w:cs="宋体" w:eastAsia="宋体" w:hint="default"/>
                <w:sz w:val="18"/>
                <w:szCs w:val="18"/>
              </w:rPr>
              <w:t>，主</w:t>
            </w:r>
          </w:p>
          <w:p>
            <w:pPr>
              <w:pStyle w:val="TableParagraph"/>
              <w:spacing w:line="319" w:lineRule="auto" w:before="63"/>
              <w:ind w:left="22" w:right="21"/>
              <w:jc w:val="left"/>
              <w:rPr>
                <w:rFonts w:ascii="宋体" w:hAnsi="宋体" w:cs="宋体" w:eastAsia="宋体" w:hint="default"/>
                <w:sz w:val="18"/>
                <w:szCs w:val="18"/>
              </w:rPr>
            </w:pPr>
            <w:r>
              <w:rPr>
                <w:rFonts w:ascii="宋体" w:hAnsi="宋体" w:cs="宋体" w:eastAsia="宋体" w:hint="default"/>
                <w:spacing w:val="-2"/>
                <w:sz w:val="18"/>
                <w:szCs w:val="18"/>
              </w:rPr>
              <w:t>要系新增辽宁新兴文化、广州易教优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培投资及对唱游实缴出资所致。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vMerge/>
            <w:tcBorders>
              <w:left w:val="single" w:sz="9" w:space="0" w:color="D2D2D2"/>
              <w:right w:val="single" w:sz="4" w:space="0" w:color="000000"/>
            </w:tcBorders>
          </w:tcPr>
          <w:p>
            <w:pPr/>
          </w:p>
        </w:tc>
        <w:tc>
          <w:tcPr>
            <w:tcW w:w="106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5,941,766.23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6,043,080.61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157,629,116.17</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3.85%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3.23%</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短期借款较期初增加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135,629,116.17 </w:t>
            </w:r>
            <w:r>
              <w:rPr>
                <w:rFonts w:ascii="宋体" w:hAnsi="宋体" w:cs="宋体" w:eastAsia="宋体" w:hint="default"/>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616.50%</w:t>
            </w:r>
            <w:r>
              <w:rPr>
                <w:rFonts w:ascii="宋体" w:hAnsi="宋体" w:cs="宋体" w:eastAsia="宋体" w:hint="default"/>
                <w:sz w:val="18"/>
                <w:szCs w:val="18"/>
              </w:rPr>
              <w:t>，主要系本期增加 流动贷款所致。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vMerge/>
            <w:tcBorders>
              <w:left w:val="single" w:sz="9" w:space="0" w:color="D2D2D2"/>
              <w:right w:val="single" w:sz="4" w:space="0" w:color="000000"/>
            </w:tcBorders>
          </w:tcPr>
          <w:p>
            <w:pPr/>
          </w:p>
        </w:tc>
        <w:tc>
          <w:tcPr>
            <w:tcW w:w="106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489,663,582.19</w:t>
            </w: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11.94%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235,541,647.29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6.68%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5.26%</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长期借款较期初增加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254,121,934.90 </w:t>
            </w:r>
            <w:r>
              <w:rPr>
                <w:rFonts w:ascii="宋体" w:hAnsi="宋体" w:cs="宋体" w:eastAsia="宋体" w:hint="default"/>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107.89%</w:t>
            </w:r>
            <w:r>
              <w:rPr>
                <w:rFonts w:ascii="宋体" w:hAnsi="宋体" w:cs="宋体" w:eastAsia="宋体" w:hint="default"/>
                <w:sz w:val="18"/>
                <w:szCs w:val="18"/>
              </w:rPr>
              <w:t>，主要系本期合并 范围增加所致。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6" w:type="dxa"/>
            <w:vMerge/>
            <w:tcBorders>
              <w:left w:val="single" w:sz="9" w:space="0" w:color="D2D2D2"/>
              <w:right w:val="single" w:sz="4" w:space="0" w:color="000000"/>
            </w:tcBorders>
          </w:tcPr>
          <w:p>
            <w:pPr/>
          </w:p>
        </w:tc>
        <w:tc>
          <w:tcPr>
            <w:tcW w:w="106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8"/>
        <w:gridCol w:w="2747"/>
        <w:gridCol w:w="2747"/>
      </w:tblGrid>
      <w:tr>
        <w:trPr>
          <w:trHeight w:val="3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2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10,498,000.00</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3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180,000,000.00</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借款保函质押定期存单</w:t>
            </w:r>
          </w:p>
        </w:tc>
      </w:tr>
      <w:tr>
        <w:trPr>
          <w:trHeight w:val="34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190,498,000.00</w:t>
            </w:r>
          </w:p>
        </w:tc>
        <w:tc>
          <w:tcPr>
            <w:tcW w:w="27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4" w:right="0"/>
        <w:jc w:val="left"/>
        <w:rPr>
          <w:b w:val="0"/>
          <w:bCs w:val="0"/>
        </w:rPr>
      </w:pPr>
      <w:bookmarkStart w:name="五、投资状况" w:id="44"/>
      <w:bookmarkEnd w:id="44"/>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401,795,000.00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463,200,274.37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6"/>
        <w:gridCol w:w="636"/>
        <w:gridCol w:w="289"/>
        <w:gridCol w:w="1208"/>
        <w:gridCol w:w="641"/>
        <w:gridCol w:w="358"/>
        <w:gridCol w:w="639"/>
        <w:gridCol w:w="415"/>
        <w:gridCol w:w="637"/>
        <w:gridCol w:w="641"/>
        <w:gridCol w:w="1199"/>
        <w:gridCol w:w="1128"/>
        <w:gridCol w:w="640"/>
        <w:gridCol w:w="418"/>
        <w:gridCol w:w="566"/>
      </w:tblGrid>
      <w:tr>
        <w:trPr>
          <w:trHeight w:val="1650"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2" w:right="132"/>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38" w:lineRule="auto"/>
              <w:ind w:left="49" w:right="48"/>
              <w:jc w:val="both"/>
              <w:rPr>
                <w:rFonts w:ascii="宋体" w:hAnsi="宋体" w:cs="宋体" w:eastAsia="宋体" w:hint="default"/>
                <w:sz w:val="18"/>
                <w:szCs w:val="18"/>
              </w:rPr>
            </w:pPr>
            <w:r>
              <w:rPr>
                <w:rFonts w:ascii="宋体" w:hAnsi="宋体" w:cs="宋体" w:eastAsia="宋体" w:hint="default"/>
                <w:sz w:val="18"/>
                <w:szCs w:val="18"/>
              </w:rPr>
              <w:t>投 资 方</w:t>
            </w:r>
          </w:p>
          <w:p>
            <w:pPr>
              <w:pStyle w:val="TableParagraph"/>
              <w:spacing w:line="240" w:lineRule="auto" w:before="4"/>
              <w:ind w:left="49" w:right="0"/>
              <w:jc w:val="both"/>
              <w:rPr>
                <w:rFonts w:ascii="宋体" w:hAnsi="宋体" w:cs="宋体" w:eastAsia="宋体" w:hint="default"/>
                <w:sz w:val="18"/>
                <w:szCs w:val="18"/>
              </w:rPr>
            </w:pPr>
            <w:r>
              <w:rPr>
                <w:rFonts w:ascii="宋体" w:hAnsi="宋体" w:cs="宋体" w:eastAsia="宋体" w:hint="default"/>
                <w:sz w:val="18"/>
                <w:szCs w:val="18"/>
              </w:rPr>
              <w:t>式</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418" w:right="419"/>
              <w:jc w:val="center"/>
              <w:rPr>
                <w:rFonts w:ascii="宋体" w:hAnsi="宋体" w:cs="宋体" w:eastAsia="宋体" w:hint="default"/>
                <w:sz w:val="18"/>
                <w:szCs w:val="18"/>
              </w:rPr>
            </w:pPr>
            <w:r>
              <w:rPr>
                <w:rFonts w:ascii="宋体" w:hAnsi="宋体" w:cs="宋体" w:eastAsia="宋体" w:hint="default"/>
                <w:sz w:val="18"/>
                <w:szCs w:val="18"/>
              </w:rPr>
              <w:t>投资 金额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5" w:right="13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38" w:lineRule="auto"/>
              <w:ind w:left="83" w:right="83"/>
              <w:jc w:val="both"/>
              <w:rPr>
                <w:rFonts w:ascii="宋体" w:hAnsi="宋体" w:cs="宋体" w:eastAsia="宋体" w:hint="default"/>
                <w:sz w:val="18"/>
                <w:szCs w:val="18"/>
              </w:rPr>
            </w:pPr>
            <w:r>
              <w:rPr>
                <w:rFonts w:ascii="宋体" w:hAnsi="宋体" w:cs="宋体" w:eastAsia="宋体" w:hint="default"/>
                <w:sz w:val="18"/>
                <w:szCs w:val="18"/>
              </w:rPr>
              <w:t>资 金 来</w:t>
            </w:r>
          </w:p>
          <w:p>
            <w:pPr>
              <w:pStyle w:val="TableParagraph"/>
              <w:spacing w:line="240" w:lineRule="auto" w:before="4"/>
              <w:ind w:left="83" w:right="0"/>
              <w:jc w:val="both"/>
              <w:rPr>
                <w:rFonts w:ascii="宋体" w:hAnsi="宋体" w:cs="宋体" w:eastAsia="宋体" w:hint="default"/>
                <w:sz w:val="18"/>
                <w:szCs w:val="18"/>
              </w:rPr>
            </w:pPr>
            <w:r>
              <w:rPr>
                <w:rFonts w:ascii="宋体" w:hAnsi="宋体" w:cs="宋体" w:eastAsia="宋体" w:hint="default"/>
                <w:sz w:val="18"/>
                <w:szCs w:val="18"/>
              </w:rPr>
              <w:t>源</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38" w:lineRule="auto"/>
              <w:ind w:left="111" w:right="113"/>
              <w:jc w:val="both"/>
              <w:rPr>
                <w:rFonts w:ascii="宋体" w:hAnsi="宋体" w:cs="宋体" w:eastAsia="宋体" w:hint="default"/>
                <w:sz w:val="18"/>
                <w:szCs w:val="18"/>
              </w:rPr>
            </w:pPr>
            <w:r>
              <w:rPr>
                <w:rFonts w:ascii="宋体" w:hAnsi="宋体" w:cs="宋体" w:eastAsia="宋体" w:hint="default"/>
                <w:sz w:val="18"/>
                <w:szCs w:val="18"/>
              </w:rPr>
              <w:t>投 资 期</w:t>
            </w:r>
          </w:p>
          <w:p>
            <w:pPr>
              <w:pStyle w:val="TableParagraph"/>
              <w:spacing w:line="240" w:lineRule="auto" w:before="4"/>
              <w:ind w:left="111" w:right="0"/>
              <w:jc w:val="both"/>
              <w:rPr>
                <w:rFonts w:ascii="宋体" w:hAnsi="宋体" w:cs="宋体" w:eastAsia="宋体" w:hint="default"/>
                <w:sz w:val="18"/>
                <w:szCs w:val="18"/>
              </w:rPr>
            </w:pPr>
            <w:r>
              <w:rPr>
                <w:rFonts w:ascii="宋体" w:hAnsi="宋体" w:cs="宋体" w:eastAsia="宋体" w:hint="default"/>
                <w:sz w:val="18"/>
                <w:szCs w:val="18"/>
              </w:rPr>
              <w:t>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3" w:right="13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4"/>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413" w:right="413"/>
              <w:jc w:val="center"/>
              <w:rPr>
                <w:rFonts w:ascii="宋体" w:hAnsi="宋体" w:cs="宋体" w:eastAsia="宋体" w:hint="default"/>
                <w:sz w:val="18"/>
                <w:szCs w:val="18"/>
              </w:rPr>
            </w:pPr>
            <w:r>
              <w:rPr>
                <w:rFonts w:ascii="宋体" w:hAnsi="宋体" w:cs="宋体" w:eastAsia="宋体" w:hint="default"/>
                <w:sz w:val="18"/>
                <w:szCs w:val="18"/>
              </w:rPr>
              <w:t>预计 收益</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7" w:right="108"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57" w:lineRule="auto"/>
              <w:ind w:left="134" w:right="133"/>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（如 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321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广东 易教 优培 教育 科技 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提供在 线教育 先进技 术产品 与运营 服务</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74"/>
              <w:jc w:val="left"/>
              <w:rPr>
                <w:rFonts w:ascii="宋体" w:hAnsi="宋体" w:cs="宋体" w:eastAsia="宋体" w:hint="default"/>
                <w:sz w:val="18"/>
                <w:szCs w:val="18"/>
              </w:rPr>
            </w:pPr>
            <w:r>
              <w:rPr>
                <w:rFonts w:ascii="宋体" w:hAnsi="宋体" w:cs="宋体" w:eastAsia="宋体" w:hint="default"/>
                <w:sz w:val="18"/>
                <w:szCs w:val="18"/>
              </w:rPr>
              <w:t>收 购</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38" w:lineRule="auto"/>
              <w:ind w:left="22" w:right="143"/>
              <w:jc w:val="both"/>
              <w:rPr>
                <w:rFonts w:ascii="宋体" w:hAnsi="宋体" w:cs="宋体" w:eastAsia="宋体" w:hint="default"/>
                <w:sz w:val="18"/>
                <w:szCs w:val="18"/>
              </w:rPr>
            </w:pPr>
            <w:r>
              <w:rPr>
                <w:rFonts w:ascii="宋体" w:hAnsi="宋体" w:cs="宋体" w:eastAsia="宋体" w:hint="default"/>
                <w:sz w:val="18"/>
                <w:szCs w:val="18"/>
              </w:rPr>
              <w:t>自 有 资</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金</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广州远 程教育 中心有 限公 司、北 京尚林 创新投 资管理 有限有 公司</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200"/>
              <w:jc w:val="left"/>
              <w:rPr>
                <w:rFonts w:ascii="宋体" w:hAnsi="宋体" w:cs="宋体" w:eastAsia="宋体" w:hint="default"/>
                <w:sz w:val="18"/>
                <w:szCs w:val="18"/>
              </w:rPr>
            </w:pPr>
            <w:r>
              <w:rPr>
                <w:rFonts w:ascii="宋体" w:hAnsi="宋体" w:cs="宋体" w:eastAsia="宋体" w:hint="default"/>
                <w:sz w:val="18"/>
                <w:szCs w:val="18"/>
              </w:rPr>
              <w:t>长 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62"/>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产业： 教育</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66"/>
              <w:jc w:val="both"/>
              <w:rPr>
                <w:rFonts w:ascii="宋体" w:hAnsi="宋体" w:cs="宋体" w:eastAsia="宋体" w:hint="default"/>
                <w:sz w:val="18"/>
                <w:szCs w:val="18"/>
              </w:rPr>
            </w:pPr>
            <w:r>
              <w:rPr>
                <w:rFonts w:ascii="宋体" w:hAnsi="宋体" w:cs="宋体" w:eastAsia="宋体" w:hint="default"/>
                <w:sz w:val="18"/>
                <w:szCs w:val="18"/>
              </w:rPr>
              <w:t>已完成 股东登 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11,764,062.32</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223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辽宁 新兴 文化 创业 投资 基金 合伙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投资以 及相关 咨询服 务；创 业投资 咨询、 为创业</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74"/>
              <w:jc w:val="left"/>
              <w:rPr>
                <w:rFonts w:ascii="宋体" w:hAnsi="宋体" w:cs="宋体" w:eastAsia="宋体" w:hint="default"/>
                <w:sz w:val="18"/>
                <w:szCs w:val="18"/>
              </w:rPr>
            </w:pPr>
            <w:r>
              <w:rPr>
                <w:rFonts w:ascii="宋体" w:hAnsi="宋体" w:cs="宋体" w:eastAsia="宋体" w:hint="default"/>
                <w:sz w:val="18"/>
                <w:szCs w:val="18"/>
              </w:rPr>
              <w:t>新 设</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52.63%</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38" w:lineRule="auto"/>
              <w:ind w:left="22" w:right="143"/>
              <w:jc w:val="both"/>
              <w:rPr>
                <w:rFonts w:ascii="宋体" w:hAnsi="宋体" w:cs="宋体" w:eastAsia="宋体" w:hint="default"/>
                <w:sz w:val="18"/>
                <w:szCs w:val="18"/>
              </w:rPr>
            </w:pPr>
            <w:r>
              <w:rPr>
                <w:rFonts w:ascii="宋体" w:hAnsi="宋体" w:cs="宋体" w:eastAsia="宋体" w:hint="default"/>
                <w:sz w:val="18"/>
                <w:szCs w:val="18"/>
              </w:rPr>
              <w:t>自 有 资</w:t>
            </w:r>
          </w:p>
          <w:p>
            <w:pPr>
              <w:pStyle w:val="TableParagraph"/>
              <w:spacing w:line="240" w:lineRule="auto" w:before="4"/>
              <w:ind w:left="22" w:right="0"/>
              <w:jc w:val="both"/>
              <w:rPr>
                <w:rFonts w:ascii="宋体" w:hAnsi="宋体" w:cs="宋体" w:eastAsia="宋体" w:hint="default"/>
                <w:sz w:val="18"/>
                <w:szCs w:val="18"/>
              </w:rPr>
            </w:pPr>
            <w:r>
              <w:rPr>
                <w:rFonts w:ascii="宋体" w:hAnsi="宋体" w:cs="宋体" w:eastAsia="宋体" w:hint="default"/>
                <w:sz w:val="18"/>
                <w:szCs w:val="18"/>
              </w:rPr>
              <w:t>金</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北国华 盖</w:t>
            </w:r>
            <w:r>
              <w:rPr>
                <w:rFonts w:ascii="Times New Roman" w:hAnsi="Times New Roman" w:cs="Times New Roman" w:eastAsia="Times New Roman" w:hint="default"/>
                <w:sz w:val="18"/>
                <w:szCs w:val="18"/>
              </w:rPr>
              <w:t>(</w:t>
            </w:r>
            <w:r>
              <w:rPr>
                <w:rFonts w:ascii="宋体" w:hAnsi="宋体" w:cs="宋体" w:eastAsia="宋体" w:hint="default"/>
                <w:sz w:val="18"/>
                <w:szCs w:val="18"/>
              </w:rPr>
              <w:t>辽</w:t>
            </w:r>
          </w:p>
          <w:p>
            <w:pPr>
              <w:pStyle w:val="TableParagraph"/>
              <w:spacing w:line="314" w:lineRule="auto"/>
              <w:ind w:left="22" w:right="64"/>
              <w:jc w:val="both"/>
              <w:rPr>
                <w:rFonts w:ascii="宋体" w:hAnsi="宋体" w:cs="宋体" w:eastAsia="宋体" w:hint="default"/>
                <w:sz w:val="18"/>
                <w:szCs w:val="18"/>
              </w:rPr>
            </w:pPr>
            <w:r>
              <w:rPr>
                <w:rFonts w:ascii="宋体" w:hAnsi="宋体" w:cs="宋体" w:eastAsia="宋体" w:hint="default"/>
                <w:sz w:val="18"/>
                <w:szCs w:val="18"/>
              </w:rPr>
              <w:t>宁</w:t>
            </w:r>
            <w:r>
              <w:rPr>
                <w:rFonts w:ascii="Times New Roman" w:hAnsi="Times New Roman" w:cs="Times New Roman" w:eastAsia="Times New Roman" w:hint="default"/>
                <w:sz w:val="18"/>
                <w:szCs w:val="18"/>
              </w:rPr>
              <w:t>) </w:t>
            </w:r>
            <w:r>
              <w:rPr>
                <w:rFonts w:ascii="宋体" w:hAnsi="宋体" w:cs="宋体" w:eastAsia="宋体" w:hint="default"/>
                <w:sz w:val="18"/>
                <w:szCs w:val="18"/>
              </w:rPr>
              <w:t>投 资管理 有限公 司、辽 宁省产</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09" w:lineRule="auto"/>
              <w:ind w:left="22" w:right="62"/>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生态投 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66"/>
              <w:jc w:val="both"/>
              <w:rPr>
                <w:rFonts w:ascii="宋体" w:hAnsi="宋体" w:cs="宋体" w:eastAsia="宋体" w:hint="default"/>
                <w:sz w:val="18"/>
                <w:szCs w:val="18"/>
              </w:rPr>
            </w:pPr>
            <w:r>
              <w:rPr>
                <w:rFonts w:ascii="宋体" w:hAnsi="宋体" w:cs="宋体" w:eastAsia="宋体" w:hint="default"/>
                <w:sz w:val="18"/>
                <w:szCs w:val="18"/>
              </w:rPr>
              <w:t>已完成 股东登 记</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-2,009,861.58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6"/>
        <w:gridCol w:w="636"/>
        <w:gridCol w:w="289"/>
        <w:gridCol w:w="1208"/>
        <w:gridCol w:w="641"/>
        <w:gridCol w:w="358"/>
        <w:gridCol w:w="639"/>
        <w:gridCol w:w="415"/>
        <w:gridCol w:w="637"/>
        <w:gridCol w:w="641"/>
        <w:gridCol w:w="1199"/>
        <w:gridCol w:w="1128"/>
        <w:gridCol w:w="640"/>
        <w:gridCol w:w="418"/>
        <w:gridCol w:w="566"/>
      </w:tblGrid>
      <w:tr>
        <w:trPr>
          <w:trHeight w:val="5355"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319" w:lineRule="auto" w:before="76"/>
              <w:ind w:left="22" w:right="3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3"/>
              <w:jc w:val="both"/>
              <w:rPr>
                <w:rFonts w:ascii="宋体" w:hAnsi="宋体" w:cs="宋体" w:eastAsia="宋体" w:hint="default"/>
                <w:sz w:val="18"/>
                <w:szCs w:val="18"/>
              </w:rPr>
            </w:pPr>
            <w:r>
              <w:rPr>
                <w:rFonts w:ascii="宋体" w:hAnsi="宋体" w:cs="宋体" w:eastAsia="宋体" w:hint="default"/>
                <w:sz w:val="18"/>
                <w:szCs w:val="18"/>
              </w:rPr>
              <w:t>企业提 供创业 管理服 务</w:t>
            </w:r>
          </w:p>
        </w:tc>
        <w:tc>
          <w:tcPr>
            <w:tcW w:w="28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创</w:t>
            </w:r>
          </w:p>
          <w:p>
            <w:pPr>
              <w:pStyle w:val="TableParagraph"/>
              <w:spacing w:line="316" w:lineRule="auto" w:before="63"/>
              <w:ind w:left="22" w:right="64"/>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投 资引导 基金管 理中 心、辽 宁北国 传媒网 络科技 股份有 限公 司、沈 阳金融 中心控 股有限 责任公 司</w:t>
            </w:r>
          </w:p>
        </w:tc>
        <w:tc>
          <w:tcPr>
            <w:tcW w:w="415"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210,000,000.00</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9,450,000.00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9,754,200.74</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56,411.23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20,015.35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57,153.4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56,411.23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20,015.35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200,153,533.49 </w:t>
            </w:r>
            <w:r>
              <w:rPr>
                <w:rFonts w:ascii="宋体" w:hAnsi="宋体" w:cs="宋体" w:eastAsia="宋体" w:hint="default"/>
                <w:sz w:val="18"/>
                <w:szCs w:val="18"/>
              </w:rPr>
              <w:t>元，已累计投入募集资金总额使用 </w:t>
            </w:r>
            <w:r>
              <w:rPr>
                <w:rFonts w:ascii="Times New Roman" w:hAnsi="Times New Roman" w:cs="Times New Roman" w:eastAsia="Times New Roman" w:hint="default"/>
                <w:sz w:val="18"/>
                <w:szCs w:val="18"/>
              </w:rPr>
              <w:t>571,534,042.16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元，其中利息收入</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7,421,723.73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日，募集资金已全部使用完毕。</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33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补充流动资金</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20,015.35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47,153.35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101.60%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向全资子公司常州 远东文化产业有限公 </w:t>
            </w:r>
            <w:r>
              <w:rPr>
                <w:rFonts w:ascii="宋体" w:hAnsi="宋体" w:cs="宋体" w:eastAsia="宋体" w:hint="default"/>
                <w:spacing w:val="-9"/>
                <w:sz w:val="18"/>
                <w:szCs w:val="18"/>
              </w:rPr>
              <w:t>司增资，用于支付收购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亿迅集团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股权的 部分交易对价</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20,015.35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57,153.4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3,390.23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56,411.23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56,411.23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20,015.35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57,153.4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3,390.23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7" w:type="dxa"/>
            <w:vMerge/>
            <w:tcBorders>
              <w:left w:val="single" w:sz="4" w:space="0" w:color="000000"/>
              <w:bottom w:val="single" w:sz="4" w:space="0" w:color="000000"/>
              <w:right w:val="single" w:sz="4" w:space="0" w:color="000000"/>
            </w:tcBorders>
            <w:shd w:val="clear" w:color="auto" w:fill="D2D2D2"/>
          </w:tcPr>
          <w:p>
            <w:pPr/>
          </w:p>
        </w:tc>
        <w:tc>
          <w:tcPr>
            <w:tcW w:w="7802" w:type="dxa"/>
            <w:gridSpan w:val="10"/>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9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日公司第八届董事会第九次会议审议通过，同意公司在不影响募集资金投资计划</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正常进行的前提下，使用部分闲置募集资金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万元为公司暂时补充流动资金，单次使用期限为</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自公司董事会审议通过之日起不超过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个月。公司于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日召开了第八届董事会第十七 次会议，审议通过公司在不影响募集资金投资计划正常进行的前提下，使用艾特凡斯部分闲置募集 资金不超过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万元为公司暂时补充流动资金，单次使用期限为自公司董事会审议通过之日起不</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日，上述用于为公司暂时补充流动资金的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4,700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万元闲置募集资金，已</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全部归还至艾特凡斯募集资金专用账户，该次暂时补充流动资金使用期限未超过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个月。公司于</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日召开了第八届董事会第二十次会议，审议通过了《关于使用部分闲置募集资金为</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公司暂时补充流动资金的议案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万元为上市公司暂时补充流动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资金，单次使用期限为自公司董事会审议通过之日起不超过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日，上述用于</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为公司暂时补充流动资金的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万元闲置募集资金，已全部归还至公司募集资金专用账户，该次</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暂时补充流动资金使用期限未超过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个月。公司于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日召开了第八届董事会第二十七 次会议，审议通过了《关于公司全资子公司深圳艾特凡斯智能科技有限公司使用部分闲置募集资金 </w:t>
            </w:r>
            <w:r>
              <w:rPr>
                <w:rFonts w:ascii="宋体" w:hAnsi="宋体" w:cs="宋体" w:eastAsia="宋体" w:hint="default"/>
                <w:spacing w:val="-5"/>
                <w:sz w:val="18"/>
                <w:szCs w:val="18"/>
              </w:rPr>
              <w:t>为公司补充流动资金的议案》，同意使用艾特凡斯部分闲置募集资金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万元为上市公司暂时补充</w:t>
            </w:r>
          </w:p>
          <w:p>
            <w:pPr>
              <w:pStyle w:val="TableParagraph"/>
              <w:spacing w:line="300"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流动资金，单次使用期限为自公司董事会审议通过之日起不超过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w:t>
            </w:r>
            <w:r>
              <w:rPr>
                <w:rFonts w:ascii="宋体" w:hAnsi="宋体" w:cs="宋体" w:eastAsia="宋体" w:hint="default"/>
                <w:sz w:val="18"/>
                <w:szCs w:val="18"/>
              </w:rPr>
              <w:t> 召开了第八届董事会第二十九次会议，审议通过了转让艾特凡斯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股权事宜，上述使用艾特凡 斯部分闲置募集资金用于为上市公司暂时补充流动资金的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万的归还在交易对价支付中抵销。</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bl>
    <w:p>
      <w:pPr>
        <w:spacing w:after="0" w:line="319"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28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向全资子公 司常州远东 文化产业有 限公司增 资，用于支 付收购亿迅 集团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 权</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 交易对价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10,000.05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3,390.23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3,390.23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45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向全资子公司常州远东文化产业有限公司增资，用于支付</w:t>
            </w:r>
            <w:r>
              <w:rPr>
                <w:rFonts w:ascii="Times New Roman" w:hAnsi="Times New Roman" w:cs="Times New Roman" w:eastAsia="Times New Roman" w:hint="default"/>
                <w:sz w:val="18"/>
                <w:szCs w:val="18"/>
              </w:rPr>
              <w:t>“</w:t>
            </w:r>
            <w:r>
              <w:rPr>
                <w:rFonts w:ascii="宋体" w:hAnsi="宋体" w:cs="宋体" w:eastAsia="宋体" w:hint="default"/>
                <w:sz w:val="18"/>
                <w:szCs w:val="18"/>
              </w:rPr>
              <w:t>收购亿迅集团</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的 部分交易对价：于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日，公司召开的第八届董事会第一次会议、第八届</w:t>
            </w:r>
          </w:p>
          <w:p>
            <w:pPr>
              <w:pStyle w:val="TableParagraph"/>
              <w:spacing w:line="300" w:lineRule="auto" w:before="13"/>
              <w:ind w:left="23" w:right="23"/>
              <w:jc w:val="both"/>
              <w:rPr>
                <w:rFonts w:ascii="宋体" w:hAnsi="宋体" w:cs="宋体" w:eastAsia="宋体" w:hint="default"/>
                <w:sz w:val="18"/>
                <w:szCs w:val="18"/>
              </w:rPr>
            </w:pPr>
            <w:r>
              <w:rPr>
                <w:rFonts w:ascii="宋体" w:hAnsi="宋体" w:cs="宋体" w:eastAsia="宋体" w:hint="default"/>
                <w:sz w:val="18"/>
                <w:szCs w:val="18"/>
              </w:rPr>
              <w:t>监事会第一次会议以及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 过了《关于全资子公司收购亿迅资产组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73%</w:t>
            </w:r>
            <w:r>
              <w:rPr>
                <w:rFonts w:ascii="宋体" w:hAnsi="宋体" w:cs="宋体" w:eastAsia="宋体" w:hint="default"/>
                <w:spacing w:val="-5"/>
                <w:sz w:val="18"/>
                <w:szCs w:val="18"/>
              </w:rPr>
              <w:t>股权暨关联交易的议案》，公司全资子公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司常州远东文化产业有限公司（以下简称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远东文化</w:t>
            </w:r>
            <w:r>
              <w:rPr>
                <w:rFonts w:ascii="Times New Roman" w:hAnsi="Times New Roman" w:cs="Times New Roman" w:eastAsia="Times New Roman" w:hint="default"/>
                <w:sz w:val="18"/>
                <w:szCs w:val="18"/>
              </w:rPr>
              <w:t>”</w:t>
            </w:r>
            <w:r>
              <w:rPr>
                <w:rFonts w:ascii="宋体" w:hAnsi="宋体" w:cs="宋体" w:eastAsia="宋体" w:hint="default"/>
                <w:sz w:val="18"/>
                <w:szCs w:val="18"/>
              </w:rPr>
              <w:t>）收购亿迅资产组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股权，交 易对价为人民币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1.8821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亿元或等值外币，分三次付款。详见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日见报的</w:t>
            </w:r>
          </w:p>
          <w:p>
            <w:pPr>
              <w:pStyle w:val="TableParagraph"/>
              <w:spacing w:line="300" w:lineRule="auto" w:before="13"/>
              <w:ind w:left="23"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《视觉中国：关于收购亿迅资产组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股权暨关联交易的公告》及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见报的《视觉中国：关于收购亿迅资产组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73%</w:t>
            </w:r>
            <w:r>
              <w:rPr>
                <w:rFonts w:ascii="宋体" w:hAnsi="宋体" w:cs="宋体" w:eastAsia="宋体" w:hint="default"/>
                <w:spacing w:val="-5"/>
                <w:sz w:val="18"/>
                <w:szCs w:val="18"/>
              </w:rPr>
              <w:t>股权暨关联交易的补充公告》，公司披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露媒体为《中国证券报》、《上海证券报》、《证券日报》及巨潮资讯网。于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p>
          <w:p>
            <w:pPr>
              <w:pStyle w:val="TableParagraph"/>
              <w:spacing w:line="304" w:lineRule="auto" w:before="13"/>
              <w:ind w:left="23"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日，公司召开的第八届董事会第六次会议审议通过了《关于改变部分募集资金 投向暨向全资子公司常州远东文化产业有限公司增资用于支付收购股权对价的议 </w:t>
            </w:r>
            <w:r>
              <w:rPr>
                <w:rFonts w:ascii="宋体" w:hAnsi="宋体" w:cs="宋体" w:eastAsia="宋体" w:hint="default"/>
                <w:spacing w:val="-12"/>
                <w:sz w:val="18"/>
                <w:szCs w:val="18"/>
              </w:rPr>
              <w:t>案》，将募集资金中</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100,000,000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元用于向全资子公司远东文化增资，增资后将用于支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付</w:t>
            </w:r>
            <w:r>
              <w:rPr>
                <w:rFonts w:ascii="Times New Roman" w:hAnsi="Times New Roman" w:cs="Times New Roman" w:eastAsia="Times New Roman" w:hint="default"/>
                <w:sz w:val="18"/>
                <w:szCs w:val="18"/>
              </w:rPr>
              <w:t>“</w:t>
            </w:r>
            <w:r>
              <w:rPr>
                <w:rFonts w:ascii="宋体" w:hAnsi="宋体" w:cs="宋体" w:eastAsia="宋体" w:hint="default"/>
                <w:sz w:val="18"/>
                <w:szCs w:val="18"/>
              </w:rPr>
              <w:t>收购亿迅资产组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73%</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的部分交易对价。独立董事、监事会、保荐机构均对该 事宜发表了意见。</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3"/>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与交易 对方的 关联关</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7" w:right="66"/>
              <w:jc w:val="both"/>
              <w:rPr>
                <w:rFonts w:ascii="宋体" w:hAnsi="宋体" w:cs="宋体" w:eastAsia="宋体" w:hint="default"/>
                <w:sz w:val="18"/>
                <w:szCs w:val="18"/>
              </w:rPr>
            </w:pPr>
            <w:r>
              <w:rPr>
                <w:rFonts w:ascii="宋体" w:hAnsi="宋体" w:cs="宋体" w:eastAsia="宋体" w:hint="default"/>
                <w:sz w:val="18"/>
                <w:szCs w:val="18"/>
              </w:rPr>
              <w:t>所涉及 的股权 是否已</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6" w:right="65"/>
              <w:jc w:val="both"/>
              <w:rPr>
                <w:rFonts w:ascii="宋体" w:hAnsi="宋体" w:cs="宋体" w:eastAsia="宋体" w:hint="default"/>
                <w:sz w:val="18"/>
                <w:szCs w:val="18"/>
              </w:rPr>
            </w:pPr>
            <w:r>
              <w:rPr>
                <w:rFonts w:ascii="宋体" w:hAnsi="宋体" w:cs="宋体" w:eastAsia="宋体" w:hint="default"/>
                <w:sz w:val="18"/>
                <w:szCs w:val="18"/>
              </w:rPr>
              <w:t>是否按 计划如 期实</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2859"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7" w:right="65" w:hanging="181"/>
              <w:jc w:val="left"/>
              <w:rPr>
                <w:rFonts w:ascii="宋体" w:hAnsi="宋体" w:cs="宋体" w:eastAsia="宋体" w:hint="default"/>
                <w:sz w:val="18"/>
                <w:szCs w:val="18"/>
              </w:rPr>
            </w:pPr>
            <w:r>
              <w:rPr>
                <w:rFonts w:ascii="宋体" w:hAnsi="宋体" w:cs="宋体" w:eastAsia="宋体" w:hint="default"/>
                <w:sz w:val="18"/>
                <w:szCs w:val="18"/>
              </w:rPr>
              <w:t>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center"/>
              <w:rPr>
                <w:rFonts w:ascii="宋体" w:hAnsi="宋体" w:cs="宋体" w:eastAsia="宋体" w:hint="default"/>
                <w:sz w:val="18"/>
                <w:szCs w:val="18"/>
              </w:rPr>
            </w:pPr>
            <w:r>
              <w:rPr>
                <w:rFonts w:ascii="宋体" w:hAnsi="宋体" w:cs="宋体" w:eastAsia="宋体" w:hint="default"/>
                <w:sz w:val="18"/>
                <w:szCs w:val="18"/>
              </w:rPr>
              <w:t>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97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11"/>
              <w:jc w:val="both"/>
              <w:rPr>
                <w:rFonts w:ascii="宋体" w:hAnsi="宋体" w:cs="宋体" w:eastAsia="宋体" w:hint="default"/>
                <w:sz w:val="18"/>
                <w:szCs w:val="18"/>
              </w:rPr>
            </w:pPr>
            <w:r>
              <w:rPr>
                <w:rFonts w:ascii="宋体" w:hAnsi="宋体" w:cs="宋体" w:eastAsia="宋体" w:hint="default"/>
                <w:sz w:val="18"/>
                <w:szCs w:val="18"/>
              </w:rPr>
              <w:t>洛克互 娱智能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深圳艾 特凡斯 智能科 技有限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14,500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449.13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通过此 次交 易，公 司可以 更加专 注公司 的核心 业务， 而且实 现了长 期应收 账款的 变现， 使得资 金更有 效的用 于核心 业务的 发展。 公司未 来将通 过全资 子公司 常州远 东文化 产业有 限公司 围绕公 司核心 业务实 现</w:t>
            </w:r>
            <w:r>
              <w:rPr>
                <w:rFonts w:ascii="Times New Roman" w:hAnsi="Times New Roman" w:cs="Times New Roman" w:eastAsia="Times New Roman" w:hint="default"/>
                <w:sz w:val="18"/>
                <w:szCs w:val="18"/>
              </w:rPr>
              <w:t>“</w:t>
            </w:r>
            <w:r>
              <w:rPr>
                <w:rFonts w:ascii="宋体" w:hAnsi="宋体" w:cs="宋体" w:eastAsia="宋体" w:hint="default"/>
                <w:sz w:val="18"/>
                <w:szCs w:val="18"/>
              </w:rPr>
              <w:t>视觉 数字娱 乐业务</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由重资 产运作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以具有 证券期 货相关 业务资 格的评 估机构 出具的 评估报 告的评 估价值 为参考 依据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06"/>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2017-05</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hAnsi="宋体" w:cs="宋体" w:eastAsia="宋体" w:hint="default"/>
                <w:sz w:val="18"/>
                <w:szCs w:val="18"/>
              </w:rPr>
              <w:t>向轻资</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hAnsi="宋体" w:cs="宋体" w:eastAsia="宋体" w:hint="default"/>
                <w:sz w:val="18"/>
                <w:szCs w:val="18"/>
              </w:rPr>
              <w:t>产运作</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
              <w:jc w:val="center"/>
              <w:rPr>
                <w:rFonts w:ascii="Times New Roman" w:hAnsi="Times New Roman" w:cs="Times New Roman" w:eastAsia="Times New Roman" w:hint="default"/>
                <w:sz w:val="18"/>
                <w:szCs w:val="18"/>
              </w:rPr>
            </w:pPr>
            <w:r>
              <w:rPr>
                <w:rFonts w:ascii="宋体" w:hAnsi="宋体" w:cs="宋体" w:eastAsia="宋体" w:hint="default"/>
                <w:sz w:val="18"/>
                <w:szCs w:val="18"/>
              </w:rPr>
              <w:t>的转型</w:t>
            </w:r>
            <w:r>
              <w:rPr>
                <w:rFonts w:ascii="Times New Roman" w:hAnsi="Times New Roman" w:cs="Times New Roman" w:eastAsia="Times New Roman" w:hint="default"/>
                <w:sz w:val="18"/>
                <w:szCs w:val="18"/>
              </w:rPr>
              <w:t>,</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7"/>
              <w:jc w:val="center"/>
              <w:rPr>
                <w:rFonts w:ascii="宋体" w:hAnsi="宋体" w:cs="宋体" w:eastAsia="宋体" w:hint="default"/>
                <w:sz w:val="18"/>
                <w:szCs w:val="18"/>
              </w:rPr>
            </w:pPr>
            <w:r>
              <w:rPr>
                <w:rFonts w:ascii="宋体" w:hAnsi="宋体" w:cs="宋体" w:eastAsia="宋体" w:hint="default"/>
                <w:sz w:val="18"/>
                <w:szCs w:val="18"/>
              </w:rPr>
              <w:t>保证该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hAnsi="宋体" w:cs="宋体" w:eastAsia="宋体" w:hint="default"/>
                <w:sz w:val="18"/>
                <w:szCs w:val="18"/>
              </w:rPr>
              <w:t>业务的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7"/>
              <w:jc w:val="center"/>
              <w:rPr>
                <w:rFonts w:ascii="宋体" w:hAnsi="宋体" w:cs="宋体" w:eastAsia="宋体" w:hint="default"/>
                <w:sz w:val="18"/>
                <w:szCs w:val="18"/>
              </w:rPr>
            </w:pPr>
            <w:r>
              <w:rPr>
                <w:rFonts w:ascii="宋体" w:hAnsi="宋体" w:cs="宋体" w:eastAsia="宋体" w:hint="default"/>
                <w:sz w:val="18"/>
                <w:szCs w:val="18"/>
              </w:rPr>
              <w:t>可持续</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87"/>
              <w:jc w:val="center"/>
              <w:rPr>
                <w:rFonts w:ascii="宋体" w:hAnsi="宋体" w:cs="宋体" w:eastAsia="宋体" w:hint="default"/>
                <w:sz w:val="18"/>
                <w:szCs w:val="18"/>
              </w:rPr>
            </w:pPr>
            <w:r>
              <w:rPr>
                <w:rFonts w:ascii="宋体" w:hAnsi="宋体" w:cs="宋体" w:eastAsia="宋体" w:hint="default"/>
                <w:sz w:val="18"/>
                <w:szCs w:val="18"/>
              </w:rPr>
              <w:t>发展。</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790"/>
        <w:gridCol w:w="628"/>
        <w:gridCol w:w="1276"/>
        <w:gridCol w:w="1418"/>
        <w:gridCol w:w="1277"/>
        <w:gridCol w:w="1275"/>
        <w:gridCol w:w="1277"/>
        <w:gridCol w:w="1277"/>
      </w:tblGrid>
      <w:tr>
        <w:trPr>
          <w:trHeight w:val="75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40" w:right="239"/>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28" w:right="127"/>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5"/>
              <w:jc w:val="center"/>
              <w:rPr>
                <w:rFonts w:ascii="宋体" w:hAnsi="宋体" w:cs="宋体" w:eastAsia="宋体" w:hint="default"/>
                <w:sz w:val="18"/>
                <w:szCs w:val="18"/>
              </w:rPr>
            </w:pPr>
            <w:r>
              <w:rPr>
                <w:rFonts w:ascii="宋体" w:hAnsi="宋体" w:cs="宋体" w:eastAsia="宋体" w:hint="default"/>
                <w:sz w:val="18"/>
                <w:szCs w:val="18"/>
              </w:rPr>
              <w:t>华夏视觉</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23,456,700.00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1,734,249,139.01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329,136,749.33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291,990,516.37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133,966,894.47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127,320,213.45</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5"/>
              <w:jc w:val="center"/>
              <w:rPr>
                <w:rFonts w:ascii="宋体" w:hAnsi="宋体" w:cs="宋体" w:eastAsia="宋体" w:hint="default"/>
                <w:sz w:val="18"/>
                <w:szCs w:val="18"/>
              </w:rPr>
            </w:pPr>
            <w:r>
              <w:rPr>
                <w:rFonts w:ascii="宋体" w:hAnsi="宋体" w:cs="宋体" w:eastAsia="宋体" w:hint="default"/>
                <w:sz w:val="18"/>
                <w:szCs w:val="18"/>
              </w:rPr>
              <w:t>汉华易美</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视觉内 容与服 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1,268,232,518.03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449,572,841.73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472,778,331.32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227,675,391.10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193,530,726.21</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上海卓越</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广告创 意服务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62,993,177.42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27,570,862.19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70,576,752.03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34,995,286.02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25,248,416.07</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亿迅资产 组</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软件信 息服务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100,021,500.00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247,465,661.91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64,238,321.74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143,861,645.55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33,999,642.47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34,291,175.99</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5"/>
              <w:jc w:val="center"/>
              <w:rPr>
                <w:rFonts w:ascii="宋体" w:hAnsi="宋体" w:cs="宋体" w:eastAsia="宋体" w:hint="default"/>
                <w:sz w:val="18"/>
                <w:szCs w:val="18"/>
              </w:rPr>
            </w:pPr>
            <w:r>
              <w:rPr>
                <w:rFonts w:ascii="宋体" w:hAnsi="宋体" w:cs="宋体" w:eastAsia="宋体" w:hint="default"/>
                <w:sz w:val="18"/>
                <w:szCs w:val="18"/>
              </w:rPr>
              <w:t>唱游公司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产业： 旅游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112,042,250.58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81,438,192.42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4,795,791.07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-74,119,735.61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-1,695,384.02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湖北司马 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产业： 教育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193,992,721.33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152,409,042.83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155,305,710.24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79,935,210.22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71,650,380.61</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5"/>
              <w:jc w:val="center"/>
              <w:rPr>
                <w:rFonts w:ascii="宋体" w:hAnsi="宋体" w:cs="宋体" w:eastAsia="宋体" w:hint="default"/>
                <w:sz w:val="18"/>
                <w:szCs w:val="18"/>
              </w:rPr>
            </w:pPr>
            <w:r>
              <w:rPr>
                <w:rFonts w:ascii="宋体" w:hAnsi="宋体" w:cs="宋体" w:eastAsia="宋体" w:hint="default"/>
                <w:sz w:val="18"/>
                <w:szCs w:val="18"/>
              </w:rPr>
              <w:t>易教优培</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 </w:t>
            </w:r>
            <w:r>
              <w:rPr>
                <w:rFonts w:ascii="宋体" w:hAnsi="宋体" w:cs="宋体" w:eastAsia="宋体" w:hint="default"/>
                <w:sz w:val="18"/>
                <w:szCs w:val="18"/>
              </w:rPr>
              <w:t>产业： 教育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67,462,046.50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39,094,564.10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50,809,585.76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33,611,606.63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33,611,606.63</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5"/>
              <w:jc w:val="center"/>
              <w:rPr>
                <w:rFonts w:ascii="宋体" w:hAnsi="宋体" w:cs="宋体" w:eastAsia="宋体" w:hint="default"/>
                <w:sz w:val="18"/>
                <w:szCs w:val="18"/>
              </w:rPr>
            </w:pPr>
            <w:r>
              <w:rPr>
                <w:rFonts w:ascii="宋体" w:hAnsi="宋体" w:cs="宋体" w:eastAsia="宋体" w:hint="default"/>
                <w:sz w:val="18"/>
                <w:szCs w:val="18"/>
              </w:rPr>
              <w:t>华融创新</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8,765,958,328.66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600,811,259.43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551,884,648.95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109,658,971.70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81,602,543.33</w:t>
            </w:r>
          </w:p>
        </w:tc>
      </w:tr>
    </w:tbl>
    <w:p>
      <w:pPr>
        <w:pStyle w:val="BodyText"/>
        <w:spacing w:line="240" w:lineRule="auto" w:before="51"/>
        <w:ind w:left="154" w:right="0"/>
        <w:jc w:val="left"/>
      </w:pPr>
      <w:r>
        <w:rPr/>
        <w:t>报告期内取得和处置子公司的情况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1,194,399.91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广东视觉无限文化科技有限公司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69,723.47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图像技术有限公司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-2,405,639.29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天津易美跃动信息技术有限公司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-789.27</w:t>
            </w:r>
          </w:p>
        </w:tc>
      </w:tr>
    </w:tbl>
    <w:p>
      <w:pPr>
        <w:pStyle w:val="BodyText"/>
        <w:spacing w:line="240" w:lineRule="auto" w:before="51"/>
        <w:ind w:left="154" w:right="0"/>
        <w:jc w:val="left"/>
      </w:pPr>
      <w:r>
        <w:rPr/>
        <w:t>主要控股参股公司情况说明</w:t>
      </w:r>
    </w:p>
    <w:p>
      <w:pPr>
        <w:pStyle w:val="BodyText"/>
        <w:spacing w:line="300" w:lineRule="auto" w:before="116"/>
        <w:ind w:right="0"/>
        <w:jc w:val="left"/>
      </w:pPr>
      <w:r>
        <w:rPr>
          <w:spacing w:val="-1"/>
        </w:rPr>
        <w:t>华夏视觉</w:t>
      </w:r>
      <w:r>
        <w:rPr>
          <w:rFonts w:ascii="Times New Roman" w:hAnsi="Times New Roman" w:cs="Times New Roman" w:eastAsia="Times New Roman" w:hint="default"/>
          <w:spacing w:val="-1"/>
        </w:rPr>
        <w:t>/</w:t>
      </w:r>
      <w:r>
        <w:rPr>
          <w:spacing w:val="-1"/>
        </w:rPr>
        <w:t>汉华易美：整合全球高质量版权内容资源，通过互联网版权交易平台（</w:t>
      </w:r>
      <w:hyperlink r:id="rId8">
        <w:r>
          <w:rPr>
            <w:rFonts w:ascii="Times New Roman" w:hAnsi="Times New Roman" w:cs="Times New Roman" w:eastAsia="Times New Roman" w:hint="default"/>
            <w:spacing w:val="-1"/>
          </w:rPr>
          <w:t>www.vcg.com</w:t>
        </w:r>
      </w:hyperlink>
      <w:r>
        <w:rPr>
          <w:spacing w:val="-1"/>
        </w:rPr>
        <w:t>）提供超过亿级的海量图片、</w:t>
      </w:r>
      <w:r>
        <w:rPr>
          <w:spacing w:val="-45"/>
        </w:rPr>
        <w:t> </w:t>
      </w:r>
      <w:r>
        <w:rPr>
          <w:spacing w:val="-45"/>
        </w:rPr>
      </w:r>
      <w:r>
        <w:rPr>
          <w:spacing w:val="-3"/>
        </w:rPr>
        <w:t>视频、音乐素材，为广大媒体及企业的客户提供视觉内容和传播服务。基于公司全球化战略，公司与全球第一大图片库</w:t>
      </w:r>
      <w:r>
        <w:rPr>
          <w:rFonts w:ascii="Times New Roman" w:hAnsi="Times New Roman" w:cs="Times New Roman" w:eastAsia="Times New Roman" w:hint="default"/>
          <w:spacing w:val="-3"/>
        </w:rPr>
        <w:t>Getty</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rFonts w:ascii="Times New Roman" w:hAnsi="Times New Roman" w:cs="Times New Roman" w:eastAsia="Times New Roman" w:hint="default"/>
        </w:rPr>
        <w:t>Images</w:t>
      </w:r>
      <w:r>
        <w:rPr/>
        <w:t>建立战略合作伙伴关系，</w:t>
      </w:r>
      <w:r>
        <w:rPr>
          <w:rFonts w:ascii="Times New Roman" w:hAnsi="Times New Roman" w:cs="Times New Roman" w:eastAsia="Times New Roman" w:hint="default"/>
        </w:rPr>
        <w:t>2016</w:t>
      </w:r>
      <w:r>
        <w:rPr/>
        <w:t>年收购比尔盖</w:t>
      </w:r>
      <w:r>
        <w:rPr>
          <w:rFonts w:ascii="Times New Roman" w:hAnsi="Times New Roman" w:cs="Times New Roman" w:eastAsia="Times New Roman" w:hint="default"/>
        </w:rPr>
        <w:t>·</w:t>
      </w:r>
      <w:r>
        <w:rPr/>
        <w:t>茨创办的全球第三大图片库</w:t>
      </w:r>
      <w:r>
        <w:rPr>
          <w:rFonts w:ascii="Times New Roman" w:hAnsi="Times New Roman" w:cs="Times New Roman" w:eastAsia="Times New Roman" w:hint="default"/>
        </w:rPr>
        <w:t>Corbis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Images</w:t>
      </w:r>
      <w:r>
        <w:rPr>
          <w:spacing w:val="-3"/>
        </w:rPr>
        <w:t>，并战略投资全球领先的摄影社</w:t>
      </w:r>
      <w:r>
        <w:rPr/>
        <w:t> 区</w:t>
      </w:r>
      <w:r>
        <w:rPr>
          <w:rFonts w:ascii="Times New Roman" w:hAnsi="Times New Roman" w:cs="Times New Roman" w:eastAsia="Times New Roman" w:hint="default"/>
        </w:rPr>
        <w:t>500px</w:t>
      </w:r>
      <w:r>
        <w:rPr/>
        <w:t>。公司以</w:t>
      </w:r>
      <w:r>
        <w:rPr>
          <w:rFonts w:ascii="Times New Roman" w:hAnsi="Times New Roman" w:cs="Times New Roman" w:eastAsia="Times New Roman" w:hint="default"/>
        </w:rPr>
        <w:t>PGC</w:t>
      </w:r>
      <w:r>
        <w:rPr/>
        <w:t>视觉内容为核心，是国内最大的正版视觉内容版权交易平台之一。</w:t>
      </w:r>
    </w:p>
    <w:p>
      <w:pPr>
        <w:spacing w:line="240" w:lineRule="auto" w:before="11"/>
        <w:rPr>
          <w:rFonts w:ascii="宋体" w:hAnsi="宋体" w:cs="宋体" w:eastAsia="宋体" w:hint="default"/>
          <w:sz w:val="24"/>
          <w:szCs w:val="24"/>
        </w:rPr>
      </w:pPr>
    </w:p>
    <w:p>
      <w:pPr>
        <w:pStyle w:val="BodyText"/>
        <w:spacing w:line="309" w:lineRule="auto"/>
        <w:ind w:right="1049"/>
        <w:jc w:val="both"/>
      </w:pPr>
      <w:r>
        <w:rPr>
          <w:spacing w:val="-2"/>
        </w:rPr>
        <w:t>上海卓越：为汉华易美控股</w:t>
      </w:r>
      <w:r>
        <w:rPr>
          <w:rFonts w:ascii="Times New Roman" w:hAnsi="Times New Roman" w:cs="Times New Roman" w:eastAsia="Times New Roman" w:hint="default"/>
          <w:spacing w:val="-2"/>
        </w:rPr>
        <w:t>51%</w:t>
      </w:r>
      <w:r>
        <w:rPr>
          <w:spacing w:val="-2"/>
        </w:rPr>
        <w:t>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月收购），主要从事全案整合营销，业务涵盖快消、</w:t>
      </w:r>
      <w:r>
        <w:rPr>
          <w:rFonts w:ascii="Times New Roman" w:hAnsi="Times New Roman" w:cs="Times New Roman" w:eastAsia="Times New Roman" w:hint="default"/>
          <w:spacing w:val="-2"/>
        </w:rPr>
        <w:t>IT</w:t>
      </w:r>
      <w:r>
        <w:rPr>
          <w:spacing w:val="-2"/>
        </w:rPr>
        <w:t>、金融、旅游等多</w:t>
      </w:r>
      <w:r>
        <w:rPr>
          <w:spacing w:val="-70"/>
        </w:rPr>
        <w:t> </w:t>
      </w:r>
      <w:r>
        <w:rPr>
          <w:spacing w:val="-2"/>
        </w:rPr>
        <w:t>个领域，集品牌创意、数字营销、电子商务为一体，为客户提供以消费者为中心、网络技术为基础、营销为目的、创意为核</w:t>
      </w:r>
      <w:r>
        <w:rPr>
          <w:spacing w:val="-72"/>
        </w:rPr>
        <w:t> </w:t>
      </w:r>
      <w:r>
        <w:rPr>
          <w:spacing w:val="-72"/>
        </w:rPr>
      </w:r>
      <w:r>
        <w:rPr/>
        <w:t>心、内容为依托的个性化营销。</w:t>
      </w:r>
      <w:r>
        <w:rPr>
          <w:rFonts w:ascii="Times New Roman" w:hAnsi="Times New Roman" w:cs="Times New Roman" w:eastAsia="Times New Roman" w:hint="default"/>
        </w:rPr>
        <w:t>2017</w:t>
      </w:r>
      <w:r>
        <w:rPr/>
        <w:t>年，卓越管理团队依托视觉中国品牌优势以及加大业务协同，取得了较好的业绩增长。</w:t>
      </w:r>
    </w:p>
    <w:p>
      <w:pPr>
        <w:spacing w:line="240" w:lineRule="auto" w:before="3"/>
        <w:rPr>
          <w:rFonts w:ascii="宋体" w:hAnsi="宋体" w:cs="宋体" w:eastAsia="宋体" w:hint="default"/>
          <w:sz w:val="24"/>
          <w:szCs w:val="24"/>
        </w:rPr>
      </w:pPr>
    </w:p>
    <w:p>
      <w:pPr>
        <w:pStyle w:val="BodyText"/>
        <w:spacing w:line="304" w:lineRule="auto"/>
        <w:ind w:right="1033"/>
        <w:jc w:val="left"/>
      </w:pPr>
      <w:r>
        <w:rPr>
          <w:spacing w:val="-3"/>
        </w:rPr>
        <w:t>亿迅资产组：为公司控股</w:t>
      </w:r>
      <w:r>
        <w:rPr>
          <w:rFonts w:ascii="Times New Roman" w:hAnsi="Times New Roman" w:cs="Times New Roman" w:eastAsia="Times New Roman" w:hint="default"/>
          <w:spacing w:val="-3"/>
        </w:rPr>
        <w:t>73%</w:t>
      </w:r>
      <w:r>
        <w:rPr>
          <w:spacing w:val="-3"/>
        </w:rPr>
        <w:t>的子公司（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月收购），是国内领先的全媒体交互中心解决方案供应商。自</w:t>
      </w:r>
      <w:r>
        <w:rPr>
          <w:rFonts w:ascii="Times New Roman" w:hAnsi="Times New Roman" w:cs="Times New Roman" w:eastAsia="Times New Roman" w:hint="default"/>
          <w:spacing w:val="-3"/>
        </w:rPr>
        <w:t>1999</w:t>
      </w:r>
      <w:r>
        <w:rPr>
          <w:spacing w:val="-3"/>
        </w:rPr>
        <w:t>年成立至</w:t>
      </w:r>
      <w:r>
        <w:rPr>
          <w:spacing w:val="-56"/>
        </w:rPr>
        <w:t> </w:t>
      </w:r>
      <w:r>
        <w:rPr/>
        <w:t>今，专注呼叫中心领域</w:t>
      </w:r>
      <w:r>
        <w:rPr>
          <w:rFonts w:ascii="Times New Roman" w:hAnsi="Times New Roman" w:cs="Times New Roman" w:eastAsia="Times New Roman" w:hint="default"/>
        </w:rPr>
        <w:t>19</w:t>
      </w:r>
      <w:r>
        <w:rPr/>
        <w:t>年，围绕客户的需求持续创新，与</w:t>
      </w:r>
      <w:r>
        <w:rPr>
          <w:rFonts w:ascii="Times New Roman" w:hAnsi="Times New Roman" w:cs="Times New Roman" w:eastAsia="Times New Roman" w:hint="default"/>
        </w:rPr>
        <w:t>Genesys</w:t>
      </w:r>
      <w:r>
        <w:rPr/>
        <w:t>及</w:t>
      </w:r>
      <w:r>
        <w:rPr>
          <w:rFonts w:ascii="Times New Roman" w:hAnsi="Times New Roman" w:cs="Times New Roman" w:eastAsia="Times New Roman" w:hint="default"/>
        </w:rPr>
        <w:t>Verint</w:t>
      </w:r>
      <w:r>
        <w:rPr/>
        <w:t>等核心业务伙伴紧密合作，提供企业联络中心、</w:t>
      </w:r>
      <w:r>
        <w:rPr>
          <w:w w:val="99"/>
        </w:rPr>
        <w:t> </w:t>
      </w:r>
      <w:r>
        <w:rPr/>
        <w:t>云联络中心、呼叫中心统一管理及监控软件等领域诸多顶尖解决方案。业务覆盖银行、金融保险、电力、运营商、互联网、</w:t>
      </w:r>
      <w:r>
        <w:rPr>
          <w:w w:val="99"/>
        </w:rPr>
        <w:t> </w:t>
      </w:r>
      <w:r>
        <w:rPr/>
        <w:t>电商、零售、交通、制造、房地产、教育、旅游、医疗健康、公共服务等</w:t>
      </w:r>
      <w:r>
        <w:rPr>
          <w:rFonts w:ascii="Times New Roman" w:hAnsi="Times New Roman" w:cs="Times New Roman" w:eastAsia="Times New Roman" w:hint="default"/>
        </w:rPr>
        <w:t>10</w:t>
      </w:r>
      <w:r>
        <w:rPr/>
        <w:t>多个行业，服务近百家金融和互联网龙头企业。</w:t>
      </w:r>
      <w:r>
        <w:rPr>
          <w:w w:val="99"/>
        </w:rPr>
        <w:t> </w:t>
      </w:r>
      <w:r>
        <w:rPr>
          <w:rFonts w:ascii="Times New Roman" w:hAnsi="Times New Roman" w:cs="Times New Roman" w:eastAsia="Times New Roman" w:hint="default"/>
          <w:spacing w:val="-2"/>
        </w:rPr>
        <w:t>2017</w:t>
      </w:r>
      <w:r>
        <w:rPr>
          <w:spacing w:val="-2"/>
        </w:rPr>
        <w:t>年，亿迅资产组拓展业务覆盖行业的同时，一方面持续新技术开发的投入，另一方面挖掘现有客户的定制需求，积极推</w:t>
      </w:r>
      <w:r>
        <w:rPr>
          <w:spacing w:val="-63"/>
        </w:rPr>
        <w:t> </w:t>
      </w:r>
      <w:r>
        <w:rPr>
          <w:spacing w:val="-63"/>
        </w:rPr>
      </w:r>
      <w:r>
        <w:rPr/>
        <w:t>进公司从产品销售向技术服务转型。</w:t>
      </w:r>
    </w:p>
    <w:p>
      <w:pPr>
        <w:spacing w:line="240" w:lineRule="auto" w:before="13"/>
        <w:rPr>
          <w:rFonts w:ascii="宋体" w:hAnsi="宋体" w:cs="宋体" w:eastAsia="宋体" w:hint="default"/>
          <w:sz w:val="25"/>
          <w:szCs w:val="25"/>
        </w:rPr>
      </w:pPr>
    </w:p>
    <w:p>
      <w:pPr>
        <w:pStyle w:val="BodyText"/>
        <w:spacing w:line="300" w:lineRule="auto"/>
        <w:ind w:right="1129"/>
        <w:jc w:val="both"/>
      </w:pPr>
      <w:r>
        <w:rPr>
          <w:spacing w:val="-3"/>
        </w:rPr>
        <w:t>湖北司马彦：为汉华易美持股</w:t>
      </w:r>
      <w:r>
        <w:rPr>
          <w:rFonts w:ascii="Times New Roman" w:hAnsi="Times New Roman" w:cs="Times New Roman" w:eastAsia="Times New Roman" w:hint="default"/>
          <w:spacing w:val="-3"/>
        </w:rPr>
        <w:t>49%</w:t>
      </w:r>
      <w:r>
        <w:rPr>
          <w:spacing w:val="-3"/>
        </w:rPr>
        <w:t>参股公司（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月收购），主要从事字帖书籍的编写、策划、制作和发行业务，经过</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2"/>
        </w:rPr>
        <w:t> </w:t>
      </w:r>
      <w:r>
        <w:rPr>
          <w:spacing w:val="-2"/>
        </w:rPr>
        <w:t>年的不断积累和沉淀，已编写出版钢笔字帖、毛笔字帖、多体汉语字帖、多笔体英文字帖等近</w:t>
      </w:r>
      <w:r>
        <w:rPr>
          <w:rFonts w:ascii="Times New Roman" w:hAnsi="Times New Roman" w:cs="Times New Roman" w:eastAsia="Times New Roman" w:hint="default"/>
          <w:spacing w:val="-2"/>
        </w:rPr>
        <w:t>800</w:t>
      </w:r>
      <w:r>
        <w:rPr>
          <w:spacing w:val="-2"/>
        </w:rPr>
        <w:t>种，已与</w:t>
      </w:r>
      <w:r>
        <w:rPr>
          <w:rFonts w:ascii="Times New Roman" w:hAnsi="Times New Roman" w:cs="Times New Roman" w:eastAsia="Times New Roman" w:hint="default"/>
          <w:spacing w:val="-2"/>
        </w:rPr>
        <w:t>400</w:t>
      </w:r>
      <w:r>
        <w:rPr>
          <w:spacing w:val="-2"/>
        </w:rPr>
        <w:t>多家经销商建</w:t>
      </w:r>
      <w:r>
        <w:rPr>
          <w:spacing w:val="-60"/>
        </w:rPr>
        <w:t> </w:t>
      </w:r>
      <w:r>
        <w:rPr/>
        <w:t>立了长期、稳固的合作关系。</w:t>
      </w:r>
      <w:r>
        <w:rPr>
          <w:rFonts w:ascii="Times New Roman" w:hAnsi="Times New Roman" w:cs="Times New Roman" w:eastAsia="Times New Roman" w:hint="default"/>
        </w:rPr>
        <w:t>2017</w:t>
      </w:r>
      <w:r>
        <w:rPr/>
        <w:t>年，湖北司马彦依托其核心</w:t>
      </w:r>
      <w:r>
        <w:rPr>
          <w:rFonts w:ascii="Times New Roman" w:hAnsi="Times New Roman" w:cs="Times New Roman" w:eastAsia="Times New Roman" w:hint="default"/>
        </w:rPr>
        <w:t>IP</w:t>
      </w:r>
      <w:r>
        <w:rPr/>
        <w:t>资源，业绩稳步上升。</w:t>
      </w:r>
    </w:p>
    <w:p>
      <w:pPr>
        <w:spacing w:line="240" w:lineRule="auto" w:before="11"/>
        <w:rPr>
          <w:rFonts w:ascii="宋体" w:hAnsi="宋体" w:cs="宋体" w:eastAsia="宋体" w:hint="default"/>
          <w:sz w:val="24"/>
          <w:szCs w:val="24"/>
        </w:rPr>
      </w:pPr>
    </w:p>
    <w:p>
      <w:pPr>
        <w:pStyle w:val="BodyText"/>
        <w:spacing w:line="307" w:lineRule="auto"/>
        <w:ind w:right="1130"/>
        <w:jc w:val="both"/>
      </w:pPr>
      <w:r>
        <w:rPr>
          <w:spacing w:val="-2"/>
        </w:rPr>
        <w:t>唱游公司：公司于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月中标国家旅游局</w:t>
      </w:r>
      <w:r>
        <w:rPr>
          <w:rFonts w:ascii="Times New Roman" w:hAnsi="Times New Roman" w:cs="Times New Roman" w:eastAsia="Times New Roman" w:hint="default"/>
          <w:spacing w:val="-2"/>
        </w:rPr>
        <w:t>“</w:t>
      </w:r>
      <w:r>
        <w:rPr>
          <w:spacing w:val="-2"/>
        </w:rPr>
        <w:t>国家智慧旅游公共服务平台</w:t>
      </w:r>
      <w:r>
        <w:rPr>
          <w:rFonts w:ascii="Times New Roman" w:hAnsi="Times New Roman" w:cs="Times New Roman" w:eastAsia="Times New Roman" w:hint="default"/>
          <w:spacing w:val="-2"/>
        </w:rPr>
        <w:t>”</w:t>
      </w:r>
      <w:r>
        <w:rPr>
          <w:spacing w:val="-2"/>
        </w:rPr>
        <w:t>。公司参与唱游公司定向增资扩股后，唱游公司</w:t>
      </w:r>
      <w:r>
        <w:rPr>
          <w:spacing w:val="-39"/>
        </w:rPr>
        <w:t> </w:t>
      </w:r>
      <w:r>
        <w:rPr>
          <w:spacing w:val="-39"/>
        </w:rPr>
      </w:r>
      <w:r>
        <w:rPr>
          <w:spacing w:val="-2"/>
        </w:rPr>
        <w:t>作为</w:t>
      </w:r>
      <w:r>
        <w:rPr>
          <w:rFonts w:ascii="Times New Roman" w:hAnsi="Times New Roman" w:cs="Times New Roman" w:eastAsia="Times New Roman" w:hint="default"/>
          <w:spacing w:val="-2"/>
        </w:rPr>
        <w:t>“12301</w:t>
      </w:r>
      <w:r>
        <w:rPr>
          <w:spacing w:val="-2"/>
        </w:rPr>
        <w:t>国家智慧旅游公共服务平台</w:t>
      </w:r>
      <w:r>
        <w:rPr>
          <w:rFonts w:ascii="Times New Roman" w:hAnsi="Times New Roman" w:cs="Times New Roman" w:eastAsia="Times New Roman" w:hint="default"/>
          <w:spacing w:val="-2"/>
        </w:rPr>
        <w:t>”</w:t>
      </w:r>
      <w:r>
        <w:rPr>
          <w:spacing w:val="-2"/>
        </w:rPr>
        <w:t>的实施公司，按照《国家智慧旅游公共服务平台项目特许经营协议》要求，以</w:t>
      </w:r>
      <w:r>
        <w:rPr>
          <w:rFonts w:ascii="Times New Roman" w:hAnsi="Times New Roman" w:cs="Times New Roman" w:eastAsia="Times New Roman" w:hint="default"/>
          <w:spacing w:val="-2"/>
        </w:rPr>
        <w:t>12301</w:t>
      </w:r>
      <w:r>
        <w:rPr>
          <w:rFonts w:ascii="Times New Roman" w:hAnsi="Times New Roman" w:cs="Times New Roman" w:eastAsia="Times New Roman" w:hint="default"/>
          <w:spacing w:val="12"/>
        </w:rPr>
        <w:t> </w:t>
      </w:r>
      <w:r>
        <w:rPr>
          <w:spacing w:val="-2"/>
        </w:rPr>
        <w:t>国家旅游公共服务号码为载体，全力推动旅游公共信息的发布与资讯服务、旅游产业监管信息的采集、景区游客承载量统计</w:t>
      </w:r>
      <w:r>
        <w:rPr>
          <w:spacing w:val="-66"/>
        </w:rPr>
        <w:t> </w:t>
      </w:r>
      <w:r>
        <w:rPr>
          <w:spacing w:val="-66"/>
        </w:rPr>
      </w:r>
      <w:r>
        <w:rPr>
          <w:spacing w:val="-2"/>
        </w:rPr>
        <w:t>与预警、旅游形象推广等功能，并积极开展与旅游业相关的增值服务。该平台是一个连接旅游行业出行者、从业者及管理者</w:t>
      </w:r>
      <w:r>
        <w:rPr>
          <w:spacing w:val="-66"/>
        </w:rPr>
        <w:t> </w:t>
      </w:r>
      <w:r>
        <w:rPr>
          <w:spacing w:val="-66"/>
        </w:rPr>
      </w:r>
      <w:r>
        <w:rPr>
          <w:spacing w:val="-1"/>
        </w:rPr>
        <w:t>的具有公信力的旅游服务聚合平台，是我国旅游行业大数据平台，也是视觉中国战略实施中打造的第一个直接面向</w:t>
      </w:r>
      <w:r>
        <w:rPr>
          <w:rFonts w:ascii="Times New Roman" w:hAnsi="Times New Roman" w:cs="Times New Roman" w:eastAsia="Times New Roman" w:hint="default"/>
          <w:spacing w:val="-1"/>
        </w:rPr>
        <w:t>C</w:t>
      </w:r>
      <w:r>
        <w:rPr>
          <w:spacing w:val="-1"/>
        </w:rPr>
        <w:t>端消费</w:t>
      </w:r>
      <w:r>
        <w:rPr>
          <w:spacing w:val="-57"/>
        </w:rPr>
        <w:t> </w:t>
      </w:r>
      <w:r>
        <w:rPr/>
        <w:t>者的互联网平台。</w:t>
      </w:r>
    </w:p>
    <w:p>
      <w:pPr>
        <w:spacing w:line="240" w:lineRule="auto" w:before="11"/>
        <w:rPr>
          <w:rFonts w:ascii="宋体" w:hAnsi="宋体" w:cs="宋体" w:eastAsia="宋体" w:hint="default"/>
          <w:sz w:val="25"/>
          <w:szCs w:val="25"/>
        </w:rPr>
      </w:pPr>
    </w:p>
    <w:p>
      <w:pPr>
        <w:pStyle w:val="BodyText"/>
        <w:spacing w:line="304" w:lineRule="auto"/>
        <w:ind w:right="0"/>
        <w:jc w:val="left"/>
      </w:pPr>
      <w:r>
        <w:rPr>
          <w:spacing w:val="-3"/>
        </w:rPr>
        <w:t>易教优培：为公司持股</w:t>
      </w:r>
      <w:r>
        <w:rPr>
          <w:rFonts w:ascii="Times New Roman" w:hAnsi="Times New Roman" w:cs="Times New Roman" w:eastAsia="Times New Roman" w:hint="default"/>
          <w:spacing w:val="-3"/>
        </w:rPr>
        <w:t>35%</w:t>
      </w:r>
      <w:r>
        <w:rPr>
          <w:spacing w:val="-3"/>
        </w:rPr>
        <w:t>的参股公司（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月收购），主要提供在线教育先进技术产品与运营服务的专业机构，其团队</w:t>
      </w:r>
      <w:r>
        <w:rPr>
          <w:spacing w:val="-62"/>
        </w:rPr>
        <w:t> </w:t>
      </w:r>
      <w:r>
        <w:rPr>
          <w:spacing w:val="-62"/>
        </w:rPr>
      </w:r>
      <w:r>
        <w:rPr>
          <w:spacing w:val="-1"/>
        </w:rPr>
        <w:t>拥有丰富的中小学教师培训项目运营经验，目前负责</w:t>
      </w:r>
      <w:r>
        <w:rPr>
          <w:rFonts w:ascii="Times New Roman" w:hAnsi="Times New Roman" w:cs="Times New Roman" w:eastAsia="Times New Roman" w:hint="default"/>
          <w:spacing w:val="-1"/>
        </w:rPr>
        <w:t>“</w:t>
      </w:r>
      <w:r>
        <w:rPr>
          <w:spacing w:val="-1"/>
        </w:rPr>
        <w:t>国家教师专业发展公共服务网</w:t>
      </w:r>
      <w:r>
        <w:rPr>
          <w:rFonts w:ascii="Times New Roman" w:hAnsi="Times New Roman" w:cs="Times New Roman" w:eastAsia="Times New Roman" w:hint="default"/>
          <w:spacing w:val="-1"/>
        </w:rPr>
        <w:t>”</w:t>
      </w:r>
      <w:r>
        <w:rPr>
          <w:spacing w:val="-1"/>
        </w:rPr>
        <w:t>的整体运营。公司紧紧围绕</w:t>
      </w:r>
      <w:r>
        <w:rPr>
          <w:rFonts w:ascii="Times New Roman" w:hAnsi="Times New Roman" w:cs="Times New Roman" w:eastAsia="Times New Roman" w:hint="default"/>
          <w:spacing w:val="-1"/>
        </w:rPr>
        <w:t>“</w:t>
      </w:r>
      <w:r>
        <w:rPr>
          <w:spacing w:val="-1"/>
        </w:rPr>
        <w:t>视觉</w:t>
      </w:r>
      <w:r>
        <w:rPr>
          <w:rFonts w:ascii="Times New Roman" w:hAnsi="Times New Roman" w:cs="Times New Roman" w:eastAsia="Times New Roman" w:hint="default"/>
          <w:spacing w:val="-1"/>
        </w:rPr>
        <w:t>”</w:t>
      </w:r>
      <w:r>
        <w:rPr>
          <w:spacing w:val="-1"/>
        </w:rPr>
        <w:t>核心</w:t>
      </w:r>
      <w:r>
        <w:rPr>
          <w:spacing w:val="-77"/>
        </w:rPr>
        <w:t> </w:t>
      </w:r>
      <w:r>
        <w:rPr>
          <w:spacing w:val="-2"/>
        </w:rPr>
        <w:t>业务，将优质视觉内容与大数据、人工智能技术相结合，加速视觉生态布局，整合上下游资源，将业务延伸至旅游、教育等</w:t>
      </w:r>
      <w:r>
        <w:rPr>
          <w:spacing w:val="-68"/>
        </w:rPr>
        <w:t> </w:t>
      </w:r>
      <w:r>
        <w:rPr>
          <w:spacing w:val="-68"/>
        </w:rPr>
      </w:r>
      <w:r>
        <w:rPr>
          <w:rFonts w:ascii="Times New Roman" w:hAnsi="Times New Roman" w:cs="Times New Roman" w:eastAsia="Times New Roman" w:hint="default"/>
        </w:rPr>
        <w:t>2C</w:t>
      </w:r>
      <w:r>
        <w:rPr/>
        <w:t>端产业，打造以视觉为核心的多业务板块高度协同发展的领袖型文化集团公司。基于公司发展战略的实施计划，教育行 业将是公司深耕的行业之一。</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before="0"/>
        <w:ind w:left="497" w:right="8538"/>
        <w:jc w:val="center"/>
        <w:rPr>
          <w:b w:val="0"/>
          <w:bCs w:val="0"/>
        </w:rPr>
      </w:pPr>
      <w:r>
        <w:rPr/>
        <w:t>（一）</w:t>
      </w:r>
      <w:r>
        <w:rPr>
          <w:rFonts w:ascii="宋体" w:hAnsi="宋体" w:cs="宋体" w:eastAsia="宋体" w:hint="default"/>
        </w:rPr>
        <w:t>2018</w:t>
      </w:r>
      <w:r>
        <w:rPr>
          <w:rFonts w:ascii="宋体" w:hAnsi="宋体" w:cs="宋体" w:eastAsia="宋体" w:hint="default"/>
          <w:spacing w:val="-48"/>
        </w:rPr>
        <w:t> </w:t>
      </w:r>
      <w:r>
        <w:rPr/>
        <w:t>年经营计划</w:t>
      </w:r>
      <w:r>
        <w:rPr>
          <w:b w:val="0"/>
          <w:bCs w:val="0"/>
        </w:rPr>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9" w:lineRule="auto" w:before="44"/>
        <w:ind w:left="154" w:right="1132" w:firstLine="360"/>
        <w:jc w:val="both"/>
      </w:pPr>
      <w:r>
        <w:rPr>
          <w:rFonts w:ascii="宋体" w:hAnsi="宋体" w:cs="宋体" w:eastAsia="宋体" w:hint="default"/>
        </w:rPr>
        <w:t>2018</w:t>
      </w:r>
      <w:r>
        <w:rPr>
          <w:rFonts w:ascii="宋体" w:hAnsi="宋体" w:cs="宋体" w:eastAsia="宋体" w:hint="default"/>
          <w:spacing w:val="-46"/>
        </w:rPr>
        <w:t> </w:t>
      </w:r>
      <w:r>
        <w:rPr/>
        <w:t>年，公司将继续聚焦核心主营业务——“视觉内容与服务”，进一步强化从内容到产品，从大数据体系到核心技 术， 从版权授权到增值服务，从市场到运营到销售等全方面的核心竞争力，提高竞争壁垒，在互联网传媒行业不断变化与 </w:t>
      </w:r>
      <w:r>
        <w:rPr>
          <w:spacing w:val="-2"/>
        </w:rPr>
        <w:t>升级的行业趋势下提升对客户全面需求的满足及全应用场景的覆盖能力，加强与内容生态的深度对接与赋能，为客户持续创</w:t>
      </w:r>
      <w:r>
        <w:rPr>
          <w:spacing w:val="-64"/>
        </w:rPr>
        <w:t> </w:t>
      </w:r>
      <w:r>
        <w:rPr>
          <w:spacing w:val="-64"/>
        </w:rPr>
      </w:r>
      <w:r>
        <w:rPr>
          <w:spacing w:val="-2"/>
        </w:rPr>
        <w:t>造价值，巩固公司作为行业发展标杆企业及“基础设施”的地位及影响力，对行业的快速发展起到强有力的支撑作用，在版</w:t>
      </w:r>
      <w:r>
        <w:rPr>
          <w:spacing w:val="-66"/>
        </w:rPr>
        <w:t> </w:t>
      </w:r>
      <w:r>
        <w:rPr>
          <w:spacing w:val="-66"/>
        </w:rPr>
      </w:r>
      <w:r>
        <w:rPr/>
        <w:t>权保护及行业发展的巨大机遇下获得高速增长。</w:t>
      </w:r>
    </w:p>
    <w:p>
      <w:pPr>
        <w:pStyle w:val="BodyText"/>
        <w:spacing w:line="316" w:lineRule="auto" w:before="17"/>
        <w:ind w:left="154" w:right="1032" w:firstLine="360"/>
        <w:jc w:val="left"/>
      </w:pPr>
      <w:r>
        <w:rPr>
          <w:spacing w:val="-2"/>
        </w:rPr>
        <w:t>在内容端，进一步强化对全球优质视觉内容资源的整合与持续的内容生产与更新，满足客户对优质内容全方位需求。在</w:t>
      </w:r>
      <w:r>
        <w:rPr/>
        <w:t> 客户端，公司将加强内容运营，丰富完善我们的各种产品组合，进一步提升搜索与交付能力，满足各类客户的全方位需求。 公司会进一步扩大、夯实与互联网平台的深度合作，高效拓展长尾市场；不断提升鹰眼平台效率，加强市场化的获客能力， 持续拓展客户数量，提升增值服务，保障收入高速增长。</w:t>
      </w:r>
    </w:p>
    <w:p>
      <w:pPr>
        <w:pStyle w:val="BodyText"/>
        <w:spacing w:line="316" w:lineRule="auto" w:before="19"/>
        <w:ind w:left="154" w:right="1118" w:firstLine="360"/>
        <w:jc w:val="left"/>
      </w:pPr>
      <w:r>
        <w:rPr>
          <w:spacing w:val="-4"/>
        </w:rPr>
        <w:t>公司在聚焦核心主营业务前提下，加速整合核心业务的上下游资源，打造“视觉</w:t>
      </w:r>
      <w:r>
        <w:rPr>
          <w:rFonts w:ascii="宋体" w:hAnsi="宋体" w:cs="宋体" w:eastAsia="宋体" w:hint="default"/>
          <w:spacing w:val="-4"/>
        </w:rPr>
        <w:t>+</w:t>
      </w:r>
      <w:r>
        <w:rPr>
          <w:spacing w:val="-4"/>
        </w:rPr>
        <w:t>生态”，并将核心竞争力与旅游、教育</w:t>
      </w:r>
      <w:r>
        <w:rPr/>
        <w:t> 等</w:t>
      </w:r>
      <w:r>
        <w:rPr>
          <w:spacing w:val="-45"/>
        </w:rPr>
        <w:t> </w:t>
      </w:r>
      <w:r>
        <w:rPr>
          <w:rFonts w:ascii="宋体" w:hAnsi="宋体" w:cs="宋体" w:eastAsia="宋体" w:hint="default"/>
        </w:rPr>
        <w:t>2C</w:t>
      </w:r>
      <w:r>
        <w:rPr>
          <w:rFonts w:ascii="宋体" w:hAnsi="宋体" w:cs="宋体" w:eastAsia="宋体" w:hint="default"/>
          <w:spacing w:val="-45"/>
        </w:rPr>
        <w:t> </w:t>
      </w:r>
      <w:r>
        <w:rPr/>
        <w:t>产业相结合，充分发挥互联网传媒、旅游、教育等业务板块之间的协同效应，构建“视觉</w:t>
      </w:r>
      <w:r>
        <w:rPr>
          <w:rFonts w:ascii="宋体" w:hAnsi="宋体" w:cs="宋体" w:eastAsia="宋体" w:hint="default"/>
        </w:rPr>
        <w:t>+</w:t>
      </w:r>
      <w:r>
        <w:rPr/>
        <w:t>产业”的战略布局。</w:t>
      </w:r>
    </w:p>
    <w:p>
      <w:pPr>
        <w:pStyle w:val="BodyText"/>
        <w:spacing w:line="316" w:lineRule="auto" w:before="19"/>
        <w:ind w:left="154" w:right="0" w:firstLine="360"/>
        <w:jc w:val="left"/>
      </w:pPr>
      <w:r>
        <w:rPr>
          <w:spacing w:val="-2"/>
        </w:rPr>
        <w:t>在全球化的战略下，公司会进一步强化在全球市场的参与与布局，持续打造一个具有领先技术实力及最佳行业实践的世</w:t>
      </w:r>
      <w:r>
        <w:rPr/>
        <w:t> 界一流的版权内容企业。</w:t>
      </w:r>
    </w:p>
    <w:p>
      <w:pPr>
        <w:spacing w:line="300" w:lineRule="auto" w:before="19"/>
        <w:ind w:left="514" w:right="1122" w:firstLine="6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2"/>
          <w:sz w:val="18"/>
          <w:szCs w:val="18"/>
        </w:rPr>
        <w:t> </w:t>
      </w:r>
      <w:r>
        <w:rPr>
          <w:rFonts w:ascii="宋体" w:hAnsi="宋体" w:cs="宋体" w:eastAsia="宋体" w:hint="default"/>
          <w:b/>
          <w:bCs/>
          <w:sz w:val="18"/>
          <w:szCs w:val="18"/>
        </w:rPr>
        <w:t>根据市场需求，丰富内容品类，持续巩固和构筑内容护城河</w:t>
      </w:r>
      <w:r>
        <w:rPr>
          <w:rFonts w:ascii="宋体" w:hAnsi="宋体" w:cs="宋体" w:eastAsia="宋体" w:hint="default"/>
          <w:b/>
          <w:bCs/>
          <w:w w:val="99"/>
          <w:sz w:val="18"/>
          <w:szCs w:val="18"/>
        </w:rPr>
        <w:t> </w:t>
      </w:r>
      <w:r>
        <w:rPr>
          <w:rFonts w:ascii="宋体" w:hAnsi="宋体" w:cs="宋体" w:eastAsia="宋体" w:hint="default"/>
          <w:sz w:val="18"/>
          <w:szCs w:val="18"/>
        </w:rPr>
        <w:t>视觉内容的数量、质量和丰富全面性是公司核心业务增长的关键驱动因素之一。公司多年来持续整合全球最优质的</w:t>
      </w:r>
      <w:r>
        <w:rPr>
          <w:rFonts w:ascii="宋体" w:hAnsi="宋体" w:cs="宋体" w:eastAsia="宋体" w:hint="default"/>
          <w:sz w:val="18"/>
          <w:szCs w:val="18"/>
        </w:rPr>
        <w:t>PGC</w:t>
      </w:r>
    </w:p>
    <w:p>
      <w:pPr>
        <w:pStyle w:val="BodyText"/>
        <w:spacing w:line="240" w:lineRule="auto" w:before="31"/>
        <w:ind w:right="0"/>
        <w:jc w:val="left"/>
      </w:pPr>
      <w:r>
        <w:rPr/>
        <w:t>视觉内容资源，精耕细作构筑强大的内容资源护城河，不断提升竞争壁垒。</w:t>
      </w:r>
    </w:p>
    <w:p>
      <w:pPr>
        <w:pStyle w:val="BodyText"/>
        <w:spacing w:line="316" w:lineRule="auto" w:before="76"/>
        <w:ind w:right="0" w:firstLine="360"/>
        <w:jc w:val="left"/>
      </w:pPr>
      <w:r>
        <w:rPr>
          <w:rFonts w:ascii="宋体" w:hAnsi="宋体" w:cs="宋体" w:eastAsia="宋体" w:hint="default"/>
        </w:rPr>
        <w:t>2018</w:t>
      </w:r>
      <w:r>
        <w:rPr>
          <w:rFonts w:ascii="宋体" w:hAnsi="宋体" w:cs="宋体" w:eastAsia="宋体" w:hint="default"/>
          <w:spacing w:val="-28"/>
        </w:rPr>
        <w:t> </w:t>
      </w:r>
      <w:r>
        <w:rPr/>
        <w:t>年，公司将依托</w:t>
      </w:r>
      <w:r>
        <w:rPr>
          <w:spacing w:val="-28"/>
        </w:rPr>
        <w:t> </w:t>
      </w:r>
      <w:r>
        <w:rPr>
          <w:rFonts w:ascii="宋体" w:hAnsi="宋体" w:cs="宋体" w:eastAsia="宋体" w:hint="default"/>
        </w:rPr>
        <w:t>500px</w:t>
      </w:r>
      <w:r>
        <w:rPr>
          <w:rFonts w:ascii="宋体" w:hAnsi="宋体" w:cs="宋体" w:eastAsia="宋体" w:hint="default"/>
          <w:spacing w:val="-28"/>
        </w:rPr>
        <w:t> </w:t>
      </w:r>
      <w:r>
        <w:rPr/>
        <w:t>的全球社区网络平台，全面整合两大互联网平台：版权交易平台与网络社区平台的各自优 势资源，在内容生产、市场渠道、产品技术等各个层面形成优势互补；公司将进一步加大对</w:t>
      </w:r>
      <w:r>
        <w:rPr>
          <w:spacing w:val="-54"/>
        </w:rPr>
        <w:t> </w:t>
      </w:r>
      <w:r>
        <w:rPr>
          <w:rFonts w:ascii="宋体" w:hAnsi="宋体" w:cs="宋体" w:eastAsia="宋体" w:hint="default"/>
        </w:rPr>
        <w:t>500px</w:t>
      </w:r>
      <w:r>
        <w:rPr>
          <w:rFonts w:ascii="宋体" w:hAnsi="宋体" w:cs="宋体" w:eastAsia="宋体" w:hint="default"/>
          <w:spacing w:val="-54"/>
        </w:rPr>
        <w:t> </w:t>
      </w:r>
      <w:r>
        <w:rPr/>
        <w:t>社区的投入，通过</w:t>
      </w:r>
      <w:r>
        <w:rPr>
          <w:spacing w:val="-54"/>
        </w:rPr>
        <w:t> </w:t>
      </w:r>
      <w:r>
        <w:rPr>
          <w:rFonts w:ascii="宋体" w:hAnsi="宋体" w:cs="宋体" w:eastAsia="宋体" w:hint="default"/>
        </w:rPr>
        <w:t>500px </w:t>
      </w:r>
      <w:r>
        <w:rPr>
          <w:spacing w:val="-2"/>
        </w:rPr>
        <w:t>全球化的互联网平台，为全球千万级用户提供社交互动、内容生产、交易变现、版权保护的全链路一站式服务，扩大独家优</w:t>
      </w:r>
      <w:r>
        <w:rPr>
          <w:spacing w:val="-66"/>
        </w:rPr>
        <w:t> </w:t>
      </w:r>
      <w:r>
        <w:rPr>
          <w:spacing w:val="-66"/>
        </w:rPr>
      </w:r>
      <w:r>
        <w:rPr>
          <w:spacing w:val="-2"/>
        </w:rPr>
        <w:t>质内容来源；拓展了公司获取海量全球优质视觉内容的能力，并不断巩固和强化公司内容的核心竞争力，进一步加强了公司</w:t>
      </w:r>
      <w:r>
        <w:rPr>
          <w:spacing w:val="-66"/>
        </w:rPr>
        <w:t> </w:t>
      </w:r>
      <w:r>
        <w:rPr>
          <w:spacing w:val="-66"/>
        </w:rPr>
      </w:r>
      <w:r>
        <w:rPr>
          <w:spacing w:val="-2"/>
        </w:rPr>
        <w:t>在图片行业的主导地位，完善公司的行业生态布局。公司还将依托设计师社区（</w:t>
      </w:r>
      <w:r>
        <w:rPr>
          <w:rFonts w:ascii="宋体" w:hAnsi="宋体" w:cs="宋体" w:eastAsia="宋体" w:hint="default"/>
          <w:spacing w:val="-2"/>
        </w:rPr>
        <w:t>shijue.me</w:t>
      </w:r>
      <w:r>
        <w:rPr>
          <w:spacing w:val="-2"/>
        </w:rPr>
        <w:t>），进一步开发包括插画、矢量、</w:t>
      </w:r>
      <w:r>
        <w:rPr>
          <w:spacing w:val="-57"/>
        </w:rPr>
        <w:t> </w:t>
      </w:r>
      <w:r>
        <w:rPr>
          <w:spacing w:val="-57"/>
        </w:rPr>
      </w:r>
      <w:r>
        <w:rPr>
          <w:rFonts w:ascii="宋体" w:hAnsi="宋体" w:cs="宋体" w:eastAsia="宋体" w:hint="default"/>
        </w:rPr>
        <w:t>icon</w:t>
      </w:r>
      <w:r>
        <w:rPr/>
        <w:t>、模版等设计类产品，以满足不断增长的市场需求。</w:t>
      </w:r>
    </w:p>
    <w:p>
      <w:pPr>
        <w:pStyle w:val="BodyText"/>
        <w:spacing w:line="307" w:lineRule="auto" w:before="19"/>
        <w:ind w:left="154" w:right="0" w:firstLine="360"/>
        <w:jc w:val="left"/>
      </w:pPr>
      <w:r>
        <w:rPr>
          <w:spacing w:val="-4"/>
        </w:rPr>
        <w:t>随着智能手机普及和移动互联的发展，移动时代下的短视频行业迎来快速发展期，为短视频业务的发展提供良好的基础。</w:t>
      </w:r>
      <w:r>
        <w:rPr/>
        <w:t> 短视频也成为当下最受欢迎的内容形态之一，具有极高的商业变现价值。为顺应短视频快速发展的趋势，</w:t>
      </w:r>
      <w:r>
        <w:rPr>
          <w:rFonts w:ascii="Times New Roman" w:hAnsi="Times New Roman" w:cs="Times New Roman" w:eastAsia="Times New Roman" w:hint="default"/>
        </w:rPr>
        <w:t>2018 </w:t>
      </w:r>
      <w:r>
        <w:rPr/>
        <w:t>年公司将加</w:t>
      </w:r>
      <w:r>
        <w:rPr>
          <w:spacing w:val="-81"/>
        </w:rPr>
        <w:t> </w:t>
      </w:r>
      <w:r>
        <w:rPr/>
        <w:t>大视频、音乐业务的投入，整合短视频内容素材，满足用户对短视频产品的需求；</w:t>
      </w:r>
      <w:r>
        <w:rPr>
          <w:rFonts w:ascii="Times New Roman" w:hAnsi="Times New Roman" w:cs="Times New Roman" w:eastAsia="Times New Roman" w:hint="default"/>
        </w:rPr>
        <w:t>2018 </w:t>
      </w:r>
      <w:r>
        <w:rPr/>
        <w:t>年一季度，在产品端，公司的创意</w:t>
      </w:r>
      <w:r>
        <w:rPr>
          <w:spacing w:val="-82"/>
        </w:rPr>
        <w:t> </w:t>
      </w:r>
      <w:r>
        <w:rPr>
          <w:spacing w:val="-82"/>
        </w:rPr>
      </w:r>
      <w:r>
        <w:rPr/>
        <w:t>视频、编辑视频、音乐素材产品已经完成上线，可以为客户提供完整的视频、音乐素材服务。</w:t>
      </w:r>
    </w:p>
    <w:p>
      <w:pPr>
        <w:pStyle w:val="Heading5"/>
        <w:spacing w:line="240" w:lineRule="auto" w:before="26"/>
        <w:ind w:left="580" w:right="0"/>
        <w:jc w:val="left"/>
        <w:rPr>
          <w:b w:val="0"/>
          <w:bCs w:val="0"/>
        </w:rPr>
      </w:pPr>
      <w:r>
        <w:rPr>
          <w:rFonts w:ascii="Times New Roman" w:hAnsi="Times New Roman" w:cs="Times New Roman" w:eastAsia="Times New Roman" w:hint="default"/>
        </w:rPr>
        <w:t>2</w:t>
      </w:r>
      <w:r>
        <w:rPr>
          <w:w w:val="99"/>
        </w:rPr>
        <w:t>、</w:t>
      </w:r>
      <w:r>
        <w:rPr/>
        <w:t> </w:t>
      </w:r>
      <w:r>
        <w:rPr>
          <w:spacing w:val="-38"/>
        </w:rPr>
        <w:t> </w:t>
      </w:r>
      <w:r>
        <w:rPr>
          <w:spacing w:val="1"/>
          <w:w w:val="99"/>
        </w:rPr>
        <w:t>继续</w:t>
      </w:r>
      <w:r>
        <w:rPr>
          <w:w w:val="99"/>
        </w:rPr>
        <w:t>加</w:t>
      </w:r>
      <w:r>
        <w:rPr>
          <w:spacing w:val="1"/>
          <w:w w:val="99"/>
        </w:rPr>
        <w:t>大</w:t>
      </w:r>
      <w:r>
        <w:rPr>
          <w:w w:val="99"/>
        </w:rPr>
        <w:t>技术</w:t>
      </w:r>
      <w:r>
        <w:rPr>
          <w:spacing w:val="1"/>
          <w:w w:val="99"/>
        </w:rPr>
        <w:t>创新</w:t>
      </w:r>
      <w:r>
        <w:rPr>
          <w:w w:val="99"/>
        </w:rPr>
        <w:t>投</w:t>
      </w:r>
      <w:r>
        <w:rPr>
          <w:spacing w:val="1"/>
          <w:w w:val="99"/>
        </w:rPr>
        <w:t>入</w:t>
      </w:r>
      <w:r>
        <w:rPr>
          <w:w w:val="99"/>
        </w:rPr>
        <w:t>，通</w:t>
      </w:r>
      <w:r>
        <w:rPr>
          <w:spacing w:val="1"/>
          <w:w w:val="99"/>
        </w:rPr>
        <w:t>过“</w:t>
      </w:r>
      <w:r>
        <w:rPr>
          <w:w w:val="99"/>
        </w:rPr>
        <w:t>连</w:t>
      </w:r>
      <w:r>
        <w:rPr>
          <w:spacing w:val="1"/>
          <w:w w:val="99"/>
        </w:rPr>
        <w:t>接</w:t>
      </w:r>
      <w:r>
        <w:rPr>
          <w:spacing w:val="-90"/>
          <w:w w:val="99"/>
        </w:rPr>
        <w:t>”</w:t>
      </w:r>
      <w:r>
        <w:rPr>
          <w:spacing w:val="1"/>
          <w:w w:val="99"/>
        </w:rPr>
        <w:t>“</w:t>
      </w:r>
      <w:r>
        <w:rPr>
          <w:w w:val="99"/>
        </w:rPr>
        <w:t>赋</w:t>
      </w:r>
      <w:r>
        <w:rPr>
          <w:spacing w:val="1"/>
          <w:w w:val="99"/>
        </w:rPr>
        <w:t>能</w:t>
      </w:r>
      <w:r>
        <w:rPr>
          <w:spacing w:val="-90"/>
          <w:w w:val="99"/>
        </w:rPr>
        <w:t>”</w:t>
      </w:r>
      <w:r>
        <w:rPr>
          <w:spacing w:val="1"/>
          <w:w w:val="99"/>
        </w:rPr>
        <w:t>，提</w:t>
      </w:r>
      <w:r>
        <w:rPr>
          <w:w w:val="99"/>
        </w:rPr>
        <w:t>升</w:t>
      </w:r>
      <w:r>
        <w:rPr>
          <w:spacing w:val="1"/>
          <w:w w:val="99"/>
        </w:rPr>
        <w:t>服</w:t>
      </w:r>
      <w:r>
        <w:rPr>
          <w:w w:val="99"/>
        </w:rPr>
        <w:t>务</w:t>
      </w:r>
      <w:r>
        <w:rPr>
          <w:spacing w:val="1"/>
          <w:w w:val="99"/>
        </w:rPr>
        <w:t>交付</w:t>
      </w:r>
      <w:r>
        <w:rPr>
          <w:w w:val="99"/>
        </w:rPr>
        <w:t>效</w:t>
      </w:r>
      <w:r>
        <w:rPr>
          <w:spacing w:val="1"/>
          <w:w w:val="99"/>
        </w:rPr>
        <w:t>率</w:t>
      </w:r>
      <w:r>
        <w:rPr>
          <w:w w:val="99"/>
        </w:rPr>
        <w:t>和市</w:t>
      </w:r>
      <w:r>
        <w:rPr>
          <w:spacing w:val="1"/>
          <w:w w:val="99"/>
        </w:rPr>
        <w:t>场覆</w:t>
      </w:r>
      <w:r>
        <w:rPr>
          <w:w w:val="99"/>
        </w:rPr>
        <w:t>盖</w:t>
      </w:r>
      <w:r>
        <w:rPr>
          <w:b w:val="0"/>
          <w:bCs w:val="0"/>
        </w:rPr>
      </w:r>
    </w:p>
    <w:p>
      <w:pPr>
        <w:pStyle w:val="BodyText"/>
        <w:spacing w:line="316" w:lineRule="auto" w:before="63"/>
        <w:ind w:right="1130" w:firstLine="450"/>
        <w:jc w:val="both"/>
      </w:pPr>
      <w:r>
        <w:rPr>
          <w:rFonts w:ascii="宋体" w:hAnsi="宋体" w:cs="宋体" w:eastAsia="宋体" w:hint="default"/>
        </w:rPr>
        <w:t>2018</w:t>
      </w:r>
      <w:r>
        <w:rPr>
          <w:rFonts w:ascii="宋体" w:hAnsi="宋体" w:cs="宋体" w:eastAsia="宋体" w:hint="default"/>
          <w:spacing w:val="-22"/>
        </w:rPr>
        <w:t> </w:t>
      </w:r>
      <w:r>
        <w:rPr>
          <w:spacing w:val="-5"/>
        </w:rPr>
        <w:t>年，公司继续不断强化基于图像大数据的人工智能技术实力，不断打造公司核心的“数据提升技术”、“技术驱动</w:t>
      </w:r>
      <w:r>
        <w:rPr/>
        <w:t> </w:t>
      </w:r>
      <w:r>
        <w:rPr>
          <w:spacing w:val="-8"/>
        </w:rPr>
        <w:t>服务”、“服务回馈数据”闭环运行模式，“越服务，越懂服务”，提升产品体验、服务交付和管理效率，以产品技术驱动业务</w:t>
      </w:r>
      <w:r>
        <w:rPr>
          <w:spacing w:val="-88"/>
        </w:rPr>
        <w:t> </w:t>
      </w:r>
      <w:r>
        <w:rPr>
          <w:spacing w:val="-88"/>
        </w:rPr>
      </w:r>
      <w:r>
        <w:rPr>
          <w:spacing w:val="-2"/>
        </w:rPr>
        <w:t>快速增长。公司将持续不断迭代和优化自有版权交易平台，根据不同的客户的不同需求提供灵活、全面的解决方案，全面满</w:t>
      </w:r>
      <w:r>
        <w:rPr>
          <w:spacing w:val="-66"/>
        </w:rPr>
        <w:t> </w:t>
      </w:r>
      <w:r>
        <w:rPr>
          <w:spacing w:val="-66"/>
        </w:rPr>
      </w:r>
      <w:r>
        <w:rPr>
          <w:spacing w:val="-1"/>
        </w:rPr>
        <w:t>足客户的需求。同时，进一步完善网站、</w:t>
      </w:r>
      <w:r>
        <w:rPr>
          <w:rFonts w:ascii="宋体" w:hAnsi="宋体" w:cs="宋体" w:eastAsia="宋体" w:hint="default"/>
          <w:spacing w:val="-1"/>
        </w:rPr>
        <w:t>API</w:t>
      </w:r>
      <w:r>
        <w:rPr>
          <w:spacing w:val="-1"/>
        </w:rPr>
        <w:t>、</w:t>
      </w:r>
      <w:r>
        <w:rPr>
          <w:rFonts w:ascii="宋体" w:hAnsi="宋体" w:cs="宋体" w:eastAsia="宋体" w:hint="default"/>
          <w:spacing w:val="-1"/>
        </w:rPr>
        <w:t>VDAM</w:t>
      </w:r>
      <w:r>
        <w:rPr>
          <w:spacing w:val="-1"/>
        </w:rPr>
        <w:t>、“鹰眼”的服务能力，优化用户体验。</w:t>
      </w:r>
      <w:r>
        <w:rPr>
          <w:spacing w:val="-38"/>
        </w:rPr>
        <w:t> </w:t>
      </w:r>
      <w:r>
        <w:rPr>
          <w:spacing w:val="-1"/>
        </w:rPr>
        <w:t>基于拥有的核心数据资产，结</w:t>
      </w:r>
      <w:r>
        <w:rPr>
          <w:spacing w:val="-86"/>
        </w:rPr>
        <w:t> </w:t>
      </w:r>
      <w:r>
        <w:rPr>
          <w:spacing w:val="-86"/>
        </w:rPr>
      </w:r>
      <w:r>
        <w:rPr/>
        <w:t>合客户使用需求和应用场景，将“技术能力”</w:t>
      </w:r>
      <w:r>
        <w:rPr>
          <w:rFonts w:ascii="宋体" w:hAnsi="宋体" w:cs="宋体" w:eastAsia="宋体" w:hint="default"/>
        </w:rPr>
        <w:t>SaaS</w:t>
      </w:r>
      <w:r>
        <w:rPr>
          <w:rFonts w:ascii="宋体" w:hAnsi="宋体" w:cs="宋体" w:eastAsia="宋体" w:hint="default"/>
          <w:spacing w:val="7"/>
        </w:rPr>
        <w:t> </w:t>
      </w:r>
      <w:r>
        <w:rPr/>
        <w:t>化，向行业上下游“赋能”，“连接”各类互联网流量平台，提升公司 产品服务的市场覆盖。</w:t>
      </w:r>
    </w:p>
    <w:p>
      <w:pPr>
        <w:pStyle w:val="BodyText"/>
        <w:spacing w:line="316" w:lineRule="auto" w:before="19"/>
        <w:ind w:right="1130" w:firstLine="360"/>
        <w:jc w:val="both"/>
      </w:pPr>
      <w:r>
        <w:rPr>
          <w:spacing w:val="-2"/>
        </w:rPr>
        <w:t>视觉中国的核心业务覆盖了视觉内容版权的确权、追溯、交易、传播、保护等全业务场景，形成了完整的商业闭环。区</w:t>
      </w:r>
      <w:r>
        <w:rPr/>
        <w:t> 块链技术在视觉中国的主营业务中具有丰富的业务应用场景，有很广阔的应用前景，公司收购</w:t>
      </w:r>
      <w:r>
        <w:rPr>
          <w:spacing w:val="-69"/>
        </w:rPr>
        <w:t> </w:t>
      </w:r>
      <w:r>
        <w:rPr>
          <w:rFonts w:ascii="宋体" w:hAnsi="宋体" w:cs="宋体" w:eastAsia="宋体" w:hint="default"/>
        </w:rPr>
        <w:t>500px</w:t>
      </w:r>
      <w:r>
        <w:rPr>
          <w:rFonts w:ascii="宋体" w:hAnsi="宋体" w:cs="宋体" w:eastAsia="宋体" w:hint="default"/>
          <w:spacing w:val="-70"/>
        </w:rPr>
        <w:t> </w:t>
      </w:r>
      <w:r>
        <w:rPr>
          <w:spacing w:val="-3"/>
        </w:rPr>
        <w:t>后，将充分利用其全球</w:t>
      </w:r>
      <w:r>
        <w:rPr/>
        <w:t> </w:t>
      </w:r>
      <w:r>
        <w:rPr>
          <w:spacing w:val="-2"/>
        </w:rPr>
        <w:t>化的互联网平台，积极探索区块链技术在全流程的业务场景中的应用，将它们更好地运用在我们的服务中，提升服务的效率</w:t>
      </w:r>
      <w:r>
        <w:rPr>
          <w:spacing w:val="-66"/>
        </w:rPr>
        <w:t> </w:t>
      </w:r>
      <w:r>
        <w:rPr>
          <w:spacing w:val="-66"/>
        </w:rPr>
      </w:r>
      <w:r>
        <w:rPr/>
        <w:t>和透明度。</w:t>
      </w:r>
      <w:r>
        <w:rPr>
          <w:rFonts w:ascii="宋体" w:hAnsi="宋体" w:cs="宋体" w:eastAsia="宋体" w:hint="default"/>
        </w:rPr>
        <w:t>2018</w:t>
      </w:r>
      <w:r>
        <w:rPr>
          <w:rFonts w:ascii="宋体" w:hAnsi="宋体" w:cs="宋体" w:eastAsia="宋体" w:hint="default"/>
          <w:spacing w:val="-28"/>
        </w:rPr>
        <w:t> </w:t>
      </w:r>
      <w:r>
        <w:rPr/>
        <w:t>年，公司将依托版权交易平台和</w:t>
      </w:r>
      <w:r>
        <w:rPr>
          <w:spacing w:val="-28"/>
        </w:rPr>
        <w:t> </w:t>
      </w:r>
      <w:r>
        <w:rPr>
          <w:rFonts w:ascii="宋体" w:hAnsi="宋体" w:cs="宋体" w:eastAsia="宋体" w:hint="default"/>
        </w:rPr>
        <w:t>500px</w:t>
      </w:r>
      <w:r>
        <w:rPr>
          <w:rFonts w:ascii="宋体" w:hAnsi="宋体" w:cs="宋体" w:eastAsia="宋体" w:hint="default"/>
          <w:spacing w:val="-28"/>
        </w:rPr>
        <w:t> </w:t>
      </w:r>
      <w:r>
        <w:rPr/>
        <w:t>全球创作者网络社区平台，</w:t>
      </w:r>
      <w:r>
        <w:rPr>
          <w:color w:val="2B2B2B"/>
        </w:rPr>
        <w:t>通过运用数据加密、时间戳、分布式共</w:t>
      </w:r>
      <w:r>
        <w:rPr>
          <w:color w:val="2B2B2B"/>
        </w:rPr>
        <w:t> 识和智能合约等区块链技术</w:t>
      </w:r>
      <w:r>
        <w:rPr>
          <w:rFonts w:ascii="宋体" w:hAnsi="宋体" w:cs="宋体" w:eastAsia="宋体" w:hint="default"/>
          <w:color w:val="2B2B2B"/>
        </w:rPr>
        <w:t>,</w:t>
      </w:r>
      <w:r>
        <w:rPr>
          <w:color w:val="2B2B2B"/>
        </w:rPr>
        <w:t>开展内容的确权、用权与维权服务</w:t>
      </w:r>
      <w:r>
        <w:rPr/>
        <w:t>。我们相信，区块链技术作为互联网底层技术，只有与数字</w:t>
      </w:r>
      <w:r>
        <w:rPr>
          <w:spacing w:val="-83"/>
        </w:rPr>
        <w:t> </w:t>
      </w:r>
      <w:r>
        <w:rPr>
          <w:spacing w:val="-83"/>
        </w:rPr>
      </w:r>
      <w:r>
        <w:rPr>
          <w:spacing w:val="-2"/>
        </w:rPr>
        <w:t>版权的全流程业务场景相结合才能真正落地，区块链不仅仅是“技术”，最终将成为数字版权行业的“基础能力”，为行业</w:t>
      </w:r>
      <w:r>
        <w:rPr>
          <w:spacing w:val="-68"/>
        </w:rPr>
        <w:t> </w:t>
      </w:r>
      <w:r>
        <w:rPr>
          <w:spacing w:val="-68"/>
        </w:rPr>
      </w:r>
      <w:r>
        <w:rPr/>
        <w:t>的高速发展提供创新发展的助推力。</w:t>
      </w:r>
    </w:p>
    <w:p>
      <w:pPr>
        <w:pStyle w:val="Heading5"/>
        <w:spacing w:line="240" w:lineRule="auto"/>
        <w:ind w:left="580"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48"/>
        </w:rPr>
        <w:t> </w:t>
      </w:r>
      <w:r>
        <w:rPr/>
        <w:t>继续加强与互联网平台的战略合作，提升服务体验，持续拓展长尾市场</w:t>
      </w:r>
      <w:r>
        <w:rPr>
          <w:rFonts w:ascii="宋体" w:hAnsi="宋体" w:cs="宋体" w:eastAsia="宋体" w:hint="default"/>
          <w:b w:val="0"/>
          <w:bCs w:val="0"/>
        </w:rPr>
        <w:t>。</w:t>
      </w:r>
    </w:p>
    <w:p>
      <w:pPr>
        <w:pStyle w:val="BodyText"/>
        <w:spacing w:line="309" w:lineRule="auto" w:before="63"/>
        <w:ind w:right="1033"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年，公司将继续积极与搜索引擎、自媒体平台、广告平台、创意设计平台以及智能终端、旅游出行、电商等各类 互联网平台方展开战略合作，依托自身的核心竞争优势与各方形成合作共赢的局面；公司还将与各方就版权保护持续沟通， 积极推动内容正版化，共同构建合作共赢的行业生态。</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30" w:firstLine="360"/>
        <w:jc w:val="both"/>
      </w:pPr>
      <w:r>
        <w:rPr/>
        <w:t>在自媒体平台方面，</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日，公司与北京亿幕信息技术有限公司（微博</w:t>
      </w:r>
      <w:r>
        <w:rPr>
          <w:rFonts w:ascii="Times New Roman" w:hAnsi="Times New Roman" w:cs="Times New Roman" w:eastAsia="Times New Roman" w:hint="default"/>
        </w:rPr>
        <w:t>(NASDAQ:WB)</w:t>
      </w:r>
      <w:r>
        <w:rPr/>
        <w:t>战略投资企业，致力 于全球优质视频内容的有效传播）达成战略合作，将向微博云剪（由微博、亿幕联合推出的 </w:t>
      </w:r>
      <w:r>
        <w:rPr>
          <w:rFonts w:ascii="Times New Roman" w:hAnsi="Times New Roman" w:cs="Times New Roman" w:eastAsia="Times New Roman" w:hint="default"/>
        </w:rPr>
        <w:t>PGC</w:t>
      </w:r>
      <w:r>
        <w:rPr>
          <w:rFonts w:ascii="Times New Roman" w:hAnsi="Times New Roman" w:cs="Times New Roman" w:eastAsia="Times New Roman" w:hint="default"/>
          <w:spacing w:val="-27"/>
        </w:rPr>
        <w:t> </w:t>
      </w:r>
      <w:r>
        <w:rPr/>
        <w:t>短视频快速生产、版权素 材交易、内容分发及多维度数据分析管理的一站式在线 </w:t>
      </w:r>
      <w:r>
        <w:rPr>
          <w:rFonts w:ascii="Times New Roman" w:hAnsi="Times New Roman" w:cs="Times New Roman" w:eastAsia="Times New Roman" w:hint="default"/>
        </w:rPr>
        <w:t>SaaS </w:t>
      </w:r>
      <w:r>
        <w:rPr>
          <w:spacing w:val="-4"/>
        </w:rPr>
        <w:t>平台）开放全部的正版图片、视频、音乐素材，并通过 </w:t>
      </w:r>
      <w:r>
        <w:rPr>
          <w:rFonts w:ascii="Times New Roman" w:hAnsi="Times New Roman" w:cs="Times New Roman" w:eastAsia="Times New Roman" w:hint="default"/>
        </w:rPr>
        <w:t>API</w:t>
      </w:r>
      <w:r>
        <w:rPr>
          <w:rFonts w:ascii="Times New Roman" w:hAnsi="Times New Roman" w:cs="Times New Roman" w:eastAsia="Times New Roman" w:hint="default"/>
          <w:spacing w:val="-7"/>
        </w:rPr>
        <w:t> </w:t>
      </w:r>
      <w:r>
        <w:rPr/>
        <w:t>方</w:t>
      </w:r>
      <w:r>
        <w:rPr>
          <w:w w:val="99"/>
        </w:rPr>
        <w:t> </w:t>
      </w:r>
      <w:r>
        <w:rPr/>
        <w:t>式提供一站式的交付服务，供平台用户购买使用，服务数百万政府、媒体、企业、</w:t>
      </w:r>
      <w:r>
        <w:rPr>
          <w:rFonts w:ascii="Times New Roman" w:hAnsi="Times New Roman" w:cs="Times New Roman" w:eastAsia="Times New Roman" w:hint="default"/>
        </w:rPr>
        <w:t>MCN</w:t>
      </w:r>
      <w:r>
        <w:rPr>
          <w:rFonts w:ascii="Times New Roman" w:hAnsi="Times New Roman" w:cs="Times New Roman" w:eastAsia="Times New Roman" w:hint="default"/>
          <w:spacing w:val="2"/>
        </w:rPr>
        <w:t> </w:t>
      </w:r>
      <w:r>
        <w:rPr/>
        <w:t>等机构用户。微博、微信是中国两 </w:t>
      </w:r>
      <w:r>
        <w:rPr>
          <w:spacing w:val="-7"/>
        </w:rPr>
        <w:t>大社交平台</w:t>
      </w:r>
      <w:r>
        <w:rPr>
          <w:rFonts w:ascii="Times New Roman" w:hAnsi="Times New Roman" w:cs="Times New Roman" w:eastAsia="Times New Roman" w:hint="default"/>
          <w:spacing w:val="-7"/>
        </w:rPr>
        <w:t>,</w:t>
      </w:r>
      <w:r>
        <w:rPr>
          <w:spacing w:val="-7"/>
        </w:rPr>
        <w:t>微博是国内最大的社交媒体平台，拥有海量用户。截至</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spacing w:val="-6"/>
        </w:rPr>
        <w:t>日，经过微博认证的政务机构微博达</w:t>
      </w:r>
      <w:r>
        <w:rPr>
          <w:spacing w:val="-60"/>
        </w:rPr>
        <w:t> </w:t>
      </w:r>
      <w:r>
        <w:rPr>
          <w:rFonts w:ascii="Times New Roman" w:hAnsi="Times New Roman" w:cs="Times New Roman" w:eastAsia="Times New Roman" w:hint="default"/>
        </w:rPr>
        <w:t>132,012</w:t>
      </w:r>
      <w:r>
        <w:rPr>
          <w:rFonts w:ascii="Times New Roman" w:hAnsi="Times New Roman" w:cs="Times New Roman" w:eastAsia="Times New Roman" w:hint="default"/>
          <w:spacing w:val="-43"/>
        </w:rPr>
        <w:t> </w:t>
      </w:r>
      <w:r>
        <w:rPr/>
        <w:t>个；</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年微博企业账号已达</w:t>
      </w:r>
      <w:r>
        <w:rPr>
          <w:spacing w:val="-48"/>
        </w:rPr>
        <w:t> </w:t>
      </w:r>
      <w:r>
        <w:rPr>
          <w:rFonts w:ascii="Times New Roman" w:hAnsi="Times New Roman" w:cs="Times New Roman" w:eastAsia="Times New Roman" w:hint="default"/>
        </w:rPr>
        <w:t>130</w:t>
      </w:r>
      <w:r>
        <w:rPr>
          <w:rFonts w:ascii="Times New Roman" w:hAnsi="Times New Roman" w:cs="Times New Roman" w:eastAsia="Times New Roman" w:hint="default"/>
          <w:spacing w:val="-3"/>
        </w:rPr>
        <w:t> </w:t>
      </w:r>
      <w:r>
        <w:rPr/>
        <w:t>万个，同比增长</w:t>
      </w:r>
      <w:r>
        <w:rPr>
          <w:spacing w:val="-48"/>
        </w:rPr>
        <w:t> </w:t>
      </w:r>
      <w:r>
        <w:rPr>
          <w:rFonts w:ascii="Times New Roman" w:hAnsi="Times New Roman" w:cs="Times New Roman" w:eastAsia="Times New Roman" w:hint="default"/>
        </w:rPr>
        <w:t>35%</w:t>
      </w:r>
      <w:r>
        <w:rPr/>
        <w:t>；媒体微博也超过</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万余家；</w:t>
      </w:r>
      <w:r>
        <w:rPr>
          <w:rFonts w:ascii="Times New Roman" w:hAnsi="Times New Roman" w:cs="Times New Roman" w:eastAsia="Times New Roman" w:hint="default"/>
        </w:rPr>
        <w:t>MCN</w:t>
      </w:r>
      <w:r>
        <w:rPr>
          <w:rFonts w:ascii="Times New Roman" w:hAnsi="Times New Roman" w:cs="Times New Roman" w:eastAsia="Times New Roman" w:hint="default"/>
          <w:spacing w:val="-4"/>
        </w:rPr>
        <w:t> </w:t>
      </w:r>
      <w:r>
        <w:rPr/>
        <w:t>合作机构总量达</w:t>
      </w:r>
      <w:r>
        <w:rPr>
          <w:spacing w:val="-48"/>
        </w:rPr>
        <w:t> </w:t>
      </w:r>
      <w:r>
        <w:rPr>
          <w:rFonts w:ascii="Times New Roman" w:hAnsi="Times New Roman" w:cs="Times New Roman" w:eastAsia="Times New Roman" w:hint="default"/>
        </w:rPr>
        <w:t>1,200</w:t>
      </w:r>
      <w:r>
        <w:rPr>
          <w:rFonts w:ascii="Times New Roman" w:hAnsi="Times New Roman" w:cs="Times New Roman" w:eastAsia="Times New Roman" w:hint="default"/>
          <w:spacing w:val="-3"/>
        </w:rPr>
        <w:t> </w:t>
      </w:r>
      <w:r>
        <w:rPr/>
        <w:t>家，覆盖 了</w:t>
      </w:r>
      <w:r>
        <w:rPr>
          <w:spacing w:val="-33"/>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万个帐号和</w:t>
      </w:r>
      <w:r>
        <w:rPr>
          <w:spacing w:val="-33"/>
        </w:rPr>
        <w:t> </w:t>
      </w:r>
      <w:r>
        <w:rPr>
          <w:rFonts w:ascii="Times New Roman" w:hAnsi="Times New Roman" w:cs="Times New Roman" w:eastAsia="Times New Roman" w:hint="default"/>
        </w:rPr>
        <w:t>53</w:t>
      </w:r>
      <w:r>
        <w:rPr>
          <w:rFonts w:ascii="Times New Roman" w:hAnsi="Times New Roman" w:cs="Times New Roman" w:eastAsia="Times New Roman" w:hint="default"/>
          <w:spacing w:val="12"/>
        </w:rPr>
        <w:t> </w:t>
      </w:r>
      <w:r>
        <w:rPr/>
        <w:t>个垂直领域。公司通过此次战略合作协议的签署，将与微博战略投资的北京亿幕共建“微博云剪媒体 </w:t>
      </w:r>
      <w:r>
        <w:rPr>
          <w:spacing w:val="-7"/>
          <w:w w:val="99"/>
        </w:rPr>
        <w:t>平台内容资源库”，为微博的政府、媒体、企业、</w:t>
      </w:r>
      <w:r>
        <w:rPr>
          <w:rFonts w:ascii="Times New Roman" w:hAnsi="Times New Roman" w:cs="Times New Roman" w:eastAsia="Times New Roman" w:hint="default"/>
          <w:spacing w:val="-7"/>
          <w:w w:val="99"/>
        </w:rPr>
        <w:t>MCN</w:t>
      </w:r>
      <w:r>
        <w:rPr>
          <w:rFonts w:ascii="Times New Roman" w:hAnsi="Times New Roman" w:cs="Times New Roman" w:eastAsia="Times New Roman" w:hint="default"/>
          <w:spacing w:val="20"/>
          <w:w w:val="99"/>
        </w:rPr>
        <w:t> </w:t>
      </w:r>
      <w:r>
        <w:rPr>
          <w:spacing w:val="-1"/>
        </w:rPr>
        <w:t>等机构类新媒体客户提供相关内容增值服务，这将对公司主营业务产</w:t>
      </w:r>
      <w:r>
        <w:rPr>
          <w:spacing w:val="-85"/>
        </w:rPr>
        <w:t> </w:t>
      </w:r>
      <w:r>
        <w:rPr>
          <w:spacing w:val="-85"/>
        </w:rPr>
      </w:r>
      <w:r>
        <w:rPr>
          <w:spacing w:val="-2"/>
        </w:rPr>
        <w:t>生积极影响，有利于公司进一步拓展长尾市场及内容分发渠道，提升获客能力。微博云剪系统提供视频的快速剪辑和混剪功</w:t>
      </w:r>
      <w:r>
        <w:rPr>
          <w:spacing w:val="-66"/>
        </w:rPr>
        <w:t> </w:t>
      </w:r>
      <w:r>
        <w:rPr>
          <w:spacing w:val="-66"/>
        </w:rPr>
      </w:r>
      <w:r>
        <w:rPr>
          <w:spacing w:val="-2"/>
        </w:rPr>
        <w:t>能，用户可以进行添加文字特效、转场特效、背景音乐等操作，还支持直播的录制、回放和剪辑。公司与微博云剪的合作有</w:t>
      </w:r>
      <w:r>
        <w:rPr>
          <w:spacing w:val="-68"/>
        </w:rPr>
        <w:t> </w:t>
      </w:r>
      <w:r>
        <w:rPr>
          <w:spacing w:val="-68"/>
        </w:rPr>
      </w:r>
      <w:r>
        <w:rPr/>
        <w:t>利于公司进一步开拓视频、音乐素材的市场，顺应短视频行业的高速发展趋势。</w:t>
      </w:r>
    </w:p>
    <w:p>
      <w:pPr>
        <w:pStyle w:val="BodyText"/>
        <w:spacing w:line="309" w:lineRule="auto" w:before="28"/>
        <w:ind w:right="1025" w:firstLine="360"/>
        <w:jc w:val="left"/>
      </w:pPr>
      <w:r>
        <w:rPr/>
        <w:t>在搜索引擎方面，</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spacing w:val="-3"/>
        </w:rPr>
        <w:t>日，公司与北京搜狗科技发展有限公司签订了《战略合作协议》。公司向搜狗及其用</w:t>
      </w:r>
      <w:r>
        <w:rPr/>
        <w:t> </w:t>
      </w:r>
      <w:r>
        <w:rPr>
          <w:spacing w:val="-2"/>
        </w:rPr>
        <w:t>户开放全平台的图片版权资源库，搜狗为图片资源公司在其搜索引擎平台基于用户使用场景提供优先展示的机会。双方将共</w:t>
      </w:r>
      <w:r>
        <w:rPr>
          <w:spacing w:val="-64"/>
        </w:rPr>
        <w:t> </w:t>
      </w:r>
      <w:r>
        <w:rPr>
          <w:spacing w:val="-64"/>
        </w:rPr>
      </w:r>
      <w:r>
        <w:rPr/>
        <w:t>享各自大数据资源，并将在搜索引擎合作运营视觉中国、</w:t>
      </w:r>
      <w:r>
        <w:rPr>
          <w:rFonts w:ascii="Times New Roman" w:hAnsi="Times New Roman" w:cs="Times New Roman" w:eastAsia="Times New Roman" w:hint="default"/>
        </w:rPr>
        <w:t>500px</w:t>
      </w:r>
      <w:r>
        <w:rPr/>
        <w:t>、</w:t>
      </w:r>
      <w:r>
        <w:rPr>
          <w:rFonts w:ascii="Times New Roman" w:hAnsi="Times New Roman" w:cs="Times New Roman" w:eastAsia="Times New Roman" w:hint="default"/>
        </w:rPr>
        <w:t>Corbis</w:t>
      </w:r>
      <w:r>
        <w:rPr>
          <w:rFonts w:ascii="Times New Roman" w:hAnsi="Times New Roman" w:cs="Times New Roman" w:eastAsia="Times New Roman" w:hint="default"/>
          <w:spacing w:val="23"/>
        </w:rPr>
        <w:t> </w:t>
      </w:r>
      <w:r>
        <w:rPr/>
        <w:t>等独立品牌专区。同时，双方在优质内容素材的正 </w:t>
      </w:r>
      <w:r>
        <w:rPr>
          <w:spacing w:val="-4"/>
        </w:rPr>
        <w:t>版授权方面达成战略合作。双方将在人工智能、大数据分析、云服务等方面共同打造高效、便捷的互联网数据媒体服务平台。</w:t>
      </w:r>
      <w:r>
        <w:rPr>
          <w:spacing w:val="-46"/>
        </w:rPr>
        <w:t> </w:t>
      </w:r>
      <w:r>
        <w:rPr>
          <w:spacing w:val="-46"/>
        </w:rPr>
      </w:r>
      <w:r>
        <w:rPr>
          <w:spacing w:val="-2"/>
        </w:rPr>
        <w:t>本次签署的战略合作协议，公司将与中国第二大搜索引擎搜狗在图片搜索、数据共享、正版内容授权等方面建立深度合作关</w:t>
      </w:r>
      <w:r>
        <w:rPr>
          <w:spacing w:val="-66"/>
        </w:rPr>
        <w:t> </w:t>
      </w:r>
      <w:r>
        <w:rPr>
          <w:spacing w:val="-66"/>
        </w:rPr>
      </w:r>
      <w:r>
        <w:rPr>
          <w:spacing w:val="-2"/>
        </w:rPr>
        <w:t>系，一方面，有利于公司提升获客能力，进一步全方位覆盖市场，促进公司主营业务的发展；同时，有利于公司产品服务全</w:t>
      </w:r>
      <w:r>
        <w:rPr>
          <w:spacing w:val="-67"/>
        </w:rPr>
        <w:t> </w:t>
      </w:r>
      <w:r>
        <w:rPr>
          <w:spacing w:val="-67"/>
        </w:rPr>
      </w:r>
      <w:r>
        <w:rPr/>
        <w:t>面覆盖 </w:t>
      </w:r>
      <w:r>
        <w:rPr>
          <w:rFonts w:ascii="Times New Roman" w:hAnsi="Times New Roman" w:cs="Times New Roman" w:eastAsia="Times New Roman" w:hint="default"/>
        </w:rPr>
        <w:t>C</w:t>
      </w:r>
      <w:r>
        <w:rPr>
          <w:rFonts w:ascii="Times New Roman" w:hAnsi="Times New Roman" w:cs="Times New Roman" w:eastAsia="Times New Roman" w:hint="default"/>
          <w:spacing w:val="23"/>
        </w:rPr>
        <w:t> </w:t>
      </w:r>
      <w:r>
        <w:rPr/>
        <w:t>端用户，提升用户品牌感知和使用体验，对公司提升品牌影响力、拓展内容分发渠道、提高分发效率具有重要意 义。</w:t>
      </w:r>
    </w:p>
    <w:p>
      <w:pPr>
        <w:pStyle w:val="BodyText"/>
        <w:spacing w:line="312" w:lineRule="auto" w:before="24"/>
        <w:ind w:left="154" w:right="1131" w:firstLine="450"/>
        <w:jc w:val="both"/>
      </w:pPr>
      <w:r>
        <w:rPr/>
        <w:t>在广告平台方面，</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日，公司与优视科技（中国）有限公司（阿里巴巴网络技术有限公司全资子公司）签 </w:t>
      </w:r>
      <w:r>
        <w:rPr>
          <w:spacing w:val="-2"/>
        </w:rPr>
        <w:t>订了《战略合作协议》。公司向阿里巴巴的大鱼号媒体平台、汇川广告平台开放正版图片、视频、音乐资源等全部自有内容</w:t>
      </w:r>
      <w:r>
        <w:rPr>
          <w:spacing w:val="-65"/>
        </w:rPr>
        <w:t> </w:t>
      </w:r>
      <w:r>
        <w:rPr>
          <w:spacing w:val="-65"/>
        </w:rPr>
      </w:r>
      <w:r>
        <w:rPr>
          <w:spacing w:val="-5"/>
        </w:rPr>
        <w:t>或获得合法授权的内容，双方共建“大鱼号媒体平台内容资源库”、“汇川广告平台素材资源库”，在平台共建合作领域建立</w:t>
      </w:r>
      <w:r>
        <w:rPr>
          <w:spacing w:val="-78"/>
        </w:rPr>
        <w:t> </w:t>
      </w:r>
      <w:r>
        <w:rPr>
          <w:spacing w:val="-78"/>
        </w:rPr>
      </w:r>
      <w:r>
        <w:rPr/>
        <w:t>互为优先的合作关系，为三十万自媒体及数万中小企业客户提供优质的图片、视频、音乐资源，共同构建共赢生态圈。</w:t>
      </w:r>
    </w:p>
    <w:p>
      <w:pPr>
        <w:pStyle w:val="Heading5"/>
        <w:spacing w:line="240" w:lineRule="auto" w:before="22"/>
        <w:ind w:left="580" w:right="0"/>
        <w:jc w:val="left"/>
        <w:rPr>
          <w:b w:val="0"/>
          <w:bCs w:val="0"/>
        </w:rPr>
      </w:pPr>
      <w:r>
        <w:rPr>
          <w:rFonts w:ascii="宋体" w:hAnsi="宋体" w:cs="宋体" w:eastAsia="宋体" w:hint="default"/>
        </w:rPr>
        <w:t>4</w:t>
      </w:r>
      <w:r>
        <w:rPr/>
        <w:t>、</w:t>
      </w:r>
      <w:r>
        <w:rPr>
          <w:spacing w:val="46"/>
        </w:rPr>
        <w:t> </w:t>
      </w:r>
      <w:r>
        <w:rPr/>
        <w:t>重点拓展企业客户商机，全面提升获客能力</w:t>
      </w:r>
      <w:r>
        <w:rPr>
          <w:b w:val="0"/>
          <w:bCs w:val="0"/>
        </w:rPr>
      </w:r>
    </w:p>
    <w:p>
      <w:pPr>
        <w:pStyle w:val="BodyText"/>
        <w:spacing w:line="240" w:lineRule="auto" w:before="76"/>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日中国工商报刊登的</w:t>
      </w:r>
      <w:r>
        <w:rPr>
          <w:rFonts w:ascii="Times New Roman" w:hAnsi="Times New Roman" w:cs="Times New Roman" w:eastAsia="Times New Roman" w:hint="default"/>
        </w:rPr>
        <w:t>“</w:t>
      </w:r>
      <w:r>
        <w:rPr/>
        <w:t>党的十八大以来全国企业发展分析</w:t>
      </w:r>
      <w:r>
        <w:rPr>
          <w:rFonts w:ascii="Times New Roman" w:hAnsi="Times New Roman" w:cs="Times New Roman" w:eastAsia="Times New Roman" w:hint="default"/>
        </w:rPr>
        <w:t>”</w:t>
      </w:r>
      <w:r>
        <w:rPr/>
        <w:t>指出企业总量快速增长。截至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p>
    <w:p>
      <w:pPr>
        <w:pStyle w:val="BodyText"/>
        <w:spacing w:line="300" w:lineRule="auto" w:before="63"/>
        <w:ind w:left="154" w:right="1129"/>
        <w:jc w:val="both"/>
      </w:pPr>
      <w:r>
        <w:rPr/>
        <w:t>全国实有企业总量</w:t>
      </w:r>
      <w:r>
        <w:rPr>
          <w:spacing w:val="-42"/>
        </w:rPr>
        <w:t> </w:t>
      </w:r>
      <w:r>
        <w:rPr>
          <w:rFonts w:ascii="Times New Roman" w:hAnsi="Times New Roman" w:cs="Times New Roman" w:eastAsia="Times New Roman" w:hint="default"/>
        </w:rPr>
        <w:t>2,907.23</w:t>
      </w:r>
      <w:r>
        <w:rPr>
          <w:rFonts w:ascii="Times New Roman" w:hAnsi="Times New Roman" w:cs="Times New Roman" w:eastAsia="Times New Roman" w:hint="default"/>
          <w:spacing w:val="2"/>
        </w:rPr>
        <w:t> </w:t>
      </w:r>
      <w:r>
        <w:rPr/>
        <w:t>万户，相比</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月底的</w:t>
      </w:r>
      <w:r>
        <w:rPr>
          <w:spacing w:val="-42"/>
        </w:rPr>
        <w:t> </w:t>
      </w:r>
      <w:r>
        <w:rPr>
          <w:rFonts w:ascii="Times New Roman" w:hAnsi="Times New Roman" w:cs="Times New Roman" w:eastAsia="Times New Roman" w:hint="default"/>
        </w:rPr>
        <w:t>1,342.80</w:t>
      </w:r>
      <w:r>
        <w:rPr>
          <w:rFonts w:ascii="Times New Roman" w:hAnsi="Times New Roman" w:cs="Times New Roman" w:eastAsia="Times New Roman" w:hint="default"/>
          <w:spacing w:val="3"/>
        </w:rPr>
        <w:t> </w:t>
      </w:r>
      <w:r>
        <w:rPr/>
        <w:t>万户增长</w:t>
      </w:r>
      <w:r>
        <w:rPr>
          <w:spacing w:val="-42"/>
        </w:rPr>
        <w:t> </w:t>
      </w:r>
      <w:r>
        <w:rPr>
          <w:rFonts w:ascii="Times New Roman" w:hAnsi="Times New Roman" w:cs="Times New Roman" w:eastAsia="Times New Roman" w:hint="default"/>
        </w:rPr>
        <w:t>116.5%</w:t>
      </w:r>
      <w:r>
        <w:rPr/>
        <w:t>，尤其是</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年商事制度改革以来，同 </w:t>
      </w:r>
      <w:r>
        <w:rPr>
          <w:spacing w:val="-1"/>
        </w:rPr>
        <w:t>比增速迈上新台阶，企业数量每年以</w:t>
      </w:r>
      <w:r>
        <w:rPr>
          <w:spacing w:val="-21"/>
        </w:rPr>
        <w:t> </w:t>
      </w:r>
      <w:r>
        <w:rPr>
          <w:rFonts w:ascii="Times New Roman" w:hAnsi="Times New Roman" w:cs="Times New Roman" w:eastAsia="Times New Roman" w:hint="default"/>
          <w:spacing w:val="-3"/>
        </w:rPr>
        <w:t>20%</w:t>
      </w:r>
      <w:r>
        <w:rPr>
          <w:spacing w:val="-3"/>
        </w:rPr>
        <w:t>左右的速度增长。与此同时，随着互联网的发展，“互联网＋”成为各行各业企业</w:t>
      </w:r>
      <w:r>
        <w:rPr>
          <w:spacing w:val="-83"/>
        </w:rPr>
        <w:t> </w:t>
      </w:r>
      <w:r>
        <w:rPr>
          <w:spacing w:val="-83"/>
        </w:rPr>
      </w:r>
      <w:r>
        <w:rPr/>
        <w:t>发展的标配。企业通过网站、</w:t>
      </w:r>
      <w:r>
        <w:rPr>
          <w:rFonts w:ascii="Times New Roman" w:hAnsi="Times New Roman" w:cs="Times New Roman" w:eastAsia="Times New Roman" w:hint="default"/>
        </w:rPr>
        <w:t>app</w:t>
      </w:r>
      <w:r>
        <w:rPr/>
        <w:t>、社交媒体等进行社会化营销，企业客户对于正版图片的需求量以成倍数量增加，企业客</w:t>
      </w:r>
      <w:r>
        <w:rPr>
          <w:spacing w:val="-76"/>
        </w:rPr>
        <w:t> </w:t>
      </w:r>
      <w:r>
        <w:rPr>
          <w:spacing w:val="-76"/>
        </w:rPr>
      </w:r>
      <w:r>
        <w:rPr/>
        <w:t>户的数量大幅增长。</w:t>
      </w:r>
    </w:p>
    <w:p>
      <w:pPr>
        <w:pStyle w:val="BodyText"/>
        <w:spacing w:line="316" w:lineRule="auto" w:before="31"/>
        <w:ind w:left="154" w:right="0" w:firstLine="360"/>
        <w:jc w:val="left"/>
      </w:pPr>
      <w:r>
        <w:rPr>
          <w:spacing w:val="-2"/>
        </w:rPr>
        <w:t>客户数量的持续拓展是公司收入增长的重要保障。公司直接签约的客户数为万级，通过互联网平台覆盖的客户数量十万</w:t>
      </w:r>
      <w:r>
        <w:rPr/>
        <w:t> 级，目前，客户的渗透率仍较低，客户数量的增长空间巨大。</w:t>
      </w:r>
    </w:p>
    <w:p>
      <w:pPr>
        <w:pStyle w:val="BodyText"/>
        <w:spacing w:line="300" w:lineRule="auto" w:before="19"/>
        <w:ind w:left="154" w:right="0" w:firstLine="360"/>
        <w:jc w:val="left"/>
      </w:pPr>
      <w:r>
        <w:rPr/>
        <w:t>公司坚持以“客户为中心”的服务理念，</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年将深入挖掘客户需求，充分发挥整体实力及全线产品的一站式服务能 力，提升客户的产品体验，赢得与客户的长久合作，夯实我们的客户基础和行业根基。</w:t>
      </w:r>
    </w:p>
    <w:p>
      <w:pPr>
        <w:pStyle w:val="BodyText"/>
        <w:spacing w:line="240" w:lineRule="auto" w:before="31"/>
        <w:ind w:left="513" w:right="0"/>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7"/>
        </w:rPr>
        <w:t> </w:t>
      </w:r>
      <w:r>
        <w:rPr/>
        <w:t>年，公司将继续优化鹰眼平台，提升转化效率，重点拓展互联网科技、快消、通讯、电商、银行、金融、旅游、</w:t>
      </w:r>
    </w:p>
    <w:p>
      <w:pPr>
        <w:pStyle w:val="BodyText"/>
        <w:spacing w:line="300" w:lineRule="auto" w:before="63"/>
        <w:ind w:left="154" w:right="1131"/>
        <w:jc w:val="both"/>
      </w:pPr>
      <w:r>
        <w:rPr/>
        <w:t>交通、教育等行业的企业客户；另一方面，抓住改革开放</w:t>
      </w:r>
      <w:r>
        <w:rPr>
          <w:spacing w:val="-41"/>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周年、一带一路、冬奥会、世界杯、亚运会等重大市场机遇， 精耕细作，深挖企业客户的其它延展商机，为企业客户提供委托拍摄、版权管理、品牌营销等增值服务。</w:t>
      </w:r>
    </w:p>
    <w:p>
      <w:pPr>
        <w:pStyle w:val="BodyText"/>
        <w:spacing w:line="316" w:lineRule="auto" w:before="31"/>
        <w:ind w:right="1115" w:firstLine="360"/>
        <w:jc w:val="left"/>
      </w:pPr>
      <w:r>
        <w:rPr>
          <w:rFonts w:ascii="宋体" w:hAnsi="宋体" w:cs="宋体" w:eastAsia="宋体" w:hint="default"/>
        </w:rPr>
        <w:t>2018 </w:t>
      </w:r>
      <w:r>
        <w:rPr/>
        <w:t>年， 公司加强对销售及市场的投入，通过鹰眼转换与市场投入相结合的获客手段，</w:t>
      </w:r>
      <w:r>
        <w:rPr>
          <w:spacing w:val="8"/>
        </w:rPr>
        <w:t> </w:t>
      </w:r>
      <w:r>
        <w:rPr/>
        <w:t>加强线上与线下客户运营，</w:t>
      </w:r>
      <w:r>
        <w:rPr/>
        <w:t> 获得客数数量与业务的同步增长。</w:t>
      </w:r>
    </w:p>
    <w:p>
      <w:pPr>
        <w:pStyle w:val="Heading5"/>
        <w:spacing w:line="240" w:lineRule="auto"/>
        <w:ind w:left="580" w:right="0"/>
        <w:jc w:val="left"/>
        <w:rPr>
          <w:b w:val="0"/>
          <w:bCs w:val="0"/>
        </w:rPr>
      </w:pPr>
      <w:r>
        <w:rPr>
          <w:rFonts w:ascii="Times New Roman" w:hAnsi="Times New Roman" w:cs="Times New Roman" w:eastAsia="Times New Roman" w:hint="default"/>
        </w:rPr>
        <w:t>5</w:t>
      </w:r>
      <w:r>
        <w:rPr/>
        <w:t>、</w:t>
      </w:r>
      <w:r>
        <w:rPr>
          <w:spacing w:val="47"/>
        </w:rPr>
        <w:t> </w:t>
      </w:r>
      <w:r>
        <w:rPr/>
        <w:t>与核心主业协同，积极构建</w:t>
      </w:r>
      <w:r>
        <w:rPr>
          <w:rFonts w:ascii="Times New Roman" w:hAnsi="Times New Roman" w:cs="Times New Roman" w:eastAsia="Times New Roman" w:hint="default"/>
        </w:rPr>
        <w:t>“</w:t>
      </w:r>
      <w:r>
        <w:rPr/>
        <w:t>视觉</w:t>
      </w:r>
      <w:r>
        <w:rPr>
          <w:rFonts w:ascii="宋体" w:hAnsi="宋体" w:cs="宋体" w:eastAsia="宋体" w:hint="default"/>
          <w:b w:val="0"/>
          <w:bCs w:val="0"/>
        </w:rPr>
        <w:t>+</w:t>
      </w:r>
      <w:r>
        <w:rPr>
          <w:rFonts w:ascii="Times New Roman" w:hAnsi="Times New Roman" w:cs="Times New Roman" w:eastAsia="Times New Roman" w:hint="default"/>
        </w:rPr>
        <w:t>”</w:t>
      </w:r>
      <w:r>
        <w:rPr/>
        <w:t>战略布局</w:t>
      </w:r>
      <w:r>
        <w:rPr>
          <w:b w:val="0"/>
          <w:bCs w:val="0"/>
        </w:rPr>
      </w:r>
    </w:p>
    <w:p>
      <w:pPr>
        <w:pStyle w:val="BodyText"/>
        <w:spacing w:line="319" w:lineRule="auto" w:before="63"/>
        <w:ind w:right="1032" w:firstLine="450"/>
        <w:jc w:val="left"/>
      </w:pPr>
      <w:r>
        <w:rPr>
          <w:rFonts w:ascii="宋体" w:hAnsi="宋体" w:cs="宋体" w:eastAsia="宋体" w:hint="default"/>
        </w:rPr>
        <w:t>2018</w:t>
      </w:r>
      <w:r>
        <w:rPr>
          <w:rFonts w:ascii="宋体" w:hAnsi="宋体" w:cs="宋体" w:eastAsia="宋体" w:hint="default"/>
          <w:spacing w:val="-39"/>
        </w:rPr>
        <w:t> </w:t>
      </w:r>
      <w:r>
        <w:rPr>
          <w:spacing w:val="-3"/>
        </w:rPr>
        <w:t>年，公司将继续聚焦核心主业，剥离非核心资产。加速整合核心业务的上下游资源，打造“视觉</w:t>
      </w:r>
      <w:r>
        <w:rPr>
          <w:rFonts w:ascii="宋体" w:hAnsi="宋体" w:cs="宋体" w:eastAsia="宋体" w:hint="default"/>
          <w:spacing w:val="-3"/>
        </w:rPr>
        <w:t>+</w:t>
      </w:r>
      <w:r>
        <w:rPr>
          <w:spacing w:val="-3"/>
        </w:rPr>
        <w:t>生态”，并将核</w:t>
      </w:r>
      <w:r>
        <w:rPr/>
        <w:t> </w:t>
      </w:r>
      <w:r>
        <w:rPr>
          <w:spacing w:val="-3"/>
        </w:rPr>
        <w:t>心竞争力与旅游、教育等</w:t>
      </w:r>
      <w:r>
        <w:rPr>
          <w:spacing w:val="-33"/>
        </w:rPr>
        <w:t> </w:t>
      </w:r>
      <w:r>
        <w:rPr>
          <w:rFonts w:ascii="宋体" w:hAnsi="宋体" w:cs="宋体" w:eastAsia="宋体" w:hint="default"/>
        </w:rPr>
        <w:t>2C</w:t>
      </w:r>
      <w:r>
        <w:rPr>
          <w:rFonts w:ascii="宋体" w:hAnsi="宋体" w:cs="宋体" w:eastAsia="宋体" w:hint="default"/>
          <w:spacing w:val="-31"/>
        </w:rPr>
        <w:t> </w:t>
      </w:r>
      <w:r>
        <w:rPr>
          <w:spacing w:val="-4"/>
        </w:rPr>
        <w:t>产业相结合，充分发挥互联网传媒、旅游、教育等业务板块之间的协同效应，构建“视觉</w:t>
      </w:r>
      <w:r>
        <w:rPr>
          <w:rFonts w:ascii="宋体" w:hAnsi="宋体" w:cs="宋体" w:eastAsia="宋体" w:hint="default"/>
          <w:spacing w:val="-4"/>
        </w:rPr>
        <w:t>+</w:t>
      </w:r>
      <w:r>
        <w:rPr>
          <w:spacing w:val="-4"/>
        </w:rPr>
        <w:t>产业”</w:t>
      </w:r>
      <w:r>
        <w:rPr>
          <w:spacing w:val="-87"/>
        </w:rPr>
        <w:t> </w:t>
      </w:r>
      <w:r>
        <w:rPr/>
        <w:t>的战略布局。</w:t>
      </w:r>
    </w:p>
    <w:p>
      <w:pPr>
        <w:pStyle w:val="BodyText"/>
        <w:spacing w:line="240" w:lineRule="auto" w:before="17"/>
        <w:ind w:left="513" w:right="0"/>
        <w:jc w:val="left"/>
      </w:pPr>
      <w:r>
        <w:rPr>
          <w:rFonts w:ascii="宋体" w:hAnsi="宋体" w:cs="宋体" w:eastAsia="宋体" w:hint="default"/>
        </w:rPr>
        <w:t>2018</w:t>
      </w:r>
      <w:r>
        <w:rPr>
          <w:rFonts w:ascii="宋体" w:hAnsi="宋体" w:cs="宋体" w:eastAsia="宋体" w:hint="default"/>
          <w:spacing w:val="-43"/>
        </w:rPr>
        <w:t> </w:t>
      </w:r>
      <w:r>
        <w:rPr/>
        <w:t>年</w:t>
      </w:r>
      <w:r>
        <w:rPr>
          <w:spacing w:val="-44"/>
        </w:rPr>
        <w:t> </w:t>
      </w:r>
      <w:r>
        <w:rPr>
          <w:rFonts w:ascii="宋体" w:hAnsi="宋体" w:cs="宋体" w:eastAsia="宋体" w:hint="default"/>
        </w:rPr>
        <w:t>2</w:t>
      </w:r>
      <w:r>
        <w:rPr>
          <w:rFonts w:ascii="宋体" w:hAnsi="宋体" w:cs="宋体" w:eastAsia="宋体" w:hint="default"/>
          <w:spacing w:val="-45"/>
        </w:rPr>
        <w:t> </w:t>
      </w:r>
      <w:r>
        <w:rPr/>
        <w:t>月</w:t>
      </w:r>
      <w:r>
        <w:rPr>
          <w:spacing w:val="-44"/>
        </w:rPr>
        <w:t> </w:t>
      </w:r>
      <w:r>
        <w:rPr>
          <w:rFonts w:ascii="宋体" w:hAnsi="宋体" w:cs="宋体" w:eastAsia="宋体" w:hint="default"/>
        </w:rPr>
        <w:t>26</w:t>
      </w:r>
      <w:r>
        <w:rPr>
          <w:rFonts w:ascii="宋体" w:hAnsi="宋体" w:cs="宋体" w:eastAsia="宋体" w:hint="default"/>
          <w:spacing w:val="-45"/>
        </w:rPr>
        <w:t> </w:t>
      </w:r>
      <w:r>
        <w:rPr/>
        <w:t>日，公司于指定信息披露媒体发布了《关于收购</w:t>
      </w:r>
      <w:r>
        <w:rPr>
          <w:spacing w:val="-43"/>
        </w:rPr>
        <w:t> </w:t>
      </w:r>
      <w:r>
        <w:rPr>
          <w:rFonts w:ascii="宋体" w:hAnsi="宋体" w:cs="宋体" w:eastAsia="宋体" w:hint="default"/>
        </w:rPr>
        <w:t>500PX, INC.100%</w:t>
      </w:r>
      <w:r>
        <w:rPr/>
        <w:t>股权的公告》，以现金方式收购美国</w:t>
      </w:r>
    </w:p>
    <w:p>
      <w:pPr>
        <w:pStyle w:val="BodyText"/>
        <w:spacing w:line="240" w:lineRule="auto" w:before="76"/>
        <w:ind w:left="154" w:right="0"/>
        <w:jc w:val="both"/>
      </w:pPr>
      <w:r>
        <w:rPr>
          <w:rFonts w:ascii="宋体" w:hAnsi="宋体" w:cs="宋体" w:eastAsia="宋体" w:hint="default"/>
        </w:rPr>
        <w:t>500PX,INC.</w:t>
      </w:r>
      <w:r>
        <w:rPr/>
        <w:t>公司</w:t>
      </w:r>
      <w:r>
        <w:rPr>
          <w:spacing w:val="-44"/>
        </w:rPr>
        <w:t> </w:t>
      </w:r>
      <w:r>
        <w:rPr>
          <w:rFonts w:ascii="宋体" w:hAnsi="宋体" w:cs="宋体" w:eastAsia="宋体" w:hint="default"/>
        </w:rPr>
        <w:t>100%</w:t>
      </w:r>
      <w:r>
        <w:rPr/>
        <w:t>股权。本次收购</w:t>
      </w:r>
      <w:r>
        <w:rPr>
          <w:spacing w:val="-44"/>
        </w:rPr>
        <w:t> </w:t>
      </w:r>
      <w:r>
        <w:rPr>
          <w:rFonts w:ascii="宋体" w:hAnsi="宋体" w:cs="宋体" w:eastAsia="宋体" w:hint="default"/>
        </w:rPr>
        <w:t>500px</w:t>
      </w:r>
      <w:r>
        <w:rPr/>
        <w:t>，是继收购</w:t>
      </w:r>
      <w:r>
        <w:rPr>
          <w:spacing w:val="-43"/>
        </w:rPr>
        <w:t> </w:t>
      </w:r>
      <w:r>
        <w:rPr>
          <w:rFonts w:ascii="宋体" w:hAnsi="宋体" w:cs="宋体" w:eastAsia="宋体" w:hint="default"/>
        </w:rPr>
        <w:t>Corbis</w:t>
      </w:r>
      <w:r>
        <w:rPr>
          <w:rFonts w:ascii="宋体" w:hAnsi="宋体" w:cs="宋体" w:eastAsia="宋体" w:hint="default"/>
          <w:spacing w:val="-44"/>
        </w:rPr>
        <w:t> </w:t>
      </w:r>
      <w:r>
        <w:rPr/>
        <w:t>资产后，公司全球化战略的又一重要举措。本次收购，拓展</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了公司获取海量全球优质视觉内容的能力，并不断巩固和强化公司内容的核心竞争力，进一步加强了公司在图片行业的主导</w:t>
      </w:r>
      <w:r>
        <w:rPr>
          <w:spacing w:val="-64"/>
        </w:rPr>
        <w:t> </w:t>
      </w:r>
      <w:r>
        <w:rPr>
          <w:spacing w:val="-64"/>
        </w:rPr>
      </w:r>
      <w:r>
        <w:rPr/>
        <w:t>地位，公司将加强整合协同，继续完善公司的主营业务的“视觉</w:t>
      </w:r>
      <w:r>
        <w:rPr>
          <w:rFonts w:ascii="宋体" w:hAnsi="宋体" w:cs="宋体" w:eastAsia="宋体" w:hint="default"/>
        </w:rPr>
        <w:t>+</w:t>
      </w:r>
      <w:r>
        <w:rPr/>
        <w:t>生态”布局。</w:t>
      </w:r>
    </w:p>
    <w:p>
      <w:pPr>
        <w:pStyle w:val="BodyText"/>
        <w:spacing w:line="309" w:lineRule="auto" w:before="19"/>
        <w:ind w:right="1130" w:firstLine="362"/>
        <w:jc w:val="both"/>
      </w:pPr>
      <w:r>
        <w:rPr>
          <w:spacing w:val="-1"/>
        </w:rPr>
        <w:t>在“视觉</w:t>
      </w:r>
      <w:r>
        <w:rPr>
          <w:rFonts w:ascii="宋体" w:hAnsi="宋体" w:cs="宋体" w:eastAsia="宋体" w:hint="default"/>
          <w:spacing w:val="-1"/>
        </w:rPr>
        <w:t>+</w:t>
      </w:r>
      <w:r>
        <w:rPr>
          <w:spacing w:val="-1"/>
        </w:rPr>
        <w:t>产业”方面，公司将继续持续推进国家智慧旅游公共服务平台建设。</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0"/>
        </w:rPr>
        <w:t> </w:t>
      </w:r>
      <w:r>
        <w:rPr>
          <w:spacing w:val="-1"/>
        </w:rPr>
        <w:t>年，伴随着国家机构改革方案，新</w:t>
      </w:r>
      <w:r>
        <w:rPr/>
        <w:t> </w:t>
      </w:r>
      <w:r>
        <w:rPr>
          <w:spacing w:val="-2"/>
        </w:rPr>
        <w:t>组建的中华人民共和国文化和旅游部，将旅游产业推向了一个新的高峰，文化是灵魂，旅游是载体。习近平总书记在党的十</w:t>
      </w:r>
      <w:r>
        <w:rPr>
          <w:spacing w:val="-66"/>
        </w:rPr>
        <w:t> </w:t>
      </w:r>
      <w:r>
        <w:rPr>
          <w:spacing w:val="-66"/>
        </w:rPr>
      </w:r>
      <w:r>
        <w:rPr>
          <w:spacing w:val="-4"/>
        </w:rPr>
        <w:t>九大报告中深刻指出，“没有高度的文化自信，没有文化的繁荣兴盛，就没有中华民族伟大复兴。”中国是拥有</w:t>
      </w:r>
      <w:r>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2"/>
        </w:rPr>
        <w:t> </w:t>
      </w:r>
      <w:r>
        <w:rPr/>
        <w:t>多年历 </w:t>
      </w:r>
      <w:r>
        <w:rPr>
          <w:spacing w:val="-2"/>
        </w:rPr>
        <w:t>史的文明古国，又是充满发展活力的东方大国，旅游资源得天独厚，自然和人文景观异彩纷呈。在这样的大背景下，唱游公</w:t>
      </w:r>
      <w:r>
        <w:rPr>
          <w:spacing w:val="-66"/>
        </w:rPr>
        <w:t> </w:t>
      </w:r>
      <w:r>
        <w:rPr>
          <w:spacing w:val="-66"/>
        </w:rPr>
      </w:r>
      <w:r>
        <w:rPr/>
        <w:t>司将抓住这一次“诗和远方”的结合机遇，在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年完成以下工作：</w:t>
      </w:r>
    </w:p>
    <w:p>
      <w:pPr>
        <w:pStyle w:val="BodyText"/>
        <w:spacing w:line="300" w:lineRule="auto" w:before="5"/>
        <w:ind w:right="1130" w:firstLine="360"/>
        <w:jc w:val="both"/>
      </w:pPr>
      <w:r>
        <w:rPr/>
        <w:t>（</w:t>
      </w:r>
      <w:r>
        <w:rPr>
          <w:rFonts w:ascii="Times New Roman" w:hAnsi="Times New Roman" w:cs="Times New Roman" w:eastAsia="Times New Roman" w:hint="default"/>
        </w:rPr>
        <w:t>1</w:t>
      </w:r>
      <w:r>
        <w:rPr/>
        <w:t>）继续落实“全国旅游监管服务平台”在全国的落地情况，在文化和旅游部领导下，对全国尚未开通“全国旅游监 管服务平台”的省，完成平台全面培训和对接工作，实现旅游监管数据的全国集中；</w:t>
      </w:r>
    </w:p>
    <w:p>
      <w:pPr>
        <w:pStyle w:val="BodyText"/>
        <w:spacing w:line="240" w:lineRule="auto" w:before="31"/>
        <w:ind w:left="513" w:right="0"/>
        <w:jc w:val="left"/>
      </w:pPr>
      <w:r>
        <w:rPr/>
        <w:t>（</w:t>
      </w:r>
      <w:r>
        <w:rPr>
          <w:rFonts w:ascii="Times New Roman" w:hAnsi="Times New Roman" w:cs="Times New Roman" w:eastAsia="Times New Roman" w:hint="default"/>
        </w:rPr>
        <w:t>2</w:t>
      </w:r>
      <w:r>
        <w:rPr/>
        <w:t>）积极做好地方文化和旅游主管部门的服务工作，建设本地旅游综合处理平台，提高各个管理部门间工作效率；</w:t>
      </w:r>
    </w:p>
    <w:p>
      <w:pPr>
        <w:pStyle w:val="BodyText"/>
        <w:spacing w:line="240" w:lineRule="auto" w:before="63"/>
        <w:ind w:left="513" w:right="0"/>
        <w:jc w:val="left"/>
      </w:pPr>
      <w:r>
        <w:rPr/>
        <w:t>（</w:t>
      </w:r>
      <w:r>
        <w:rPr>
          <w:rFonts w:ascii="Times New Roman" w:hAnsi="Times New Roman" w:cs="Times New Roman" w:eastAsia="Times New Roman" w:hint="default"/>
        </w:rPr>
        <w:t>3</w:t>
      </w:r>
      <w:r>
        <w:rPr/>
        <w:t>）利用平台数据，积极开展数据分析和数据服务工作，为文化和旅游主管部门提供数据支撑；</w:t>
      </w:r>
    </w:p>
    <w:p>
      <w:pPr>
        <w:pStyle w:val="BodyText"/>
        <w:spacing w:line="309" w:lineRule="auto" w:before="63"/>
        <w:ind w:right="1043" w:firstLine="360"/>
        <w:jc w:val="both"/>
      </w:pPr>
      <w:r>
        <w:rPr/>
        <w:t>（</w:t>
      </w:r>
      <w:r>
        <w:rPr>
          <w:rFonts w:ascii="Times New Roman" w:hAnsi="Times New Roman" w:cs="Times New Roman" w:eastAsia="Times New Roman" w:hint="default"/>
        </w:rPr>
        <w:t>4</w:t>
      </w:r>
      <w:r>
        <w:rPr/>
        <w:t>）扩大公共服务范围，从对全国旅游厕所项目管理扩展到更广阔的公共服务管理，从</w:t>
      </w:r>
      <w:r>
        <w:rPr>
          <w:spacing w:val="-40"/>
        </w:rPr>
        <w:t> </w:t>
      </w:r>
      <w:r>
        <w:rPr>
          <w:rFonts w:ascii="Times New Roman" w:hAnsi="Times New Roman" w:cs="Times New Roman" w:eastAsia="Times New Roman" w:hint="default"/>
        </w:rPr>
        <w:t>12301</w:t>
      </w:r>
      <w:r>
        <w:rPr>
          <w:rFonts w:ascii="Times New Roman" w:hAnsi="Times New Roman" w:cs="Times New Roman" w:eastAsia="Times New Roman" w:hint="default"/>
          <w:spacing w:val="4"/>
        </w:rPr>
        <w:t> </w:t>
      </w:r>
      <w:r>
        <w:rPr/>
        <w:t>接报景区动态，景区官 </w:t>
      </w:r>
      <w:r>
        <w:rPr>
          <w:spacing w:val="-2"/>
        </w:rPr>
        <w:t>网动态信息收集，到与景区管控平台，闸机等系统联网，获得更丰富的景区动态信息，从传播渠道上，除了在百度地图、高</w:t>
      </w:r>
      <w:r>
        <w:rPr>
          <w:spacing w:val="-67"/>
        </w:rPr>
        <w:t> </w:t>
      </w:r>
      <w:r>
        <w:rPr>
          <w:spacing w:val="-67"/>
        </w:rPr>
      </w:r>
      <w:r>
        <w:rPr>
          <w:spacing w:val="-4"/>
        </w:rPr>
        <w:t>德地图、微博发布外，拓展人民日报客户端、今日头条、一点资讯等新媒体，让景区动态信息可以更精准地传递到游客面前；</w:t>
      </w:r>
    </w:p>
    <w:p>
      <w:pPr>
        <w:pStyle w:val="BodyText"/>
        <w:spacing w:line="300" w:lineRule="auto" w:before="24"/>
        <w:ind w:right="1131" w:firstLine="360"/>
        <w:jc w:val="both"/>
      </w:pPr>
      <w:r>
        <w:rPr/>
        <w:t>（</w:t>
      </w:r>
      <w:r>
        <w:rPr>
          <w:rFonts w:ascii="Times New Roman" w:hAnsi="Times New Roman" w:cs="Times New Roman" w:eastAsia="Times New Roman" w:hint="default"/>
        </w:rPr>
        <w:t>5</w:t>
      </w:r>
      <w:r>
        <w:rPr/>
        <w:t>）充分利用视觉中国独有的视觉内容的生产、分发、营销资源，与旅游元素结合，开展景区最佳拍摄点、目的地整 合营销、国家公园最佳观景点、民族文化传播、目的地和景区特色商品设计等工作，实现文旅结合。</w:t>
      </w:r>
    </w:p>
    <w:p>
      <w:pPr>
        <w:spacing w:line="240" w:lineRule="auto" w:before="4"/>
        <w:rPr>
          <w:rFonts w:ascii="宋体" w:hAnsi="宋体" w:cs="宋体" w:eastAsia="宋体" w:hint="default"/>
          <w:sz w:val="14"/>
          <w:szCs w:val="14"/>
        </w:rPr>
      </w:pPr>
    </w:p>
    <w:p>
      <w:pPr>
        <w:pStyle w:val="Heading5"/>
        <w:tabs>
          <w:tab w:pos="994" w:val="left" w:leader="none"/>
        </w:tabs>
        <w:spacing w:line="316" w:lineRule="auto" w:before="0"/>
        <w:ind w:right="7789" w:hanging="90"/>
        <w:jc w:val="left"/>
        <w:rPr>
          <w:b w:val="0"/>
          <w:bCs w:val="0"/>
        </w:rPr>
      </w:pPr>
      <w:r>
        <w:rPr/>
        <w:t>（二）公司面临的风险和应对措施</w:t>
      </w:r>
      <w:r>
        <w:rPr>
          <w:w w:val="99"/>
        </w:rPr>
        <w:t> </w:t>
      </w:r>
      <w:r>
        <w:rPr>
          <w:rFonts w:ascii="宋体" w:hAnsi="宋体" w:cs="宋体" w:eastAsia="宋体" w:hint="default"/>
          <w:w w:val="95"/>
        </w:rPr>
        <w:t>1.</w:t>
        <w:tab/>
      </w:r>
      <w:r>
        <w:rPr/>
        <w:t>管理风险</w:t>
      </w:r>
      <w:r>
        <w:rPr>
          <w:b w:val="0"/>
          <w:bCs w:val="0"/>
        </w:rPr>
      </w:r>
    </w:p>
    <w:p>
      <w:pPr>
        <w:pStyle w:val="BodyText"/>
        <w:spacing w:line="316" w:lineRule="auto" w:before="19"/>
        <w:ind w:right="1033" w:firstLine="360"/>
        <w:jc w:val="left"/>
      </w:pPr>
      <w:r>
        <w:rPr/>
        <w:t>公司业务增长迅速，参、控股公司扩大到四十余家，公司内部管理的复杂度和难度将不断提高；地域扩展到北美地区、 </w:t>
      </w:r>
      <w:r>
        <w:rPr>
          <w:spacing w:val="-2"/>
        </w:rPr>
        <w:t>北京、常州、深圳、上海、大连、广州、香港等，这些因素将公司在战略规划、制度建设、组织机构设置、运营管理和内部</w:t>
      </w:r>
      <w:r>
        <w:rPr>
          <w:spacing w:val="-71"/>
        </w:rPr>
        <w:t> </w:t>
      </w:r>
      <w:r>
        <w:rPr>
          <w:spacing w:val="-71"/>
        </w:rPr>
      </w:r>
      <w:r>
        <w:rPr>
          <w:spacing w:val="-2"/>
        </w:rPr>
        <w:t>控制等方面面临更大的挑战。公司将通过完善管理制度、规范流程、加强财务管控、加强人才培训、加强投后管理以及信息</w:t>
      </w:r>
      <w:r>
        <w:rPr>
          <w:spacing w:val="-66"/>
        </w:rPr>
        <w:t> </w:t>
      </w:r>
      <w:r>
        <w:rPr>
          <w:spacing w:val="-66"/>
        </w:rPr>
      </w:r>
      <w:r>
        <w:rPr/>
        <w:t>化建设等手段改善和提升管理及内部控制能力。</w:t>
      </w:r>
    </w:p>
    <w:p>
      <w:pPr>
        <w:tabs>
          <w:tab w:pos="994" w:val="left" w:leader="none"/>
        </w:tabs>
        <w:spacing w:line="316" w:lineRule="auto" w:before="19"/>
        <w:ind w:left="513" w:right="1131" w:firstLine="1"/>
        <w:jc w:val="left"/>
        <w:rPr>
          <w:rFonts w:ascii="宋体" w:hAnsi="宋体" w:cs="宋体" w:eastAsia="宋体" w:hint="default"/>
          <w:sz w:val="18"/>
          <w:szCs w:val="18"/>
        </w:rPr>
      </w:pPr>
      <w:r>
        <w:rPr>
          <w:rFonts w:ascii="宋体" w:hAnsi="宋体" w:cs="宋体" w:eastAsia="宋体" w:hint="default"/>
          <w:b/>
          <w:bCs/>
          <w:w w:val="95"/>
          <w:sz w:val="18"/>
          <w:szCs w:val="18"/>
        </w:rPr>
        <w:t>2.</w:t>
        <w:tab/>
      </w:r>
      <w:r>
        <w:rPr>
          <w:rFonts w:ascii="宋体" w:hAnsi="宋体" w:cs="宋体" w:eastAsia="宋体" w:hint="default"/>
          <w:b/>
          <w:bCs/>
          <w:sz w:val="18"/>
          <w:szCs w:val="18"/>
        </w:rPr>
        <w:t>股权投资子公司业绩承诺的风险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公司部分股权投资参、控股公司的存在业绩承诺，受宏观经济政策和行业监管因素的影响，在业绩承诺期内，若出现子</w:t>
      </w:r>
    </w:p>
    <w:p>
      <w:pPr>
        <w:pStyle w:val="BodyText"/>
        <w:spacing w:line="316" w:lineRule="auto" w:before="19"/>
        <w:ind w:right="1132"/>
        <w:jc w:val="both"/>
      </w:pPr>
      <w:r>
        <w:rPr>
          <w:spacing w:val="-2"/>
        </w:rPr>
        <w:t>公司无法于正常状态运营的情况，当期完成净利润可能低于对应年度的业绩承诺金额。业绩补偿义务人如不能履行业绩补偿</w:t>
      </w:r>
      <w:r>
        <w:rPr>
          <w:spacing w:val="-64"/>
        </w:rPr>
        <w:t> </w:t>
      </w:r>
      <w:r>
        <w:rPr>
          <w:spacing w:val="-64"/>
        </w:rPr>
      </w:r>
      <w:r>
        <w:rPr>
          <w:spacing w:val="-2"/>
        </w:rPr>
        <w:t>承诺，可能会对公司现金流产生不利影响，从而影响投资股权回报的实现。公司将加大投后管理力度，对参、控股公司实现</w:t>
      </w:r>
      <w:r>
        <w:rPr>
          <w:spacing w:val="-66"/>
        </w:rPr>
        <w:t> </w:t>
      </w:r>
      <w:r>
        <w:rPr>
          <w:spacing w:val="-66"/>
        </w:rPr>
      </w:r>
      <w:r>
        <w:rPr/>
        <w:t>实时关注、指导，保障信息通畅。</w:t>
      </w:r>
    </w:p>
    <w:p>
      <w:pPr>
        <w:pStyle w:val="BodyText"/>
        <w:tabs>
          <w:tab w:pos="994" w:val="left" w:leader="none"/>
        </w:tabs>
        <w:spacing w:line="316" w:lineRule="auto" w:before="19"/>
        <w:ind w:left="514" w:right="1042" w:firstLine="1"/>
        <w:jc w:val="left"/>
      </w:pPr>
      <w:r>
        <w:rPr>
          <w:rFonts w:ascii="宋体" w:hAnsi="宋体" w:cs="宋体" w:eastAsia="宋体" w:hint="default"/>
          <w:b/>
          <w:bCs/>
          <w:w w:val="95"/>
        </w:rPr>
        <w:t>3.</w:t>
        <w:tab/>
      </w:r>
      <w:r>
        <w:rPr>
          <w:rFonts w:ascii="宋体" w:hAnsi="宋体" w:cs="宋体" w:eastAsia="宋体" w:hint="default"/>
          <w:b/>
          <w:bCs/>
        </w:rPr>
        <w:t>盗版风险</w:t>
      </w:r>
      <w:r>
        <w:rPr>
          <w:rFonts w:ascii="宋体" w:hAnsi="宋体" w:cs="宋体" w:eastAsia="宋体" w:hint="default"/>
          <w:b/>
          <w:bCs/>
          <w:w w:val="99"/>
        </w:rPr>
        <w:t> </w:t>
      </w:r>
      <w:r>
        <w:rPr>
          <w:spacing w:val="-4"/>
        </w:rPr>
        <w:t>目前图片市场盗版现象仍然比较普遍。公司将继续与政府主管部门、司法机关紧密配合，继续依靠专业的版权合规团队，</w:t>
      </w:r>
    </w:p>
    <w:p>
      <w:pPr>
        <w:pStyle w:val="BodyText"/>
        <w:spacing w:line="316" w:lineRule="auto" w:before="19"/>
        <w:ind w:left="154" w:right="1131"/>
        <w:jc w:val="both"/>
      </w:pPr>
      <w:r>
        <w:rPr>
          <w:spacing w:val="-2"/>
        </w:rPr>
        <w:t>完善的版权管理体系，并通过不断的技术创新手段，为市场提供全面、优质的版权服务，持续提高公司版权变现以及保护的</w:t>
      </w:r>
      <w:r>
        <w:rPr>
          <w:spacing w:val="-65"/>
        </w:rPr>
        <w:t> </w:t>
      </w:r>
      <w:r>
        <w:rPr>
          <w:spacing w:val="-65"/>
        </w:rPr>
      </w:r>
      <w:r>
        <w:rPr/>
        <w:t>能力。</w:t>
      </w:r>
    </w:p>
    <w:p>
      <w:pPr>
        <w:pStyle w:val="Heading5"/>
        <w:tabs>
          <w:tab w:pos="994" w:val="left" w:leader="none"/>
        </w:tabs>
        <w:spacing w:line="240" w:lineRule="auto"/>
        <w:ind w:right="0"/>
        <w:jc w:val="left"/>
        <w:rPr>
          <w:b w:val="0"/>
          <w:bCs w:val="0"/>
        </w:rPr>
      </w:pPr>
      <w:r>
        <w:rPr>
          <w:rFonts w:ascii="宋体" w:hAnsi="宋体" w:cs="宋体" w:eastAsia="宋体" w:hint="default"/>
          <w:w w:val="95"/>
        </w:rPr>
        <w:t>4.</w:t>
        <w:tab/>
      </w:r>
      <w:r>
        <w:rPr/>
        <w:t>汇率变化风险</w:t>
      </w:r>
      <w:r>
        <w:rPr>
          <w:b w:val="0"/>
          <w:bCs w:val="0"/>
        </w:rPr>
      </w:r>
    </w:p>
    <w:p>
      <w:pPr>
        <w:pStyle w:val="BodyText"/>
        <w:spacing w:line="316" w:lineRule="auto" w:before="76"/>
        <w:ind w:right="1131" w:firstLine="360"/>
        <w:jc w:val="both"/>
      </w:pPr>
      <w:r>
        <w:rPr/>
        <w:t>公司预计</w:t>
      </w:r>
      <w:r>
        <w:rPr>
          <w:spacing w:val="-41"/>
        </w:rPr>
        <w:t> </w:t>
      </w:r>
      <w:r>
        <w:rPr>
          <w:rFonts w:ascii="宋体" w:hAnsi="宋体" w:cs="宋体" w:eastAsia="宋体" w:hint="default"/>
        </w:rPr>
        <w:t>2018</w:t>
      </w:r>
      <w:r>
        <w:rPr>
          <w:rFonts w:ascii="宋体" w:hAnsi="宋体" w:cs="宋体" w:eastAsia="宋体" w:hint="default"/>
          <w:spacing w:val="-41"/>
        </w:rPr>
        <w:t> </w:t>
      </w:r>
      <w:r>
        <w:rPr/>
        <w:t>年境外业务比例及所面临的汇率风险都将有所上升。为规避和对冲经营及融资所产生的汇率风险，公司 </w:t>
      </w:r>
      <w:r>
        <w:rPr>
          <w:spacing w:val="-2"/>
        </w:rPr>
        <w:t>将对外币做分类管理，尽量降低外币风险敞口。同时公司也将积极的关注人民币汇率波动情况，必要时将通过金融衍生品对</w:t>
      </w:r>
      <w:r>
        <w:rPr>
          <w:spacing w:val="-66"/>
        </w:rPr>
        <w:t> </w:t>
      </w:r>
      <w:r>
        <w:rPr>
          <w:spacing w:val="-66"/>
        </w:rPr>
      </w:r>
      <w:r>
        <w:rPr/>
        <w:t>冲汇率波动风险。</w:t>
      </w:r>
    </w:p>
    <w:p>
      <w:pPr>
        <w:pStyle w:val="BodyText"/>
        <w:tabs>
          <w:tab w:pos="994" w:val="left" w:leader="none"/>
        </w:tabs>
        <w:spacing w:line="316" w:lineRule="auto" w:before="19"/>
        <w:ind w:left="513" w:right="1132" w:firstLine="1"/>
        <w:jc w:val="left"/>
      </w:pPr>
      <w:r>
        <w:rPr>
          <w:rFonts w:ascii="宋体" w:hAnsi="宋体" w:cs="宋体" w:eastAsia="宋体" w:hint="default"/>
          <w:b/>
          <w:bCs/>
          <w:w w:val="95"/>
        </w:rPr>
        <w:t>5.</w:t>
        <w:tab/>
      </w:r>
      <w:r>
        <w:rPr>
          <w:rFonts w:ascii="宋体" w:hAnsi="宋体" w:cs="宋体" w:eastAsia="宋体" w:hint="default"/>
          <w:b/>
          <w:bCs/>
        </w:rPr>
        <w:t>人才管理的风险</w:t>
      </w:r>
      <w:r>
        <w:rPr>
          <w:rFonts w:ascii="宋体" w:hAnsi="宋体" w:cs="宋体" w:eastAsia="宋体" w:hint="default"/>
          <w:b/>
          <w:bCs/>
          <w:w w:val="99"/>
        </w:rPr>
        <w:t> </w:t>
      </w:r>
      <w:r>
        <w:rPr>
          <w:spacing w:val="-2"/>
        </w:rPr>
        <w:t>公司目前拥有稳定的管理团队和人才储备库，通过专业的人才管理措施稳定和壮大优秀人才队伍，但与公司发展战略和</w:t>
      </w:r>
    </w:p>
    <w:p>
      <w:pPr>
        <w:pStyle w:val="BodyText"/>
        <w:spacing w:line="316" w:lineRule="auto" w:before="19"/>
        <w:ind w:right="1133"/>
        <w:jc w:val="both"/>
      </w:pPr>
      <w:r>
        <w:rPr>
          <w:spacing w:val="-2"/>
        </w:rPr>
        <w:t>发展目标的要求相比目前人才储备规模仍有待进一步加强。公司将积极采取多种人才管理措施，加强激励措施，加强公司人</w:t>
      </w:r>
      <w:r>
        <w:rPr>
          <w:spacing w:val="-66"/>
        </w:rPr>
        <w:t> </w:t>
      </w:r>
      <w:r>
        <w:rPr>
          <w:spacing w:val="-66"/>
        </w:rPr>
      </w:r>
      <w:r>
        <w:rPr/>
        <w:t>才储备，减少核心专业人才变动给公司经营业务带来的负面影响。</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pacing w:val="-5"/>
                <w:sz w:val="18"/>
                <w:szCs w:val="18"/>
              </w:rPr>
              <w:t>国：</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78"/>
                <w:sz w:val="18"/>
                <w:szCs w:val="18"/>
              </w:rPr>
              <w:t>的</w:t>
            </w:r>
            <w:r>
              <w:rPr>
                <w:rFonts w:ascii="宋体" w:hAnsi="宋体" w:cs="宋体" w:eastAsia="宋体" w:hint="default"/>
                <w:sz w:val="18"/>
                <w:szCs w:val="18"/>
              </w:rPr>
              <w:t>《视觉中</w:t>
            </w:r>
          </w:p>
          <w:p>
            <w:pPr>
              <w:pStyle w:val="TableParagraph"/>
              <w:spacing w:line="302" w:lineRule="auto" w:before="62"/>
              <w:ind w:left="23" w:right="20"/>
              <w:jc w:val="left"/>
              <w:rPr>
                <w:rFonts w:ascii="宋体" w:hAnsi="宋体" w:cs="宋体" w:eastAsia="宋体" w:hint="default"/>
                <w:sz w:val="18"/>
                <w:szCs w:val="18"/>
              </w:rPr>
            </w:pPr>
            <w:r>
              <w:rPr>
                <w:rFonts w:ascii="宋体" w:hAnsi="宋体" w:cs="宋体" w:eastAsia="宋体" w:hint="default"/>
                <w:spacing w:val="-6"/>
                <w:sz w:val="18"/>
                <w:szCs w:val="18"/>
              </w:rPr>
              <w:t>国：</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日披露的《视觉中</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9"/>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gridSpan w:val="2"/>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w:t>
            </w:r>
          </w:p>
          <w:p>
            <w:pPr>
              <w:pStyle w:val="TableParagraph"/>
              <w:spacing w:line="302" w:lineRule="auto" w:before="61"/>
              <w:ind w:left="23" w:right="83"/>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日披露的《视觉</w:t>
            </w:r>
          </w:p>
          <w:p>
            <w:pPr>
              <w:pStyle w:val="TableParagraph"/>
              <w:spacing w:line="302"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475"/>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24" w:lineRule="auto" w:before="117"/>
        <w:ind w:right="1128"/>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 </w:t>
      </w:r>
      <w:r>
        <w:rPr>
          <w:spacing w:val="-2"/>
        </w:rPr>
        <w:t>根据中国证监会、深圳证券交易所及其他相关法律法规的规定，公司已在《公司章程》第一百五十九条中明确的规定了公司</w:t>
      </w:r>
      <w:r>
        <w:rPr>
          <w:spacing w:val="-66"/>
        </w:rPr>
        <w:t> </w:t>
      </w:r>
      <w:r>
        <w:rPr>
          <w:spacing w:val="-66"/>
        </w:rPr>
      </w:r>
      <w:r>
        <w:rPr>
          <w:spacing w:val="-5"/>
        </w:rPr>
        <w:t>利润分配原则、政策和方案的审议程序，以及利润分配政策调整机制等。目前，公司现金分红政策的制定及执行情况符合《公</w:t>
      </w:r>
      <w:r>
        <w:rPr>
          <w:spacing w:val="-79"/>
        </w:rPr>
        <w:t> </w:t>
      </w:r>
      <w:r>
        <w:rPr>
          <w:spacing w:val="-79"/>
        </w:rPr>
      </w:r>
      <w:r>
        <w:rPr>
          <w:spacing w:val="-2"/>
        </w:rPr>
        <w:t>司章程》的规定，分红标准和比例明确清晰。公司利润分配预案经董事会审议后提交股东大会审议通过方可实施，决策程序</w:t>
      </w:r>
      <w:r>
        <w:rPr>
          <w:spacing w:val="-66"/>
        </w:rPr>
        <w:t> </w:t>
      </w:r>
      <w:r>
        <w:rPr>
          <w:spacing w:val="-66"/>
        </w:rPr>
      </w:r>
      <w:r>
        <w:rPr/>
        <w:t>完整，机制完备。</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24"/>
          <w:szCs w:val="24"/>
        </w:rPr>
      </w:pPr>
    </w:p>
    <w:p>
      <w:pPr>
        <w:pStyle w:val="BodyText"/>
        <w:spacing w:line="319" w:lineRule="auto" w:before="44"/>
        <w:ind w:left="154" w:right="111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r>
        <w:rPr/>
        <w:t> </w:t>
      </w:r>
      <w:r>
        <w:rPr>
          <w:spacing w:val="1"/>
        </w:rPr>
        <w:t>按中国会计准则，经审计，</w:t>
      </w: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spacing w:val="1"/>
        </w:rPr>
        <w:t>年度公司实现归属于上市公司股东的净利润</w:t>
      </w:r>
      <w:r>
        <w:rPr>
          <w:rFonts w:ascii="Times New Roman" w:hAnsi="Times New Roman" w:cs="Times New Roman" w:eastAsia="Times New Roman" w:hint="default"/>
        </w:rPr>
        <w:t>290,820,9</w:t>
      </w:r>
      <w:r>
        <w:rPr>
          <w:rFonts w:ascii="Times New Roman" w:hAnsi="Times New Roman" w:cs="Times New Roman" w:eastAsia="Times New Roman" w:hint="default"/>
          <w:spacing w:val="-2"/>
        </w:rPr>
        <w:t>1</w:t>
      </w:r>
      <w:r>
        <w:rPr>
          <w:rFonts w:ascii="Times New Roman" w:hAnsi="Times New Roman" w:cs="Times New Roman" w:eastAsia="Times New Roman" w:hint="default"/>
        </w:rPr>
        <w:t>7.1</w:t>
      </w:r>
      <w:r>
        <w:rPr>
          <w:rFonts w:ascii="Times New Roman" w:hAnsi="Times New Roman" w:cs="Times New Roman" w:eastAsia="Times New Roman" w:hint="default"/>
          <w:spacing w:val="2"/>
        </w:rPr>
        <w:t>6</w:t>
      </w:r>
      <w:r>
        <w:rPr>
          <w:spacing w:val="1"/>
        </w:rPr>
        <w:t>元。根据</w:t>
      </w:r>
      <w:r>
        <w:rPr/>
        <w:t>《</w:t>
      </w:r>
      <w:r>
        <w:rPr>
          <w:spacing w:val="1"/>
        </w:rPr>
        <w:t>公司法</w:t>
      </w:r>
      <w:r>
        <w:rPr>
          <w:spacing w:val="-89"/>
        </w:rPr>
        <w:t>》、</w:t>
      </w:r>
      <w:r>
        <w:rPr>
          <w:spacing w:val="1"/>
        </w:rPr>
        <w:t>《深圳</w:t>
      </w:r>
      <w:r>
        <w:rPr/>
        <w:t>证券</w:t>
      </w:r>
      <w:r>
        <w:rPr/>
        <w:t> 交易所主板</w:t>
      </w:r>
      <w:r>
        <w:rPr>
          <w:spacing w:val="1"/>
        </w:rPr>
        <w:t>上</w:t>
      </w:r>
      <w:r>
        <w:rPr/>
        <w:t>市公司规范</w:t>
      </w:r>
      <w:r>
        <w:rPr>
          <w:spacing w:val="1"/>
        </w:rPr>
        <w:t>运</w:t>
      </w:r>
      <w:r>
        <w:rPr/>
        <w:t>作指引（</w:t>
      </w:r>
      <w:r>
        <w:rPr>
          <w:rFonts w:ascii="Times New Roman" w:hAnsi="Times New Roman" w:cs="Times New Roman" w:eastAsia="Times New Roman" w:hint="default"/>
        </w:rPr>
        <w:t>201</w:t>
      </w:r>
      <w:r>
        <w:rPr>
          <w:rFonts w:ascii="Times New Roman" w:hAnsi="Times New Roman" w:cs="Times New Roman" w:eastAsia="Times New Roman" w:hint="default"/>
          <w:spacing w:val="1"/>
        </w:rPr>
        <w:t>5</w:t>
      </w:r>
      <w:r>
        <w:rPr/>
        <w:t>年修订</w:t>
      </w:r>
      <w:r>
        <w:rPr>
          <w:spacing w:val="-90"/>
        </w:rPr>
        <w:t>）》、</w:t>
      </w:r>
      <w:r>
        <w:rPr/>
        <w:t>《</w:t>
      </w:r>
      <w:r>
        <w:rPr>
          <w:spacing w:val="1"/>
        </w:rPr>
        <w:t>公</w:t>
      </w:r>
      <w:r>
        <w:rPr/>
        <w:t>司章程》等</w:t>
      </w:r>
      <w:r>
        <w:rPr>
          <w:spacing w:val="1"/>
        </w:rPr>
        <w:t>有</w:t>
      </w:r>
      <w:r>
        <w:rPr/>
        <w:t>关规定，公司</w:t>
      </w:r>
      <w:r>
        <w:rPr>
          <w:rFonts w:ascii="Times New Roman" w:hAnsi="Times New Roman" w:cs="Times New Roman" w:eastAsia="Times New Roman" w:hint="default"/>
          <w:spacing w:val="1"/>
        </w:rPr>
        <w:t>2</w:t>
      </w:r>
      <w:r>
        <w:rPr>
          <w:rFonts w:ascii="Times New Roman" w:hAnsi="Times New Roman" w:cs="Times New Roman" w:eastAsia="Times New Roman" w:hint="default"/>
        </w:rPr>
        <w:t>017</w:t>
      </w:r>
      <w:r>
        <w:rPr/>
        <w:t>年度利润</w:t>
      </w:r>
      <w:r>
        <w:rPr>
          <w:spacing w:val="1"/>
        </w:rPr>
        <w:t>分</w:t>
      </w:r>
      <w:r>
        <w:rPr/>
        <w:t>配预案为：</w:t>
      </w:r>
      <w:r>
        <w:rPr>
          <w:spacing w:val="1"/>
        </w:rPr>
        <w:t>以</w:t>
      </w:r>
      <w:r>
        <w:rPr/>
        <w:t>公司总股</w:t>
      </w:r>
    </w:p>
    <w:p>
      <w:pPr>
        <w:pStyle w:val="BodyText"/>
        <w:spacing w:line="300" w:lineRule="auto"/>
        <w:ind w:left="154" w:right="1122"/>
        <w:jc w:val="left"/>
      </w:pPr>
      <w:r>
        <w:rPr/>
        <w:t>本</w:t>
      </w:r>
      <w:r>
        <w:rPr>
          <w:rFonts w:ascii="Times New Roman" w:hAnsi="Times New Roman" w:cs="Times New Roman" w:eastAsia="Times New Roman" w:hint="default"/>
        </w:rPr>
        <w:t>700,577,436</w:t>
      </w:r>
      <w:r>
        <w:rPr/>
        <w:t>股为基数，本期按照每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0.42</w:t>
      </w:r>
      <w:r>
        <w:rPr/>
        <w:t>元（含税）向全体股东实施利润分配，共计分配利润</w:t>
      </w:r>
      <w:r>
        <w:rPr>
          <w:rFonts w:ascii="Times New Roman" w:hAnsi="Times New Roman" w:cs="Times New Roman" w:eastAsia="Times New Roman" w:hint="default"/>
        </w:rPr>
        <w:t>29,424,252.31</w:t>
      </w:r>
      <w:r>
        <w:rPr/>
        <w:t>元。 除此之外，不再进行送股或资本公积金转增股本。</w:t>
      </w:r>
    </w:p>
    <w:p>
      <w:pPr>
        <w:pStyle w:val="BodyText"/>
        <w:spacing w:line="240" w:lineRule="auto" w:before="72"/>
        <w:ind w:left="154" w:right="0"/>
        <w:jc w:val="left"/>
      </w:pPr>
      <w:r>
        <w:rPr/>
        <w:t>公司</w:t>
      </w:r>
      <w:r>
        <w:rPr>
          <w:rFonts w:ascii="宋体" w:hAnsi="宋体" w:cs="宋体" w:eastAsia="宋体" w:hint="default"/>
        </w:rPr>
        <w:t>2016</w:t>
      </w:r>
      <w:r>
        <w:rPr/>
        <w:t>年度及</w:t>
      </w:r>
      <w:r>
        <w:rPr>
          <w:rFonts w:ascii="宋体" w:hAnsi="宋体" w:cs="宋体" w:eastAsia="宋体" w:hint="default"/>
        </w:rPr>
        <w:t>2015</w:t>
      </w:r>
      <w:r>
        <w:rPr/>
        <w:t>年度未分红，未实施资本公积金转增股本方案。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7"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29,424,252.31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290,820,917.16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214,659,215.55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157,557,775.58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411.420013pt;margin-top:739.919983pt;width:42pt;height:25.4pt;mso-position-horizontal-relative:page;mso-position-vertical-relative:page;z-index:-1031608" coordorigin="8228,14798" coordsize="840,508">
            <v:group style="position:absolute;left:8228;top:15150;width:840;height:156" coordorigin="8228,15150" coordsize="840,156">
              <v:shape style="position:absolute;left:8228;top:15150;width:840;height:156" coordorigin="8228,15150" coordsize="840,156" path="m8228,15306l9068,15306,9068,15150,8228,15150,8228,15306xe" filled="true" fillcolor="#ffffff" stroked="false">
                <v:path arrowok="t"/>
                <v:fill type="solid"/>
              </v:shape>
            </v:group>
            <v:group style="position:absolute;left:8251;top:14798;width:795;height:352" coordorigin="8251,14798" coordsize="795,352">
              <v:shape style="position:absolute;left:8251;top:14798;width:795;height:352" coordorigin="8251,14798" coordsize="795,352" path="m8251,15150l9046,15150,9046,14798,8251,14798,8251,15150xe" filled="true" fillcolor="#ffffff" stroked="false">
                <v:path arrowok="t"/>
                <v:fill type="solid"/>
              </v:shape>
            </v:group>
            <w10:wrap type="none"/>
          </v:group>
        </w:pic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700,577,436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29,424,252.31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38,625,558.04</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pacing w:val="-1"/>
                <w:sz w:val="18"/>
                <w:szCs w:val="18"/>
              </w:rPr>
              <w:t>按中国会计准则，经审计，</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年度公司实现归属于上市公司股东的净利润</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290,820,917.16</w:t>
            </w:r>
            <w:r>
              <w:rPr>
                <w:rFonts w:ascii="Times New Roman" w:hAnsi="Times New Roman" w:cs="Times New Roman" w:eastAsia="Times New Roman" w:hint="default"/>
                <w:spacing w:val="8"/>
                <w:sz w:val="18"/>
                <w:szCs w:val="18"/>
              </w:rPr>
              <w:t> </w:t>
            </w:r>
            <w:r>
              <w:rPr>
                <w:rFonts w:ascii="宋体" w:hAnsi="宋体" w:cs="宋体" w:eastAsia="宋体" w:hint="default"/>
                <w:spacing w:val="-15"/>
                <w:sz w:val="18"/>
                <w:szCs w:val="18"/>
              </w:rPr>
              <w:t>元。根据《公司法》、《深圳证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券交易所主板上市公司规范运作指引（</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年修订）》、《公司章程》等有关规定，公司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年度利润分配预案为：以公司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总股本</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700,577,436</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股为基数，本期按照每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股派现金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0.42</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元（含税）向全体股东实施利润分配，共计分配利润</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29,424,252.31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元。除此之外，不再进行送股或资本公积金转增股本。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265"/>
        <w:gridCol w:w="1277"/>
        <w:gridCol w:w="850"/>
        <w:gridCol w:w="3687"/>
        <w:gridCol w:w="850"/>
        <w:gridCol w:w="851"/>
        <w:gridCol w:w="779"/>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7"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277"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 w:right="-24"/>
              <w:jc w:val="left"/>
              <w:rPr>
                <w:rFonts w:ascii="宋体" w:hAnsi="宋体" w:cs="宋体" w:eastAsia="宋体" w:hint="default"/>
                <w:sz w:val="18"/>
                <w:szCs w:val="18"/>
              </w:rPr>
            </w:pPr>
            <w:r>
              <w:rPr>
                <w:rFonts w:ascii="宋体" w:hAnsi="宋体" w:cs="宋体" w:eastAsia="宋体" w:hint="default"/>
                <w:sz w:val="18"/>
                <w:szCs w:val="18"/>
              </w:rPr>
              <w:t>廖道训、吴玉 </w:t>
            </w:r>
            <w:r>
              <w:rPr>
                <w:rFonts w:ascii="宋体" w:hAnsi="宋体" w:cs="宋体" w:eastAsia="宋体" w:hint="default"/>
                <w:spacing w:val="-6"/>
                <w:sz w:val="18"/>
                <w:szCs w:val="18"/>
              </w:rPr>
              <w:t>瑞、吴春红、柴</w:t>
            </w:r>
            <w:r>
              <w:rPr>
                <w:rFonts w:ascii="宋体" w:hAnsi="宋体" w:cs="宋体" w:eastAsia="宋体" w:hint="default"/>
                <w:sz w:val="18"/>
                <w:szCs w:val="18"/>
              </w:rPr>
              <w:t> 继军、姜海林、 陈智华、袁闯、 李学凌、高玮、 梁世平</w:t>
            </w:r>
          </w:p>
        </w:tc>
        <w:tc>
          <w:tcPr>
            <w:tcW w:w="85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名一致行动人在本次发行中所认</w:t>
            </w:r>
          </w:p>
          <w:p>
            <w:pPr>
              <w:pStyle w:val="TableParagraph"/>
              <w:spacing w:line="302" w:lineRule="auto" w:before="61"/>
              <w:ind w:left="22" w:right="142"/>
              <w:jc w:val="left"/>
              <w:rPr>
                <w:rFonts w:ascii="宋体" w:hAnsi="宋体" w:cs="宋体" w:eastAsia="宋体" w:hint="default"/>
                <w:sz w:val="18"/>
                <w:szCs w:val="18"/>
              </w:rPr>
            </w:pPr>
            <w:r>
              <w:rPr>
                <w:rFonts w:ascii="宋体" w:hAnsi="宋体" w:cs="宋体" w:eastAsia="宋体" w:hint="default"/>
                <w:sz w:val="18"/>
                <w:szCs w:val="18"/>
              </w:rPr>
              <w:t>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的股票自上市之日起六十个月内 不进行任何转让。</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目前上述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 致行动人 股票已办 理锁定。 承诺正在 履行。</w:t>
            </w:r>
          </w:p>
        </w:tc>
      </w:tr>
      <w:tr>
        <w:trPr>
          <w:trHeight w:val="704"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7" w:type="dxa"/>
            <w:vMerge/>
            <w:tcBorders>
              <w:left w:val="single" w:sz="9" w:space="0" w:color="D2D2D2"/>
              <w:right w:val="single" w:sz="9" w:space="0" w:color="FFFFFF"/>
            </w:tcBorders>
          </w:tcPr>
          <w:p>
            <w:pPr/>
          </w:p>
        </w:tc>
        <w:tc>
          <w:tcPr>
            <w:tcW w:w="850" w:type="dxa"/>
            <w:vMerge/>
            <w:tcBorders>
              <w:left w:val="single" w:sz="9" w:space="0" w:color="FFFFFF"/>
              <w:right w:val="single" w:sz="4" w:space="0" w:color="000000"/>
            </w:tcBorders>
          </w:tcPr>
          <w:p>
            <w:pPr/>
          </w:p>
        </w:tc>
        <w:tc>
          <w:tcPr>
            <w:tcW w:w="368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72"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9" w:space="0" w:color="FFFFFF"/>
            </w:tcBorders>
          </w:tcPr>
          <w:p>
            <w:pPr/>
          </w:p>
        </w:tc>
        <w:tc>
          <w:tcPr>
            <w:tcW w:w="850" w:type="dxa"/>
            <w:vMerge/>
            <w:tcBorders>
              <w:left w:val="single" w:sz="9" w:space="0" w:color="FFFFFF"/>
              <w:bottom w:val="single" w:sz="4" w:space="0" w:color="000000"/>
              <w:right w:val="single" w:sz="4" w:space="0" w:color="000000"/>
            </w:tcBorders>
          </w:tcPr>
          <w:p>
            <w:pPr/>
          </w:p>
        </w:tc>
        <w:tc>
          <w:tcPr>
            <w:tcW w:w="368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1027"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3" w:right="-29"/>
              <w:jc w:val="left"/>
              <w:rPr>
                <w:rFonts w:ascii="宋体" w:hAnsi="宋体" w:cs="宋体" w:eastAsia="宋体" w:hint="default"/>
                <w:sz w:val="18"/>
                <w:szCs w:val="18"/>
              </w:rPr>
            </w:pPr>
            <w:r>
              <w:rPr>
                <w:rFonts w:ascii="宋体" w:hAnsi="宋体" w:cs="宋体" w:eastAsia="宋体" w:hint="default"/>
                <w:sz w:val="18"/>
                <w:szCs w:val="18"/>
              </w:rPr>
              <w:t>廖道训、吴玉 </w:t>
            </w:r>
            <w:r>
              <w:rPr>
                <w:rFonts w:ascii="宋体" w:hAnsi="宋体" w:cs="宋体" w:eastAsia="宋体" w:hint="default"/>
                <w:spacing w:val="-6"/>
                <w:sz w:val="18"/>
                <w:szCs w:val="18"/>
              </w:rPr>
              <w:t>瑞、吴春红、柴</w:t>
            </w:r>
            <w:r>
              <w:rPr>
                <w:rFonts w:ascii="宋体" w:hAnsi="宋体" w:cs="宋体" w:eastAsia="宋体" w:hint="default"/>
                <w:sz w:val="18"/>
                <w:szCs w:val="18"/>
              </w:rPr>
              <w:t> 继军、姜海林、</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2"/>
              <w:ind w:left="11"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687" w:type="dxa"/>
            <w:tcBorders>
              <w:top w:val="single" w:sz="4" w:space="0" w:color="000000"/>
              <w:left w:val="single" w:sz="4" w:space="0" w:color="000000"/>
              <w:bottom w:val="single" w:sz="4" w:space="0" w:color="000000"/>
              <w:right w:val="single" w:sz="13" w:space="0" w:color="FFFFFF"/>
            </w:tcBorders>
          </w:tcPr>
          <w:p>
            <w:pPr>
              <w:pStyle w:val="TableParagraph"/>
              <w:spacing w:line="309" w:lineRule="auto" w:before="71"/>
              <w:ind w:left="22" w:right="12"/>
              <w:jc w:val="both"/>
              <w:rPr>
                <w:rFonts w:ascii="宋体" w:hAnsi="宋体" w:cs="宋体" w:eastAsia="宋体" w:hint="default"/>
                <w:sz w:val="18"/>
                <w:szCs w:val="18"/>
              </w:rPr>
            </w:pPr>
            <w:r>
              <w:rPr>
                <w:rFonts w:ascii="宋体" w:hAnsi="宋体" w:cs="宋体" w:eastAsia="宋体" w:hint="default"/>
                <w:sz w:val="18"/>
                <w:szCs w:val="18"/>
              </w:rPr>
              <w:t>若远东股份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年度专项审计报告、减值测试</w:t>
            </w:r>
            <w:r>
              <w:rPr>
                <w:rFonts w:ascii="宋体" w:hAnsi="宋体" w:cs="宋体" w:eastAsia="宋体" w:hint="default"/>
                <w:sz w:val="18"/>
                <w:szCs w:val="18"/>
              </w:rPr>
              <w:t> 报告等相关文件（名称以实际出具报告名称为 </w:t>
            </w:r>
            <w:r>
              <w:rPr>
                <w:rFonts w:ascii="宋体" w:hAnsi="宋体" w:cs="宋体" w:eastAsia="宋体" w:hint="default"/>
                <w:spacing w:val="-3"/>
                <w:sz w:val="18"/>
                <w:szCs w:val="18"/>
              </w:rPr>
              <w:t>准）出具的日期晚于上述股份的限售期届满日</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12"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3"/>
              <w:jc w:val="both"/>
              <w:rPr>
                <w:rFonts w:ascii="宋体" w:hAnsi="宋体" w:cs="宋体" w:eastAsia="宋体" w:hint="default"/>
                <w:sz w:val="18"/>
                <w:szCs w:val="18"/>
              </w:rPr>
            </w:pPr>
            <w:r>
              <w:rPr>
                <w:rFonts w:ascii="宋体" w:hAnsi="宋体" w:cs="宋体" w:eastAsia="宋体" w:hint="default"/>
                <w:sz w:val="18"/>
                <w:szCs w:val="18"/>
              </w:rPr>
              <w:t>该承诺履 行时间为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目前履行 时间未 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20001pt;margin-top:251.11998pt;width:48.2pt;height:124.8pt;mso-position-horizontal-relative:page;mso-position-vertical-relative:page;z-index:-1031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96.140015pt;margin-top:536.440002pt;width:57.3pt;height:92.6pt;mso-position-horizontal-relative:page;mso-position-vertical-relative:page;z-index:-1031560" type="#_x0000_t202" filled="false" stroked="false">
            <v:textbox inset="0,0,0,0">
              <w:txbxContent>
                <w:p>
                  <w:pPr>
                    <w:pStyle w:val="BodyText"/>
                    <w:spacing w:line="240" w:lineRule="auto" w:before="51"/>
                    <w:ind w:left="0" w:right="0"/>
                    <w:jc w:val="left"/>
                  </w:pPr>
                  <w:r>
                    <w:rPr/>
                    <w:t>司、</w:t>
                  </w:r>
                </w:p>
              </w:txbxContent>
            </v:textbox>
            <w10:wrap type="none"/>
          </v:shape>
        </w:pict>
      </w:r>
      <w:r>
        <w:rPr/>
        <w:pict>
          <v:group style="position:absolute;margin-left:411.420013pt;margin-top:251.11998pt;width:42pt;height:124.8pt;mso-position-horizontal-relative:page;mso-position-vertical-relative:page;z-index:-1031536" coordorigin="8228,5022" coordsize="840,2496">
            <v:shape style="position:absolute;left:8228;top:5022;width:840;height:2496" coordorigin="8228,5022" coordsize="840,2496" path="m8228,7518l9068,7518,9068,5022,8228,5022,8228,7518xe" filled="true" fillcolor="#ffffff" stroked="false">
              <v:path arrowok="t"/>
              <v:fill type="solid"/>
            </v:shape>
            <w10:wrap type="none"/>
          </v:group>
        </w:pict>
      </w:r>
      <w:r>
        <w:rPr/>
        <w:pict>
          <v:group style="position:absolute;margin-left:412.559998pt;margin-top:393.499969pt;width:39.75pt;height:17.650pt;mso-position-horizontal-relative:page;mso-position-vertical-relative:page;z-index:-1031512" coordorigin="8251,7870" coordsize="795,353">
            <v:shape style="position:absolute;left:8251;top:7870;width:795;height:353" coordorigin="8251,7870" coordsize="795,353" path="m8251,8223l9046,8223,9046,7870,8251,7870,8251,8223xe" filled="true" fillcolor="#ffffff" stroked="false">
              <v:path arrowok="t"/>
              <v:fill type="solid"/>
            </v:shape>
            <w10:wrap type="none"/>
          </v:group>
        </w:pict>
      </w:r>
      <w:r>
        <w:rPr/>
        <w:pict>
          <v:group style="position:absolute;margin-left:411.420013pt;margin-top:536.440002pt;width:42pt;height:92.6pt;mso-position-horizontal-relative:page;mso-position-vertical-relative:page;z-index:-1031488" coordorigin="8228,10729" coordsize="840,1852">
            <v:shape style="position:absolute;left:8228;top:10729;width:840;height:1852" coordorigin="8228,10729" coordsize="840,1852" path="m8228,12580l9068,12580,9068,10729,8228,10729,8228,125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3687"/>
        <w:gridCol w:w="850"/>
        <w:gridCol w:w="851"/>
        <w:gridCol w:w="779"/>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陈智华、袁闯、</w:t>
            </w:r>
          </w:p>
        </w:tc>
        <w:tc>
          <w:tcPr>
            <w:tcW w:w="850" w:type="dxa"/>
            <w:vMerge w:val="restart"/>
            <w:tcBorders>
              <w:top w:val="single" w:sz="4" w:space="0" w:color="000000"/>
              <w:left w:val="single" w:sz="4" w:space="0" w:color="000000"/>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则廖道训等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名一致行动人承诺，待上市公司</w:t>
            </w:r>
          </w:p>
        </w:tc>
        <w:tc>
          <w:tcPr>
            <w:tcW w:w="850"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的审计报</w:t>
            </w: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李学凌、高玮、</w:t>
            </w:r>
          </w:p>
        </w:tc>
        <w:tc>
          <w:tcPr>
            <w:tcW w:w="850"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年度的审计报告出具以及减值测试完成</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告出具以</w:t>
            </w:r>
          </w:p>
        </w:tc>
        <w:tc>
          <w:tcPr>
            <w:tcW w:w="779" w:type="dxa"/>
            <w:vMerge/>
            <w:tcBorders>
              <w:left w:val="single" w:sz="4" w:space="0" w:color="000000"/>
              <w:right w:val="single" w:sz="4" w:space="0" w:color="000000"/>
            </w:tcBorders>
          </w:tcPr>
          <w:p>
            <w:pPr/>
          </w:p>
        </w:tc>
      </w:tr>
      <w:tr>
        <w:trPr>
          <w:trHeight w:val="308"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850"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后，视是否需要实行股份补偿，扣减需进行股</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及减值测</w:t>
            </w:r>
          </w:p>
        </w:tc>
        <w:tc>
          <w:tcPr>
            <w:tcW w:w="779"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份补偿部分。期间廖道训等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名一致行动人继</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试完成</w:t>
            </w:r>
          </w:p>
        </w:tc>
        <w:tc>
          <w:tcPr>
            <w:tcW w:w="779"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续履行第一条的承诺义务，不转让所认购的远</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后，视情</w:t>
            </w:r>
          </w:p>
        </w:tc>
        <w:tc>
          <w:tcPr>
            <w:tcW w:w="779"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东股份的股票</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况的时</w:t>
            </w:r>
          </w:p>
        </w:tc>
        <w:tc>
          <w:tcPr>
            <w:tcW w:w="779" w:type="dxa"/>
            <w:vMerge/>
            <w:tcBorders>
              <w:left w:val="single" w:sz="4" w:space="0" w:color="000000"/>
              <w:right w:val="single" w:sz="4" w:space="0" w:color="000000"/>
            </w:tcBorders>
          </w:tcPr>
          <w:p>
            <w:pP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w:t>
            </w:r>
          </w:p>
        </w:tc>
        <w:tc>
          <w:tcPr>
            <w:tcW w:w="779" w:type="dxa"/>
            <w:vMerge/>
            <w:tcBorders>
              <w:left w:val="single" w:sz="4" w:space="0" w:color="000000"/>
              <w:bottom w:val="single" w:sz="4" w:space="0" w:color="000000"/>
              <w:right w:val="single" w:sz="4" w:space="0" w:color="000000"/>
            </w:tcBorders>
          </w:tcPr>
          <w:p>
            <w:pPr/>
          </w:p>
        </w:tc>
      </w:tr>
      <w:tr>
        <w:trPr>
          <w:trHeight w:val="1338" w:hRule="exact"/>
        </w:trPr>
        <w:tc>
          <w:tcPr>
            <w:tcW w:w="127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黄厄文、谢志 </w:t>
            </w:r>
            <w:r>
              <w:rPr>
                <w:rFonts w:ascii="宋体" w:hAnsi="宋体" w:cs="宋体" w:eastAsia="宋体" w:hint="default"/>
                <w:spacing w:val="-6"/>
                <w:sz w:val="18"/>
                <w:szCs w:val="18"/>
              </w:rPr>
              <w:t>辉、秦弦、马文</w:t>
            </w:r>
            <w:r>
              <w:rPr>
                <w:rFonts w:ascii="宋体" w:hAnsi="宋体" w:cs="宋体" w:eastAsia="宋体" w:hint="default"/>
                <w:sz w:val="18"/>
                <w:szCs w:val="18"/>
              </w:rPr>
              <w:t> </w:t>
            </w:r>
            <w:r>
              <w:rPr>
                <w:rFonts w:ascii="宋体" w:hAnsi="宋体" w:cs="宋体" w:eastAsia="宋体" w:hint="default"/>
                <w:spacing w:val="-6"/>
                <w:sz w:val="18"/>
                <w:szCs w:val="18"/>
              </w:rPr>
              <w:t>佳、王广平、张</w:t>
            </w:r>
            <w:r>
              <w:rPr>
                <w:rFonts w:ascii="宋体" w:hAnsi="宋体" w:cs="宋体" w:eastAsia="宋体" w:hint="default"/>
                <w:sz w:val="18"/>
                <w:szCs w:val="18"/>
              </w:rPr>
              <w:t> 向宁、喻建军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52"/>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名自然人承诺在本次发行中所认购的远东股 份的股票自上市之日起三十六个月内不进行任 何转让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盈利承诺：根据廖道训等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名自然人签署的</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《发行股份购买资产的利润补偿协议</w:t>
            </w:r>
            <w:r>
              <w:rPr>
                <w:rFonts w:ascii="宋体" w:hAnsi="宋体" w:cs="宋体" w:eastAsia="宋体" w:hint="default"/>
                <w:spacing w:val="-90"/>
                <w:sz w:val="18"/>
                <w:szCs w:val="18"/>
              </w:rPr>
              <w:t>》、</w:t>
            </w:r>
            <w:r>
              <w:rPr>
                <w:rFonts w:ascii="宋体" w:hAnsi="宋体" w:cs="宋体" w:eastAsia="宋体" w:hint="default"/>
                <w:sz w:val="18"/>
                <w:szCs w:val="18"/>
              </w:rPr>
              <w:t>《发行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4368"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廖道训、吴玉 </w:t>
            </w:r>
            <w:r>
              <w:rPr>
                <w:rFonts w:ascii="宋体" w:hAnsi="宋体" w:cs="宋体" w:eastAsia="宋体" w:hint="default"/>
                <w:spacing w:val="-6"/>
                <w:sz w:val="18"/>
                <w:szCs w:val="18"/>
              </w:rPr>
              <w:t>瑞、吴春红、柴</w:t>
            </w:r>
            <w:r>
              <w:rPr>
                <w:rFonts w:ascii="宋体" w:hAnsi="宋体" w:cs="宋体" w:eastAsia="宋体" w:hint="default"/>
                <w:sz w:val="18"/>
                <w:szCs w:val="18"/>
              </w:rPr>
              <w:t> 继军、姜海林、 陈智华、袁闯、 李学凌、高玮、 梁世平、黄厄 </w:t>
            </w:r>
            <w:r>
              <w:rPr>
                <w:rFonts w:ascii="宋体" w:hAnsi="宋体" w:cs="宋体" w:eastAsia="宋体" w:hint="default"/>
                <w:spacing w:val="-6"/>
                <w:sz w:val="18"/>
                <w:szCs w:val="18"/>
              </w:rPr>
              <w:t>文、谢志辉、秦</w:t>
            </w:r>
            <w:r>
              <w:rPr>
                <w:rFonts w:ascii="宋体" w:hAnsi="宋体" w:cs="宋体" w:eastAsia="宋体" w:hint="default"/>
                <w:sz w:val="18"/>
                <w:szCs w:val="18"/>
              </w:rPr>
              <w:t> </w:t>
            </w:r>
            <w:r>
              <w:rPr>
                <w:rFonts w:ascii="宋体" w:hAnsi="宋体" w:cs="宋体" w:eastAsia="宋体" w:hint="default"/>
                <w:spacing w:val="-7"/>
                <w:sz w:val="18"/>
                <w:szCs w:val="18"/>
              </w:rPr>
              <w:t>弦、马文佳、王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广平、张向宁、 喻建军</w:t>
            </w:r>
          </w:p>
        </w:tc>
        <w:tc>
          <w:tcPr>
            <w:tcW w:w="850"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6" w:lineRule="auto"/>
              <w:ind w:left="16"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687"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股份购买资产的利润预测补偿协议的补充协 </w:t>
            </w:r>
            <w:r>
              <w:rPr>
                <w:rFonts w:ascii="宋体" w:hAnsi="宋体" w:cs="宋体" w:eastAsia="宋体" w:hint="default"/>
                <w:spacing w:val="-9"/>
                <w:sz w:val="18"/>
                <w:szCs w:val="18"/>
              </w:rPr>
              <w:t>议》、《发行股份购买资产的利润预测补偿协议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的补充协议二》，以及廖道训等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名自然人出</w:t>
            </w:r>
          </w:p>
          <w:p>
            <w:pPr>
              <w:pStyle w:val="TableParagraph"/>
              <w:spacing w:line="300" w:lineRule="auto"/>
              <w:ind w:left="22" w:right="15"/>
              <w:jc w:val="both"/>
              <w:rPr>
                <w:rFonts w:ascii="宋体" w:hAnsi="宋体" w:cs="宋体" w:eastAsia="宋体" w:hint="default"/>
                <w:sz w:val="18"/>
                <w:szCs w:val="18"/>
              </w:rPr>
            </w:pPr>
            <w:r>
              <w:rPr>
                <w:rFonts w:ascii="宋体" w:hAnsi="宋体" w:cs="宋体" w:eastAsia="宋体" w:hint="default"/>
                <w:spacing w:val="-7"/>
                <w:sz w:val="18"/>
                <w:szCs w:val="18"/>
              </w:rPr>
              <w:t>具的承诺，廖道训等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名自然人对上市公司的 利润补偿期间为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年，标的资产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7" w:lineRule="auto" w:before="13"/>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年经审计的扣除非经 </w:t>
            </w:r>
            <w:r>
              <w:rPr>
                <w:rFonts w:ascii="宋体" w:hAnsi="宋体" w:cs="宋体" w:eastAsia="宋体" w:hint="default"/>
                <w:spacing w:val="-5"/>
                <w:sz w:val="18"/>
                <w:szCs w:val="18"/>
              </w:rPr>
              <w:t>常性损益后的归属于母公司净利润（合并计算）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分别不低于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11,487.38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16,328.02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22,341.27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27,741.00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2" w:lineRule="auto" w:before="7"/>
              <w:ind w:left="22" w:right="15"/>
              <w:jc w:val="both"/>
              <w:rPr>
                <w:rFonts w:ascii="宋体" w:hAnsi="宋体" w:cs="宋体" w:eastAsia="宋体" w:hint="default"/>
                <w:sz w:val="18"/>
                <w:szCs w:val="18"/>
              </w:rPr>
            </w:pPr>
            <w:r>
              <w:rPr>
                <w:rFonts w:ascii="宋体" w:hAnsi="宋体" w:cs="宋体" w:eastAsia="宋体" w:hint="default"/>
                <w:sz w:val="18"/>
                <w:szCs w:val="18"/>
              </w:rPr>
              <w:t>元。如果标的资产实际盈利数不足利润承诺数 </w:t>
            </w:r>
            <w:r>
              <w:rPr>
                <w:rFonts w:ascii="宋体" w:hAnsi="宋体" w:cs="宋体" w:eastAsia="宋体" w:hint="default"/>
                <w:spacing w:val="-5"/>
                <w:sz w:val="18"/>
                <w:szCs w:val="18"/>
              </w:rPr>
              <w:t>的，则按照远东股份与廖道训等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名自然人签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署的发行股份购买资产的利润补偿协议》、《发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行股份购买资产的利润预测补偿协议的补充协</w:t>
            </w:r>
          </w:p>
        </w:tc>
        <w:tc>
          <w:tcPr>
            <w:tcW w:w="850"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00" w:lineRule="auto"/>
              <w:ind w:left="22" w:right="5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 报</w:t>
            </w:r>
            <w:r>
              <w:rPr>
                <w:rFonts w:ascii="Times New Roman" w:hAnsi="Times New Roman" w:cs="Times New Roman" w:eastAsia="Times New Roman" w:hint="default"/>
                <w:sz w:val="18"/>
                <w:szCs w:val="18"/>
              </w:rPr>
              <w:t>-2018</w:t>
            </w:r>
          </w:p>
          <w:p>
            <w:pPr>
              <w:pStyle w:val="TableParagraph"/>
              <w:spacing w:line="319" w:lineRule="auto" w:before="13"/>
              <w:ind w:left="22" w:right="96"/>
              <w:jc w:val="both"/>
              <w:rPr>
                <w:rFonts w:ascii="宋体" w:hAnsi="宋体" w:cs="宋体" w:eastAsia="宋体" w:hint="default"/>
                <w:sz w:val="18"/>
                <w:szCs w:val="18"/>
              </w:rPr>
            </w:pPr>
            <w:r>
              <w:rPr>
                <w:rFonts w:ascii="宋体" w:hAnsi="宋体" w:cs="宋体" w:eastAsia="宋体" w:hint="default"/>
                <w:sz w:val="18"/>
                <w:szCs w:val="18"/>
              </w:rPr>
              <w:t>年年报后 至该承诺 实施日。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将按照</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2" w:right="24"/>
              <w:jc w:val="left"/>
              <w:rPr>
                <w:rFonts w:ascii="宋体" w:hAnsi="宋体" w:cs="宋体" w:eastAsia="宋体" w:hint="default"/>
                <w:sz w:val="18"/>
                <w:szCs w:val="18"/>
              </w:rPr>
            </w:pPr>
            <w:r>
              <w:rPr>
                <w:rFonts w:ascii="宋体" w:hAnsi="宋体" w:cs="宋体" w:eastAsia="宋体" w:hint="default"/>
                <w:sz w:val="18"/>
                <w:szCs w:val="18"/>
              </w:rPr>
              <w:t>每年实际 业绩情况 履行承 诺。</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年已达到 当年盈利 承诺。</w:t>
            </w: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90"/>
                <w:sz w:val="18"/>
                <w:szCs w:val="18"/>
              </w:rPr>
              <w:t>》、</w:t>
            </w:r>
            <w:r>
              <w:rPr>
                <w:rFonts w:ascii="宋体" w:hAnsi="宋体" w:cs="宋体" w:eastAsia="宋体" w:hint="default"/>
                <w:sz w:val="18"/>
                <w:szCs w:val="18"/>
              </w:rPr>
              <w:t>《发行股份购买资产的利润预测补偿协议</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的补充协议二》的规定进行补偿。</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6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本人及</w:t>
            </w:r>
            <w:r>
              <w:rPr>
                <w:rFonts w:ascii="宋体" w:hAnsi="宋体" w:cs="宋体" w:eastAsia="宋体" w:hint="default"/>
                <w:spacing w:val="-2"/>
                <w:sz w:val="18"/>
                <w:szCs w:val="18"/>
              </w:rPr>
              <w:t>本</w:t>
            </w:r>
            <w:r>
              <w:rPr>
                <w:rFonts w:ascii="宋体" w:hAnsi="宋体" w:cs="宋体" w:eastAsia="宋体" w:hint="default"/>
                <w:sz w:val="18"/>
                <w:szCs w:val="18"/>
              </w:rPr>
              <w:t>人所控制的其他子公司</w:t>
            </w:r>
            <w:r>
              <w:rPr>
                <w:rFonts w:ascii="宋体" w:hAnsi="宋体" w:cs="宋体" w:eastAsia="宋体" w:hint="default"/>
                <w:spacing w:val="-75"/>
                <w:sz w:val="18"/>
                <w:szCs w:val="18"/>
              </w:rPr>
              <w:t>、</w:t>
            </w:r>
            <w:r>
              <w:rPr>
                <w:rFonts w:ascii="宋体" w:hAnsi="宋体" w:cs="宋体" w:eastAsia="宋体" w:hint="default"/>
                <w:sz w:val="18"/>
                <w:szCs w:val="18"/>
              </w:rPr>
              <w:t>分公</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合营或联营公司及其他任何类型企业（以下统</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相关企业</w:t>
            </w:r>
            <w:r>
              <w:rPr>
                <w:rFonts w:ascii="Times New Roman" w:hAnsi="Times New Roman" w:cs="Times New Roman" w:eastAsia="Times New Roman" w:hint="default"/>
                <w:sz w:val="18"/>
                <w:szCs w:val="18"/>
              </w:rPr>
              <w:t>"</w:t>
            </w:r>
            <w:r>
              <w:rPr>
                <w:rFonts w:ascii="宋体" w:hAnsi="宋体" w:cs="宋体" w:eastAsia="宋体" w:hint="default"/>
                <w:sz w:val="18"/>
                <w:szCs w:val="18"/>
              </w:rPr>
              <w:t>）目前均未从事任何与上市公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314" w:lineRule="auto" w:before="142"/>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1" w:right="95"/>
              <w:jc w:val="both"/>
              <w:rPr>
                <w:rFonts w:ascii="宋体" w:hAnsi="宋体" w:cs="宋体" w:eastAsia="宋体" w:hint="default"/>
                <w:sz w:val="18"/>
                <w:szCs w:val="18"/>
              </w:rPr>
            </w:pPr>
            <w:r>
              <w:rPr>
                <w:rFonts w:ascii="宋体" w:hAnsi="宋体" w:cs="宋体" w:eastAsia="宋体" w:hint="default"/>
                <w:sz w:val="18"/>
                <w:szCs w:val="18"/>
              </w:rPr>
              <w:t>于同业竞 争、关联 交易、资 金占用方 面的承诺</w:t>
            </w: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52"/>
              <w:jc w:val="left"/>
              <w:rPr>
                <w:rFonts w:ascii="宋体" w:hAnsi="宋体" w:cs="宋体" w:eastAsia="宋体" w:hint="default"/>
                <w:sz w:val="18"/>
                <w:szCs w:val="18"/>
              </w:rPr>
            </w:pPr>
            <w:r>
              <w:rPr>
                <w:rFonts w:ascii="宋体" w:hAnsi="宋体" w:cs="宋体" w:eastAsia="宋体" w:hint="default"/>
                <w:sz w:val="18"/>
                <w:szCs w:val="18"/>
              </w:rPr>
              <w:t>司构成直接或间接竞争的生产经营业务或活 </w:t>
            </w:r>
            <w:r>
              <w:rPr>
                <w:rFonts w:ascii="宋体" w:hAnsi="宋体" w:cs="宋体" w:eastAsia="宋体" w:hint="default"/>
                <w:spacing w:val="-5"/>
                <w:sz w:val="18"/>
                <w:szCs w:val="18"/>
              </w:rPr>
              <w:t>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）本人及相关企业将来亦不直接或间接</w:t>
            </w:r>
            <w:r>
              <w:rPr>
                <w:rFonts w:ascii="宋体" w:hAnsi="宋体" w:cs="宋体" w:eastAsia="宋体" w:hint="default"/>
                <w:spacing w:val="-75"/>
                <w:sz w:val="18"/>
                <w:szCs w:val="18"/>
              </w:rPr>
              <w:t> </w:t>
            </w:r>
            <w:r>
              <w:rPr>
                <w:rFonts w:ascii="宋体" w:hAnsi="宋体" w:cs="宋体" w:eastAsia="宋体" w:hint="default"/>
                <w:sz w:val="18"/>
                <w:szCs w:val="18"/>
              </w:rPr>
              <w:t>从事任何与上市公司及其子公司相同或类似的 业务，不直接或间接从事、参与或进行与上市 公司及其子公司的生产经营构成竞争的任何生 产经营业务或活动，且不再对具有与上市公司 及其子公司有相同或类似业务的企业进行投 </w:t>
            </w:r>
            <w:r>
              <w:rPr>
                <w:rFonts w:ascii="宋体" w:hAnsi="宋体" w:cs="宋体" w:eastAsia="宋体" w:hint="default"/>
                <w:spacing w:val="-5"/>
                <w:sz w:val="18"/>
                <w:szCs w:val="18"/>
              </w:rPr>
              <w:t>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）本人将对自身及相关企业的生产经营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正在履 行，目前 没有违反 承诺的行 为。</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活动进行监督和约束，如果将来本人及相关企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6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业的产品或业务与上市公司及其子公司的产品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6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或业务出现相同或类似的情况，本人承诺将采</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2.559998pt;margin-top:463.719971pt;width:39.75pt;height:17.650pt;mso-position-horizontal-relative:page;mso-position-vertical-relative:page;z-index:-1031464" coordorigin="8251,9274" coordsize="795,353">
            <v:shape style="position:absolute;left:8251;top:9274;width:795;height:353" coordorigin="8251,9274" coordsize="795,353" path="m8251,9627l9046,9627,9046,9274,8251,9274,8251,96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3687"/>
        <w:gridCol w:w="850"/>
        <w:gridCol w:w="851"/>
        <w:gridCol w:w="779"/>
      </w:tblGrid>
      <w:tr>
        <w:trPr>
          <w:trHeight w:val="161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取有效措施解决（</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）如本人或相关企业违反本</w:t>
            </w:r>
            <w:r>
              <w:rPr>
                <w:rFonts w:ascii="宋体" w:hAnsi="宋体" w:cs="宋体" w:eastAsia="宋体" w:hint="default"/>
                <w:sz w:val="18"/>
                <w:szCs w:val="18"/>
              </w:rPr>
              <w:t> 承诺函，应负责赔偿上市公司及其子公司因同 业竞争行为而导致的损失，并且本人及相关企 业从事与上市公司及其子公司竞争业务所产生 的全部收益均归上市公司所有。</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27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1" w:right="95"/>
              <w:jc w:val="both"/>
              <w:rPr>
                <w:rFonts w:ascii="宋体" w:hAnsi="宋体" w:cs="宋体" w:eastAsia="宋体" w:hint="default"/>
                <w:sz w:val="18"/>
                <w:szCs w:val="18"/>
              </w:rPr>
            </w:pPr>
            <w:r>
              <w:rPr>
                <w:rFonts w:ascii="宋体" w:hAnsi="宋体" w:cs="宋体" w:eastAsia="宋体" w:hint="default"/>
                <w:sz w:val="18"/>
                <w:szCs w:val="18"/>
              </w:rPr>
              <w:t>于同业竞 争、关联 交易、资 金占用方 面的承诺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减少和规范关联交易的承诺：尽量避免或减少 实际控制人、控股股东所控制的其他子公司、 分公司、合营或联营公司与上市公司及其子公 司之间发生关联交易。不利用实际控制和股东 地位及影响谋求上市公司在业务合作等方面给 予优于市场第三方的权利。不利用实际控制和 股东地位及影响谋求与上市公司达成交易的优 先权利。将以市场公允价格与上市公司进行交 易，不利用该类交易从事任何损害公司利益的 行为。就实际控制人、控股股东及其下属子公 司与公司之间将来可能发生的关联交易，将督 促公司履行合法决策程序，按照《深圳证券交 易所股票上市规则》和公司章程的相关要求及 时详细进行信息披露；对于正常商业项目合作 均严格按照市场经济原则，采用公开招标或者 市场定价等方式。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4"/>
              <w:jc w:val="left"/>
              <w:rPr>
                <w:rFonts w:ascii="宋体" w:hAnsi="宋体" w:cs="宋体" w:eastAsia="宋体" w:hint="default"/>
                <w:sz w:val="18"/>
                <w:szCs w:val="18"/>
              </w:rPr>
            </w:pPr>
            <w:r>
              <w:rPr>
                <w:rFonts w:ascii="宋体" w:hAnsi="宋体" w:cs="宋体" w:eastAsia="宋体" w:hint="default"/>
                <w:sz w:val="18"/>
                <w:szCs w:val="18"/>
              </w:rPr>
              <w:t>正在履 行，目前 没有违反 承诺的行 为。</w:t>
            </w:r>
          </w:p>
        </w:tc>
      </w:tr>
      <w:tr>
        <w:trPr>
          <w:trHeight w:val="2274" w:hRule="exact"/>
        </w:trPr>
        <w:tc>
          <w:tcPr>
            <w:tcW w:w="1276"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保证上市公司独立性的承诺：人员独立；资产 </w:t>
            </w:r>
            <w:r>
              <w:rPr>
                <w:rFonts w:ascii="宋体" w:hAnsi="宋体" w:cs="宋体" w:eastAsia="宋体" w:hint="default"/>
                <w:spacing w:val="-5"/>
                <w:sz w:val="18"/>
                <w:szCs w:val="18"/>
              </w:rPr>
              <w:t>独立、完整；机构独立；业务独立；财务独立。</w:t>
            </w:r>
            <w:r>
              <w:rPr>
                <w:rFonts w:ascii="宋体" w:hAnsi="宋体" w:cs="宋体" w:eastAsia="宋体" w:hint="default"/>
                <w:sz w:val="18"/>
                <w:szCs w:val="18"/>
              </w:rPr>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z w:val="18"/>
                <w:szCs w:val="18"/>
              </w:rPr>
              <w:t>正在履 行，目前 没有违反 承诺的行 为。</w:t>
            </w:r>
          </w:p>
        </w:tc>
      </w:tr>
      <w:tr>
        <w:trPr>
          <w:trHeight w:val="414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名一致行动 </w:t>
            </w:r>
            <w:r>
              <w:rPr>
                <w:rFonts w:ascii="宋体" w:hAnsi="宋体" w:cs="宋体" w:eastAsia="宋体" w:hint="default"/>
                <w:spacing w:val="-6"/>
                <w:sz w:val="18"/>
                <w:szCs w:val="18"/>
              </w:rPr>
              <w:t>人：廖道训、吴</w:t>
            </w:r>
            <w:r>
              <w:rPr>
                <w:rFonts w:ascii="宋体" w:hAnsi="宋体" w:cs="宋体" w:eastAsia="宋体" w:hint="default"/>
                <w:sz w:val="18"/>
                <w:szCs w:val="18"/>
              </w:rPr>
              <w:t> 玉瑞、吴春红、 柴继军、姜海 </w:t>
            </w:r>
            <w:r>
              <w:rPr>
                <w:rFonts w:ascii="宋体" w:hAnsi="宋体" w:cs="宋体" w:eastAsia="宋体" w:hint="default"/>
                <w:spacing w:val="-6"/>
                <w:sz w:val="18"/>
                <w:szCs w:val="18"/>
              </w:rPr>
              <w:t>林、陈智华、袁</w:t>
            </w:r>
            <w:r>
              <w:rPr>
                <w:rFonts w:ascii="宋体" w:hAnsi="宋体" w:cs="宋体" w:eastAsia="宋体" w:hint="default"/>
                <w:sz w:val="18"/>
                <w:szCs w:val="18"/>
              </w:rPr>
              <w:t> </w:t>
            </w:r>
            <w:r>
              <w:rPr>
                <w:rFonts w:ascii="宋体" w:hAnsi="宋体" w:cs="宋体" w:eastAsia="宋体" w:hint="default"/>
                <w:spacing w:val="-6"/>
                <w:sz w:val="18"/>
                <w:szCs w:val="18"/>
              </w:rPr>
              <w:t>闯、李学凌、高</w:t>
            </w:r>
            <w:r>
              <w:rPr>
                <w:rFonts w:ascii="宋体" w:hAnsi="宋体" w:cs="宋体" w:eastAsia="宋体" w:hint="default"/>
                <w:sz w:val="18"/>
                <w:szCs w:val="18"/>
              </w:rPr>
              <w:t> 玮、梁世平</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6"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2" w:right="21"/>
              <w:jc w:val="both"/>
              <w:rPr>
                <w:rFonts w:ascii="宋体" w:hAnsi="宋体" w:cs="宋体" w:eastAsia="宋体" w:hint="default"/>
                <w:sz w:val="18"/>
                <w:szCs w:val="18"/>
              </w:rPr>
            </w:pPr>
            <w:r>
              <w:rPr>
                <w:rFonts w:ascii="宋体" w:hAnsi="宋体" w:cs="宋体" w:eastAsia="宋体" w:hint="default"/>
                <w:sz w:val="18"/>
                <w:szCs w:val="18"/>
              </w:rPr>
              <w:t>针对标的资产评估假设不能实现时的承诺：华 盖创意、汉华易美的高新技术企业认证到期后 </w:t>
            </w:r>
            <w:r>
              <w:rPr>
                <w:rFonts w:ascii="宋体" w:hAnsi="宋体" w:cs="宋体" w:eastAsia="宋体" w:hint="default"/>
                <w:spacing w:val="-9"/>
                <w:sz w:val="18"/>
                <w:szCs w:val="18"/>
              </w:rPr>
              <w:t>如未能继续取得，或与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Getty</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的采购合同在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年到期后无法完成续签工作，廖道训等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名一</w:t>
            </w:r>
            <w:r>
              <w:rPr>
                <w:rFonts w:ascii="宋体" w:hAnsi="宋体" w:cs="宋体" w:eastAsia="宋体" w:hint="default"/>
                <w:spacing w:val="1"/>
                <w:sz w:val="18"/>
                <w:szCs w:val="18"/>
              </w:rPr>
              <w:t> </w:t>
            </w:r>
            <w:r>
              <w:rPr>
                <w:rFonts w:ascii="宋体" w:hAnsi="宋体" w:cs="宋体" w:eastAsia="宋体" w:hint="default"/>
                <w:sz w:val="18"/>
                <w:szCs w:val="18"/>
              </w:rPr>
              <w:t>致行动人将聘请专业机构就上述事项对上市公</w:t>
            </w:r>
            <w:r>
              <w:rPr>
                <w:rFonts w:ascii="宋体" w:hAnsi="宋体" w:cs="宋体" w:eastAsia="宋体" w:hint="default"/>
                <w:sz w:val="18"/>
                <w:szCs w:val="18"/>
              </w:rPr>
              <w:t> 司的影响进行测算，并就因上述事项带来的损 失对上市公司进行补偿。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正在履 行，华盖 创意、汉 华易美分 别通过其 全资子公 司取得</w:t>
            </w:r>
          </w:p>
          <w:p>
            <w:pPr>
              <w:pStyle w:val="TableParagraph"/>
              <w:spacing w:line="319" w:lineRule="auto" w:before="19"/>
              <w:ind w:left="22" w:right="22"/>
              <w:jc w:val="both"/>
              <w:rPr>
                <w:rFonts w:ascii="宋体" w:hAnsi="宋体" w:cs="宋体" w:eastAsia="宋体" w:hint="default"/>
                <w:sz w:val="18"/>
                <w:szCs w:val="18"/>
              </w:rPr>
            </w:pPr>
            <w:r>
              <w:rPr>
                <w:rFonts w:ascii="宋体" w:hAnsi="宋体" w:cs="宋体" w:eastAsia="宋体" w:hint="default"/>
                <w:sz w:val="18"/>
                <w:szCs w:val="18"/>
              </w:rPr>
              <w:t>《高新技 术企业证 </w:t>
            </w:r>
            <w:r>
              <w:rPr>
                <w:rFonts w:ascii="宋体" w:hAnsi="宋体" w:cs="宋体" w:eastAsia="宋体" w:hint="default"/>
                <w:spacing w:val="-36"/>
                <w:sz w:val="18"/>
                <w:szCs w:val="18"/>
              </w:rPr>
              <w:t>书》，目前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没有违反 承诺的行 为。</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首次公开发行 或再融资时所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股东柴继军、吴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春红、廖道训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99"/>
              <w:jc w:val="left"/>
              <w:rPr>
                <w:rFonts w:ascii="宋体" w:hAnsi="宋体" w:cs="宋体" w:eastAsia="宋体" w:hint="default"/>
                <w:sz w:val="18"/>
                <w:szCs w:val="18"/>
              </w:rPr>
            </w:pPr>
            <w:r>
              <w:rPr>
                <w:rFonts w:ascii="宋体" w:hAnsi="宋体" w:cs="宋体" w:eastAsia="宋体" w:hint="default"/>
                <w:sz w:val="18"/>
                <w:szCs w:val="18"/>
              </w:rPr>
              <w:t>本人与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视觉中国特定多客户资产管 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的其他委托人均为视觉中国的实际控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z w:val="18"/>
                <w:szCs w:val="18"/>
              </w:rPr>
              <w:t>正常履 行。已经</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3687"/>
        <w:gridCol w:w="850"/>
        <w:gridCol w:w="851"/>
        <w:gridCol w:w="779"/>
      </w:tblGrid>
      <w:tr>
        <w:trPr>
          <w:trHeight w:val="2859"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制人，依照《上市公司收购管理办法》第八十 三条等有关法规和视觉中国章程的规定，在视 觉中国的实际控制人履行重大权益变动信息披 露、要约收购等法定义务时，视觉中国的实际 控制人与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视觉中国特定多客户资产 </w:t>
            </w:r>
            <w:r>
              <w:rPr>
                <w:rFonts w:ascii="宋体" w:hAnsi="宋体" w:cs="宋体" w:eastAsia="宋体" w:hint="default"/>
                <w:spacing w:val="-3"/>
                <w:sz w:val="18"/>
                <w:szCs w:val="18"/>
              </w:rPr>
              <w:t>管理计划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为一致行动人，视觉中国实际控制人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直接持有的视觉中国股票数量与</w:t>
            </w:r>
            <w:r>
              <w:rPr>
                <w:rFonts w:ascii="Times New Roman" w:hAnsi="Times New Roman" w:cs="Times New Roman" w:eastAsia="Times New Roman" w:hint="default"/>
                <w:sz w:val="18"/>
                <w:szCs w:val="18"/>
              </w:rPr>
              <w:t>"</w:t>
            </w:r>
            <w:r>
              <w:rPr>
                <w:rFonts w:ascii="宋体" w:hAnsi="宋体" w:cs="宋体" w:eastAsia="宋体" w:hint="default"/>
                <w:sz w:val="18"/>
                <w:szCs w:val="18"/>
              </w:rPr>
              <w:t>华泰柏瑞</w:t>
            </w:r>
            <w:r>
              <w:rPr>
                <w:rFonts w:ascii="Times New Roman" w:hAnsi="Times New Roman" w:cs="Times New Roman" w:eastAsia="Times New Roman" w:hint="default"/>
                <w:sz w:val="18"/>
                <w:szCs w:val="18"/>
              </w:rPr>
              <w:t>-</w:t>
            </w:r>
            <w:r>
              <w:rPr>
                <w:rFonts w:ascii="宋体" w:hAnsi="宋体" w:cs="宋体" w:eastAsia="宋体" w:hint="default"/>
                <w:sz w:val="18"/>
                <w:szCs w:val="18"/>
              </w:rPr>
              <w:t>视 觉中国特定多客户资产管理计划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持有的视觉 中国股票数量将合并计算。</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告知常年 法律顾 问，并将 在股东大 会投票时 计算。</w:t>
            </w:r>
          </w:p>
        </w:tc>
      </w:tr>
      <w:tr>
        <w:trPr>
          <w:trHeight w:val="539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常州产业投资 集团有限公司、 江苏武进国经 投资发展有限 </w:t>
            </w:r>
            <w:r>
              <w:rPr>
                <w:rFonts w:ascii="宋体" w:hAnsi="宋体" w:cs="宋体" w:eastAsia="宋体" w:hint="default"/>
                <w:spacing w:val="-6"/>
                <w:sz w:val="18"/>
                <w:szCs w:val="18"/>
              </w:rPr>
              <w:t>公司、江苏慧德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科技发展有限 </w:t>
            </w:r>
            <w:r>
              <w:rPr>
                <w:rFonts w:ascii="宋体" w:hAnsi="宋体" w:cs="宋体" w:eastAsia="宋体" w:hint="default"/>
                <w:spacing w:val="-6"/>
                <w:sz w:val="18"/>
                <w:szCs w:val="18"/>
              </w:rPr>
              <w:t>公司、东方证券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股份有限公司、 华泰柏瑞基金</w:t>
            </w:r>
            <w:r>
              <w:rPr>
                <w:rFonts w:ascii="Times New Roman" w:hAnsi="Times New Roman" w:cs="Times New Roman" w:eastAsia="Times New Roman" w:hint="default"/>
                <w:sz w:val="18"/>
                <w:szCs w:val="18"/>
              </w:rPr>
              <w:t>- </w:t>
            </w:r>
            <w:r>
              <w:rPr>
                <w:rFonts w:ascii="宋体" w:hAnsi="宋体" w:cs="宋体" w:eastAsia="宋体" w:hint="default"/>
                <w:sz w:val="18"/>
                <w:szCs w:val="18"/>
              </w:rPr>
              <w:t>上海银行</w:t>
            </w:r>
            <w:r>
              <w:rPr>
                <w:rFonts w:ascii="Times New Roman" w:hAnsi="Times New Roman" w:cs="Times New Roman" w:eastAsia="Times New Roman" w:hint="default"/>
                <w:sz w:val="18"/>
                <w:szCs w:val="18"/>
              </w:rPr>
              <w:t>-</w:t>
            </w:r>
            <w:r>
              <w:rPr>
                <w:rFonts w:ascii="宋体" w:hAnsi="宋体" w:cs="宋体" w:eastAsia="宋体" w:hint="default"/>
                <w:sz w:val="18"/>
                <w:szCs w:val="18"/>
              </w:rPr>
              <w:t>东方 证券</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视觉中国 特定多客户资 </w:t>
            </w:r>
            <w:r>
              <w:rPr>
                <w:rFonts w:ascii="宋体" w:hAnsi="宋体" w:cs="宋体" w:eastAsia="宋体" w:hint="default"/>
                <w:spacing w:val="-6"/>
                <w:sz w:val="18"/>
                <w:szCs w:val="18"/>
              </w:rPr>
              <w:t>产管理计划、华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泰柏瑞基金</w:t>
            </w:r>
            <w:r>
              <w:rPr>
                <w:rFonts w:ascii="Times New Roman" w:hAnsi="Times New Roman" w:cs="Times New Roman" w:eastAsia="Times New Roman" w:hint="default"/>
                <w:sz w:val="18"/>
                <w:szCs w:val="18"/>
              </w:rPr>
              <w:t>-</w:t>
            </w:r>
            <w:r>
              <w:rPr>
                <w:rFonts w:ascii="宋体" w:hAnsi="宋体" w:cs="宋体" w:eastAsia="宋体" w:hint="default"/>
                <w:sz w:val="18"/>
                <w:szCs w:val="18"/>
              </w:rPr>
              <w:t>上 海银行</w:t>
            </w:r>
            <w:r>
              <w:rPr>
                <w:rFonts w:ascii="Times New Roman" w:hAnsi="Times New Roman" w:cs="Times New Roman" w:eastAsia="Times New Roman" w:hint="default"/>
                <w:sz w:val="18"/>
                <w:szCs w:val="18"/>
              </w:rPr>
              <w:t>-</w:t>
            </w:r>
            <w:r>
              <w:rPr>
                <w:rFonts w:ascii="宋体" w:hAnsi="宋体" w:cs="宋体" w:eastAsia="宋体" w:hint="default"/>
                <w:sz w:val="18"/>
                <w:szCs w:val="18"/>
              </w:rPr>
              <w:t>视觉中 国特定多客户 资产管理计划</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6"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52"/>
              <w:jc w:val="left"/>
              <w:rPr>
                <w:rFonts w:ascii="宋体" w:hAnsi="宋体" w:cs="宋体" w:eastAsia="宋体" w:hint="default"/>
                <w:sz w:val="18"/>
                <w:szCs w:val="18"/>
              </w:rPr>
            </w:pPr>
            <w:r>
              <w:rPr>
                <w:rFonts w:ascii="宋体" w:hAnsi="宋体" w:cs="宋体" w:eastAsia="宋体" w:hint="default"/>
                <w:sz w:val="18"/>
                <w:szCs w:val="18"/>
              </w:rPr>
              <w:t>所有特定对象认购本次发行的股份自发行结束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4"/>
              <w:jc w:val="left"/>
              <w:rPr>
                <w:rFonts w:ascii="宋体" w:hAnsi="宋体" w:cs="宋体" w:eastAsia="宋体" w:hint="default"/>
                <w:sz w:val="18"/>
                <w:szCs w:val="18"/>
              </w:rPr>
            </w:pPr>
            <w:r>
              <w:rPr>
                <w:rFonts w:ascii="宋体" w:hAnsi="宋体" w:cs="宋体" w:eastAsia="宋体" w:hint="default"/>
                <w:sz w:val="18"/>
                <w:szCs w:val="18"/>
              </w:rPr>
              <w:t>已通过中 国结算进 行股份锁 定，待到 期前解 锁。</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127.879997pt;margin-top:110.219986pt;width:47.65pt;height:39.050pt;mso-position-horizontal-relative:page;mso-position-vertical-relative:page;z-index:-1031440" coordorigin="2558,2204" coordsize="953,781">
            <v:shape style="position:absolute;left:2558;top:2204;width:953;height:781" coordorigin="2558,2204" coordsize="953,781" path="m2558,2985l3510,2985,3510,2204,2558,2204,2558,298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19"/>
        <w:gridCol w:w="962"/>
        <w:gridCol w:w="918"/>
        <w:gridCol w:w="1181"/>
        <w:gridCol w:w="1180"/>
        <w:gridCol w:w="1180"/>
        <w:gridCol w:w="1018"/>
        <w:gridCol w:w="1642"/>
      </w:tblGrid>
      <w:tr>
        <w:trPr>
          <w:trHeight w:val="74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343" w:right="75" w:hanging="270"/>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206" w:right="204"/>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183" w:right="182"/>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143" w:right="143" w:firstLine="90"/>
              <w:jc w:val="left"/>
              <w:rPr>
                <w:rFonts w:ascii="宋体" w:hAnsi="宋体" w:cs="宋体" w:eastAsia="宋体" w:hint="default"/>
                <w:sz w:val="18"/>
                <w:szCs w:val="18"/>
              </w:rPr>
            </w:pPr>
            <w:r>
              <w:rPr>
                <w:rFonts w:ascii="宋体" w:hAnsi="宋体" w:cs="宋体" w:eastAsia="宋体" w:hint="default"/>
                <w:sz w:val="18"/>
                <w:szCs w:val="18"/>
              </w:rPr>
              <w:t>原预测 披露日期</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456" w:right="455" w:firstLine="90"/>
              <w:jc w:val="left"/>
              <w:rPr>
                <w:rFonts w:ascii="宋体" w:hAnsi="宋体" w:cs="宋体" w:eastAsia="宋体" w:hint="default"/>
                <w:sz w:val="18"/>
                <w:szCs w:val="18"/>
              </w:rPr>
            </w:pPr>
            <w:r>
              <w:rPr>
                <w:rFonts w:ascii="宋体" w:hAnsi="宋体" w:cs="宋体" w:eastAsia="宋体" w:hint="default"/>
                <w:sz w:val="18"/>
                <w:szCs w:val="18"/>
              </w:rPr>
              <w:t>原预测 披露索引</w:t>
            </w:r>
          </w:p>
        </w:tc>
      </w:tr>
      <w:tr>
        <w:trPr>
          <w:trHeight w:val="2279" w:hRule="exact"/>
        </w:trPr>
        <w:tc>
          <w:tcPr>
            <w:tcW w:w="1419" w:type="dxa"/>
            <w:tcBorders>
              <w:top w:val="single" w:sz="12" w:space="0" w:color="D2D2D2"/>
              <w:left w:val="single" w:sz="4" w:space="0" w:color="000000"/>
              <w:bottom w:val="single" w:sz="4" w:space="0" w:color="000000"/>
              <w:right w:val="single" w:sz="4" w:space="0" w:color="000000"/>
            </w:tcBorders>
          </w:tcPr>
          <w:p>
            <w:pPr>
              <w:pStyle w:val="TableParagraph"/>
              <w:spacing w:line="316" w:lineRule="auto" w:before="47"/>
              <w:ind w:left="22" w:right="124"/>
              <w:jc w:val="both"/>
              <w:rPr>
                <w:rFonts w:ascii="宋体" w:hAnsi="宋体" w:cs="宋体" w:eastAsia="宋体" w:hint="default"/>
                <w:sz w:val="18"/>
                <w:szCs w:val="18"/>
              </w:rPr>
            </w:pPr>
            <w:r>
              <w:rPr>
                <w:rFonts w:ascii="宋体" w:hAnsi="宋体" w:cs="宋体" w:eastAsia="宋体" w:hint="default"/>
                <w:sz w:val="18"/>
                <w:szCs w:val="18"/>
              </w:rPr>
              <w:t>华夏视觉（北京 图像技术有限公 司及北京汉华易 美图片有限公司</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（为公司全资子 </w:t>
            </w:r>
            <w:r>
              <w:rPr>
                <w:rFonts w:ascii="宋体" w:hAnsi="宋体" w:cs="宋体" w:eastAsia="宋体" w:hint="default"/>
                <w:spacing w:val="-10"/>
                <w:sz w:val="18"/>
                <w:szCs w:val="18"/>
              </w:rPr>
              <w:t>公司，重组业绩承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27,741</w:t>
            </w:r>
          </w:p>
        </w:tc>
        <w:tc>
          <w:tcPr>
            <w:tcW w:w="11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30,877</w:t>
            </w:r>
          </w:p>
        </w:tc>
        <w:tc>
          <w:tcPr>
            <w:tcW w:w="11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4"/>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《远东实业股份有 限公司关于重大资 产重组相关方承诺 </w:t>
            </w:r>
            <w:r>
              <w:rPr>
                <w:rFonts w:ascii="宋体" w:hAnsi="宋体" w:cs="宋体" w:eastAsia="宋体" w:hint="default"/>
                <w:spacing w:val="-4"/>
                <w:sz w:val="18"/>
                <w:szCs w:val="18"/>
              </w:rPr>
              <w:t>情况的公告》公告编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2014-015</w:t>
            </w: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湖北司马彦文化 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《关于收购湖北司 马彦文化科技有限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股权的公 告》公告编号</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sz w:val="18"/>
              </w:rPr>
              <w:t>2015-082</w:t>
            </w: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5"/>
              <w:jc w:val="left"/>
              <w:rPr>
                <w:rFonts w:ascii="宋体" w:hAnsi="宋体" w:cs="宋体" w:eastAsia="宋体" w:hint="default"/>
                <w:sz w:val="18"/>
                <w:szCs w:val="18"/>
              </w:rPr>
            </w:pPr>
            <w:r>
              <w:rPr>
                <w:rFonts w:ascii="宋体" w:hAnsi="宋体" w:cs="宋体" w:eastAsia="宋体" w:hint="default"/>
                <w:sz w:val="18"/>
                <w:szCs w:val="18"/>
              </w:rPr>
              <w:t>上海卓越形象广 告传播有限公司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1,585.1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2,486.51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《关于收购上海卓 越形象广告传播有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 公告》公告编号</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sz w:val="18"/>
              </w:rPr>
              <w:t>2015-101</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亿迅资产组</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3,391.69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3,393.29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《第八届董事会第 四次会议决议公告》 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2015-081</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4"/>
              <w:jc w:val="left"/>
              <w:rPr>
                <w:rFonts w:ascii="宋体" w:hAnsi="宋体" w:cs="宋体" w:eastAsia="宋体" w:hint="default"/>
                <w:sz w:val="18"/>
                <w:szCs w:val="18"/>
              </w:rPr>
            </w:pPr>
            <w:r>
              <w:rPr>
                <w:rFonts w:ascii="宋体" w:hAnsi="宋体" w:cs="宋体" w:eastAsia="宋体" w:hint="default"/>
                <w:sz w:val="18"/>
                <w:szCs w:val="18"/>
              </w:rPr>
              <w:t>广东易教优培教 育科技有限公司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7"/>
              <w:jc w:val="both"/>
              <w:rPr>
                <w:rFonts w:ascii="宋体" w:hAnsi="宋体" w:cs="宋体" w:eastAsia="宋体" w:hint="default"/>
                <w:sz w:val="18"/>
                <w:szCs w:val="18"/>
              </w:rPr>
            </w:pPr>
            <w:r>
              <w:rPr>
                <w:rFonts w:ascii="宋体" w:hAnsi="宋体" w:cs="宋体" w:eastAsia="宋体" w:hint="default"/>
                <w:sz w:val="18"/>
                <w:szCs w:val="18"/>
              </w:rPr>
              <w:t>《第八届董事会第 二十七次会议决议 公告》公告编号</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2017-030</w:t>
            </w:r>
          </w:p>
        </w:tc>
      </w:tr>
    </w:tbl>
    <w:p>
      <w:pPr>
        <w:pStyle w:val="BodyText"/>
        <w:spacing w:line="240" w:lineRule="auto" w:before="51"/>
        <w:ind w:left="154" w:right="0"/>
        <w:jc w:val="left"/>
      </w:pPr>
      <w:r>
        <w:rPr/>
        <w:t>公司股东、交易对手方在报告年度经营业绩做出的承诺情况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详见与本公告同时披露的《关于</w:t>
      </w:r>
      <w:r>
        <w:rPr>
          <w:rFonts w:ascii="Times New Roman" w:hAnsi="Times New Roman" w:cs="Times New Roman" w:eastAsia="Times New Roman" w:hint="default"/>
          <w:spacing w:val="-2"/>
        </w:rPr>
        <w:t>2017</w:t>
      </w:r>
      <w:r>
        <w:rPr>
          <w:spacing w:val="-2"/>
        </w:rPr>
        <w:t>年度重大资产重组之盈利预测实现情况的专项说明》、《上海卓越形象广告传播有限公</w:t>
      </w:r>
      <w:r>
        <w:rPr>
          <w:spacing w:val="-61"/>
        </w:rPr>
        <w:t> </w:t>
      </w:r>
      <w:r>
        <w:rPr>
          <w:spacing w:val="-61"/>
        </w:rPr>
      </w:r>
      <w:r>
        <w:rPr>
          <w:spacing w:val="-2"/>
        </w:rPr>
        <w:t>司盈利预测实现情况的专项审核报告》、《湖北司马彦文化科技有限公司盈利预测实现情况的专项审核报告》、《亿迅信息</w:t>
      </w:r>
    </w:p>
    <w:p>
      <w:pPr>
        <w:pStyle w:val="BodyText"/>
        <w:spacing w:line="300" w:lineRule="auto" w:before="17"/>
        <w:ind w:right="1127"/>
        <w:jc w:val="left"/>
      </w:pPr>
      <w:r>
        <w:rPr/>
        <w:t>技术有限公司、宝东信息技术有限公司、</w:t>
      </w:r>
      <w:r>
        <w:rPr>
          <w:rFonts w:ascii="Times New Roman" w:hAnsi="Times New Roman" w:cs="Times New Roman" w:eastAsia="Times New Roman" w:hint="default"/>
        </w:rPr>
        <w:t>eSOON</w:t>
      </w:r>
      <w:r>
        <w:rPr>
          <w:rFonts w:ascii="Times New Roman" w:hAnsi="Times New Roman" w:cs="Times New Roman" w:eastAsia="Times New Roman" w:hint="default"/>
          <w:spacing w:val="-1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4"/>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13"/>
        </w:rPr>
        <w:t> </w:t>
      </w:r>
      <w:r>
        <w:rPr>
          <w:rFonts w:ascii="Times New Roman" w:hAnsi="Times New Roman" w:cs="Times New Roman" w:eastAsia="Times New Roman" w:hint="default"/>
        </w:rPr>
        <w:t>ChinaLimited</w:t>
      </w:r>
      <w:r>
        <w:rPr/>
        <w:t>、</w:t>
      </w:r>
      <w:r>
        <w:rPr>
          <w:rFonts w:ascii="Times New Roman" w:hAnsi="Times New Roman" w:cs="Times New Roman" w:eastAsia="Times New Roman" w:hint="default"/>
        </w:rPr>
        <w:t>DataTool</w:t>
      </w:r>
      <w:r>
        <w:rPr>
          <w:rFonts w:ascii="Times New Roman" w:hAnsi="Times New Roman" w:cs="Times New Roman" w:eastAsia="Times New Roman" w:hint="default"/>
          <w:spacing w:val="-14"/>
        </w:rPr>
        <w:t> </w:t>
      </w:r>
      <w:r>
        <w:rPr>
          <w:rFonts w:ascii="Times New Roman" w:hAnsi="Times New Roman" w:cs="Times New Roman" w:eastAsia="Times New Roman" w:hint="default"/>
        </w:rPr>
        <w:t>Hong</w:t>
      </w:r>
      <w:r>
        <w:rPr>
          <w:rFonts w:ascii="Times New Roman" w:hAnsi="Times New Roman" w:cs="Times New Roman" w:eastAsia="Times New Roman" w:hint="default"/>
          <w:spacing w:val="-13"/>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盈利预 测实现情况的专项审核报告》、《广东易教优培教育科技有限公司盈利预测实现情况的专项审核报告》。</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51"/>
        <w:ind w:left="633" w:right="0"/>
        <w:jc w:val="left"/>
        <w:rPr>
          <w:b w:val="0"/>
          <w:bCs w:val="0"/>
        </w:rPr>
      </w:pPr>
      <w:r>
        <w:rPr>
          <w:rFonts w:ascii="宋体" w:hAnsi="宋体" w:cs="宋体" w:eastAsia="宋体" w:hint="default"/>
        </w:rPr>
        <w:t>1</w:t>
      </w:r>
      <w:r>
        <w:rPr/>
        <w:t>、会计政策变更概述</w:t>
      </w:r>
      <w:r>
        <w:rPr>
          <w:b w:val="0"/>
          <w:bCs w:val="0"/>
        </w:rPr>
      </w:r>
    </w:p>
    <w:p>
      <w:pPr>
        <w:pStyle w:val="BodyText"/>
        <w:spacing w:line="240" w:lineRule="auto" w:before="48"/>
        <w:ind w:left="633" w:right="0"/>
        <w:jc w:val="left"/>
      </w:pPr>
      <w:r>
        <w:rPr/>
        <w:t>（</w:t>
      </w:r>
      <w:r>
        <w:rPr>
          <w:rFonts w:ascii="Times New Roman" w:hAnsi="Times New Roman" w:cs="Times New Roman" w:eastAsia="Times New Roman" w:hint="default"/>
        </w:rPr>
        <w:t>1</w:t>
      </w:r>
      <w:r>
        <w:rPr/>
        <w:t>）变更原因</w:t>
      </w:r>
    </w:p>
    <w:p>
      <w:pPr>
        <w:pStyle w:val="BodyText"/>
        <w:spacing w:line="300" w:lineRule="auto" w:before="63"/>
        <w:ind w:right="1128"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日，财政部下发了《关于印发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 </w:t>
      </w:r>
      <w:r>
        <w:rPr>
          <w:spacing w:val="-5"/>
        </w:rPr>
        <w:t>通知》（财会〔</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13</w:t>
      </w:r>
      <w:r>
        <w:rPr>
          <w:spacing w:val="-5"/>
        </w:rPr>
        <w:t>号），制定了《企业会计准则第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持有待售的非流动资产、处置组和终止经营》，自</w:t>
      </w:r>
      <w:r>
        <w:rPr>
          <w:spacing w:val="1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28</w:t>
      </w:r>
      <w:r>
        <w:rPr/>
        <w:t>日起施行。</w:t>
      </w:r>
    </w:p>
    <w:p>
      <w:pPr>
        <w:pStyle w:val="BodyText"/>
        <w:spacing w:line="300" w:lineRule="auto" w:before="13"/>
        <w:ind w:right="1120" w:firstLine="480"/>
        <w:jc w:val="both"/>
      </w:pPr>
      <w:r>
        <w:rPr>
          <w:spacing w:val="7"/>
        </w:rPr>
        <w:t>国家财政部于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10 </w:t>
      </w:r>
      <w:r>
        <w:rPr>
          <w:spacing w:val="8"/>
        </w:rPr>
        <w:t>日发布了《关于印发修订</w:t>
      </w:r>
      <w:r>
        <w:rPr>
          <w:rFonts w:ascii="Times New Roman" w:hAnsi="Times New Roman" w:cs="Times New Roman" w:eastAsia="Times New Roman" w:hint="default"/>
          <w:spacing w:val="8"/>
        </w:rPr>
        <w:t>&lt;</w:t>
      </w:r>
      <w:r>
        <w:rPr>
          <w:spacing w:val="8"/>
        </w:rPr>
        <w:t>企业会计准则第</w:t>
      </w:r>
      <w:r>
        <w:rPr>
          <w:spacing w:val="9"/>
        </w:rPr>
        <w:t> </w:t>
      </w:r>
      <w:r>
        <w:rPr>
          <w:rFonts w:ascii="Times New Roman" w:hAnsi="Times New Roman" w:cs="Times New Roman" w:eastAsia="Times New Roman" w:hint="default"/>
          <w:spacing w:val="7"/>
        </w:rPr>
        <w:t>16</w:t>
      </w:r>
      <w:r>
        <w:rPr>
          <w:spacing w:val="7"/>
        </w:rPr>
        <w:t>号</w:t>
      </w:r>
      <w:r>
        <w:rPr>
          <w:rFonts w:ascii="Times New Roman" w:hAnsi="Times New Roman" w:cs="Times New Roman" w:eastAsia="Times New Roman" w:hint="default"/>
          <w:spacing w:val="7"/>
        </w:rPr>
        <w:t>——</w:t>
      </w:r>
      <w:r>
        <w:rPr>
          <w:spacing w:val="7"/>
        </w:rPr>
        <w:t>政府补助</w:t>
      </w:r>
      <w:r>
        <w:rPr>
          <w:rFonts w:ascii="Times New Roman" w:hAnsi="Times New Roman" w:cs="Times New Roman" w:eastAsia="Times New Roman" w:hint="default"/>
          <w:spacing w:val="7"/>
        </w:rPr>
        <w:t>&gt;</w:t>
      </w:r>
      <w:r>
        <w:rPr>
          <w:spacing w:val="7"/>
        </w:rPr>
        <w:t>的通知》</w:t>
      </w:r>
      <w:r>
        <w:rPr>
          <w:rFonts w:ascii="Times New Roman" w:hAnsi="Times New Roman" w:cs="Times New Roman" w:eastAsia="Times New Roman" w:hint="default"/>
          <w:spacing w:val="7"/>
        </w:rPr>
        <w:t>(</w:t>
      </w:r>
      <w:r>
        <w:rPr>
          <w:spacing w:val="7"/>
        </w:rPr>
        <w:t>财会</w:t>
      </w:r>
      <w:r>
        <w:rPr>
          <w:spacing w:val="10"/>
        </w:rPr>
        <w:t> </w:t>
      </w:r>
      <w:r>
        <w:rPr>
          <w:rFonts w:ascii="Times New Roman" w:hAnsi="Times New Roman" w:cs="Times New Roman" w:eastAsia="Times New Roman" w:hint="default"/>
        </w:rPr>
        <w:t>[2017]15 </w:t>
      </w:r>
      <w:r>
        <w:rPr/>
        <w:t>号</w:t>
      </w:r>
      <w:r>
        <w:rPr>
          <w:rFonts w:ascii="Times New Roman" w:hAnsi="Times New Roman" w:cs="Times New Roman" w:eastAsia="Times New Roman" w:hint="default"/>
        </w:rPr>
        <w:t>),</w:t>
      </w:r>
      <w:r>
        <w:rPr/>
        <w:t>对《企业会计准则第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政府补助》进行了修订，自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40"/>
        </w:rPr>
        <w:t> </w:t>
      </w:r>
      <w:r>
        <w:rPr/>
        <w:t>日起施行。由于上述会计准则 的颁布，公司需对会计政策进行相应变更，并按规定的起始日执行上述会计准则。</w:t>
      </w:r>
    </w:p>
    <w:p>
      <w:pPr>
        <w:pStyle w:val="BodyText"/>
        <w:spacing w:line="300" w:lineRule="auto" w:before="31"/>
        <w:ind w:right="1130" w:firstLine="48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日，财政部下发了《关于修订印发一般企业财务报表格式的通知》（财会〔</w:t>
      </w:r>
      <w:r>
        <w:rPr>
          <w:rFonts w:ascii="Times New Roman" w:hAnsi="Times New Roman" w:cs="Times New Roman" w:eastAsia="Times New Roman" w:hint="default"/>
          <w:spacing w:val="-4"/>
        </w:rPr>
        <w:t>2017</w:t>
      </w:r>
      <w:r>
        <w:rPr>
          <w:spacing w:val="-4"/>
        </w:rPr>
        <w:t>〕</w:t>
      </w:r>
      <w:r>
        <w:rPr>
          <w:rFonts w:ascii="Times New Roman" w:hAnsi="Times New Roman" w:cs="Times New Roman" w:eastAsia="Times New Roman" w:hint="default"/>
          <w:spacing w:val="-4"/>
        </w:rPr>
        <w:t>30</w:t>
      </w:r>
      <w:r>
        <w:rPr>
          <w:spacing w:val="-4"/>
        </w:rPr>
        <w:t>号），要求企业按照</w:t>
      </w:r>
      <w:r>
        <w:rPr/>
        <w:t> 通知要求编制</w:t>
      </w:r>
      <w:r>
        <w:rPr>
          <w:rFonts w:ascii="Times New Roman" w:hAnsi="Times New Roman" w:cs="Times New Roman" w:eastAsia="Times New Roman" w:hint="default"/>
        </w:rPr>
        <w:t>2017</w:t>
      </w:r>
      <w:r>
        <w:rPr/>
        <w:t>年度及以后期间的财务报表。</w:t>
      </w:r>
    </w:p>
    <w:p>
      <w:pPr>
        <w:pStyle w:val="BodyText"/>
        <w:spacing w:line="300" w:lineRule="auto" w:before="13"/>
        <w:ind w:left="633" w:right="4333"/>
        <w:jc w:val="left"/>
      </w:pPr>
      <w:r>
        <w:rPr/>
        <w:t>（</w:t>
      </w:r>
      <w:r>
        <w:rPr>
          <w:rFonts w:ascii="Times New Roman" w:hAnsi="Times New Roman" w:cs="Times New Roman" w:eastAsia="Times New Roman" w:hint="default"/>
        </w:rPr>
        <w:t>2</w:t>
      </w:r>
      <w:r>
        <w:rPr/>
        <w:t>）变更日期 根据前述规定，公司自上述文件规定的起始日开始执行上述企业会计准则。</w:t>
      </w:r>
    </w:p>
    <w:p>
      <w:pPr>
        <w:pStyle w:val="BodyText"/>
        <w:spacing w:line="240" w:lineRule="auto" w:before="31"/>
        <w:ind w:left="633" w:right="0"/>
        <w:jc w:val="left"/>
      </w:pPr>
      <w:r>
        <w:rPr/>
        <w:t>（</w:t>
      </w:r>
      <w:r>
        <w:rPr>
          <w:rFonts w:ascii="Times New Roman" w:hAnsi="Times New Roman" w:cs="Times New Roman" w:eastAsia="Times New Roman" w:hint="default"/>
        </w:rPr>
        <w:t>3</w:t>
      </w:r>
      <w:r>
        <w:rPr/>
        <w:t>）变更内容</w:t>
      </w:r>
    </w:p>
    <w:p>
      <w:pPr>
        <w:pStyle w:val="BodyText"/>
        <w:spacing w:line="300" w:lineRule="auto" w:before="63"/>
        <w:ind w:left="634" w:right="1092"/>
        <w:jc w:val="left"/>
      </w:pPr>
      <w:r>
        <w:rPr>
          <w:rFonts w:ascii="Times New Roman" w:hAnsi="Times New Roman" w:cs="Times New Roman" w:eastAsia="Times New Roman" w:hint="default"/>
        </w:rPr>
        <w:t>1)</w:t>
      </w:r>
      <w:r>
        <w:rPr/>
        <w:t>变更前采取的会计政策 本次变更前，公司执行财政部颁布的《企业会计准则</w:t>
      </w:r>
      <w:r>
        <w:rPr>
          <w:rFonts w:ascii="Times New Roman" w:hAnsi="Times New Roman" w:cs="Times New Roman" w:eastAsia="Times New Roman" w:hint="default"/>
        </w:rPr>
        <w:t>——</w:t>
      </w:r>
      <w:r>
        <w:rPr/>
        <w:t>基本准则》和各项具体会计准则、企业会计准则应用指南、</w:t>
      </w:r>
    </w:p>
    <w:p>
      <w:pPr>
        <w:pStyle w:val="BodyText"/>
        <w:spacing w:line="240" w:lineRule="auto" w:before="13"/>
        <w:ind w:left="154" w:right="0"/>
        <w:jc w:val="left"/>
      </w:pPr>
      <w:r>
        <w:rPr/>
        <w:t>企业会计准则解释公告以及其他相关规定。</w:t>
      </w:r>
    </w:p>
    <w:p>
      <w:pPr>
        <w:pStyle w:val="BodyText"/>
        <w:spacing w:line="300" w:lineRule="auto" w:before="76"/>
        <w:ind w:left="634" w:right="0"/>
        <w:jc w:val="left"/>
      </w:pPr>
      <w:r>
        <w:rPr>
          <w:rFonts w:ascii="Times New Roman" w:hAnsi="Times New Roman" w:cs="Times New Roman" w:eastAsia="Times New Roman" w:hint="default"/>
        </w:rPr>
        <w:t>2) </w:t>
      </w:r>
      <w:r>
        <w:rPr/>
        <w:t>变更后采取的会计政策 </w:t>
      </w:r>
      <w:r>
        <w:rPr>
          <w:spacing w:val="-3"/>
        </w:rPr>
        <w:t>本次变更后，公司持有待售的非流动资产、处置组和终止经营等相关会计处理，以及</w:t>
      </w:r>
      <w:r>
        <w:rPr>
          <w:rFonts w:ascii="Times New Roman" w:hAnsi="Times New Roman" w:cs="Times New Roman" w:eastAsia="Times New Roman" w:hint="default"/>
          <w:spacing w:val="-3"/>
        </w:rPr>
        <w:t>2017</w:t>
      </w:r>
      <w:r>
        <w:rPr>
          <w:spacing w:val="-3"/>
        </w:rPr>
        <w:t>年度及以后期间的财务报表，</w:t>
      </w:r>
    </w:p>
    <w:p>
      <w:pPr>
        <w:pStyle w:val="BodyText"/>
        <w:spacing w:line="300" w:lineRule="auto" w:before="13"/>
        <w:ind w:right="0"/>
        <w:jc w:val="left"/>
      </w:pPr>
      <w:r>
        <w:rPr>
          <w:spacing w:val="-2"/>
        </w:rPr>
        <w:t>将按照财政部发布上述文件执行。其余未变更部分仍采用财政部前期颁布的《企业会计准则</w:t>
      </w:r>
      <w:r>
        <w:rPr>
          <w:rFonts w:ascii="Times New Roman" w:hAnsi="Times New Roman" w:cs="Times New Roman" w:eastAsia="Times New Roman" w:hint="default"/>
          <w:spacing w:val="-2"/>
        </w:rPr>
        <w:t>——</w:t>
      </w:r>
      <w:r>
        <w:rPr>
          <w:spacing w:val="-2"/>
        </w:rPr>
        <w:t>基本准则》和各项具体会计</w:t>
      </w:r>
      <w:r>
        <w:rPr>
          <w:spacing w:val="-65"/>
        </w:rPr>
        <w:t> </w:t>
      </w:r>
      <w:r>
        <w:rPr>
          <w:spacing w:val="-65"/>
        </w:rPr>
      </w:r>
      <w:r>
        <w:rPr/>
        <w:t>准则、企业会计准则应用指南、企业会计准则解释公告以及其他相关规定执行。</w:t>
      </w:r>
    </w:p>
    <w:p>
      <w:pPr>
        <w:pStyle w:val="Heading2"/>
        <w:spacing w:line="296" w:lineRule="exact"/>
        <w:ind w:left="634" w:right="0"/>
        <w:jc w:val="left"/>
        <w:rPr>
          <w:b w:val="0"/>
          <w:bCs w:val="0"/>
        </w:rPr>
      </w:pPr>
      <w:r>
        <w:rPr>
          <w:rFonts w:ascii="宋体" w:hAnsi="宋体" w:cs="宋体" w:eastAsia="宋体" w:hint="default"/>
        </w:rPr>
        <w:t>2</w:t>
      </w:r>
      <w:r>
        <w:rPr/>
        <w:t>、本次会计政策变更对公司的影响</w:t>
      </w:r>
      <w:r>
        <w:rPr>
          <w:b w:val="0"/>
          <w:bCs w:val="0"/>
        </w:rPr>
      </w:r>
    </w:p>
    <w:p>
      <w:pPr>
        <w:pStyle w:val="BodyText"/>
        <w:spacing w:line="300" w:lineRule="auto" w:before="47"/>
        <w:ind w:right="1129" w:firstLine="480"/>
        <w:jc w:val="both"/>
      </w:pPr>
      <w:r>
        <w:rPr>
          <w:spacing w:val="-3"/>
        </w:rPr>
        <w:t>根据财政部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日发布的《企业会计准则第</w:t>
      </w:r>
      <w:r>
        <w:rPr>
          <w:rFonts w:ascii="Times New Roman" w:hAnsi="Times New Roman" w:cs="Times New Roman" w:eastAsia="Times New Roman" w:hint="default"/>
          <w:spacing w:val="-3"/>
        </w:rPr>
        <w:t>42</w:t>
      </w:r>
      <w:r>
        <w:rPr>
          <w:spacing w:val="-3"/>
        </w:rPr>
        <w:t>号</w:t>
      </w:r>
      <w:r>
        <w:rPr>
          <w:rFonts w:ascii="Times New Roman" w:hAnsi="Times New Roman" w:cs="Times New Roman" w:eastAsia="Times New Roman" w:hint="default"/>
          <w:spacing w:val="-3"/>
        </w:rPr>
        <w:t>——</w:t>
      </w:r>
      <w:r>
        <w:rPr>
          <w:spacing w:val="-3"/>
        </w:rPr>
        <w:t>持有待售的非流动资产、处置组和终止经营》（以下简称</w:t>
      </w:r>
      <w:r>
        <w:rPr/>
        <w:t> </w:t>
      </w:r>
      <w:r>
        <w:rPr>
          <w:rFonts w:ascii="Times New Roman" w:hAnsi="Times New Roman" w:cs="Times New Roman" w:eastAsia="Times New Roman" w:hint="default"/>
          <w:spacing w:val="-2"/>
        </w:rPr>
        <w:t>“</w:t>
      </w:r>
      <w:r>
        <w:rPr>
          <w:spacing w:val="-2"/>
        </w:rPr>
        <w:t>发布的</w:t>
      </w:r>
      <w:r>
        <w:rPr>
          <w:rFonts w:ascii="Times New Roman" w:hAnsi="Times New Roman" w:cs="Times New Roman" w:eastAsia="Times New Roman" w:hint="default"/>
          <w:spacing w:val="-2"/>
        </w:rPr>
        <w:t>42</w:t>
      </w:r>
      <w:r>
        <w:rPr>
          <w:spacing w:val="-2"/>
        </w:rPr>
        <w:t>号准则</w:t>
      </w:r>
      <w:r>
        <w:rPr>
          <w:rFonts w:ascii="Times New Roman" w:hAnsi="Times New Roman" w:cs="Times New Roman" w:eastAsia="Times New Roman" w:hint="default"/>
          <w:spacing w:val="-2"/>
        </w:rPr>
        <w:t>”</w:t>
      </w:r>
      <w:r>
        <w:rPr>
          <w:spacing w:val="-2"/>
        </w:rPr>
        <w:t>）以及财政部《关于修订印发一般企业财务报表格式的通知（财会（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号）的规定，在合并利润表</w:t>
      </w:r>
      <w:r>
        <w:rPr>
          <w:spacing w:val="-41"/>
        </w:rPr>
        <w:t> </w:t>
      </w:r>
      <w:r>
        <w:rPr>
          <w:spacing w:val="-41"/>
        </w:rPr>
      </w:r>
      <w:r>
        <w:rPr/>
        <w:t>和利润表中的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项目，原在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的部分非流动资产处置 损益，改为在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中列报。</w:t>
      </w:r>
    </w:p>
    <w:p>
      <w:pPr>
        <w:pStyle w:val="BodyText"/>
        <w:spacing w:line="307" w:lineRule="auto" w:before="13"/>
        <w:ind w:right="1129" w:firstLine="480"/>
        <w:jc w:val="both"/>
      </w:pPr>
      <w:r>
        <w:rPr/>
        <w:t>根据财政部《关于印发修订</w:t>
      </w:r>
      <w:r>
        <w:rPr>
          <w:rFonts w:ascii="Times New Roman" w:hAnsi="Times New Roman" w:cs="Times New Roman" w:eastAsia="Times New Roman" w:hint="default"/>
        </w:rPr>
        <w:t>&lt;</w:t>
      </w:r>
      <w:r>
        <w:rPr/>
        <w:t>企业会计准则第 </w:t>
      </w:r>
      <w:r>
        <w:rPr>
          <w:rFonts w:ascii="Times New Roman" w:hAnsi="Times New Roman" w:cs="Times New Roman" w:eastAsia="Times New Roman" w:hint="default"/>
        </w:rPr>
        <w:t>16 </w:t>
      </w:r>
      <w:r>
        <w:rPr>
          <w:spacing w:val="-5"/>
        </w:rPr>
        <w:t>号</w:t>
      </w:r>
      <w:r>
        <w:rPr>
          <w:rFonts w:ascii="Times New Roman" w:hAnsi="Times New Roman" w:cs="Times New Roman" w:eastAsia="Times New Roman" w:hint="default"/>
          <w:spacing w:val="-5"/>
        </w:rPr>
        <w:t>—</w:t>
      </w:r>
      <w:r>
        <w:rPr>
          <w:spacing w:val="-5"/>
        </w:rPr>
        <w:t>政府补助</w:t>
      </w:r>
      <w:r>
        <w:rPr>
          <w:rFonts w:ascii="Times New Roman" w:hAnsi="Times New Roman" w:cs="Times New Roman" w:eastAsia="Times New Roman" w:hint="default"/>
          <w:spacing w:val="-5"/>
        </w:rPr>
        <w:t>&gt;</w:t>
      </w:r>
      <w:r>
        <w:rPr>
          <w:spacing w:val="-5"/>
        </w:rPr>
        <w:t>的通知》（财会</w:t>
      </w:r>
      <w:r>
        <w:rPr>
          <w:rFonts w:ascii="Times New Roman" w:hAnsi="Times New Roman" w:cs="Times New Roman" w:eastAsia="Times New Roman" w:hint="default"/>
          <w:spacing w:val="-5"/>
        </w:rPr>
        <w:t>[2017]15</w:t>
      </w:r>
      <w:r>
        <w:rPr>
          <w:rFonts w:ascii="Times New Roman" w:hAnsi="Times New Roman" w:cs="Times New Roman" w:eastAsia="Times New Roman" w:hint="default"/>
          <w:spacing w:val="29"/>
        </w:rPr>
        <w:t> </w:t>
      </w:r>
      <w:r>
        <w:rPr/>
        <w:t>号）的要求，公司将修改财 </w:t>
      </w:r>
      <w:r>
        <w:rPr>
          <w:spacing w:val="-1"/>
        </w:rPr>
        <w:t>务报表列报，与日常活动有关的政府补助，从利润表</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项目调整为利润表</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项目列报或冲减相关成本费</w:t>
      </w:r>
      <w:r>
        <w:rPr>
          <w:spacing w:val="-77"/>
        </w:rPr>
        <w:t> </w:t>
      </w:r>
      <w:r>
        <w:rPr>
          <w:spacing w:val="-2"/>
        </w:rPr>
        <w:t>用。该变更对公司财务状况、经营成果和现金流量无重大影响。除上述事项外，其他由于新准则的实施而进行的会计政策变</w:t>
      </w:r>
      <w:r>
        <w:rPr>
          <w:spacing w:val="-66"/>
        </w:rPr>
        <w:t> </w:t>
      </w:r>
      <w:r>
        <w:rPr>
          <w:spacing w:val="-66"/>
        </w:rPr>
      </w:r>
      <w:r>
        <w:rPr/>
        <w:t>更不会对财务报表项目及金额产生影响，也无需进行追溯调整。</w:t>
      </w:r>
    </w:p>
    <w:p>
      <w:pPr>
        <w:pStyle w:val="BodyText"/>
        <w:spacing w:line="316" w:lineRule="auto" w:before="26"/>
        <w:ind w:left="154" w:right="1131" w:firstLine="480"/>
        <w:jc w:val="both"/>
      </w:pPr>
      <w:r>
        <w:rPr>
          <w:spacing w:val="-1"/>
        </w:rPr>
        <w:t>根据财政部《关于修订印发一般企业财务报表格式的通知》本公司相应追溯重述了比较报表。由于本公司未发生该类</w:t>
      </w:r>
      <w:r>
        <w:rPr/>
        <w:t> 业务，因此不涉及对比较数据进行追溯调整。</w:t>
      </w:r>
    </w:p>
    <w:p>
      <w:pPr>
        <w:pStyle w:val="BodyText"/>
        <w:spacing w:line="316" w:lineRule="auto" w:before="19"/>
        <w:ind w:left="154" w:right="1133" w:firstLine="480"/>
        <w:jc w:val="both"/>
      </w:pPr>
      <w:r>
        <w:rPr>
          <w:spacing w:val="-1"/>
        </w:rPr>
        <w:t>上述会计政策变更仅对财务报表列示产生影响，对公司损益、总资产、净资产不产生影响，对公司财务状况、经营成</w:t>
      </w:r>
      <w:r>
        <w:rPr/>
        <w:t> 果和现金流量无重大影响。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left="154"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75"/>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pStyle w:val="BodyText"/>
        <w:spacing w:line="240" w:lineRule="auto" w:before="47"/>
        <w:ind w:left="573" w:right="0"/>
        <w:jc w:val="left"/>
      </w:pPr>
      <w:r>
        <w:rPr/>
        <w:t>（</w:t>
      </w:r>
      <w:r>
        <w:rPr>
          <w:rFonts w:ascii="Times New Roman" w:hAnsi="Times New Roman" w:cs="Times New Roman" w:eastAsia="Times New Roman" w:hint="default"/>
        </w:rPr>
        <w:t>1</w:t>
      </w:r>
      <w:r>
        <w:rPr/>
        <w:t>）本期发生的非同一控制下企业合并</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60"/>
        <w:gridCol w:w="791"/>
        <w:gridCol w:w="1336"/>
        <w:gridCol w:w="668"/>
        <w:gridCol w:w="622"/>
        <w:gridCol w:w="992"/>
        <w:gridCol w:w="1236"/>
        <w:gridCol w:w="977"/>
        <w:gridCol w:w="1174"/>
      </w:tblGrid>
      <w:tr>
        <w:trPr>
          <w:trHeight w:val="9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被购买方名称</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0" w:right="2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3"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21"/>
              <w:ind w:left="59"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股权取 得比例 </w:t>
            </w:r>
            <w:r>
              <w:rPr>
                <w:rFonts w:ascii="Times New Roman" w:hAnsi="Times New Roman" w:cs="Times New Roman" w:eastAsia="Times New Roman" w:hint="default"/>
                <w:sz w:val="18"/>
                <w:szCs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5" w:right="35"/>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33" w:right="71" w:hanging="360"/>
              <w:jc w:val="left"/>
              <w:rPr>
                <w:rFonts w:ascii="宋体" w:hAnsi="宋体" w:cs="宋体" w:eastAsia="宋体" w:hint="default"/>
                <w:sz w:val="18"/>
                <w:szCs w:val="18"/>
              </w:rPr>
            </w:pPr>
            <w:r>
              <w:rPr>
                <w:rFonts w:ascii="宋体" w:hAnsi="宋体" w:cs="宋体" w:eastAsia="宋体" w:hint="default"/>
                <w:sz w:val="18"/>
                <w:szCs w:val="18"/>
              </w:rPr>
              <w:t>购买日的确定 依据</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3" w:right="3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1" w:right="41"/>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6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center"/>
              <w:rPr>
                <w:rFonts w:ascii="宋体" w:hAnsi="宋体" w:cs="宋体" w:eastAsia="宋体" w:hint="default"/>
                <w:sz w:val="18"/>
                <w:szCs w:val="18"/>
              </w:rPr>
            </w:pPr>
            <w:r>
              <w:rPr>
                <w:rFonts w:ascii="宋体" w:hAnsi="宋体" w:cs="宋体" w:eastAsia="宋体" w:hint="default"/>
                <w:sz w:val="18"/>
                <w:szCs w:val="18"/>
              </w:rPr>
              <w:t>联景国际有限公司</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6" w:right="0"/>
              <w:jc w:val="left"/>
              <w:rPr>
                <w:rFonts w:ascii="Times New Roman" w:hAnsi="Times New Roman" w:cs="Times New Roman" w:eastAsia="Times New Roman" w:hint="default"/>
                <w:sz w:val="18"/>
                <w:szCs w:val="18"/>
              </w:rPr>
            </w:pPr>
            <w:r>
              <w:rPr>
                <w:rFonts w:ascii="Times New Roman"/>
                <w:sz w:val="18"/>
              </w:rPr>
              <w:t>2017/7/5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96" w:right="0"/>
              <w:jc w:val="left"/>
              <w:rPr>
                <w:rFonts w:ascii="Times New Roman" w:hAnsi="Times New Roman" w:cs="Times New Roman" w:eastAsia="Times New Roman" w:hint="default"/>
                <w:sz w:val="18"/>
                <w:szCs w:val="18"/>
              </w:rPr>
            </w:pPr>
            <w:r>
              <w:rPr>
                <w:rFonts w:ascii="Times New Roman"/>
                <w:sz w:val="18"/>
              </w:rPr>
              <w:t>265,382,671.38</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8" w:right="0"/>
              <w:jc w:val="left"/>
              <w:rPr>
                <w:rFonts w:ascii="Times New Roman" w:hAnsi="Times New Roman" w:cs="Times New Roman" w:eastAsia="Times New Roman" w:hint="default"/>
                <w:sz w:val="18"/>
                <w:szCs w:val="18"/>
              </w:rPr>
            </w:pPr>
            <w:r>
              <w:rPr>
                <w:rFonts w:ascii="Times New Roman"/>
                <w:sz w:val="18"/>
              </w:rPr>
              <w:t>100.00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1" w:right="0"/>
              <w:jc w:val="left"/>
              <w:rPr>
                <w:rFonts w:ascii="Times New Roman" w:hAnsi="Times New Roman" w:cs="Times New Roman" w:eastAsia="Times New Roman" w:hint="default"/>
                <w:sz w:val="18"/>
                <w:szCs w:val="18"/>
              </w:rPr>
            </w:pPr>
            <w:r>
              <w:rPr>
                <w:rFonts w:ascii="Times New Roman"/>
                <w:sz w:val="18"/>
              </w:rPr>
              <w:t>2017/7/1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5"/>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3"/>
                <w:sz w:val="18"/>
                <w:szCs w:val="18"/>
              </w:rPr>
              <w:t> </w:t>
            </w:r>
            <w:r>
              <w:rPr>
                <w:rFonts w:ascii="宋体" w:hAnsi="宋体" w:cs="宋体" w:eastAsia="宋体" w:hint="default"/>
                <w:sz w:val="18"/>
                <w:szCs w:val="18"/>
              </w:rPr>
              <w:t>公</w:t>
            </w:r>
            <w:r>
              <w:rPr>
                <w:rFonts w:ascii="宋体" w:hAnsi="宋体" w:cs="宋体" w:eastAsia="宋体" w:hint="default"/>
                <w:spacing w:val="-64"/>
                <w:sz w:val="18"/>
                <w:szCs w:val="18"/>
              </w:rPr>
              <w:t> </w:t>
            </w:r>
            <w:r>
              <w:rPr>
                <w:rFonts w:ascii="宋体" w:hAnsi="宋体" w:cs="宋体" w:eastAsia="宋体" w:hint="default"/>
                <w:sz w:val="18"/>
                <w:szCs w:val="18"/>
              </w:rPr>
              <w:t>司</w:t>
            </w:r>
            <w:r>
              <w:rPr>
                <w:rFonts w:ascii="宋体" w:hAnsi="宋体" w:cs="宋体" w:eastAsia="宋体" w:hint="default"/>
                <w:spacing w:val="-63"/>
                <w:sz w:val="18"/>
                <w:szCs w:val="18"/>
              </w:rPr>
              <w:t> </w:t>
            </w: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任</w:t>
            </w:r>
            <w:r>
              <w:rPr>
                <w:rFonts w:ascii="宋体" w:hAnsi="宋体" w:cs="宋体" w:eastAsia="宋体" w:hint="default"/>
                <w:sz w:val="18"/>
                <w:szCs w:val="18"/>
              </w:rPr>
              <w:t> 命执行董事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2" w:right="0"/>
              <w:jc w:val="left"/>
              <w:rPr>
                <w:rFonts w:ascii="Times New Roman" w:hAnsi="Times New Roman" w:cs="Times New Roman" w:eastAsia="Times New Roman" w:hint="default"/>
                <w:sz w:val="18"/>
                <w:szCs w:val="18"/>
              </w:rPr>
            </w:pPr>
            <w:r>
              <w:rPr>
                <w:rFonts w:ascii="Times New Roman"/>
                <w:sz w:val="18"/>
              </w:rPr>
              <w:t>531,632.00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54" w:right="0"/>
              <w:jc w:val="left"/>
              <w:rPr>
                <w:rFonts w:ascii="Times New Roman" w:hAnsi="Times New Roman" w:cs="Times New Roman" w:eastAsia="Times New Roman" w:hint="default"/>
                <w:sz w:val="18"/>
                <w:szCs w:val="18"/>
              </w:rPr>
            </w:pPr>
            <w:r>
              <w:rPr>
                <w:rFonts w:ascii="Times New Roman"/>
                <w:sz w:val="18"/>
              </w:rPr>
              <w:t>-4,362,393.17</w:t>
            </w:r>
          </w:p>
        </w:tc>
      </w:tr>
    </w:tbl>
    <w:p>
      <w:pPr>
        <w:pStyle w:val="BodyText"/>
        <w:spacing w:line="240" w:lineRule="auto" w:before="10"/>
        <w:ind w:left="574" w:right="0"/>
        <w:jc w:val="left"/>
      </w:pPr>
      <w:r>
        <w:rPr/>
        <w:t>（</w:t>
      </w:r>
      <w:r>
        <w:rPr>
          <w:rFonts w:ascii="Times New Roman" w:hAnsi="Times New Roman" w:cs="Times New Roman" w:eastAsia="Times New Roman" w:hint="default"/>
        </w:rPr>
        <w:t>2</w:t>
      </w:r>
      <w:r>
        <w:rPr/>
        <w:t>）合并成本以及商誉</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6423"/>
        <w:gridCol w:w="2270"/>
      </w:tblGrid>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r>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27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265,382,671.38</w:t>
            </w:r>
          </w:p>
        </w:tc>
      </w:tr>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265,382,671.38</w:t>
            </w:r>
          </w:p>
        </w:tc>
      </w:tr>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减：取得的可辨认净资产的公允价值</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265,382,671.38</w:t>
            </w:r>
          </w:p>
        </w:tc>
      </w:tr>
      <w:tr>
        <w:trPr>
          <w:trHeight w:val="342" w:hRule="exact"/>
        </w:trPr>
        <w:tc>
          <w:tcPr>
            <w:tcW w:w="6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left="574" w:right="0"/>
        <w:jc w:val="left"/>
        <w:rPr>
          <w:sz w:val="21"/>
          <w:szCs w:val="21"/>
        </w:rPr>
      </w:pPr>
      <w:r>
        <w:rPr/>
        <w:t>被合并净资产公允价值以经沃克森（北京）国际资产评估有限公司出具了《视觉（中国）文化发展股</w:t>
      </w:r>
      <w:r>
        <w:rPr>
          <w:sz w:val="21"/>
          <w:szCs w:val="21"/>
        </w:rPr>
        <w:t>份有限公司拟</w:t>
      </w:r>
    </w:p>
    <w:p>
      <w:pPr>
        <w:pStyle w:val="BodyText"/>
        <w:spacing w:line="300" w:lineRule="auto" w:before="62"/>
        <w:ind w:left="573" w:right="0" w:hanging="420"/>
        <w:jc w:val="left"/>
      </w:pPr>
      <w:r>
        <w:rPr>
          <w:spacing w:val="-2"/>
        </w:rPr>
        <w:t>收购联景国际有限公司股权项目评估报告》（沃克森评报字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0619</w:t>
      </w:r>
      <w:r>
        <w:rPr>
          <w:spacing w:val="-2"/>
        </w:rPr>
        <w:t>号）估值结果确定。</w:t>
      </w:r>
      <w:r>
        <w:rPr/>
        <w:t> </w:t>
      </w:r>
      <w:r>
        <w:rPr>
          <w:spacing w:val="-2"/>
        </w:rPr>
        <w:t>由于此项收购联景国际有限公司股权，实质为对</w:t>
      </w:r>
      <w:r>
        <w:rPr>
          <w:rFonts w:ascii="Times New Roman" w:hAnsi="Times New Roman" w:cs="Times New Roman" w:eastAsia="Times New Roman" w:hint="default"/>
          <w:spacing w:val="-2"/>
        </w:rPr>
        <w:t>“Corbis</w:t>
      </w:r>
      <w:r>
        <w:rPr>
          <w:spacing w:val="-2"/>
        </w:rPr>
        <w:t>图片素材</w:t>
      </w:r>
      <w:r>
        <w:rPr>
          <w:rFonts w:ascii="Times New Roman" w:hAnsi="Times New Roman" w:cs="Times New Roman" w:eastAsia="Times New Roman" w:hint="default"/>
          <w:spacing w:val="-2"/>
        </w:rPr>
        <w:t>”</w:t>
      </w:r>
      <w:r>
        <w:rPr>
          <w:spacing w:val="-2"/>
        </w:rPr>
        <w:t>该单一核心资产的收购，其不构成一项业务合并，因</w:t>
      </w:r>
    </w:p>
    <w:p>
      <w:pPr>
        <w:pStyle w:val="BodyText"/>
        <w:spacing w:line="319" w:lineRule="auto" w:before="13"/>
        <w:ind w:left="574" w:right="1024" w:hanging="420"/>
        <w:jc w:val="left"/>
      </w:pPr>
      <w:r>
        <w:rPr/>
        <w:t>此该项收购交易中不存在独立于可辨认资产而单独存在的商誉。 </w:t>
      </w:r>
      <w:r>
        <w:rPr>
          <w:spacing w:val="-1"/>
        </w:rPr>
        <w:t>本公司将取得控制权时支付的对价在扣除其他可辨认资产的公允价值后，剩余金额全部归属于该项特定的可辨认资产。</w:t>
      </w:r>
    </w:p>
    <w:p>
      <w:pPr>
        <w:pStyle w:val="BodyText"/>
        <w:spacing w:line="240" w:lineRule="auto" w:before="17"/>
        <w:ind w:left="574" w:right="0"/>
        <w:jc w:val="left"/>
      </w:pPr>
      <w:r>
        <w:rPr/>
        <w:t>（</w:t>
      </w:r>
      <w:r>
        <w:rPr>
          <w:rFonts w:ascii="Times New Roman" w:hAnsi="Times New Roman" w:cs="Times New Roman" w:eastAsia="Times New Roman" w:hint="default"/>
        </w:rPr>
        <w:t>3</w:t>
      </w:r>
      <w:r>
        <w:rPr/>
        <w:t>）被购买方于购买日可辨认资产、负债的情况</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072"/>
        <w:gridCol w:w="2704"/>
        <w:gridCol w:w="2916"/>
      </w:tblGrid>
      <w:tr>
        <w:trPr>
          <w:trHeight w:val="342" w:hRule="exact"/>
        </w:trPr>
        <w:tc>
          <w:tcPr>
            <w:tcW w:w="3072" w:type="dxa"/>
            <w:vMerge w:val="restart"/>
            <w:tcBorders>
              <w:top w:val="single" w:sz="4" w:space="0" w:color="000000"/>
              <w:left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8" w:right="0"/>
              <w:jc w:val="center"/>
              <w:rPr>
                <w:rFonts w:ascii="宋体" w:hAnsi="宋体" w:cs="宋体" w:eastAsia="宋体" w:hint="default"/>
                <w:sz w:val="18"/>
                <w:szCs w:val="18"/>
              </w:rPr>
            </w:pPr>
            <w:r>
              <w:rPr>
                <w:rFonts w:ascii="宋体" w:hAnsi="宋体" w:cs="宋体" w:eastAsia="宋体" w:hint="default"/>
                <w:sz w:val="18"/>
                <w:szCs w:val="18"/>
              </w:rPr>
              <w:t>联景国际有限公司</w:t>
            </w:r>
          </w:p>
        </w:tc>
      </w:tr>
      <w:tr>
        <w:trPr>
          <w:trHeight w:val="342" w:hRule="exact"/>
        </w:trPr>
        <w:tc>
          <w:tcPr>
            <w:tcW w:w="3072" w:type="dxa"/>
            <w:vMerge/>
            <w:tcBorders>
              <w:left w:val="single" w:sz="4" w:space="0" w:color="000000"/>
              <w:bottom w:val="single" w:sz="4" w:space="0" w:color="000000"/>
              <w:right w:val="single" w:sz="4" w:space="0" w:color="000000"/>
            </w:tcBorders>
          </w:tcPr>
          <w:p>
            <w:pP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704"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214,878.62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214,878.62</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2,226,133.55</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2,226,133.55</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533,917,659.21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523,682,758.45</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536,358,671.38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526,123,770.62</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704"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270,976,000.00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270,976,000.00</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270,976,000.00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270,976,000.00</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265,382,671.38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255,147,770.62</w:t>
            </w: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704"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265,382,671.38</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255,147,770.62</w:t>
            </w:r>
          </w:p>
        </w:tc>
      </w:tr>
    </w:tbl>
    <w:p>
      <w:pPr>
        <w:pStyle w:val="Heading3"/>
        <w:spacing w:line="260" w:lineRule="exact"/>
        <w:ind w:left="154" w:right="0"/>
        <w:jc w:val="left"/>
        <w:rPr>
          <w:b w:val="0"/>
          <w:bCs w:val="0"/>
        </w:rPr>
      </w:pPr>
      <w:r>
        <w:rPr>
          <w:rFonts w:ascii="宋体" w:hAnsi="宋体" w:cs="宋体" w:eastAsia="宋体" w:hint="default"/>
        </w:rPr>
        <w:t>2</w:t>
      </w:r>
      <w:r>
        <w:rPr/>
        <w:t>、处置子公司</w:t>
      </w:r>
      <w:r>
        <w:rPr>
          <w:b w:val="0"/>
          <w:bCs w:val="0"/>
        </w:rPr>
      </w:r>
    </w:p>
    <w:p>
      <w:pPr>
        <w:pStyle w:val="BodyText"/>
        <w:spacing w:line="240" w:lineRule="auto" w:before="62"/>
        <w:ind w:left="574" w:right="0"/>
        <w:jc w:val="left"/>
      </w:pPr>
      <w:r>
        <w:rPr/>
        <w:t>报告期单次处置对子公司投资即丧失控制权的情况如下：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362"/>
        <w:gridCol w:w="1666"/>
        <w:gridCol w:w="1664"/>
      </w:tblGrid>
      <w:tr>
        <w:trPr>
          <w:trHeight w:val="342" w:hRule="exact"/>
        </w:trPr>
        <w:tc>
          <w:tcPr>
            <w:tcW w:w="5362" w:type="dxa"/>
            <w:vMerge w:val="restart"/>
            <w:tcBorders>
              <w:top w:val="single" w:sz="4" w:space="0" w:color="000000"/>
              <w:left w:val="single" w:sz="4" w:space="0" w:color="000000"/>
              <w:right w:val="single" w:sz="4" w:space="0" w:color="000000"/>
            </w:tcBorders>
          </w:tcPr>
          <w:p>
            <w:pPr>
              <w:pStyle w:val="TableParagraph"/>
              <w:spacing w:line="240" w:lineRule="auto" w:before="21"/>
              <w:ind w:left="4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40" w:right="0"/>
              <w:jc w:val="left"/>
              <w:rPr>
                <w:rFonts w:ascii="宋体" w:hAnsi="宋体" w:cs="宋体" w:eastAsia="宋体" w:hint="default"/>
                <w:sz w:val="18"/>
                <w:szCs w:val="18"/>
              </w:rPr>
            </w:pPr>
            <w:r>
              <w:rPr>
                <w:rFonts w:ascii="宋体" w:hAnsi="宋体" w:cs="宋体" w:eastAsia="宋体" w:hint="default"/>
                <w:sz w:val="18"/>
                <w:szCs w:val="18"/>
              </w:rPr>
              <w:t>处置子公司名称</w:t>
            </w:r>
          </w:p>
        </w:tc>
      </w:tr>
      <w:tr>
        <w:trPr>
          <w:trHeight w:val="654" w:hRule="exact"/>
        </w:trPr>
        <w:tc>
          <w:tcPr>
            <w:tcW w:w="536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148" w:firstLine="420"/>
              <w:jc w:val="left"/>
              <w:rPr>
                <w:rFonts w:ascii="宋体" w:hAnsi="宋体" w:cs="宋体" w:eastAsia="宋体" w:hint="default"/>
                <w:sz w:val="18"/>
                <w:szCs w:val="18"/>
              </w:rPr>
            </w:pPr>
            <w:r>
              <w:rPr>
                <w:rFonts w:ascii="宋体" w:hAnsi="宋体" w:cs="宋体" w:eastAsia="宋体" w:hint="default"/>
                <w:sz w:val="18"/>
                <w:szCs w:val="18"/>
              </w:rPr>
              <w:t>广东视觉无限 文化科技有限公司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9" w:firstLine="420"/>
              <w:jc w:val="left"/>
              <w:rPr>
                <w:rFonts w:ascii="宋体" w:hAnsi="宋体" w:cs="宋体" w:eastAsia="宋体" w:hint="default"/>
                <w:sz w:val="18"/>
                <w:szCs w:val="18"/>
              </w:rPr>
            </w:pPr>
            <w:r>
              <w:rPr>
                <w:rFonts w:ascii="宋体" w:hAnsi="宋体" w:cs="宋体" w:eastAsia="宋体" w:hint="default"/>
                <w:sz w:val="18"/>
                <w:szCs w:val="18"/>
              </w:rPr>
              <w:t>深圳艾特凡斯 智能科技有限公司</w:t>
            </w:r>
          </w:p>
        </w:tc>
      </w:tr>
      <w:tr>
        <w:trPr>
          <w:trHeight w:val="343"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27,000,000.00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145,000,000.00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362"/>
        <w:gridCol w:w="1666"/>
        <w:gridCol w:w="1664"/>
      </w:tblGrid>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股权处置比例（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51.00%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出售</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丧失控制权的时点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2017/6/30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2017/8/30</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丧失控制权时点的确定依据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董事会改组</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执行董事改选</w:t>
            </w:r>
          </w:p>
        </w:tc>
      </w:tr>
      <w:tr>
        <w:trPr>
          <w:trHeight w:val="654"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firstLine="420"/>
              <w:jc w:val="left"/>
              <w:rPr>
                <w:rFonts w:ascii="宋体" w:hAnsi="宋体" w:cs="宋体" w:eastAsia="宋体" w:hint="default"/>
                <w:sz w:val="18"/>
                <w:szCs w:val="18"/>
              </w:rPr>
            </w:pPr>
            <w:r>
              <w:rPr>
                <w:rFonts w:ascii="宋体" w:hAnsi="宋体" w:cs="宋体" w:eastAsia="宋体" w:hint="default"/>
                <w:sz w:val="18"/>
                <w:szCs w:val="18"/>
              </w:rPr>
              <w:t>处置价款与处置投资对应的合并财务报表层面享有该子公司净</w:t>
            </w:r>
            <w:r>
              <w:rPr>
                <w:rFonts w:ascii="宋体" w:hAnsi="宋体" w:cs="宋体" w:eastAsia="宋体" w:hint="default"/>
                <w:spacing w:val="2"/>
                <w:sz w:val="18"/>
                <w:szCs w:val="18"/>
              </w:rPr>
              <w:t> </w:t>
            </w:r>
            <w:r>
              <w:rPr>
                <w:rFonts w:ascii="宋体" w:hAnsi="宋体" w:cs="宋体" w:eastAsia="宋体" w:hint="default"/>
                <w:sz w:val="18"/>
                <w:szCs w:val="18"/>
              </w:rPr>
              <w:t>资产份额的差额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6" w:right="0"/>
              <w:jc w:val="left"/>
              <w:rPr>
                <w:rFonts w:ascii="Times New Roman" w:hAnsi="Times New Roman" w:cs="Times New Roman" w:eastAsia="Times New Roman" w:hint="default"/>
                <w:sz w:val="18"/>
                <w:szCs w:val="18"/>
              </w:rPr>
            </w:pPr>
            <w:r>
              <w:rPr>
                <w:rFonts w:ascii="Times New Roman"/>
                <w:sz w:val="18"/>
              </w:rPr>
              <w:t>69,723.47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4" w:right="0"/>
              <w:jc w:val="left"/>
              <w:rPr>
                <w:rFonts w:ascii="Times New Roman" w:hAnsi="Times New Roman" w:cs="Times New Roman" w:eastAsia="Times New Roman" w:hint="default"/>
                <w:sz w:val="18"/>
                <w:szCs w:val="18"/>
              </w:rPr>
            </w:pPr>
            <w:r>
              <w:rPr>
                <w:rFonts w:ascii="Times New Roman"/>
                <w:sz w:val="18"/>
              </w:rPr>
              <w:t>1,194,399.91</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丧失控制权之日剩余股权的账面价值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丧失控制权之日剩余股权的公允价值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按照公允价值重新计量剩余股权产生的利得或损失</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丧失控制权之日剩余股权公允价值的确定方法及主要假设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与原子公司股权投资相关的其他综合收益转入投资损益的金额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6" w:lineRule="exact"/>
        <w:ind w:left="154" w:right="0"/>
        <w:jc w:val="left"/>
        <w:rPr>
          <w:b w:val="0"/>
          <w:bCs w:val="0"/>
        </w:rPr>
      </w:pPr>
      <w:r>
        <w:rPr>
          <w:rFonts w:ascii="Times New Roman" w:hAnsi="Times New Roman" w:cs="Times New Roman" w:eastAsia="Times New Roman" w:hint="default"/>
        </w:rPr>
        <w:t>3</w:t>
      </w:r>
      <w:r>
        <w:rPr/>
        <w:t>、其他合并范围的变更</w:t>
      </w:r>
      <w:r>
        <w:rPr>
          <w:b w:val="0"/>
          <w:bCs w:val="0"/>
        </w:rPr>
      </w:r>
    </w:p>
    <w:p>
      <w:pPr>
        <w:pStyle w:val="BodyText"/>
        <w:spacing w:line="300" w:lineRule="auto" w:before="46"/>
        <w:ind w:left="573" w:right="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日设立全资子公司常州视觉家信息技术咨询有限公司。 </w:t>
      </w:r>
      <w:r>
        <w:rPr>
          <w:spacing w:val="-3"/>
        </w:rPr>
        <w:t>常州远东文化产业有限公司于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日设立子公司辽宁华盖安泰企业管理中心（有限合伙），于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日常州</w:t>
      </w:r>
    </w:p>
    <w:p>
      <w:pPr>
        <w:pStyle w:val="BodyText"/>
        <w:spacing w:line="316" w:lineRule="auto" w:before="13"/>
        <w:ind w:left="154" w:right="0"/>
        <w:jc w:val="left"/>
      </w:pPr>
      <w:r>
        <w:rPr>
          <w:spacing w:val="-2"/>
        </w:rPr>
        <w:t>视觉家信息技术咨询有限公司收购了另一股东北京尚林创新投资管理有限公司对辽宁华盖安泰企业管理中心（有限合伙）出</w:t>
      </w:r>
      <w:r>
        <w:rPr>
          <w:spacing w:val="-64"/>
        </w:rPr>
        <w:t> </w:t>
      </w:r>
      <w:r>
        <w:rPr>
          <w:spacing w:val="-64"/>
        </w:rPr>
      </w:r>
      <w:r>
        <w:rPr/>
        <w:t>资份额，由此辽宁华盖安泰企业管理中心（有限合伙）成为本公司的全资子公司。</w:t>
      </w:r>
    </w:p>
    <w:p>
      <w:pPr>
        <w:pStyle w:val="BodyText"/>
        <w:spacing w:line="300" w:lineRule="auto" w:before="19"/>
        <w:ind w:left="573" w:right="2383"/>
        <w:jc w:val="left"/>
      </w:pPr>
      <w:r>
        <w:rPr/>
        <w:t>北京汉华易美图片有限公司于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日设立控股子公司天津图源视觉科技有限公司。 汉华易美</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图像技术有限公司于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日设立全资子公司天津视觉星动网络科技有限公司。 华盖创意</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图像技术有限公司于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日完成注销。 天津易美跃动信息技术有限公司于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日完成注销。</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中审众环会计师事务所（特殊有限合伙）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黄丽琼 安素强</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2"/>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本年度，公司聘请中审中环会计师事务所（特殊普通合伙）为内部审计会计师事务所，审计费</w:t>
      </w:r>
      <w:r>
        <w:rPr>
          <w:rFonts w:ascii="Times New Roman" w:hAnsi="Times New Roman" w:cs="Times New Roman" w:eastAsia="Times New Roman" w:hint="default"/>
        </w:rPr>
        <w:t>20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299.019989pt;margin-top:315.319977pt;width:82.4pt;height:15.6pt;mso-position-horizontal-relative:page;mso-position-vertical-relative:page;z-index:-1031416" coordorigin="5980,6306" coordsize="1648,312">
            <v:shape style="position:absolute;left:5980;top:6306;width:1648;height:312" coordorigin="5980,6306" coordsize="1648,312" path="m5980,6618l7628,6618,7628,6306,5980,6306,5980,6618xe" filled="true" fillcolor="#ffffff" stroked="false">
              <v:path arrowok="t"/>
              <v:fill type="solid"/>
            </v:shape>
            <w10:wrap type="none"/>
          </v:group>
        </w:pict>
      </w:r>
      <w:r>
        <w:rPr/>
        <w:pict>
          <v:group style="position:absolute;margin-left:297.880005pt;margin-top:743.279968pt;width:84.7pt;height:22.4pt;mso-position-horizontal-relative:page;mso-position-vertical-relative:page;z-index:-1031392" coordorigin="5958,14866" coordsize="1694,448">
            <v:shape style="position:absolute;left:5958;top:14866;width:1694;height:448" coordorigin="5958,14866" coordsize="1694,448" path="m5958,15313l7651,15313,7651,14866,5958,14866,5958,15313xe" filled="true" fillcolor="#ffffff" stroked="false">
              <v:path arrowok="t"/>
              <v:fill type="solid"/>
            </v:shape>
            <w10:wrap type="none"/>
          </v:group>
        </w:pict>
      </w:r>
    </w:p>
    <w:p>
      <w:pPr>
        <w:pStyle w:val="Heading2"/>
        <w:spacing w:line="240" w:lineRule="auto" w:before="26"/>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708"/>
        <w:gridCol w:w="709"/>
        <w:gridCol w:w="1841"/>
        <w:gridCol w:w="1703"/>
        <w:gridCol w:w="1559"/>
        <w:gridCol w:w="709"/>
        <w:gridCol w:w="779"/>
      </w:tblGrid>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8"/>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5"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76" w:right="65" w:hanging="51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 及影响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04" w:right="83"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重组上市前，上市 公司与常州市新世 纪房地产开发有限 公司发生的宿舍楼 拆迁诉讼；原告上 市公司，要求被告 方常州市新世纪房 地产开发有限公司 赔偿经济损失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13" w:space="0" w:color="FFFFFF"/>
            </w:tcBorders>
          </w:tcPr>
          <w:p>
            <w:pPr>
              <w:pStyle w:val="TableParagraph"/>
              <w:spacing w:line="304"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向常州市钟楼区人民 </w:t>
            </w:r>
            <w:r>
              <w:rPr>
                <w:rFonts w:ascii="宋体" w:hAnsi="宋体" w:cs="宋体" w:eastAsia="宋体" w:hint="default"/>
                <w:spacing w:val="-6"/>
                <w:sz w:val="18"/>
                <w:szCs w:val="18"/>
              </w:rPr>
              <w:t>法院提起诉讼。</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日法院正式立</w:t>
            </w:r>
          </w:p>
          <w:p>
            <w:pPr>
              <w:pStyle w:val="TableParagraph"/>
              <w:spacing w:line="307" w:lineRule="auto" w:before="9"/>
              <w:ind w:left="22" w:right="-44"/>
              <w:jc w:val="left"/>
              <w:rPr>
                <w:rFonts w:ascii="宋体" w:hAnsi="宋体" w:cs="宋体" w:eastAsia="宋体" w:hint="default"/>
                <w:sz w:val="18"/>
                <w:szCs w:val="18"/>
              </w:rPr>
            </w:pPr>
            <w:r>
              <w:rPr>
                <w:rFonts w:ascii="宋体" w:hAnsi="宋体" w:cs="宋体" w:eastAsia="宋体" w:hint="default"/>
                <w:spacing w:val="-9"/>
                <w:sz w:val="18"/>
                <w:szCs w:val="18"/>
              </w:rPr>
              <w:t>案。</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日，</w:t>
            </w:r>
            <w:r>
              <w:rPr>
                <w:rFonts w:ascii="宋体" w:hAnsi="宋体" w:cs="宋体" w:eastAsia="宋体" w:hint="default"/>
                <w:spacing w:val="-33"/>
                <w:sz w:val="18"/>
                <w:szCs w:val="18"/>
              </w:rPr>
              <w:t> </w:t>
            </w:r>
            <w:r>
              <w:rPr>
                <w:rFonts w:ascii="宋体" w:hAnsi="宋体" w:cs="宋体" w:eastAsia="宋体" w:hint="default"/>
                <w:sz w:val="18"/>
                <w:szCs w:val="18"/>
              </w:rPr>
              <w:t>常州市中级人民法院</w:t>
            </w:r>
            <w:r>
              <w:rPr>
                <w:rFonts w:ascii="宋体" w:hAnsi="宋体" w:cs="宋体" w:eastAsia="宋体" w:hint="default"/>
                <w:sz w:val="18"/>
                <w:szCs w:val="18"/>
              </w:rPr>
              <w:t> 作</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）常诉字第 </w:t>
            </w:r>
            <w:r>
              <w:rPr>
                <w:rFonts w:ascii="Times New Roman" w:hAnsi="Times New Roman" w:cs="Times New Roman" w:eastAsia="Times New Roman" w:hint="default"/>
                <w:sz w:val="18"/>
                <w:szCs w:val="18"/>
              </w:rPr>
              <w:t>00169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民事裁定，常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州市新世纪房地产开 发有限公司赔偿本公</w:t>
            </w:r>
          </w:p>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 常州市中级人民法院 </w:t>
            </w:r>
            <w:r>
              <w:rPr>
                <w:rFonts w:ascii="宋体" w:hAnsi="宋体" w:cs="宋体" w:eastAsia="宋体" w:hint="default"/>
                <w:spacing w:val="-4"/>
                <w:sz w:val="18"/>
                <w:szCs w:val="18"/>
              </w:rPr>
              <w:t>作出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宋体" w:hAnsi="宋体" w:cs="宋体" w:eastAsia="宋体" w:hint="default"/>
                <w:spacing w:val="-4"/>
                <w:sz w:val="18"/>
                <w:szCs w:val="18"/>
              </w:rPr>
              <w:t>）常诉字</w:t>
            </w:r>
            <w:r>
              <w:rPr>
                <w:rFonts w:ascii="宋体" w:hAnsi="宋体" w:cs="宋体" w:eastAsia="宋体" w:hint="default"/>
                <w:sz w:val="18"/>
                <w:szCs w:val="18"/>
              </w:rPr>
              <w:t>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民事裁 定，常州市新世纪房 地产开发有限公司赔 偿本公司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520 </w:t>
            </w:r>
            <w:r>
              <w:rPr>
                <w:rFonts w:ascii="宋体" w:hAnsi="宋体" w:cs="宋体" w:eastAsia="宋体" w:hint="default"/>
                <w:sz w:val="18"/>
                <w:szCs w:val="18"/>
              </w:rPr>
              <w:t>万元。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84"/>
              <w:jc w:val="left"/>
              <w:rPr>
                <w:rFonts w:ascii="宋体" w:hAnsi="宋体" w:cs="宋体" w:eastAsia="宋体" w:hint="default"/>
                <w:sz w:val="18"/>
                <w:szCs w:val="18"/>
              </w:rPr>
            </w:pPr>
            <w:r>
              <w:rPr>
                <w:rFonts w:ascii="宋体" w:hAnsi="宋体" w:cs="宋体" w:eastAsia="宋体" w:hint="default"/>
                <w:sz w:val="18"/>
                <w:szCs w:val="18"/>
              </w:rPr>
              <w:t>该案件已审结，处 于正在执行阶段， 我方已向法院提出 强制执行申请，目 前已执行收到 </w:t>
            </w:r>
            <w:r>
              <w:rPr>
                <w:rFonts w:ascii="Times New Roman" w:hAnsi="Times New Roman" w:cs="Times New Roman" w:eastAsia="Times New Roman" w:hint="default"/>
                <w:sz w:val="18"/>
                <w:szCs w:val="18"/>
              </w:rPr>
              <w:t>59,980 </w:t>
            </w:r>
            <w:r>
              <w:rPr>
                <w:rFonts w:ascii="宋体" w:hAnsi="宋体" w:cs="宋体" w:eastAsia="宋体" w:hint="default"/>
                <w:sz w:val="18"/>
                <w:szCs w:val="18"/>
              </w:rPr>
              <w:t>元赔偿款。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年年报中 首次披 露。</w:t>
            </w: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公司作为仲裁申请 人提起投资框架协 议争议案仲裁申请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月，对方向公</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司归还</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万元人民币</w:t>
            </w:r>
          </w:p>
          <w:p>
            <w:pPr>
              <w:pStyle w:val="TableParagraph"/>
              <w:spacing w:line="302" w:lineRule="auto" w:before="63"/>
              <w:ind w:left="22" w:right="53"/>
              <w:jc w:val="left"/>
              <w:rPr>
                <w:rFonts w:ascii="宋体" w:hAnsi="宋体" w:cs="宋体" w:eastAsia="宋体" w:hint="default"/>
                <w:sz w:val="18"/>
                <w:szCs w:val="18"/>
              </w:rPr>
            </w:pPr>
            <w:r>
              <w:rPr>
                <w:rFonts w:ascii="宋体" w:hAnsi="宋体" w:cs="宋体" w:eastAsia="宋体" w:hint="default"/>
                <w:sz w:val="18"/>
                <w:szCs w:val="18"/>
              </w:rPr>
              <w:t>本金及利息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10.3753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元人民币。</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公司收到归还本金合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310.3753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万元。双</w:t>
            </w:r>
            <w:r>
              <w:rPr>
                <w:rFonts w:ascii="宋体" w:hAnsi="宋体" w:cs="宋体" w:eastAsia="宋体" w:hint="default"/>
                <w:sz w:val="18"/>
                <w:szCs w:val="18"/>
              </w:rPr>
              <w:t> 方和解</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公司收到归还本金 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310.3753 </w:t>
            </w:r>
            <w:r>
              <w:rPr>
                <w:rFonts w:ascii="宋体" w:hAnsi="宋体" w:cs="宋体" w:eastAsia="宋体" w:hint="default"/>
                <w:sz w:val="18"/>
                <w:szCs w:val="18"/>
              </w:rPr>
              <w:t>万</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元。双方和解。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年年报中 首次披 露。</w:t>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艾特凡斯作为原告 诉被告九江民生文 化旅游发展有限公 司建设工程施工合 同纠纷，艾特凡斯 要求被告支付工程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766.62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日在江 西省九江县人民法院 立案受理。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0" w:lineRule="auto" w:before="5"/>
              <w:ind w:left="22" w:right="9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日，九江县人民 法院出具执行裁定书</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）九执字第</w:t>
            </w:r>
          </w:p>
          <w:p>
            <w:pPr>
              <w:pStyle w:val="TableParagraph"/>
              <w:spacing w:line="312" w:lineRule="auto" w:before="6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号，查封被告三 </w:t>
            </w:r>
            <w:r>
              <w:rPr>
                <w:rFonts w:ascii="宋体" w:hAnsi="宋体" w:cs="宋体" w:eastAsia="宋体" w:hint="default"/>
                <w:spacing w:val="-2"/>
                <w:sz w:val="18"/>
                <w:szCs w:val="18"/>
              </w:rPr>
              <w:t>块土地。目前正在和九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江县人民法院商量处 置资产事宜。</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第一次开庭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已开庭，已审结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年年报中 首次披 露。</w:t>
            </w:r>
          </w:p>
        </w:tc>
      </w:tr>
      <w:tr>
        <w:trPr>
          <w:trHeight w:val="12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艾特凡斯作为原告 诉被告武汉市玩购 实业发展有限公 司、深圳市晶晶投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13" w:space="0" w:color="FFFFFF"/>
            </w:tcBorders>
          </w:tcPr>
          <w:p>
            <w:pPr>
              <w:pStyle w:val="TableParagraph"/>
              <w:spacing w:line="300"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日，该 </w:t>
            </w:r>
            <w:r>
              <w:rPr>
                <w:rFonts w:ascii="宋体" w:hAnsi="宋体" w:cs="宋体" w:eastAsia="宋体" w:hint="default"/>
                <w:spacing w:val="-6"/>
                <w:sz w:val="18"/>
                <w:szCs w:val="18"/>
              </w:rPr>
              <w:t>案获法院受理。</w:t>
            </w:r>
            <w:r>
              <w:rPr>
                <w:rFonts w:ascii="Times New Roman" w:hAnsi="Times New Roman" w:cs="Times New Roman" w:eastAsia="Times New Roman" w:hint="default"/>
                <w:spacing w:val="-6"/>
                <w:sz w:val="18"/>
                <w:szCs w:val="18"/>
              </w:rPr>
              <w:t>2017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日第一次开庭。</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最新进展定在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p>
        </w:tc>
        <w:tc>
          <w:tcPr>
            <w:tcW w:w="170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第一次开庭，未审结</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已开庭，未审结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r>
    </w:tbl>
    <w:p>
      <w:pPr>
        <w:spacing w:after="0" w:line="316"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708"/>
        <w:gridCol w:w="709"/>
        <w:gridCol w:w="1841"/>
        <w:gridCol w:w="1703"/>
        <w:gridCol w:w="1559"/>
        <w:gridCol w:w="709"/>
        <w:gridCol w:w="779"/>
      </w:tblGrid>
      <w:tr>
        <w:trPr>
          <w:trHeight w:val="12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资发展有限公司， 要求被告支付工程 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280.47 </w:t>
            </w:r>
            <w:r>
              <w:rPr>
                <w:rFonts w:ascii="宋体" w:hAnsi="宋体" w:cs="宋体" w:eastAsia="宋体" w:hint="default"/>
                <w:sz w:val="18"/>
                <w:szCs w:val="18"/>
              </w:rPr>
              <w:t>万元及相 关利息。</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日开庭。</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年中报中 首次披 露。</w:t>
            </w:r>
          </w:p>
        </w:tc>
      </w:tr>
      <w:tr>
        <w:trPr>
          <w:trHeight w:val="44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2" w:right="85"/>
              <w:jc w:val="both"/>
              <w:rPr>
                <w:rFonts w:ascii="宋体" w:hAnsi="宋体" w:cs="宋体" w:eastAsia="宋体" w:hint="default"/>
                <w:sz w:val="18"/>
                <w:szCs w:val="18"/>
              </w:rPr>
            </w:pPr>
            <w:r>
              <w:rPr>
                <w:rFonts w:ascii="宋体" w:hAnsi="宋体" w:cs="宋体" w:eastAsia="宋体" w:hint="default"/>
                <w:sz w:val="18"/>
                <w:szCs w:val="18"/>
              </w:rPr>
              <w:t>原告浙江横店影视 城有限公司起诉艾 特凡斯，要求解除 原告与被告签署的 相关业务合同，并 返还工程款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655.80 </w:t>
            </w:r>
            <w:r>
              <w:rPr>
                <w:rFonts w:ascii="宋体" w:hAnsi="宋体" w:cs="宋体" w:eastAsia="宋体" w:hint="default"/>
                <w:sz w:val="18"/>
                <w:szCs w:val="18"/>
              </w:rPr>
              <w:t>万元及支付违约金</w:t>
            </w:r>
          </w:p>
          <w:p>
            <w:pPr>
              <w:pStyle w:val="TableParagraph"/>
              <w:spacing w:line="240" w:lineRule="auto" w:before="2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934.40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1,590.2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41"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日，浙 江横店影视城有限公 司向浙江省东阳市人 </w:t>
            </w:r>
            <w:r>
              <w:rPr>
                <w:rFonts w:ascii="宋体" w:hAnsi="宋体" w:cs="宋体" w:eastAsia="宋体" w:hint="default"/>
                <w:spacing w:val="-2"/>
                <w:sz w:val="18"/>
                <w:szCs w:val="18"/>
              </w:rPr>
              <w:t>民法院提起诉讼；</w:t>
            </w:r>
            <w:r>
              <w:rPr>
                <w:rFonts w:ascii="Times New Roman" w:hAnsi="Times New Roman" w:cs="Times New Roman" w:eastAsia="Times New Roman" w:hint="default"/>
                <w:spacing w:val="-2"/>
                <w:sz w:val="18"/>
                <w:szCs w:val="18"/>
              </w:rPr>
              <w:t>2016</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日，该案获</w:t>
            </w:r>
          </w:p>
          <w:p>
            <w:pPr>
              <w:pStyle w:val="TableParagraph"/>
              <w:spacing w:line="309" w:lineRule="auto" w:before="5"/>
              <w:ind w:left="22" w:right="-43"/>
              <w:jc w:val="left"/>
              <w:rPr>
                <w:rFonts w:ascii="宋体" w:hAnsi="宋体" w:cs="宋体" w:eastAsia="宋体" w:hint="default"/>
                <w:sz w:val="18"/>
                <w:szCs w:val="18"/>
              </w:rPr>
            </w:pPr>
            <w:r>
              <w:rPr>
                <w:rFonts w:ascii="宋体" w:hAnsi="宋体" w:cs="宋体" w:eastAsia="宋体" w:hint="default"/>
                <w:sz w:val="18"/>
                <w:szCs w:val="18"/>
              </w:rPr>
              <w:t>受理。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艾特凡斯提出反诉， 要求确认合同无效并 要求被反诉人支付拖 欠工程款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日，该案获受</w:t>
            </w:r>
          </w:p>
          <w:p>
            <w:pPr>
              <w:pStyle w:val="TableParagraph"/>
              <w:spacing w:line="302" w:lineRule="auto" w:before="63"/>
              <w:ind w:left="22" w:right="53"/>
              <w:jc w:val="left"/>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举行第二次开庭</w:t>
            </w:r>
          </w:p>
        </w:tc>
        <w:tc>
          <w:tcPr>
            <w:tcW w:w="1703" w:type="dxa"/>
            <w:tcBorders>
              <w:top w:val="single" w:sz="4" w:space="0" w:color="000000"/>
              <w:left w:val="single" w:sz="9" w:space="0" w:color="FFFFFF"/>
              <w:bottom w:val="single" w:sz="4" w:space="0" w:color="000000"/>
              <w:right w:val="single" w:sz="4" w:space="0" w:color="000000"/>
            </w:tcBorders>
          </w:tcPr>
          <w:p>
            <w:pPr>
              <w:pStyle w:val="TableParagraph"/>
              <w:spacing w:line="2028" w:lineRule="exact"/>
              <w:ind w:left="-7" w:right="-51"/>
              <w:jc w:val="left"/>
              <w:rPr>
                <w:rFonts w:ascii="宋体" w:hAnsi="宋体" w:cs="宋体" w:eastAsia="宋体" w:hint="default"/>
                <w:sz w:val="20"/>
                <w:szCs w:val="20"/>
              </w:rPr>
            </w:pPr>
            <w:r>
              <w:rPr>
                <w:rFonts w:ascii="宋体" w:hAnsi="宋体" w:cs="宋体" w:eastAsia="宋体" w:hint="default"/>
                <w:position w:val="-40"/>
                <w:sz w:val="20"/>
                <w:szCs w:val="20"/>
              </w:rPr>
              <w:pict>
                <v:group style="width:84.7pt;height:101.45pt;mso-position-horizontal-relative:char;mso-position-vertical-relative:line" coordorigin="0,0" coordsize="1694,2029">
                  <v:group style="position:absolute;left:0;top:0;width:1694;height:2029" coordorigin="0,0" coordsize="1694,2029">
                    <v:shape style="position:absolute;left:0;top:0;width:1694;height:2029" coordorigin="0,0" coordsize="1694,2029" path="m0,2028l1693,2028,1693,0,0,0,0,2028xe" filled="true" fillcolor="#ffffff" stroked="false">
                      <v:path arrowok="t"/>
                      <v:fill type="solid"/>
                    </v:shape>
                  </v:group>
                </v:group>
              </w:pict>
            </w:r>
            <w:r>
              <w:rPr>
                <w:rFonts w:ascii="宋体" w:hAnsi="宋体" w:cs="宋体" w:eastAsia="宋体" w:hint="default"/>
                <w:position w:val="-40"/>
                <w:sz w:val="20"/>
                <w:szCs w:val="20"/>
              </w:rPr>
            </w:r>
          </w:p>
          <w:p>
            <w:pPr>
              <w:pStyle w:val="TableParagraph"/>
              <w:spacing w:line="240" w:lineRule="auto" w:before="51"/>
              <w:ind w:right="32"/>
              <w:jc w:val="center"/>
              <w:rPr>
                <w:rFonts w:ascii="宋体" w:hAnsi="宋体" w:cs="宋体" w:eastAsia="宋体" w:hint="default"/>
                <w:sz w:val="18"/>
                <w:szCs w:val="18"/>
              </w:rPr>
            </w:pPr>
            <w:r>
              <w:rPr>
                <w:rFonts w:ascii="宋体" w:hAnsi="宋体" w:cs="宋体" w:eastAsia="宋体" w:hint="default"/>
                <w:sz w:val="18"/>
                <w:szCs w:val="18"/>
              </w:rPr>
              <w:t>第二次开庭，未审结</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已开庭，未审结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年中报中 首次披 露。</w:t>
            </w:r>
          </w:p>
        </w:tc>
      </w:tr>
      <w:tr>
        <w:trPr>
          <w:trHeight w:val="321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87"/>
              <w:jc w:val="left"/>
              <w:rPr>
                <w:rFonts w:ascii="宋体" w:hAnsi="宋体" w:cs="宋体" w:eastAsia="宋体" w:hint="default"/>
                <w:sz w:val="18"/>
                <w:szCs w:val="18"/>
              </w:rPr>
            </w:pPr>
            <w:r>
              <w:rPr>
                <w:rFonts w:ascii="宋体" w:hAnsi="宋体" w:cs="宋体" w:eastAsia="宋体" w:hint="default"/>
                <w:sz w:val="18"/>
                <w:szCs w:val="18"/>
              </w:rPr>
              <w:t>原告市锐拓显示技 术有限公司起诉艾 特凡斯，要求被告 支付工程款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123.6 </w:t>
            </w:r>
            <w:r>
              <w:rPr>
                <w:rFonts w:ascii="宋体" w:hAnsi="宋体" w:cs="宋体" w:eastAsia="宋体" w:hint="default"/>
                <w:sz w:val="18"/>
                <w:szCs w:val="18"/>
              </w:rPr>
              <w:t>万元和合同违约金</w:t>
            </w:r>
          </w:p>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144.16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日，深 圳市锐拓显示技术有 限公司向深圳市宝安 区人民法院提起诉讼。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日，艾 特凡斯向深圳市中级 人民法院提出上诉。已 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日调 解结案，调解确认支付 原告工程款</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第一次开庭，已审结</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已开庭，已审结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未达到单 独披露标 准，在公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年中报中 首次披 露。</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901"/>
        <w:gridCol w:w="677"/>
        <w:gridCol w:w="704"/>
        <w:gridCol w:w="887"/>
        <w:gridCol w:w="673"/>
        <w:gridCol w:w="887"/>
        <w:gridCol w:w="673"/>
        <w:gridCol w:w="886"/>
        <w:gridCol w:w="673"/>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265" w:right="26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7" w:right="77"/>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7" w:right="77"/>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15"/>
                <w:sz w:val="18"/>
                <w:szCs w:val="18"/>
              </w:rPr>
              <w:t>易额度（万</w:t>
            </w:r>
            <w:r>
              <w:rPr>
                <w:rFonts w:ascii="宋体" w:hAnsi="宋体" w:cs="宋体" w:eastAsia="宋体" w:hint="default"/>
                <w:sz w:val="18"/>
                <w:szCs w:val="18"/>
              </w:rPr>
              <w:t>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150" w:right="14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135" w:right="135"/>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北京宏瑞 达科科技 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46"/>
              <w:jc w:val="both"/>
              <w:rPr>
                <w:rFonts w:ascii="宋体" w:hAnsi="宋体" w:cs="宋体" w:eastAsia="宋体" w:hint="default"/>
                <w:sz w:val="18"/>
                <w:szCs w:val="18"/>
              </w:rPr>
            </w:pPr>
            <w:r>
              <w:rPr>
                <w:rFonts w:ascii="宋体" w:hAnsi="宋体" w:cs="宋体" w:eastAsia="宋体" w:hint="default"/>
                <w:sz w:val="18"/>
                <w:szCs w:val="18"/>
              </w:rPr>
              <w:t>公司董事 长任关联 交易方董 事会主席</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接受关 联方物 业出租</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承租物 业</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47.54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3.15%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101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《关于 预计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度日常 关联交 易的公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45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常州视觉 互动网络 科技有限 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 人截至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9" w:lineRule="auto"/>
              <w:ind w:left="22" w:right="146"/>
              <w:jc w:val="left"/>
              <w:rPr>
                <w:rFonts w:ascii="宋体" w:hAnsi="宋体" w:cs="宋体" w:eastAsia="宋体" w:hint="default"/>
                <w:sz w:val="18"/>
                <w:szCs w:val="18"/>
              </w:rPr>
            </w:pPr>
            <w:r>
              <w:rPr>
                <w:rFonts w:ascii="宋体" w:hAnsi="宋体" w:cs="宋体" w:eastAsia="宋体" w:hint="default"/>
                <w:sz w:val="18"/>
                <w:szCs w:val="18"/>
              </w:rPr>
              <w:t>月为视觉 中国董事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自关联 方采购 产品、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采购媒 体素材 加工服 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372.25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《第八 届董事 会第三 十次会 议决议 </w:t>
            </w:r>
            <w:r>
              <w:rPr>
                <w:rFonts w:ascii="宋体" w:hAnsi="宋体" w:cs="宋体" w:eastAsia="宋体" w:hint="default"/>
                <w:spacing w:val="-23"/>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宋体" w:hAnsi="宋体" w:cs="宋体" w:eastAsia="宋体" w:hint="default"/>
                <w:sz w:val="18"/>
                <w:szCs w:val="18"/>
              </w:rPr>
              <w:t>，披 露网 站：巨 潮资讯 网</w:t>
            </w:r>
          </w:p>
        </w:tc>
      </w:tr>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北京创新 乐知信息 技术有限 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146"/>
              <w:jc w:val="both"/>
              <w:rPr>
                <w:rFonts w:ascii="宋体" w:hAnsi="宋体" w:cs="宋体" w:eastAsia="宋体" w:hint="default"/>
                <w:sz w:val="18"/>
                <w:szCs w:val="18"/>
              </w:rPr>
            </w:pPr>
            <w:r>
              <w:rPr>
                <w:rFonts w:ascii="宋体" w:hAnsi="宋体" w:cs="宋体" w:eastAsia="宋体" w:hint="default"/>
                <w:sz w:val="18"/>
                <w:szCs w:val="18"/>
              </w:rPr>
              <w:t>公司关联 自然人为 关联方的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自关联 方采购 产品、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采购技 术服务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356.34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356.34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356.34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《第八 届董事 会第三 十五次 会议决</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901"/>
        <w:gridCol w:w="677"/>
        <w:gridCol w:w="704"/>
        <w:gridCol w:w="887"/>
        <w:gridCol w:w="673"/>
        <w:gridCol w:w="887"/>
        <w:gridCol w:w="673"/>
        <w:gridCol w:w="886"/>
        <w:gridCol w:w="673"/>
        <w:gridCol w:w="674"/>
        <w:gridCol w:w="674"/>
        <w:gridCol w:w="670"/>
        <w:gridCol w:w="642"/>
      </w:tblGrid>
      <w:tr>
        <w:trPr>
          <w:trHeight w:val="317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6"/>
              <w:jc w:val="both"/>
              <w:rPr>
                <w:rFonts w:ascii="宋体" w:hAnsi="宋体" w:cs="宋体" w:eastAsia="宋体" w:hint="default"/>
                <w:sz w:val="18"/>
                <w:szCs w:val="18"/>
              </w:rPr>
            </w:pPr>
            <w:r>
              <w:rPr>
                <w:rFonts w:ascii="宋体" w:hAnsi="宋体" w:cs="宋体" w:eastAsia="宋体" w:hint="default"/>
                <w:sz w:val="18"/>
                <w:szCs w:val="18"/>
              </w:rPr>
              <w:t>北京创新 乐知信息 技术有限 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46"/>
              <w:jc w:val="both"/>
              <w:rPr>
                <w:rFonts w:ascii="宋体" w:hAnsi="宋体" w:cs="宋体" w:eastAsia="宋体" w:hint="default"/>
                <w:sz w:val="18"/>
                <w:szCs w:val="18"/>
              </w:rPr>
            </w:pPr>
            <w:r>
              <w:rPr>
                <w:rFonts w:ascii="宋体" w:hAnsi="宋体" w:cs="宋体" w:eastAsia="宋体" w:hint="default"/>
                <w:sz w:val="18"/>
                <w:szCs w:val="18"/>
              </w:rPr>
              <w:t>公司关联 自然人为 关联方的 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销售视 觉内容 素材</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北京华鼎 嘉业技术 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46"/>
              <w:jc w:val="both"/>
              <w:rPr>
                <w:rFonts w:ascii="宋体" w:hAnsi="宋体" w:cs="宋体" w:eastAsia="宋体" w:hint="default"/>
                <w:sz w:val="18"/>
                <w:szCs w:val="18"/>
              </w:rPr>
            </w:pPr>
            <w:r>
              <w:rPr>
                <w:rFonts w:ascii="宋体" w:hAnsi="宋体" w:cs="宋体" w:eastAsia="宋体" w:hint="default"/>
                <w:sz w:val="18"/>
                <w:szCs w:val="18"/>
              </w:rPr>
              <w:t>同受部分 一致行动 人实际控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02"/>
              <w:jc w:val="both"/>
              <w:rPr>
                <w:rFonts w:ascii="宋体" w:hAnsi="宋体" w:cs="宋体" w:eastAsia="宋体" w:hint="default"/>
                <w:sz w:val="18"/>
                <w:szCs w:val="18"/>
              </w:rPr>
            </w:pPr>
            <w:r>
              <w:rPr>
                <w:rFonts w:ascii="宋体" w:hAnsi="宋体" w:cs="宋体" w:eastAsia="宋体" w:hint="default"/>
                <w:sz w:val="18"/>
                <w:szCs w:val="18"/>
              </w:rPr>
              <w:t>自关联 方采购 产品、 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采购系 统集成 服务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119.70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119.70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46"/>
              <w:jc w:val="both"/>
              <w:rPr>
                <w:rFonts w:ascii="宋体" w:hAnsi="宋体" w:cs="宋体" w:eastAsia="宋体" w:hint="default"/>
                <w:sz w:val="18"/>
                <w:szCs w:val="18"/>
              </w:rPr>
            </w:pPr>
            <w:r>
              <w:rPr>
                <w:rFonts w:ascii="宋体" w:hAnsi="宋体" w:cs="宋体" w:eastAsia="宋体" w:hint="default"/>
                <w:sz w:val="18"/>
                <w:szCs w:val="18"/>
              </w:rPr>
              <w:t>公司关联 自然人为 关联方的</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both"/>
              <w:rPr>
                <w:rFonts w:ascii="宋体" w:hAnsi="宋体" w:cs="宋体" w:eastAsia="宋体" w:hint="default"/>
                <w:sz w:val="18"/>
                <w:szCs w:val="18"/>
              </w:rPr>
            </w:pPr>
            <w:r>
              <w:rPr>
                <w:rFonts w:ascii="宋体" w:hAnsi="宋体" w:cs="宋体" w:eastAsia="宋体" w:hint="default"/>
                <w:sz w:val="18"/>
                <w:szCs w:val="18"/>
              </w:rPr>
              <w:t>自关联 方采购 产品、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采购系 统集成 服务</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474.50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271.85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9"/>
              <w:jc w:val="both"/>
              <w:rPr>
                <w:rFonts w:ascii="宋体" w:hAnsi="宋体" w:cs="宋体" w:eastAsia="宋体" w:hint="default"/>
                <w:sz w:val="18"/>
                <w:szCs w:val="18"/>
              </w:rPr>
            </w:pPr>
            <w:r>
              <w:rPr>
                <w:rFonts w:ascii="宋体" w:hAnsi="宋体" w:cs="宋体" w:eastAsia="宋体" w:hint="default"/>
                <w:sz w:val="18"/>
                <w:szCs w:val="18"/>
              </w:rPr>
              <w:t>《第八 届董事 会第三</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901"/>
        <w:gridCol w:w="677"/>
        <w:gridCol w:w="704"/>
        <w:gridCol w:w="887"/>
        <w:gridCol w:w="673"/>
        <w:gridCol w:w="887"/>
        <w:gridCol w:w="673"/>
        <w:gridCol w:w="886"/>
        <w:gridCol w:w="673"/>
        <w:gridCol w:w="674"/>
        <w:gridCol w:w="674"/>
        <w:gridCol w:w="670"/>
        <w:gridCol w:w="642"/>
      </w:tblGrid>
      <w:tr>
        <w:trPr>
          <w:trHeight w:val="3795"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77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46"/>
              <w:jc w:val="both"/>
              <w:rPr>
                <w:rFonts w:ascii="宋体" w:hAnsi="宋体" w:cs="宋体" w:eastAsia="宋体" w:hint="default"/>
                <w:sz w:val="18"/>
                <w:szCs w:val="18"/>
              </w:rPr>
            </w:pPr>
            <w:r>
              <w:rPr>
                <w:rFonts w:ascii="宋体" w:hAnsi="宋体" w:cs="宋体" w:eastAsia="宋体" w:hint="default"/>
                <w:sz w:val="18"/>
                <w:szCs w:val="18"/>
              </w:rPr>
              <w:t>公司关联 自然人为 关联方的 董事长</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向关联 方销售 产品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销售视 觉内容 素材</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以市场交 易价格为 基础</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1.81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4" w:right="0"/>
              <w:jc w:val="center"/>
              <w:rPr>
                <w:rFonts w:ascii="Times New Roman" w:hAnsi="Times New Roman" w:cs="Times New Roman" w:eastAsia="Times New Roman" w:hint="default"/>
                <w:sz w:val="18"/>
                <w:szCs w:val="18"/>
              </w:rPr>
            </w:pPr>
            <w:r>
              <w:rPr>
                <w:rFonts w:ascii="Times New Roman"/>
                <w:sz w:val="18"/>
              </w:rPr>
              <w:t>0.01%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8"/>
              <w:jc w:val="both"/>
              <w:rPr>
                <w:rFonts w:ascii="宋体" w:hAnsi="宋体" w:cs="宋体" w:eastAsia="宋体" w:hint="default"/>
                <w:sz w:val="18"/>
                <w:szCs w:val="18"/>
              </w:rPr>
            </w:pPr>
            <w:r>
              <w:rPr>
                <w:rFonts w:ascii="宋体" w:hAnsi="宋体" w:cs="宋体" w:eastAsia="宋体" w:hint="default"/>
                <w:sz w:val="18"/>
                <w:szCs w:val="18"/>
              </w:rPr>
              <w:t>按照执 行进度 结算款 项</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《第八 届董事 会第三 十五次 会议决 议公 </w:t>
            </w:r>
            <w:r>
              <w:rPr>
                <w:rFonts w:ascii="宋体" w:hAnsi="宋体" w:cs="宋体" w:eastAsia="宋体" w:hint="default"/>
                <w:spacing w:val="-34"/>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314" w:lineRule="auto" w:before="65"/>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，披 露网 站：巨 潮资讯 网</w:t>
            </w:r>
          </w:p>
        </w:tc>
      </w:tr>
      <w:tr>
        <w:trPr>
          <w:trHeight w:val="402" w:hRule="exact"/>
        </w:trPr>
        <w:tc>
          <w:tcPr>
            <w:tcW w:w="30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0"/>
              <w:jc w:val="right"/>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1,120.42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1,456.35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0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3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30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 </w:t>
            </w:r>
            <w:r>
              <w:rPr>
                <w:rFonts w:ascii="宋体" w:hAnsi="宋体" w:cs="宋体" w:eastAsia="宋体" w:hint="default"/>
                <w:spacing w:val="-2"/>
                <w:sz w:val="18"/>
                <w:szCs w:val="18"/>
              </w:rPr>
              <w:t>进行总金额预计的，在报告期内的实际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履行情况（如有）</w:t>
            </w:r>
          </w:p>
        </w:tc>
        <w:tc>
          <w:tcPr>
            <w:tcW w:w="73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0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 原因（如适用）</w:t>
            </w:r>
          </w:p>
        </w:tc>
        <w:tc>
          <w:tcPr>
            <w:tcW w:w="734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54"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94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应收关联方债权</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240" w:lineRule="auto" w:before="52"/>
        <w:ind w:left="154" w:right="0"/>
        <w:jc w:val="left"/>
      </w:pPr>
      <w:r>
        <w:rPr/>
        <w:t>应付关联方债务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713"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6"/>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6"/>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8" w:right="21"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r>
      <w:tr>
        <w:trPr>
          <w:trHeight w:val="402"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8,583.47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8,583.47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5" w:right="0"/>
              <w:jc w:val="left"/>
              <w:rPr>
                <w:rFonts w:ascii="Times New Roman" w:hAnsi="Times New Roman" w:cs="Times New Roman" w:eastAsia="Times New Roman" w:hint="default"/>
                <w:sz w:val="18"/>
                <w:szCs w:val="18"/>
              </w:rPr>
            </w:pPr>
            <w:r>
              <w:rPr>
                <w:rFonts w:ascii="Times New Roman"/>
                <w:sz w:val="18"/>
              </w:rPr>
              <w:t>4.35%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6" w:right="0"/>
              <w:jc w:val="left"/>
              <w:rPr>
                <w:rFonts w:ascii="Times New Roman" w:hAnsi="Times New Roman" w:cs="Times New Roman" w:eastAsia="Times New Roman" w:hint="default"/>
                <w:sz w:val="18"/>
                <w:szCs w:val="18"/>
              </w:rPr>
            </w:pPr>
            <w:r>
              <w:rPr>
                <w:rFonts w:ascii="Times New Roman"/>
                <w:sz w:val="18"/>
              </w:rPr>
              <w:t>14.36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0" w:right="0"/>
              <w:jc w:val="left"/>
              <w:rPr>
                <w:rFonts w:ascii="Times New Roman" w:hAnsi="Times New Roman" w:cs="Times New Roman" w:eastAsia="Times New Roman" w:hint="default"/>
                <w:sz w:val="18"/>
                <w:szCs w:val="18"/>
              </w:rPr>
            </w:pPr>
            <w:r>
              <w:rPr>
                <w:rFonts w:ascii="Times New Roman"/>
                <w:sz w:val="18"/>
              </w:rPr>
              <w:t>514.36</w:t>
            </w:r>
          </w:p>
        </w:tc>
      </w:tr>
      <w:tr>
        <w:trPr>
          <w:trHeight w:val="715" w:hRule="exact"/>
        </w:trPr>
        <w:tc>
          <w:tcPr>
            <w:tcW w:w="2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关联债务对公司经营成果 及财务状况的影响</w:t>
            </w:r>
          </w:p>
        </w:tc>
        <w:tc>
          <w:tcPr>
            <w:tcW w:w="7375"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临时补充上市公司营运资金</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日，公司第八届董事会第二十八次会议审议通过了公司与关联方共同参与湖南高速公路基于车牌识别的不 停车手机移动支付系统</w:t>
      </w:r>
      <w:r>
        <w:rPr>
          <w:spacing w:val="-18"/>
        </w:rPr>
        <w:t> </w:t>
      </w:r>
      <w:r>
        <w:rPr>
          <w:rFonts w:ascii="Times New Roman" w:hAnsi="Times New Roman" w:cs="Times New Roman" w:eastAsia="Times New Roman" w:hint="default"/>
        </w:rPr>
        <w:t>BOOT</w:t>
      </w:r>
      <w:r>
        <w:rPr/>
        <w:t>项目投标事项。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日，该项目招标人湖南省高速公路建设开发总公司发布了《湖 </w:t>
      </w:r>
      <w:r>
        <w:rPr>
          <w:spacing w:val="-3"/>
        </w:rPr>
        <w:t>南高速公路基于车牌识别手机移动支付系统</w:t>
      </w:r>
      <w:r>
        <w:rPr>
          <w:rFonts w:ascii="Times New Roman" w:hAnsi="Times New Roman" w:cs="Times New Roman" w:eastAsia="Times New Roman" w:hint="default"/>
          <w:spacing w:val="-3"/>
        </w:rPr>
        <w:t>BOOT</w:t>
      </w:r>
      <w:r>
        <w:rPr>
          <w:spacing w:val="-3"/>
        </w:rPr>
        <w:t>项目终止招标公告》，该项目终止招标，公司本次审批不再执行后续事项。</w:t>
      </w:r>
    </w:p>
    <w:p>
      <w:pPr>
        <w:pStyle w:val="BodyText"/>
        <w:spacing w:line="240" w:lineRule="auto" w:before="53"/>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视觉中国：关于公司与关联方联合投标暨关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group style="position:absolute;margin-left:404.679993pt;margin-top:616.559998pt;width:130.7pt;height:28pt;mso-position-horizontal-relative:page;mso-position-vertical-relative:page;z-index:-1031344" coordorigin="8094,12331" coordsize="2614,560">
            <v:group style="position:absolute;left:8105;top:12343;width:2;height:393" coordorigin="8105,12343" coordsize="2,393">
              <v:shape style="position:absolute;left:8105;top:12343;width:2;height:393" coordorigin="8105,12343" coordsize="0,393" path="m8105,12343l8105,12735e" filled="false" stroked="true" strokeweight="1.160pt" strokecolor="#ffffff">
                <v:path arrowok="t"/>
              </v:shape>
            </v:group>
            <v:group style="position:absolute;left:8094;top:12735;width:2614;height:156" coordorigin="8094,12735" coordsize="2614,156">
              <v:shape style="position:absolute;left:8094;top:12735;width:2614;height:156" coordorigin="8094,12735" coordsize="2614,156" path="m8094,12891l10708,12891,10708,12735,8094,12735,8094,12891xe" filled="true" fillcolor="#ffffff" stroked="false">
                <v:path arrowok="t"/>
                <v:fill type="solid"/>
              </v:shape>
            </v:group>
            <v:group style="position:absolute;left:8117;top:12343;width:2567;height:393" coordorigin="8117,12343" coordsize="2567,393">
              <v:shape style="position:absolute;left:8117;top:12343;width:2567;height:393" coordorigin="8117,12343" coordsize="2567,393" path="m8117,12735l10684,12735,10684,12343,8117,12343,8117,12735xe" filled="true" fillcolor="#ffffff" stroked="false">
                <v:path arrowok="t"/>
                <v:fill type="solid"/>
              </v:shape>
            </v:group>
            <w10:wrap type="none"/>
          </v:group>
        </w:pict>
      </w:r>
    </w:p>
    <w:p>
      <w:pPr>
        <w:pStyle w:val="BodyText"/>
        <w:spacing w:line="240" w:lineRule="auto" w:before="44"/>
        <w:ind w:right="0"/>
        <w:jc w:val="left"/>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42"/>
        <w:ind w:left="573" w:right="0"/>
        <w:jc w:val="left"/>
      </w:pPr>
      <w:r>
        <w:rPr/>
        <w:t>本集团作为承租人的情况如下：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76"/>
        <w:gridCol w:w="1972"/>
        <w:gridCol w:w="1866"/>
        <w:gridCol w:w="1869"/>
      </w:tblGrid>
      <w:tr>
        <w:trPr>
          <w:trHeight w:val="486"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972" w:type="dxa"/>
            <w:vMerge w:val="restart"/>
            <w:tcBorders>
              <w:top w:val="single" w:sz="4" w:space="0" w:color="000000"/>
              <w:left w:val="single" w:sz="4" w:space="0" w:color="000000"/>
              <w:right w:val="single" w:sz="4" w:space="0" w:color="000000"/>
            </w:tcBorders>
          </w:tcPr>
          <w:p>
            <w:pPr>
              <w:pStyle w:val="TableParagraph"/>
              <w:spacing w:line="240" w:lineRule="auto" w:before="93"/>
              <w:ind w:left="4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确认的租赁费</w:t>
            </w:r>
          </w:p>
        </w:tc>
      </w:tr>
      <w:tr>
        <w:trPr>
          <w:trHeight w:val="486" w:hRule="exact"/>
        </w:trPr>
        <w:tc>
          <w:tcPr>
            <w:tcW w:w="2976" w:type="dxa"/>
            <w:vMerge/>
            <w:tcBorders>
              <w:left w:val="single" w:sz="4" w:space="0" w:color="000000"/>
              <w:bottom w:val="single" w:sz="4" w:space="0" w:color="000000"/>
              <w:right w:val="single" w:sz="4" w:space="0" w:color="000000"/>
            </w:tcBorders>
          </w:tcPr>
          <w:p>
            <w:pPr/>
          </w:p>
        </w:tc>
        <w:tc>
          <w:tcPr>
            <w:tcW w:w="1972" w:type="dxa"/>
            <w:vMerge/>
            <w:tcBorders>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北京宏瑞达科科技有限公司</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1" w:right="0"/>
              <w:jc w:val="left"/>
              <w:rPr>
                <w:rFonts w:ascii="Times New Roman" w:hAnsi="Times New Roman" w:cs="Times New Roman" w:eastAsia="Times New Roman" w:hint="default"/>
                <w:sz w:val="18"/>
                <w:szCs w:val="18"/>
              </w:rPr>
            </w:pPr>
            <w:r>
              <w:rPr>
                <w:rFonts w:ascii="Times New Roman"/>
                <w:sz w:val="18"/>
              </w:rPr>
              <w:t>475,407.71</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08" w:right="0"/>
              <w:jc w:val="left"/>
              <w:rPr>
                <w:rFonts w:ascii="Times New Roman" w:hAnsi="Times New Roman" w:cs="Times New Roman" w:eastAsia="Times New Roman" w:hint="default"/>
                <w:sz w:val="18"/>
                <w:szCs w:val="18"/>
              </w:rPr>
            </w:pPr>
            <w:r>
              <w:rPr>
                <w:rFonts w:ascii="Times New Roman"/>
                <w:sz w:val="18"/>
              </w:rPr>
              <w:t>1,570,437.27</w:t>
            </w:r>
          </w:p>
        </w:tc>
      </w:tr>
    </w:tbl>
    <w:p>
      <w:pPr>
        <w:pStyle w:val="BodyText"/>
        <w:spacing w:line="240" w:lineRule="auto" w:before="51"/>
        <w:ind w:left="15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545"/>
        <w:gridCol w:w="815"/>
        <w:gridCol w:w="1036"/>
        <w:gridCol w:w="1049"/>
        <w:gridCol w:w="792"/>
        <w:gridCol w:w="782"/>
      </w:tblGrid>
      <w:tr>
        <w:trPr>
          <w:trHeight w:val="402" w:hRule="exact"/>
        </w:trPr>
        <w:tc>
          <w:tcPr>
            <w:tcW w:w="95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7" w:right="46"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深圳艾特凡斯智能科 技有限公司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个月；主 债务履行期 届满之日起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c>
          <w:tcPr>
            <w:tcW w:w="2469" w:type="dxa"/>
            <w:gridSpan w:val="2"/>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2900</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报告期内对外担保实 际发生额合计（</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69" w:type="dxa"/>
            <w:gridSpan w:val="2"/>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2900</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报告期内对外担保实 </w:t>
            </w:r>
            <w:r>
              <w:rPr>
                <w:rFonts w:ascii="宋体" w:hAnsi="宋体" w:cs="宋体" w:eastAsia="宋体" w:hint="default"/>
                <w:spacing w:val="-5"/>
                <w:sz w:val="18"/>
                <w:szCs w:val="18"/>
              </w:rPr>
              <w:t>际担保余额合计（</w:t>
            </w:r>
            <w:r>
              <w:rPr>
                <w:rFonts w:ascii="Times New Roman" w:hAnsi="Times New Roman" w:cs="Times New Roman" w:eastAsia="Times New Roman" w:hint="default"/>
                <w:spacing w:val="-5"/>
                <w:sz w:val="18"/>
                <w:szCs w:val="18"/>
              </w:rPr>
              <w:t>A4</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23"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190"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957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7" w:right="46"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131" w:right="131"/>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332" w:right="331"/>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北京汉华易美图片有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60"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545"/>
        <w:gridCol w:w="815"/>
        <w:gridCol w:w="1036"/>
        <w:gridCol w:w="1046"/>
        <w:gridCol w:w="796"/>
        <w:gridCol w:w="782"/>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视觉中国香港有限公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11,114</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11,114</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视觉（中国）文化发 展股份有限公司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视觉中国集团控股有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40,000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2,496.10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vMerge/>
            <w:tcBorders>
              <w:left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2,496.10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vMerge/>
            <w:tcBorders>
              <w:left w:val="single" w:sz="4" w:space="0" w:color="000000"/>
              <w:bottom w:val="single" w:sz="4" w:space="0" w:color="000000"/>
              <w:right w:val="single" w:sz="4" w:space="0" w:color="000000"/>
            </w:tcBorders>
          </w:tcPr>
          <w:p>
            <w:pP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21,961.78</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视觉（中国）文化发 展股份有限公司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视觉中国集团控股有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17,705</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视觉中国集团控股有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华夏视觉（天津）信 息技术有限公司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华盖创意（天津）视 讯科技有限公司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北京汉华易美图片有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亿迅信息技术有限公 司</w:t>
            </w:r>
          </w:p>
        </w:tc>
        <w:tc>
          <w:tcPr>
            <w:tcW w:w="92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57" w:lineRule="auto"/>
              <w:ind w:left="22" w:right="461"/>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82,500</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79,358.98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04.679993pt;margin-top:584.73999pt;width:130.7pt;height:27.45pt;mso-position-horizontal-relative:page;mso-position-vertical-relative:page;z-index:-1031320" coordorigin="8094,11695" coordsize="2614,549">
            <v:group style="position:absolute;left:8094;top:12087;width:2614;height:156" coordorigin="8094,12087" coordsize="2614,156">
              <v:shape style="position:absolute;left:8094;top:12087;width:2614;height:156" coordorigin="8094,12087" coordsize="2614,156" path="m8094,12243l10708,12243,10708,12087,8094,12087,8094,12243xe" filled="true" fillcolor="#ffffff" stroked="false">
                <v:path arrowok="t"/>
                <v:fill type="solid"/>
              </v:shape>
            </v:group>
            <v:group style="position:absolute;left:8117;top:11695;width:2567;height:393" coordorigin="8117,11695" coordsize="2567,393">
              <v:shape style="position:absolute;left:8117;top:11695;width:2567;height:393" coordorigin="8117,11695" coordsize="2567,393" path="m8117,12087l10684,12087,10684,11695,8117,11695,8117,1208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17"/>
        <w:gridCol w:w="1564"/>
        <w:gridCol w:w="812"/>
        <w:gridCol w:w="1034"/>
        <w:gridCol w:w="1065"/>
        <w:gridCol w:w="786"/>
        <w:gridCol w:w="784"/>
      </w:tblGrid>
      <w:tr>
        <w:trPr>
          <w:trHeight w:val="358" w:hRule="exact"/>
        </w:trPr>
        <w:tc>
          <w:tcPr>
            <w:tcW w:w="2626"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81" w:type="dxa"/>
            <w:gridSpan w:val="2"/>
            <w:vMerge w:val="restart"/>
            <w:tcBorders>
              <w:top w:val="single" w:sz="4" w:space="0" w:color="000000"/>
              <w:left w:val="single" w:sz="9" w:space="0" w:color="D2D2D2"/>
              <w:right w:val="single" w:sz="13" w:space="0" w:color="D2D2D2"/>
            </w:tcBorders>
          </w:tcPr>
          <w:p>
            <w:pPr/>
          </w:p>
        </w:tc>
        <w:tc>
          <w:tcPr>
            <w:tcW w:w="1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保实际发生额合计</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35" w:type="dxa"/>
            <w:gridSpan w:val="3"/>
            <w:vMerge w:val="restart"/>
            <w:tcBorders>
              <w:top w:val="single" w:sz="4" w:space="0" w:color="000000"/>
              <w:left w:val="single" w:sz="13" w:space="0" w:color="D2D2D2"/>
              <w:right w:val="single" w:sz="4" w:space="0" w:color="000000"/>
            </w:tcBorders>
          </w:tcPr>
          <w:p>
            <w:pPr/>
          </w:p>
        </w:tc>
      </w:tr>
      <w:tr>
        <w:trPr>
          <w:trHeight w:val="317" w:hRule="exact"/>
        </w:trPr>
        <w:tc>
          <w:tcPr>
            <w:tcW w:w="26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gridSpan w:val="2"/>
            <w:vMerge/>
            <w:tcBorders>
              <w:left w:val="single" w:sz="9" w:space="0" w:color="D2D2D2"/>
              <w:bottom w:val="single" w:sz="4" w:space="0" w:color="000000"/>
              <w:right w:val="single" w:sz="13" w:space="0" w:color="D2D2D2"/>
            </w:tcBorders>
          </w:tcPr>
          <w:p>
            <w:pPr/>
          </w:p>
        </w:tc>
        <w:tc>
          <w:tcPr>
            <w:tcW w:w="1846" w:type="dxa"/>
            <w:gridSpan w:val="2"/>
            <w:vMerge/>
            <w:tcBorders>
              <w:left w:val="single" w:sz="4" w:space="0" w:color="000000"/>
              <w:bottom w:val="single" w:sz="4" w:space="0" w:color="000000"/>
              <w:right w:val="single" w:sz="4" w:space="0" w:color="000000"/>
            </w:tcBorders>
            <w:shd w:val="clear" w:color="auto" w:fill="D2D2D2"/>
          </w:tcPr>
          <w:p>
            <w:pPr/>
          </w:p>
        </w:tc>
        <w:tc>
          <w:tcPr>
            <w:tcW w:w="2635" w:type="dxa"/>
            <w:gridSpan w:val="3"/>
            <w:vMerge/>
            <w:tcBorders>
              <w:left w:val="single" w:sz="13" w:space="0" w:color="D2D2D2"/>
              <w:bottom w:val="single" w:sz="4" w:space="0" w:color="000000"/>
              <w:right w:val="single" w:sz="4" w:space="0" w:color="000000"/>
            </w:tcBorders>
          </w:tcPr>
          <w:p>
            <w:pP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8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180,314</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14"/>
              <w:jc w:val="left"/>
              <w:rPr>
                <w:rFonts w:ascii="宋体" w:hAnsi="宋体" w:cs="宋体" w:eastAsia="宋体" w:hint="default"/>
                <w:sz w:val="18"/>
                <w:szCs w:val="18"/>
              </w:rPr>
            </w:pPr>
            <w:r>
              <w:rPr>
                <w:rFonts w:ascii="宋体" w:hAnsi="宋体" w:cs="宋体" w:eastAsia="宋体" w:hint="default"/>
                <w:sz w:val="18"/>
                <w:szCs w:val="18"/>
              </w:rPr>
              <w:t>报告期末对子公司实 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3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76,160.38</w:t>
            </w:r>
          </w:p>
        </w:tc>
      </w:tr>
      <w:tr>
        <w:trPr>
          <w:trHeight w:val="392" w:hRule="exact"/>
        </w:trPr>
        <w:tc>
          <w:tcPr>
            <w:tcW w:w="95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7" w:type="dxa"/>
            <w:vMerge w:val="restart"/>
            <w:tcBorders>
              <w:top w:val="single" w:sz="4" w:space="0" w:color="000000"/>
              <w:left w:val="single" w:sz="4" w:space="0" w:color="000000"/>
              <w:right w:val="single" w:sz="4" w:space="0" w:color="000000"/>
            </w:tcBorders>
            <w:shd w:val="clear" w:color="auto" w:fill="D2D2D2"/>
          </w:tcPr>
          <w:p>
            <w:pPr/>
          </w:p>
        </w:tc>
        <w:tc>
          <w:tcPr>
            <w:tcW w:w="15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15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25" w:right="57"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9" w:right="4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6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1" w:right="2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4" w:type="dxa"/>
            <w:vMerge/>
            <w:tcBorders>
              <w:left w:val="single" w:sz="4" w:space="0" w:color="000000"/>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
        </w:tc>
        <w:tc>
          <w:tcPr>
            <w:tcW w:w="1564" w:type="dxa"/>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6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5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2"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2"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2"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2"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汉华易美（天津）图 像技术有限公司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2" w:right="110"/>
              <w:jc w:val="both"/>
              <w:rPr>
                <w:rFonts w:ascii="宋体" w:hAnsi="宋体" w:cs="宋体" w:eastAsia="宋体" w:hint="default"/>
                <w:sz w:val="18"/>
                <w:szCs w:val="18"/>
              </w:rPr>
            </w:pPr>
            <w:r>
              <w:rPr>
                <w:rFonts w:ascii="宋体" w:hAnsi="宋体" w:cs="宋体" w:eastAsia="宋体" w:hint="default"/>
                <w:sz w:val="18"/>
                <w:szCs w:val="18"/>
              </w:rPr>
              <w:t>主债务履行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26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81"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 w:right="194"/>
              <w:jc w:val="left"/>
              <w:rPr>
                <w:rFonts w:ascii="宋体" w:hAnsi="宋体" w:cs="宋体" w:eastAsia="宋体" w:hint="default"/>
                <w:sz w:val="18"/>
                <w:szCs w:val="18"/>
              </w:rPr>
            </w:pPr>
            <w:r>
              <w:rPr>
                <w:rFonts w:ascii="宋体" w:hAnsi="宋体" w:cs="宋体" w:eastAsia="宋体" w:hint="default"/>
                <w:sz w:val="18"/>
                <w:szCs w:val="18"/>
              </w:rPr>
              <w:t>报告期内对子公司担 保实际发生额合计</w:t>
            </w:r>
          </w:p>
          <w:p>
            <w:pPr>
              <w:pStyle w:val="TableParagraph"/>
              <w:spacing w:line="240" w:lineRule="auto" w:before="20"/>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35"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766.6</w:t>
            </w:r>
          </w:p>
        </w:tc>
      </w:tr>
      <w:tr>
        <w:trPr>
          <w:trHeight w:val="704" w:hRule="exact"/>
        </w:trPr>
        <w:tc>
          <w:tcPr>
            <w:tcW w:w="26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481" w:type="dxa"/>
            <w:gridSpan w:val="2"/>
            <w:vMerge/>
            <w:tcBorders>
              <w:left w:val="single" w:sz="9" w:space="0" w:color="D2D2D2"/>
              <w:right w:val="single" w:sz="13" w:space="0" w:color="D2D2D2"/>
            </w:tcBorders>
          </w:tcPr>
          <w:p>
            <w:pPr/>
          </w:p>
        </w:tc>
        <w:tc>
          <w:tcPr>
            <w:tcW w:w="1846" w:type="dxa"/>
            <w:gridSpan w:val="2"/>
            <w:vMerge/>
            <w:tcBorders>
              <w:left w:val="single" w:sz="4" w:space="0" w:color="000000"/>
              <w:right w:val="single" w:sz="4" w:space="0" w:color="000000"/>
            </w:tcBorders>
            <w:shd w:val="clear" w:color="auto" w:fill="D2D2D2"/>
          </w:tcPr>
          <w:p>
            <w:pPr/>
          </w:p>
        </w:tc>
        <w:tc>
          <w:tcPr>
            <w:tcW w:w="2635" w:type="dxa"/>
            <w:gridSpan w:val="3"/>
            <w:vMerge/>
            <w:tcBorders>
              <w:left w:val="single" w:sz="13" w:space="0" w:color="D2D2D2"/>
              <w:right w:val="single" w:sz="4" w:space="0" w:color="000000"/>
            </w:tcBorders>
          </w:tcPr>
          <w:p>
            <w:pPr/>
          </w:p>
        </w:tc>
      </w:tr>
      <w:tr>
        <w:trPr>
          <w:trHeight w:val="161" w:hRule="exact"/>
        </w:trPr>
        <w:tc>
          <w:tcPr>
            <w:tcW w:w="26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gridSpan w:val="2"/>
            <w:vMerge/>
            <w:tcBorders>
              <w:left w:val="single" w:sz="9" w:space="0" w:color="D2D2D2"/>
              <w:bottom w:val="single" w:sz="4" w:space="0" w:color="000000"/>
              <w:right w:val="single" w:sz="13" w:space="0" w:color="D2D2D2"/>
            </w:tcBorders>
          </w:tcPr>
          <w:p>
            <w:pPr/>
          </w:p>
        </w:tc>
        <w:tc>
          <w:tcPr>
            <w:tcW w:w="1846" w:type="dxa"/>
            <w:gridSpan w:val="2"/>
            <w:vMerge/>
            <w:tcBorders>
              <w:left w:val="single" w:sz="4" w:space="0" w:color="000000"/>
              <w:bottom w:val="single" w:sz="4" w:space="0" w:color="000000"/>
              <w:right w:val="single" w:sz="4" w:space="0" w:color="000000"/>
            </w:tcBorders>
            <w:shd w:val="clear" w:color="auto" w:fill="D2D2D2"/>
          </w:tcPr>
          <w:p>
            <w:pPr/>
          </w:p>
        </w:tc>
        <w:tc>
          <w:tcPr>
            <w:tcW w:w="2635" w:type="dxa"/>
            <w:gridSpan w:val="3"/>
            <w:vMerge/>
            <w:tcBorders>
              <w:left w:val="single" w:sz="13" w:space="0" w:color="D2D2D2"/>
              <w:bottom w:val="single" w:sz="4" w:space="0" w:color="000000"/>
              <w:right w:val="single" w:sz="4" w:space="0" w:color="000000"/>
            </w:tcBorders>
          </w:tcPr>
          <w:p>
            <w:pP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48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14"/>
              <w:jc w:val="left"/>
              <w:rPr>
                <w:rFonts w:ascii="宋体" w:hAnsi="宋体" w:cs="宋体" w:eastAsia="宋体" w:hint="default"/>
                <w:sz w:val="18"/>
                <w:szCs w:val="18"/>
              </w:rPr>
            </w:pPr>
            <w:r>
              <w:rPr>
                <w:rFonts w:ascii="宋体" w:hAnsi="宋体" w:cs="宋体" w:eastAsia="宋体" w:hint="default"/>
                <w:sz w:val="18"/>
                <w:szCs w:val="18"/>
              </w:rPr>
              <w:t>报告期末对子公司实 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3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762.92</w:t>
            </w:r>
          </w:p>
        </w:tc>
      </w:tr>
      <w:tr>
        <w:trPr>
          <w:trHeight w:val="392" w:hRule="exact"/>
        </w:trPr>
        <w:tc>
          <w:tcPr>
            <w:tcW w:w="95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9"/>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8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90,400</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报告期内担保实际发 </w:t>
            </w:r>
            <w:r>
              <w:rPr>
                <w:rFonts w:ascii="宋体" w:hAnsi="宋体" w:cs="宋体" w:eastAsia="宋体" w:hint="default"/>
                <w:spacing w:val="-4"/>
                <w:sz w:val="18"/>
                <w:szCs w:val="18"/>
              </w:rPr>
              <w:t>生额合计（</w:t>
            </w:r>
            <w:r>
              <w:rPr>
                <w:rFonts w:ascii="Times New Roman" w:hAnsi="Times New Roman" w:cs="Times New Roman" w:eastAsia="Times New Roman" w:hint="default"/>
                <w:spacing w:val="-4"/>
                <w:sz w:val="18"/>
                <w:szCs w:val="18"/>
              </w:rPr>
              <w:t>A2+B2+C2</w:t>
            </w:r>
          </w:p>
        </w:tc>
        <w:tc>
          <w:tcPr>
            <w:tcW w:w="1065"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nil" w:sz="6" w:space="0" w:color="auto"/>
              <w:bottom w:val="single" w:sz="4" w:space="0" w:color="000000"/>
              <w:right w:val="nil" w:sz="6" w:space="0" w:color="auto"/>
            </w:tcBorders>
          </w:tcPr>
          <w:p>
            <w:pPr/>
          </w:p>
        </w:tc>
        <w:tc>
          <w:tcPr>
            <w:tcW w:w="7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81,025.58</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81"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188,214</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70"/>
              <w:jc w:val="left"/>
              <w:rPr>
                <w:rFonts w:ascii="宋体" w:hAnsi="宋体" w:cs="宋体" w:eastAsia="宋体" w:hint="default"/>
                <w:sz w:val="18"/>
                <w:szCs w:val="18"/>
              </w:rPr>
            </w:pPr>
            <w:r>
              <w:rPr>
                <w:rFonts w:ascii="宋体" w:hAnsi="宋体" w:cs="宋体" w:eastAsia="宋体" w:hint="default"/>
                <w:sz w:val="18"/>
                <w:szCs w:val="18"/>
              </w:rPr>
              <w:t>报告期末实际担保余 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77,823.3</w:t>
            </w:r>
          </w:p>
        </w:tc>
      </w:tr>
      <w:tr>
        <w:trPr>
          <w:trHeight w:val="407"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4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30.25%</w:t>
            </w:r>
          </w:p>
        </w:tc>
      </w:tr>
      <w:tr>
        <w:trPr>
          <w:trHeight w:val="392" w:hRule="exact"/>
        </w:trPr>
        <w:tc>
          <w:tcPr>
            <w:tcW w:w="95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4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3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4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4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104"/>
        <w:gridCol w:w="4475"/>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 任的情况说明（如有）</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暂时闲置的自有资金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暂时闲置的募集资金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八、社会责任情况" w:id="100"/>
      <w:bookmarkEnd w:id="100"/>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 履行社会责任情况" w:id="101"/>
      <w:bookmarkEnd w:id="101"/>
      <w:r>
        <w:rPr>
          <w:b w:val="0"/>
          <w:bCs w:val="0"/>
        </w:rPr>
      </w:r>
      <w:r>
        <w:rPr>
          <w:rFonts w:ascii="Times New Roman" w:hAnsi="Times New Roman" w:cs="Times New Roman" w:eastAsia="Times New Roman" w:hint="default"/>
        </w:rPr>
        <w:t>1</w:t>
      </w:r>
      <w:r>
        <w:rPr/>
        <w:t>、</w:t>
      </w:r>
      <w:r>
        <w:rPr>
          <w:spacing w:val="-65"/>
        </w:rPr>
        <w:t> </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基于“视觉无处不在、视觉服务中国”公司愿景，公司严格按照相关法律法规的要求，依托公司核心竞争力，积极履行</w:t>
      </w:r>
      <w:r>
        <w:rPr/>
        <w:t> 社会责任，以实际行动回报社会。</w:t>
      </w:r>
    </w:p>
    <w:p>
      <w:pPr>
        <w:pStyle w:val="BodyText"/>
        <w:spacing w:line="309" w:lineRule="auto" w:before="55"/>
        <w:ind w:right="1130" w:firstLine="360"/>
        <w:jc w:val="both"/>
      </w:pPr>
      <w:r>
        <w:rPr/>
        <w:t>视觉中国是全球内容行业最大的数字内容平台之一，与海内外</w:t>
      </w:r>
      <w:r>
        <w:rPr>
          <w:spacing w:val="-43"/>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多万摄影师、艺术家以及</w:t>
      </w:r>
      <w:r>
        <w:rPr>
          <w:spacing w:val="-43"/>
        </w:rPr>
        <w:t> </w:t>
      </w:r>
      <w:r>
        <w:rPr>
          <w:rFonts w:ascii="Times New Roman" w:hAnsi="Times New Roman" w:cs="Times New Roman" w:eastAsia="Times New Roman" w:hint="default"/>
        </w:rPr>
        <w:t>240</w:t>
      </w:r>
      <w:r>
        <w:rPr>
          <w:rFonts w:ascii="Times New Roman" w:hAnsi="Times New Roman" w:cs="Times New Roman" w:eastAsia="Times New Roman" w:hint="default"/>
          <w:spacing w:val="1"/>
        </w:rPr>
        <w:t> </w:t>
      </w:r>
      <w:r>
        <w:rPr/>
        <w:t>余家机构等著作权人合 </w:t>
      </w:r>
      <w:r>
        <w:rPr>
          <w:spacing w:val="-2"/>
        </w:rPr>
        <w:t>作，为全球知名媒体、品牌企业、广告营销和数以百万的社交媒体提供从图片、视频到音乐，从编辑、创意到历史档案等海</w:t>
      </w:r>
      <w:r>
        <w:rPr>
          <w:spacing w:val="-68"/>
        </w:rPr>
        <w:t> </w:t>
      </w:r>
      <w:r>
        <w:rPr>
          <w:spacing w:val="-68"/>
        </w:rPr>
      </w:r>
      <w:r>
        <w:rPr/>
        <w:t>量优质内容。</w:t>
      </w:r>
    </w:p>
    <w:p>
      <w:pPr>
        <w:pStyle w:val="BodyText"/>
        <w:spacing w:line="307" w:lineRule="auto" w:before="64"/>
        <w:ind w:right="1130" w:firstLine="360"/>
        <w:jc w:val="both"/>
      </w:pPr>
      <w:r>
        <w:rPr>
          <w:spacing w:val="-2"/>
        </w:rPr>
        <w:t>作为全球优秀著作权人的服务平台，视觉中国高度重视版权保护工作；公司对版权保护有关司法案件，多次入选法院系</w:t>
      </w:r>
      <w:r>
        <w:rPr/>
        <w:t> 统的知识产权典型案例，受到政府部门的高度评价。</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spacing w:val="-3"/>
        </w:rPr>
        <w:t>日，公司对版权保护的案件入选“</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5"/>
        </w:rPr>
        <w:t> </w:t>
      </w:r>
      <w:r>
        <w:rPr/>
        <w:t>年度北京法院十 </w:t>
      </w:r>
      <w:r>
        <w:rPr>
          <w:spacing w:val="-6"/>
        </w:rPr>
        <w:t>大知识产权创新性典型案例”。</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4"/>
        </w:rPr>
        <w:t>日，公司对版权保护的案例入选“福建省律师知识产权十大典型案例”。公司</w:t>
      </w:r>
      <w:r>
        <w:rPr/>
        <w:t> </w:t>
      </w:r>
      <w:r>
        <w:rPr>
          <w:spacing w:val="-2"/>
        </w:rPr>
        <w:t>在版权保护的技术创新方面积极探索，处于行业领先地位。公司是国内第一家将“可信时间戳”用于图片版权的确权和认证</w:t>
      </w:r>
      <w:r>
        <w:rPr>
          <w:spacing w:val="-66"/>
        </w:rPr>
        <w:t> </w:t>
      </w:r>
      <w:r>
        <w:rPr>
          <w:spacing w:val="-66"/>
        </w:rPr>
      </w:r>
      <w:r>
        <w:rPr>
          <w:spacing w:val="-2"/>
        </w:rPr>
        <w:t>的公司；并基于图像大数据与人工智能技术自行研发了“鹰眼”</w:t>
      </w:r>
      <w:r>
        <w:rPr>
          <w:rFonts w:ascii="Times New Roman" w:hAnsi="Times New Roman" w:cs="Times New Roman" w:eastAsia="Times New Roman" w:hint="default"/>
          <w:spacing w:val="-2"/>
        </w:rPr>
        <w:t>——</w:t>
      </w:r>
      <w:r>
        <w:rPr>
          <w:spacing w:val="-2"/>
        </w:rPr>
        <w:t>图像网络版权保护平台，能够追踪到公司拥有图片在网</w:t>
      </w:r>
      <w:r>
        <w:rPr>
          <w:spacing w:val="-65"/>
        </w:rPr>
        <w:t> </w:t>
      </w:r>
      <w:r>
        <w:rPr>
          <w:spacing w:val="-65"/>
        </w:rPr>
      </w:r>
      <w:r>
        <w:rPr/>
        <w:t>络上的使用情况，大幅降低版权保护的成本，有效的保护了版权人的利益。</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日，公司第二次获得中国版权 </w:t>
      </w:r>
      <w:r>
        <w:rPr>
          <w:spacing w:val="-2"/>
        </w:rPr>
        <w:t>协会颁发的“中国版权年度最具影响力企业”的荣誉。公司也将继续加大版权保护力度，为版权著作权人发声，为推动版权</w:t>
      </w:r>
      <w:r>
        <w:rPr>
          <w:spacing w:val="-66"/>
        </w:rPr>
        <w:t> </w:t>
      </w:r>
      <w:r>
        <w:rPr>
          <w:spacing w:val="-66"/>
        </w:rPr>
      </w:r>
      <w:r>
        <w:rPr/>
        <w:t>事业及文化创意产业健康持久发展做出自己的贡献。</w:t>
      </w:r>
    </w:p>
    <w:p>
      <w:pPr>
        <w:pStyle w:val="BodyText"/>
        <w:spacing w:line="319" w:lineRule="auto" w:before="64"/>
        <w:ind w:right="1130" w:firstLine="360"/>
        <w:jc w:val="both"/>
      </w:pPr>
      <w:r>
        <w:rPr>
          <w:spacing w:val="-2"/>
        </w:rPr>
        <w:t>党的十九大报告指出：高度重视传播手段建设和创新，提高新闻舆论传播力、引导力、影响力、公信力。加强互联网内</w:t>
      </w:r>
      <w:r>
        <w:rPr/>
        <w:t> </w:t>
      </w:r>
      <w:r>
        <w:rPr>
          <w:spacing w:val="-2"/>
        </w:rPr>
        <w:t>容建设，建立网络综合治理体系，营造清朗的网络空间。视觉中国拥有强大的优质视觉内容策划、生产、管理和传播分发能</w:t>
      </w:r>
      <w:r>
        <w:rPr>
          <w:spacing w:val="-66"/>
        </w:rPr>
        <w:t> </w:t>
      </w:r>
      <w:r>
        <w:rPr>
          <w:spacing w:val="-66"/>
        </w:rPr>
      </w:r>
      <w:r>
        <w:rPr>
          <w:spacing w:val="-2"/>
        </w:rPr>
        <w:t>力，以社会主义文艺倡导的“提升文艺原创力，推动文艺创新。倡导讲品位、讲格调、讲责任，抵制低俗、庸俗、媚俗”为</w:t>
      </w:r>
      <w:r>
        <w:rPr>
          <w:spacing w:val="-71"/>
        </w:rPr>
        <w:t> </w:t>
      </w:r>
      <w:r>
        <w:rPr>
          <w:spacing w:val="-71"/>
        </w:rPr>
      </w:r>
      <w:r>
        <w:rPr>
          <w:spacing w:val="-2"/>
        </w:rPr>
        <w:t>宗旨，通过技术创新、资源整合、海内外传播渠道拓展，用图片、视频讲好中国故事，传播正能量，展现真实、立体、全面</w:t>
      </w:r>
      <w:r>
        <w:rPr>
          <w:spacing w:val="-70"/>
        </w:rPr>
        <w:t> </w:t>
      </w:r>
      <w:r>
        <w:rPr>
          <w:spacing w:val="-70"/>
        </w:rPr>
      </w:r>
      <w:r>
        <w:rPr/>
        <w:t>的中国，为提升国际传播能力，提高国家文化软实力作出自己的贡献。</w:t>
      </w:r>
    </w:p>
    <w:p>
      <w:pPr>
        <w:pStyle w:val="BodyText"/>
        <w:spacing w:line="307" w:lineRule="auto" w:before="56"/>
        <w:ind w:right="1023"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2"/>
        </w:rPr>
        <w:t>年，“一带一路”国际合作高峰论坛在北京举行期间，由北京市互联网信息办公室指导，视觉中国、文明杂志社、</w:t>
      </w:r>
      <w:r>
        <w:rPr/>
        <w:t> </w:t>
      </w:r>
      <w:r>
        <w:rPr>
          <w:spacing w:val="-2"/>
        </w:rPr>
        <w:t>首都互联网协会新阅盟联合举办了点亮北京·“一带一路蓝”摄影作品征集活动。高峰论坛期间恰逢晴空万里，蓝天下的北</w:t>
      </w:r>
      <w:r>
        <w:rPr>
          <w:spacing w:val="-65"/>
        </w:rPr>
        <w:t> </w:t>
      </w:r>
      <w:r>
        <w:rPr>
          <w:spacing w:val="-65"/>
        </w:rPr>
      </w:r>
      <w:r>
        <w:rPr>
          <w:spacing w:val="-5"/>
        </w:rPr>
        <w:t>京分外宜人，“一带一路蓝”、“丝路云”以及五彩斑斓的城市景观尽显首都迷人风貌，公司发动和组织摄影师去发现“一带</w:t>
      </w:r>
      <w:r>
        <w:rPr>
          <w:spacing w:val="-77"/>
        </w:rPr>
        <w:t> </w:t>
      </w:r>
      <w:r>
        <w:rPr>
          <w:spacing w:val="-77"/>
        </w:rPr>
      </w:r>
      <w:r>
        <w:rPr>
          <w:spacing w:val="-4"/>
        </w:rPr>
        <w:t>一路”的美景，记录人间胜景与美丽心情，展示中国魅力和时代风貌，彰显中华民族文化自信，带来互联网上的晒美景风潮。</w:t>
      </w:r>
      <w:r>
        <w:rPr>
          <w:spacing w:val="-44"/>
        </w:rPr>
        <w:t> </w:t>
      </w:r>
      <w:r>
        <w:rPr>
          <w:spacing w:val="-44"/>
        </w:rPr>
      </w:r>
      <w:r>
        <w:rPr/>
        <w:t>此外，公司还顺利完成了国资委新闻中心“党员</w:t>
      </w:r>
      <w:r>
        <w:rPr>
          <w:spacing w:val="-72"/>
        </w:rPr>
        <w:t> </w:t>
      </w:r>
      <w:r>
        <w:rPr>
          <w:rFonts w:ascii="Times New Roman" w:hAnsi="Times New Roman" w:cs="Times New Roman" w:eastAsia="Times New Roman" w:hint="default"/>
          <w:spacing w:val="-3"/>
        </w:rPr>
        <w:t>idol</w:t>
      </w:r>
      <w:r>
        <w:rPr>
          <w:spacing w:val="-3"/>
        </w:rPr>
        <w:t>”公益海报项目；九寨沟地震后，发起“心系九寨”公益摄影征集活动；</w:t>
      </w:r>
      <w:r>
        <w:rPr/>
        <w:t> 开展“金砖·厦门”国家峰会公益摄影征集活动；承办向全社会公开征集文明旅游</w:t>
      </w:r>
      <w:r>
        <w:rPr>
          <w:rFonts w:ascii="Times New Roman" w:hAnsi="Times New Roman" w:cs="Times New Roman" w:eastAsia="Times New Roman" w:hint="default"/>
        </w:rPr>
        <w:t>&amp;12301</w:t>
      </w:r>
      <w:r>
        <w:rPr>
          <w:rFonts w:ascii="Times New Roman" w:hAnsi="Times New Roman" w:cs="Times New Roman" w:eastAsia="Times New Roman" w:hint="default"/>
          <w:spacing w:val="3"/>
        </w:rPr>
        <w:t> </w:t>
      </w:r>
      <w:r>
        <w:rPr/>
        <w:t>公益海报和微视频设计大赛等。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1"/>
        </w:rPr>
        <w:t>年，公司将利用自身的优势资源，积极组织“改革开放</w:t>
      </w:r>
      <w:r>
        <w:rPr>
          <w:spacing w:val="-41"/>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14"/>
        </w:rPr>
        <w:t>周年”、“扶贫攻坚”、“一带一路”等重大题材的内容，为构</w:t>
      </w:r>
      <w:r>
        <w:rPr>
          <w:spacing w:val="-82"/>
        </w:rPr>
        <w:t> </w:t>
      </w:r>
      <w:r>
        <w:rPr>
          <w:spacing w:val="-82"/>
        </w:rPr>
      </w:r>
      <w:r>
        <w:rPr/>
        <w:t>建社会主义和谐社会凝心聚力，用影像记录中国崛起的重要进程，为时代留影，为历史存档！</w:t>
      </w:r>
    </w:p>
    <w:p>
      <w:pPr>
        <w:pStyle w:val="BodyText"/>
        <w:spacing w:line="309" w:lineRule="auto" w:before="65"/>
        <w:ind w:right="0"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年起，公司启动“视觉点亮中国”公益计划，以视觉中国为主体，围绕环境、经济、资源、教育、卫生等社会关 </w:t>
      </w:r>
      <w:r>
        <w:rPr>
          <w:spacing w:val="-4"/>
        </w:rPr>
        <w:t>注的公益主题，与积极投入社会责任的企业、机构共同完成公益项目，发现并援助需要帮助的个人及家庭。“视觉点亮中国”</w:t>
      </w:r>
      <w:r>
        <w:rPr>
          <w:spacing w:val="-44"/>
        </w:rPr>
        <w:t> </w:t>
      </w:r>
      <w:r>
        <w:rPr>
          <w:spacing w:val="-44"/>
        </w:rPr>
      </w:r>
      <w:r>
        <w:rPr>
          <w:spacing w:val="-6"/>
        </w:rPr>
        <w:t>公益计划的主题定调为：“视觉点亮中国，温暖每个角落”，将“点亮”</w:t>
      </w:r>
      <w:r>
        <w:rPr/>
        <w:t> 中国公益机构计划作为计划的首要目标。公司将透</w:t>
      </w:r>
      <w:r>
        <w:rPr>
          <w:spacing w:val="-69"/>
        </w:rPr>
        <w:t> </w:t>
      </w:r>
      <w:r>
        <w:rPr>
          <w:spacing w:val="-69"/>
        </w:rPr>
      </w:r>
      <w:r>
        <w:rPr/>
        <w:t>过“视觉内容”和“视觉传播”</w:t>
      </w:r>
      <w:r>
        <w:rPr>
          <w:rFonts w:ascii="Times New Roman" w:hAnsi="Times New Roman" w:cs="Times New Roman" w:eastAsia="Times New Roman" w:hint="default"/>
        </w:rPr>
        <w:t>, </w:t>
      </w:r>
      <w:r>
        <w:rPr>
          <w:spacing w:val="-2"/>
        </w:rPr>
        <w:t>与政府机构、公益基金会及富有社会责任的企业共同合作，“点亮”中国公益机构，将中</w:t>
      </w:r>
      <w:r>
        <w:rPr>
          <w:spacing w:val="-58"/>
        </w:rPr>
        <w:t> </w:t>
      </w:r>
      <w:r>
        <w:rPr>
          <w:spacing w:val="-58"/>
        </w:rPr>
      </w:r>
      <w:r>
        <w:rPr/>
        <w:t>国公益活动的传播效益最大化，从而提高大众参与度。</w:t>
      </w:r>
    </w:p>
    <w:p>
      <w:pPr>
        <w:pStyle w:val="BodyText"/>
        <w:spacing w:line="309" w:lineRule="auto" w:before="62"/>
        <w:ind w:left="154" w:right="1129" w:firstLine="360"/>
        <w:jc w:val="both"/>
      </w:pPr>
      <w:r>
        <w:rPr>
          <w:spacing w:val="-3"/>
        </w:rPr>
        <w:t>员工是公司的核心资源，公司定期组织员工体检。公司监事会</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名监事中有</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名为职工代表监事，通过监事会的运作实 现了对公司的监督，保证了公司职工权益。</w:t>
      </w:r>
      <w:r>
        <w:rPr>
          <w:spacing w:val="8"/>
        </w:rPr>
        <w:t> </w:t>
      </w:r>
      <w:r>
        <w:rPr/>
        <w:t>公司通过报纸和网络公告、电话咨询、公司网站、投资者管理信箱、深交所互</w:t>
      </w:r>
      <w:r>
        <w:rPr/>
        <w:t> 动易和现场调研等多种方式积极与投资者交流。</w:t>
      </w:r>
    </w:p>
    <w:p>
      <w:pPr>
        <w:pStyle w:val="BodyText"/>
        <w:spacing w:line="319" w:lineRule="auto" w:before="62"/>
        <w:ind w:left="154" w:right="1131" w:firstLine="360"/>
        <w:jc w:val="both"/>
      </w:pPr>
      <w:r>
        <w:rPr>
          <w:spacing w:val="-2"/>
        </w:rPr>
        <w:t>视觉中国作为国内专业互联网文创企业，未来也将用更优质的视觉内容服务中国，向社会公众传递正能量。公司将通过</w:t>
      </w:r>
      <w:r>
        <w:rPr/>
        <w:t> </w:t>
      </w:r>
      <w:r>
        <w:rPr>
          <w:spacing w:val="-2"/>
        </w:rPr>
        <w:t>实际行动，更多的关注社会公益和慈善，努力做到经济效益与社会效益、短期利益与长期利益、自身发展与社会发展相互协</w:t>
      </w:r>
      <w:r>
        <w:rPr>
          <w:spacing w:val="-66"/>
        </w:rPr>
        <w:t> </w:t>
      </w:r>
      <w:r>
        <w:rPr>
          <w:spacing w:val="-66"/>
        </w:rPr>
      </w:r>
      <w:r>
        <w:rPr/>
        <w:t>调，实现公司与员工、公司与社会、公司与环境的健康和谐发展。</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353"/>
        <w:jc w:val="left"/>
      </w:pPr>
      <w:r>
        <w:rPr/>
        <w:t>上市公司及其子公司是否属于环境保护部门公布的重点排污单位：否 不适用</w:t>
      </w:r>
    </w:p>
    <w:p>
      <w:pPr>
        <w:pStyle w:val="BodyText"/>
        <w:spacing w:line="237" w:lineRule="exact"/>
        <w:ind w:left="513" w:right="0"/>
        <w:jc w:val="left"/>
      </w:pPr>
      <w:r>
        <w:rPr>
          <w:spacing w:val="-3"/>
        </w:rPr>
        <w:t>基于</w:t>
      </w:r>
      <w:r>
        <w:rPr>
          <w:rFonts w:ascii="Times New Roman" w:hAnsi="Times New Roman" w:cs="Times New Roman" w:eastAsia="Times New Roman" w:hint="default"/>
          <w:spacing w:val="-3"/>
        </w:rPr>
        <w:t>“</w:t>
      </w:r>
      <w:r>
        <w:rPr>
          <w:spacing w:val="-3"/>
        </w:rPr>
        <w:t>视觉无处不在、视觉服务中国</w:t>
      </w:r>
      <w:r>
        <w:rPr>
          <w:rFonts w:ascii="Times New Roman" w:hAnsi="Times New Roman" w:cs="Times New Roman" w:eastAsia="Times New Roman" w:hint="default"/>
          <w:spacing w:val="-3"/>
        </w:rPr>
        <w:t>”</w:t>
      </w:r>
      <w:r>
        <w:rPr>
          <w:spacing w:val="-3"/>
        </w:rPr>
        <w:t>公司愿景，公司严格按照相关法律法规的要求，依托公司核心竞争力诚信守法经营、</w:t>
      </w:r>
    </w:p>
    <w:p>
      <w:pPr>
        <w:pStyle w:val="BodyText"/>
        <w:spacing w:line="316" w:lineRule="auto" w:before="63"/>
        <w:ind w:right="0"/>
        <w:jc w:val="left"/>
      </w:pPr>
      <w:r>
        <w:rPr>
          <w:spacing w:val="-2"/>
        </w:rPr>
        <w:t>注重节约资源、强化环境保护，坚持走绿色健康发展道路，以实际行动回报社会。公司主营业务、经营模式、上下游产业链</w:t>
      </w:r>
      <w:r>
        <w:rPr>
          <w:spacing w:val="-67"/>
        </w:rPr>
        <w:t> </w:t>
      </w:r>
      <w:r>
        <w:rPr>
          <w:spacing w:val="-67"/>
        </w:rPr>
      </w:r>
      <w:r>
        <w:rPr/>
        <w:t>均为绿色环保健康产业，报告期内，公司未以临时报告的形式披露环境信息内容</w:t>
      </w:r>
      <w:r>
        <w:rPr>
          <w:spacing w:val="-16"/>
        </w:rPr>
        <w:t> </w:t>
      </w:r>
      <w:r>
        <w:rPr/>
        <w:t>。</w:t>
      </w:r>
    </w:p>
    <w:p>
      <w:pPr>
        <w:spacing w:line="240" w:lineRule="auto" w:before="10"/>
        <w:rPr>
          <w:rFonts w:ascii="宋体" w:hAnsi="宋体" w:cs="宋体" w:eastAsia="宋体" w:hint="default"/>
          <w:sz w:val="20"/>
          <w:szCs w:val="20"/>
        </w:rPr>
      </w:pPr>
    </w:p>
    <w:p>
      <w:pPr>
        <w:pStyle w:val="Heading2"/>
        <w:spacing w:line="240" w:lineRule="auto"/>
        <w:ind w:left="154" w:right="0"/>
        <w:jc w:val="both"/>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4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公司主要股东的股权质押情况，详见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 </w:t>
      </w:r>
      <w:r>
        <w:rPr>
          <w:spacing w:val="-3"/>
        </w:rPr>
        <w:t>日、</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17</w:t>
      </w:r>
      <w:r>
        <w:rPr>
          <w:spacing w:val="-3"/>
        </w:rPr>
        <w:t>日、</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12</w:t>
      </w:r>
      <w:r>
        <w:rPr>
          <w:spacing w:val="-3"/>
        </w:rPr>
        <w:t>日披露的《股东部分股份质押公告》、《股东部分股份解除质押的公告》，公告编号分别为</w:t>
      </w:r>
      <w:r>
        <w:rPr>
          <w:rFonts w:ascii="Times New Roman" w:hAnsi="Times New Roman" w:cs="Times New Roman" w:eastAsia="Times New Roman" w:hint="default"/>
          <w:spacing w:val="-3"/>
        </w:rPr>
        <w:t>2017-004</w:t>
      </w:r>
      <w:r>
        <w:rPr>
          <w:spacing w:val="-3"/>
        </w:rPr>
        <w:t>、</w:t>
      </w:r>
      <w:r>
        <w:rPr>
          <w:spacing w:val="-44"/>
        </w:rPr>
        <w:t> </w:t>
      </w:r>
      <w:r>
        <w:rPr>
          <w:rFonts w:ascii="Times New Roman" w:hAnsi="Times New Roman" w:cs="Times New Roman" w:eastAsia="Times New Roman" w:hint="default"/>
        </w:rPr>
        <w:t>2017-036</w:t>
      </w:r>
      <w:r>
        <w:rPr/>
        <w:t>、</w:t>
      </w:r>
      <w:r>
        <w:rPr>
          <w:rFonts w:ascii="Times New Roman" w:hAnsi="Times New Roman" w:cs="Times New Roman" w:eastAsia="Times New Roman" w:hint="default"/>
        </w:rPr>
        <w:t>2017-046</w:t>
      </w:r>
      <w:r>
        <w:rPr/>
        <w:t>、</w:t>
      </w:r>
      <w:r>
        <w:rPr>
          <w:rFonts w:ascii="Times New Roman" w:hAnsi="Times New Roman" w:cs="Times New Roman" w:eastAsia="Times New Roman" w:hint="default"/>
        </w:rPr>
        <w:t>2017-050</w:t>
      </w:r>
      <w:r>
        <w:rPr/>
        <w:t>、</w:t>
      </w:r>
      <w:r>
        <w:rPr>
          <w:rFonts w:ascii="Times New Roman" w:hAnsi="Times New Roman" w:cs="Times New Roman" w:eastAsia="Times New Roman" w:hint="default"/>
        </w:rPr>
        <w:t>2017-052</w:t>
      </w:r>
      <w:r>
        <w:rPr/>
        <w:t>、</w:t>
      </w:r>
      <w:r>
        <w:rPr>
          <w:rFonts w:ascii="Times New Roman" w:hAnsi="Times New Roman" w:cs="Times New Roman" w:eastAsia="Times New Roman" w:hint="default"/>
        </w:rPr>
        <w:t>2017-062</w:t>
      </w:r>
      <w:r>
        <w:rPr/>
        <w:t>、</w:t>
      </w:r>
      <w:r>
        <w:rPr>
          <w:rFonts w:ascii="Times New Roman" w:hAnsi="Times New Roman" w:cs="Times New Roman" w:eastAsia="Times New Roman" w:hint="default"/>
        </w:rPr>
        <w:t>2017-063</w:t>
      </w:r>
      <w:r>
        <w:rPr/>
        <w:t>、</w:t>
      </w:r>
      <w:r>
        <w:rPr>
          <w:rFonts w:ascii="Times New Roman" w:hAnsi="Times New Roman" w:cs="Times New Roman" w:eastAsia="Times New Roman" w:hint="default"/>
        </w:rPr>
        <w:t>2017-067</w:t>
      </w:r>
      <w:r>
        <w:rPr/>
        <w:t>、</w:t>
      </w:r>
      <w:r>
        <w:rPr>
          <w:rFonts w:ascii="Times New Roman" w:hAnsi="Times New Roman" w:cs="Times New Roman" w:eastAsia="Times New Roman" w:hint="default"/>
        </w:rPr>
        <w:t>2017-068</w:t>
      </w:r>
      <w:r>
        <w:rPr/>
        <w:t>、</w:t>
      </w:r>
      <w:r>
        <w:rPr>
          <w:rFonts w:ascii="Times New Roman" w:hAnsi="Times New Roman" w:cs="Times New Roman" w:eastAsia="Times New Roman" w:hint="default"/>
        </w:rPr>
        <w:t>2017-081</w:t>
      </w:r>
      <w:r>
        <w:rPr/>
        <w:t>。</w:t>
      </w:r>
    </w:p>
    <w:p>
      <w:pPr>
        <w:pStyle w:val="BodyText"/>
        <w:spacing w:line="300" w:lineRule="auto" w:before="13"/>
        <w:ind w:right="1098"/>
        <w:jc w:val="both"/>
      </w:pPr>
      <w:r>
        <w:rPr>
          <w:rFonts w:ascii="Times New Roman" w:hAnsi="Times New Roman" w:cs="Times New Roman" w:eastAsia="Times New Roman" w:hint="default"/>
        </w:rPr>
        <w:t>2. </w:t>
      </w:r>
      <w:r>
        <w:rPr/>
        <w:t>公司申请发行超短期融资券及中期票据情况。公司拟向中国银行间市场交易商协会申请注册发行超短期融资券及中期票</w:t>
      </w:r>
      <w:r>
        <w:rPr>
          <w:spacing w:val="-49"/>
        </w:rPr>
        <w:t> </w:t>
      </w:r>
      <w:r>
        <w:rPr>
          <w:spacing w:val="-49"/>
        </w:rPr>
      </w:r>
      <w:r>
        <w:rPr/>
        <w:t>据。该事项已通过第八届董事会第二十七次会议及</w:t>
      </w:r>
      <w:r>
        <w:rPr>
          <w:rFonts w:ascii="Times New Roman" w:hAnsi="Times New Roman" w:cs="Times New Roman" w:eastAsia="Times New Roman" w:hint="default"/>
        </w:rPr>
        <w:t>2016</w:t>
      </w:r>
      <w:r>
        <w:rPr/>
        <w:t>年年度股东大会审议，详见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日披露的《第八届董事会第</w:t>
      </w:r>
      <w:r>
        <w:rPr>
          <w:spacing w:val="-82"/>
        </w:rPr>
        <w:t> </w:t>
      </w:r>
      <w:r>
        <w:rPr>
          <w:spacing w:val="-82"/>
        </w:rPr>
      </w:r>
      <w:r>
        <w:rPr/>
        <w:t>二十七次会议决议公告》（公告编号</w:t>
      </w:r>
      <w:r>
        <w:rPr>
          <w:rFonts w:ascii="Times New Roman" w:hAnsi="Times New Roman" w:cs="Times New Roman" w:eastAsia="Times New Roman" w:hint="default"/>
        </w:rPr>
        <w:t>2017-030</w:t>
      </w:r>
      <w:r>
        <w:rPr/>
        <w:t>）、《关于申请发行超短期融资券的公告》（公告编号</w:t>
      </w:r>
      <w:r>
        <w:rPr>
          <w:rFonts w:ascii="Times New Roman" w:hAnsi="Times New Roman" w:cs="Times New Roman" w:eastAsia="Times New Roman" w:hint="default"/>
        </w:rPr>
        <w:t>2017-032</w:t>
      </w:r>
      <w:r>
        <w:rPr/>
        <w:t>）、《关于申 </w:t>
      </w:r>
      <w:r>
        <w:rPr>
          <w:spacing w:val="-8"/>
        </w:rPr>
        <w:t>请发行中期票据的公告》（公告编号</w:t>
      </w:r>
      <w:r>
        <w:rPr>
          <w:rFonts w:ascii="Times New Roman" w:hAnsi="Times New Roman" w:cs="Times New Roman" w:eastAsia="Times New Roman" w:hint="default"/>
          <w:spacing w:val="-8"/>
        </w:rPr>
        <w:t>2017-033</w:t>
      </w:r>
      <w:r>
        <w:rPr>
          <w:spacing w:val="-8"/>
        </w:rPr>
        <w:t>），</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6</w:t>
      </w:r>
      <w:r>
        <w:rPr>
          <w:spacing w:val="-8"/>
        </w:rPr>
        <w:t>月</w:t>
      </w:r>
      <w:r>
        <w:rPr>
          <w:rFonts w:ascii="Times New Roman" w:hAnsi="Times New Roman" w:cs="Times New Roman" w:eastAsia="Times New Roman" w:hint="default"/>
          <w:spacing w:val="-8"/>
        </w:rPr>
        <w:t>2</w:t>
      </w:r>
      <w:r>
        <w:rPr>
          <w:spacing w:val="-8"/>
        </w:rPr>
        <w:t>日披露的《</w:t>
      </w:r>
      <w:r>
        <w:rPr>
          <w:rFonts w:ascii="Times New Roman" w:hAnsi="Times New Roman" w:cs="Times New Roman" w:eastAsia="Times New Roman" w:hint="default"/>
          <w:spacing w:val="-8"/>
        </w:rPr>
        <w:t>2016</w:t>
      </w:r>
      <w:r>
        <w:rPr>
          <w:spacing w:val="-8"/>
        </w:rPr>
        <w:t>年年度股东大会决议公告》（公告编号</w:t>
      </w:r>
      <w:r>
        <w:rPr>
          <w:rFonts w:ascii="Times New Roman" w:hAnsi="Times New Roman" w:cs="Times New Roman" w:eastAsia="Times New Roman" w:hint="default"/>
          <w:spacing w:val="-8"/>
        </w:rPr>
        <w:t>2017-038</w:t>
      </w:r>
      <w:r>
        <w:rPr>
          <w:spacing w:val="-8"/>
        </w:rPr>
        <w:t>）。</w:t>
      </w:r>
      <w:r>
        <w:rPr>
          <w:spacing w:val="-61"/>
        </w:rPr>
        <w:t> </w:t>
      </w:r>
      <w:r>
        <w:rPr>
          <w:rFonts w:ascii="Times New Roman" w:hAnsi="Times New Roman" w:cs="Times New Roman" w:eastAsia="Times New Roman" w:hint="default"/>
        </w:rPr>
        <w:t>3.  </w:t>
      </w:r>
      <w:r>
        <w:rPr>
          <w:spacing w:val="11"/>
        </w:rPr>
        <w:t>使用节余募集资金及利息收入永久补充流动资金事项。公司拟将</w:t>
      </w:r>
      <w:r>
        <w:rPr>
          <w:spacing w:val="-58"/>
        </w:rPr>
        <w:t> </w:t>
      </w:r>
      <w:r>
        <w:rPr>
          <w:rFonts w:ascii="Times New Roman" w:hAnsi="Times New Roman" w:cs="Times New Roman" w:eastAsia="Times New Roman" w:hint="default"/>
          <w:spacing w:val="9"/>
        </w:rPr>
        <w:t>2015</w:t>
      </w:r>
      <w:r>
        <w:rPr>
          <w:spacing w:val="9"/>
        </w:rPr>
        <w:t>年非公开发行募集资金投资项目节余资金约</w:t>
      </w:r>
    </w:p>
    <w:p>
      <w:pPr>
        <w:pStyle w:val="BodyText"/>
        <w:spacing w:line="300" w:lineRule="auto" w:before="13"/>
        <w:ind w:right="1099"/>
        <w:jc w:val="both"/>
      </w:pPr>
      <w:r>
        <w:rPr>
          <w:rFonts w:ascii="Times New Roman" w:hAnsi="Times New Roman" w:cs="Times New Roman" w:eastAsia="Times New Roman" w:hint="default"/>
        </w:rPr>
        <w:t>17,421.31</w:t>
      </w:r>
      <w:r>
        <w:rPr>
          <w:rFonts w:ascii="Times New Roman" w:hAnsi="Times New Roman" w:cs="Times New Roman" w:eastAsia="Times New Roman" w:hint="default"/>
          <w:spacing w:val="40"/>
        </w:rPr>
        <w:t> </w:t>
      </w:r>
      <w:r>
        <w:rPr/>
        <w:t>万元（含利息收入，具体金额以资金转出当日银行结息余额为准），为上市公司永久补充流动资金。该事项已通</w:t>
      </w:r>
      <w:r>
        <w:rPr>
          <w:spacing w:val="-84"/>
        </w:rPr>
        <w:t> </w:t>
      </w:r>
      <w:r>
        <w:rPr>
          <w:spacing w:val="-84"/>
        </w:rPr>
      </w:r>
      <w:r>
        <w:rPr/>
        <w:t>过第八届董事会第二十八次会议及</w:t>
      </w:r>
      <w:r>
        <w:rPr>
          <w:rFonts w:ascii="Times New Roman" w:hAnsi="Times New Roman" w:cs="Times New Roman" w:eastAsia="Times New Roman" w:hint="default"/>
        </w:rPr>
        <w:t>2017</w:t>
      </w:r>
      <w:r>
        <w:rPr/>
        <w:t>年第三次临时股东大会审议，详见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日披露的《第八届董事会第二十八次</w:t>
      </w:r>
      <w:r>
        <w:rPr>
          <w:spacing w:val="-83"/>
        </w:rPr>
        <w:t> </w:t>
      </w:r>
      <w:r>
        <w:rPr>
          <w:spacing w:val="-83"/>
        </w:rPr>
      </w:r>
      <w:r>
        <w:rPr>
          <w:spacing w:val="-9"/>
        </w:rPr>
        <w:t>会议决议公告》（公告编号</w:t>
      </w:r>
      <w:r>
        <w:rPr>
          <w:rFonts w:ascii="Times New Roman" w:hAnsi="Times New Roman" w:cs="Times New Roman" w:eastAsia="Times New Roman" w:hint="default"/>
          <w:spacing w:val="-9"/>
        </w:rPr>
        <w:t>2017-039</w:t>
      </w:r>
      <w:r>
        <w:rPr>
          <w:spacing w:val="-9"/>
        </w:rPr>
        <w:t>）、《关于使用节余募集资金及利息收入永久补充流动资金的公告》（公告编号</w:t>
      </w:r>
      <w:r>
        <w:rPr>
          <w:rFonts w:ascii="Times New Roman" w:hAnsi="Times New Roman" w:cs="Times New Roman" w:eastAsia="Times New Roman" w:hint="default"/>
          <w:spacing w:val="-9"/>
        </w:rPr>
        <w:t>2017-041</w:t>
      </w:r>
      <w:r>
        <w:rPr>
          <w:spacing w:val="-9"/>
        </w:rPr>
        <w:t>），</w:t>
      </w:r>
      <w:r>
        <w:rPr>
          <w:spacing w:val="-38"/>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日披露的《</w:t>
      </w:r>
      <w:r>
        <w:rPr>
          <w:rFonts w:ascii="Times New Roman" w:hAnsi="Times New Roman" w:cs="Times New Roman" w:eastAsia="Times New Roman" w:hint="default"/>
        </w:rPr>
        <w:t>2017</w:t>
      </w:r>
      <w:r>
        <w:rPr/>
        <w:t>年第三次临时股东大会决议公告》（公告编号</w:t>
      </w:r>
      <w:r>
        <w:rPr>
          <w:rFonts w:ascii="Times New Roman" w:hAnsi="Times New Roman" w:cs="Times New Roman" w:eastAsia="Times New Roman" w:hint="default"/>
        </w:rPr>
        <w:t>2017-049</w:t>
      </w:r>
      <w:r>
        <w:rPr/>
        <w:t>）。</w:t>
      </w:r>
    </w:p>
    <w:p>
      <w:pPr>
        <w:pStyle w:val="BodyText"/>
        <w:spacing w:line="300" w:lineRule="auto" w:before="13"/>
        <w:ind w:left="154" w:right="111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公司募集资金专项账户销户完成。截至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日，公司设立的七个募集资金专项账户的销户手续已全部办理完毕， 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日披露的《关于公司募集资金专项账户销户完成的公告》（公告编号</w:t>
      </w:r>
      <w:r>
        <w:rPr>
          <w:rFonts w:ascii="Times New Roman" w:hAnsi="Times New Roman" w:cs="Times New Roman" w:eastAsia="Times New Roman" w:hint="default"/>
        </w:rPr>
        <w:t>2017-066</w:t>
      </w:r>
      <w:r>
        <w:rPr/>
        <w:t>）。</w:t>
      </w:r>
    </w:p>
    <w:p>
      <w:pPr>
        <w:pStyle w:val="BodyText"/>
        <w:spacing w:line="300" w:lineRule="auto" w:before="13"/>
        <w:ind w:right="112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公司限售股解禁情况。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日，黄厄文等</w:t>
      </w:r>
      <w:r>
        <w:rPr>
          <w:rFonts w:ascii="Times New Roman" w:hAnsi="Times New Roman" w:cs="Times New Roman" w:eastAsia="Times New Roman" w:hint="default"/>
        </w:rPr>
        <w:t>7</w:t>
      </w:r>
      <w:r>
        <w:rPr/>
        <w:t>名自然人在资产重组时所作的股份限售承诺到期，</w:t>
      </w:r>
      <w:r>
        <w:rPr>
          <w:rFonts w:ascii="Times New Roman" w:hAnsi="Times New Roman" w:cs="Times New Roman" w:eastAsia="Times New Roman" w:hint="default"/>
        </w:rPr>
        <w:t>7</w:t>
      </w:r>
      <w:r>
        <w:rPr/>
        <w:t>名自然人共持限售 </w:t>
      </w:r>
      <w:r>
        <w:rPr>
          <w:spacing w:val="-2"/>
        </w:rPr>
        <w:t>股份</w:t>
      </w:r>
      <w:r>
        <w:rPr>
          <w:rFonts w:ascii="Times New Roman" w:hAnsi="Times New Roman" w:cs="Times New Roman" w:eastAsia="Times New Roman" w:hint="default"/>
          <w:spacing w:val="-2"/>
        </w:rPr>
        <w:t>83,196,845</w:t>
      </w:r>
      <w:r>
        <w:rPr>
          <w:spacing w:val="-2"/>
        </w:rPr>
        <w:t>股，持股比例合计</w:t>
      </w:r>
      <w:r>
        <w:rPr>
          <w:rFonts w:ascii="Times New Roman" w:hAnsi="Times New Roman" w:cs="Times New Roman" w:eastAsia="Times New Roman" w:hint="default"/>
          <w:spacing w:val="-2"/>
        </w:rPr>
        <w:t>11.88%</w:t>
      </w:r>
      <w:r>
        <w:rPr>
          <w:spacing w:val="-2"/>
        </w:rPr>
        <w:t>。持股比例在</w:t>
      </w:r>
      <w:r>
        <w:rPr>
          <w:rFonts w:ascii="Times New Roman" w:hAnsi="Times New Roman" w:cs="Times New Roman" w:eastAsia="Times New Roman" w:hint="default"/>
          <w:spacing w:val="-2"/>
        </w:rPr>
        <w:t>5%</w:t>
      </w:r>
      <w:r>
        <w:rPr>
          <w:spacing w:val="-2"/>
        </w:rPr>
        <w:t>以上的股东黄厄文持股</w:t>
      </w:r>
      <w:r>
        <w:rPr>
          <w:rFonts w:ascii="Times New Roman" w:hAnsi="Times New Roman" w:cs="Times New Roman" w:eastAsia="Times New Roman" w:hint="default"/>
          <w:spacing w:val="-2"/>
        </w:rPr>
        <w:t>60,143,474</w:t>
      </w:r>
      <w:r>
        <w:rPr>
          <w:spacing w:val="-2"/>
        </w:rPr>
        <w:t>股，持股比例</w:t>
      </w:r>
      <w:r>
        <w:rPr>
          <w:rFonts w:ascii="Times New Roman" w:hAnsi="Times New Roman" w:cs="Times New Roman" w:eastAsia="Times New Roman" w:hint="default"/>
          <w:spacing w:val="-2"/>
        </w:rPr>
        <w:t>8.58%</w:t>
      </w:r>
      <w:r>
        <w:rPr>
          <w:spacing w:val="-2"/>
        </w:rPr>
        <w:t>。上述限售股</w:t>
      </w:r>
      <w:r>
        <w:rPr>
          <w:spacing w:val="-39"/>
        </w:rPr>
        <w:t> </w:t>
      </w:r>
      <w:r>
        <w:rPr>
          <w:spacing w:val="-39"/>
        </w:rPr>
      </w:r>
      <w:r>
        <w:rPr/>
        <w:t>份可上市流通日期为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日披露的《关于部分限售股份解除限售的提示性公告》（公告编号</w:t>
      </w:r>
      <w:r>
        <w:rPr>
          <w:spacing w:val="-6"/>
        </w:rPr>
        <w:t> </w:t>
      </w:r>
      <w:r>
        <w:rPr>
          <w:spacing w:val="-6"/>
        </w:rPr>
      </w:r>
      <w:r>
        <w:rPr>
          <w:rFonts w:ascii="Times New Roman" w:hAnsi="Times New Roman" w:cs="Times New Roman" w:eastAsia="Times New Roman" w:hint="default"/>
        </w:rPr>
        <w:t>2017-044</w:t>
      </w:r>
      <w:r>
        <w:rPr/>
        <w:t>）。</w:t>
      </w:r>
    </w:p>
    <w:p>
      <w:pPr>
        <w:pStyle w:val="BodyText"/>
        <w:spacing w:line="300" w:lineRule="auto" w:before="13"/>
        <w:ind w:right="104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转让艾特凡斯股权事项。公司拟将艾特凡斯</w:t>
      </w:r>
      <w:r>
        <w:rPr>
          <w:rFonts w:ascii="Times New Roman" w:hAnsi="Times New Roman" w:cs="Times New Roman" w:eastAsia="Times New Roman" w:hint="default"/>
        </w:rPr>
        <w:t>100%</w:t>
      </w:r>
      <w:r>
        <w:rPr/>
        <w:t>股权转让给洛克互娱智能科技有限公司，交易对价为</w:t>
      </w:r>
      <w:r>
        <w:rPr>
          <w:rFonts w:ascii="Times New Roman" w:hAnsi="Times New Roman" w:cs="Times New Roman" w:eastAsia="Times New Roman" w:hint="default"/>
        </w:rPr>
        <w:t>14,500</w:t>
      </w:r>
      <w:r>
        <w:rPr/>
        <w:t>万元人民币。 </w:t>
      </w:r>
      <w:r>
        <w:rPr>
          <w:spacing w:val="-2"/>
        </w:rPr>
        <w:t>该事项已通过第八届董事会第二十九次会议审议通过。截止本报告日，艾特凡斯已完成工商变更登记手续。详见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4"/>
        </w:rPr>
        <w:t> </w:t>
      </w:r>
      <w:r>
        <w:rPr/>
        <w:t>日披露的《第八届董事会第二十九次会议决议公告》（公告编号</w:t>
      </w:r>
      <w:r>
        <w:rPr>
          <w:rFonts w:ascii="Times New Roman" w:hAnsi="Times New Roman" w:cs="Times New Roman" w:eastAsia="Times New Roman" w:hint="default"/>
        </w:rPr>
        <w:t>2017-051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日披露的《关于转让全资子公司</w:t>
      </w:r>
      <w:r>
        <w:rPr>
          <w:spacing w:val="-56"/>
        </w:rPr>
        <w:t> </w:t>
      </w:r>
      <w:r>
        <w:rPr>
          <w:spacing w:val="-56"/>
        </w:rPr>
      </w:r>
      <w:r>
        <w:rPr/>
        <w:t>完成工商变更登记的公告》（公告编号</w:t>
      </w:r>
      <w:r>
        <w:rPr>
          <w:rFonts w:ascii="Times New Roman" w:hAnsi="Times New Roman" w:cs="Times New Roman" w:eastAsia="Times New Roman" w:hint="default"/>
        </w:rPr>
        <w:t>2017-060</w:t>
      </w:r>
      <w:r>
        <w:rPr/>
        <w:t>）。</w:t>
      </w:r>
    </w:p>
    <w:p>
      <w:pPr>
        <w:pStyle w:val="BodyText"/>
        <w:spacing w:line="300" w:lineRule="auto" w:before="13"/>
        <w:ind w:right="1129"/>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t>变更办公地址、注册地址及经营范围事项。公司变更了办公地址、注册地址并增加了经营范围，详见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日披</w:t>
      </w:r>
      <w:r>
        <w:rPr>
          <w:spacing w:val="-79"/>
        </w:rPr>
        <w:t> </w:t>
      </w:r>
      <w:r>
        <w:rPr>
          <w:spacing w:val="-1"/>
        </w:rPr>
        <w:t>露的《关于变更公司办公地址的公告》（公告编号</w:t>
      </w:r>
      <w:r>
        <w:rPr>
          <w:rFonts w:ascii="Times New Roman" w:hAnsi="Times New Roman" w:cs="Times New Roman" w:eastAsia="Times New Roman" w:hint="default"/>
          <w:spacing w:val="-1"/>
        </w:rPr>
        <w:t>2017-075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日披露的《关于变更注册地址、增加经营范围</w:t>
      </w:r>
      <w:r>
        <w:rPr>
          <w:spacing w:val="-83"/>
        </w:rPr>
        <w:t> </w:t>
      </w:r>
      <w:r>
        <w:rPr>
          <w:spacing w:val="-83"/>
        </w:rPr>
      </w:r>
      <w:r>
        <w:rPr/>
        <w:t>并修订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2017-079</w:t>
      </w:r>
      <w:r>
        <w:rPr/>
        <w:t>）。</w:t>
      </w:r>
    </w:p>
    <w:p>
      <w:pPr>
        <w:spacing w:after="0" w:line="300"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重大投资行为：</w:t>
      </w:r>
    </w:p>
    <w:p>
      <w:pPr>
        <w:pStyle w:val="BodyText"/>
        <w:spacing w:line="300" w:lineRule="auto" w:before="63"/>
        <w:ind w:right="1130"/>
        <w:jc w:val="left"/>
      </w:pPr>
      <w:r>
        <w:rPr/>
        <w:t>（</w:t>
      </w:r>
      <w:r>
        <w:rPr>
          <w:rFonts w:ascii="Times New Roman" w:hAnsi="Times New Roman" w:cs="Times New Roman" w:eastAsia="Times New Roman" w:hint="default"/>
        </w:rPr>
        <w:t>1</w:t>
      </w:r>
      <w:r>
        <w:rPr/>
        <w:t>）全资子公司远东文化以</w:t>
      </w:r>
      <w:r>
        <w:rPr>
          <w:rFonts w:ascii="Times New Roman" w:hAnsi="Times New Roman" w:cs="Times New Roman" w:eastAsia="Times New Roman" w:hint="default"/>
        </w:rPr>
        <w:t>1,200</w:t>
      </w:r>
      <w:r>
        <w:rPr/>
        <w:t>万元受让辽宁华盖安泰企业管理中心（有限合伙）少数股东权益。详见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日披</w:t>
      </w:r>
      <w:r>
        <w:rPr>
          <w:spacing w:val="-42"/>
        </w:rPr>
        <w:t> </w:t>
      </w:r>
      <w:r>
        <w:rPr/>
        <w:t>露的《第八届董事会第二十五次会议决议公告》（公告编号</w:t>
      </w:r>
      <w:r>
        <w:rPr>
          <w:rFonts w:ascii="Times New Roman" w:hAnsi="Times New Roman" w:cs="Times New Roman" w:eastAsia="Times New Roman" w:hint="default"/>
        </w:rPr>
        <w:t>2017-012</w:t>
      </w:r>
      <w:r>
        <w:rPr/>
        <w:t>）。</w:t>
      </w:r>
    </w:p>
    <w:p>
      <w:pPr>
        <w:pStyle w:val="BodyText"/>
        <w:spacing w:line="300" w:lineRule="auto" w:before="13"/>
        <w:ind w:right="1132"/>
        <w:jc w:val="left"/>
      </w:pPr>
      <w:r>
        <w:rPr>
          <w:spacing w:val="-1"/>
        </w:rPr>
        <w:t>（</w:t>
      </w:r>
      <w:r>
        <w:rPr>
          <w:rFonts w:ascii="Times New Roman" w:hAnsi="Times New Roman" w:cs="Times New Roman" w:eastAsia="Times New Roman" w:hint="default"/>
          <w:spacing w:val="-1"/>
        </w:rPr>
        <w:t>2</w:t>
      </w:r>
      <w:r>
        <w:rPr>
          <w:spacing w:val="-1"/>
        </w:rPr>
        <w:t>）全资子公司远东文化以自筹资金人民币</w:t>
      </w:r>
      <w:r>
        <w:rPr>
          <w:rFonts w:ascii="Times New Roman" w:hAnsi="Times New Roman" w:cs="Times New Roman" w:eastAsia="Times New Roman" w:hint="default"/>
          <w:spacing w:val="-1"/>
        </w:rPr>
        <w:t>11,000</w:t>
      </w:r>
      <w:r>
        <w:rPr>
          <w:spacing w:val="-1"/>
        </w:rPr>
        <w:t>万元收购广东易教优培教育科技有限公司</w:t>
      </w:r>
      <w:r>
        <w:rPr>
          <w:rFonts w:ascii="Times New Roman" w:hAnsi="Times New Roman" w:cs="Times New Roman" w:eastAsia="Times New Roman" w:hint="default"/>
          <w:spacing w:val="-1"/>
        </w:rPr>
        <w:t>35%</w:t>
      </w:r>
      <w:r>
        <w:rPr>
          <w:spacing w:val="-1"/>
        </w:rPr>
        <w:t>股份。详见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16</w:t>
      </w:r>
      <w:r>
        <w:rPr>
          <w:spacing w:val="-1"/>
        </w:rPr>
        <w:t>日</w:t>
      </w:r>
      <w:r>
        <w:rPr>
          <w:spacing w:val="-38"/>
        </w:rPr>
        <w:t> </w:t>
      </w:r>
      <w:r>
        <w:rPr/>
        <w:t>披露的《第八届董事会第二十七次会议决议公告》（公告编号</w:t>
      </w:r>
      <w:r>
        <w:rPr>
          <w:rFonts w:ascii="Times New Roman" w:hAnsi="Times New Roman" w:cs="Times New Roman" w:eastAsia="Times New Roman" w:hint="default"/>
        </w:rPr>
        <w:t>2017-030</w:t>
      </w:r>
      <w:r>
        <w:rPr/>
        <w:t>）。</w:t>
      </w:r>
    </w:p>
    <w:p>
      <w:pPr>
        <w:pStyle w:val="BodyText"/>
        <w:spacing w:line="240" w:lineRule="auto" w:before="1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签订战略合作协议情况。</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月公司全资子公司视觉中国集团控股有限公司与深圳市腾讯计算机系统有限公司签订了</w:t>
      </w:r>
    </w:p>
    <w:p>
      <w:pPr>
        <w:pStyle w:val="BodyText"/>
        <w:spacing w:line="300" w:lineRule="auto" w:before="63"/>
        <w:ind w:left="154" w:right="1129"/>
        <w:jc w:val="both"/>
      </w:pPr>
      <w:r>
        <w:rPr/>
        <w:t>《战略合作协议》，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月公司全资二级子公司汉华易美（天津）图像技术有限公司与百度在线网络技术（北京）有限</w:t>
      </w:r>
      <w:r>
        <w:rPr>
          <w:spacing w:val="-83"/>
        </w:rPr>
        <w:t> </w:t>
      </w:r>
      <w:r>
        <w:rPr>
          <w:spacing w:val="-83"/>
        </w:rPr>
      </w:r>
      <w:r>
        <w:rPr/>
        <w:t>公司签订了《战略合作协议》，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月汉华易美（天津）图像技术有限公司与中国新闻社下设公司北京中新雅视文化发</w:t>
      </w:r>
      <w:r>
        <w:rPr>
          <w:spacing w:val="-83"/>
        </w:rPr>
        <w:t> </w:t>
      </w:r>
      <w:r>
        <w:rPr>
          <w:spacing w:val="-83"/>
        </w:rPr>
      </w:r>
      <w:r>
        <w:rPr/>
        <w:t>展有限公司签订了《战略合作协议》。详见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日披露的《关于与腾讯网媒签订战略合作协议的公告》（公告编号</w:t>
      </w:r>
      <w:r>
        <w:rPr>
          <w:spacing w:val="-83"/>
        </w:rPr>
        <w:t> </w:t>
      </w:r>
      <w:r>
        <w:rPr>
          <w:spacing w:val="-83"/>
        </w:rPr>
      </w:r>
      <w:r>
        <w:rPr>
          <w:rFonts w:ascii="Times New Roman" w:hAnsi="Times New Roman" w:cs="Times New Roman" w:eastAsia="Times New Roman" w:hint="default"/>
        </w:rPr>
        <w:t>2017-005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日披露的《关于与百度签订战略合作协议的公告》（公告编号</w:t>
      </w:r>
      <w:r>
        <w:rPr>
          <w:rFonts w:ascii="Times New Roman" w:hAnsi="Times New Roman" w:cs="Times New Roman" w:eastAsia="Times New Roman" w:hint="default"/>
        </w:rPr>
        <w:t>2017-013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日披露的</w:t>
      </w:r>
    </w:p>
    <w:p>
      <w:pPr>
        <w:pStyle w:val="BodyText"/>
        <w:spacing w:line="240" w:lineRule="auto" w:before="13"/>
        <w:ind w:right="0"/>
        <w:jc w:val="left"/>
      </w:pPr>
      <w:r>
        <w:rPr/>
        <w:t>《关于与中新社签订战略合作协议的公告》（公告编号</w:t>
      </w:r>
      <w:r>
        <w:rPr>
          <w:rFonts w:ascii="Times New Roman" w:hAnsi="Times New Roman" w:cs="Times New Roman" w:eastAsia="Times New Roman" w:hint="default"/>
        </w:rPr>
        <w:t>2017-037</w:t>
      </w:r>
      <w:r>
        <w:rPr/>
        <w:t>）。</w:t>
      </w:r>
    </w:p>
    <w:p>
      <w:pPr>
        <w:pStyle w:val="BodyText"/>
        <w:spacing w:line="302" w:lineRule="auto" w:before="63"/>
        <w:ind w:right="1041"/>
        <w:jc w:val="left"/>
      </w:pPr>
      <w:r>
        <w:rPr>
          <w:rFonts w:ascii="Times New Roman" w:hAnsi="Times New Roman" w:cs="Times New Roman" w:eastAsia="Times New Roman" w:hint="default"/>
        </w:rPr>
        <w:t>3. </w:t>
      </w:r>
      <w:r>
        <w:rPr/>
        <w:t>收购联景国际事项进展。</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日，公司第八届董事会第十七次会议审议通过了全资子公司华夏视觉</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信息技</w:t>
      </w:r>
      <w:r>
        <w:rPr>
          <w:spacing w:val="-73"/>
        </w:rPr>
        <w:t> </w:t>
      </w:r>
      <w:r>
        <w:rPr>
          <w:spacing w:val="-73"/>
        </w:rPr>
      </w:r>
      <w:r>
        <w:rPr/>
        <w:t>术有限公司（以下简称</w:t>
      </w:r>
      <w:r>
        <w:rPr>
          <w:rFonts w:ascii="Times New Roman" w:hAnsi="Times New Roman" w:cs="Times New Roman" w:eastAsia="Times New Roman" w:hint="default"/>
        </w:rPr>
        <w:t>“</w:t>
      </w:r>
      <w:r>
        <w:rPr/>
        <w:t>华夏视觉天津</w:t>
      </w:r>
      <w:r>
        <w:rPr>
          <w:rFonts w:ascii="Times New Roman" w:hAnsi="Times New Roman" w:cs="Times New Roman" w:eastAsia="Times New Roman" w:hint="default"/>
        </w:rPr>
        <w:t>”</w:t>
      </w:r>
      <w:r>
        <w:rPr/>
        <w:t>）以承债式收购的方式收购常州天博投资管理中心（有限合伙）（以下简称</w:t>
      </w:r>
      <w:r>
        <w:rPr>
          <w:rFonts w:ascii="Times New Roman" w:hAnsi="Times New Roman" w:cs="Times New Roman" w:eastAsia="Times New Roman" w:hint="default"/>
        </w:rPr>
        <w:t>“</w:t>
      </w:r>
      <w:r>
        <w:rPr/>
        <w:t>常州天</w:t>
      </w:r>
      <w:r>
        <w:rPr>
          <w:spacing w:val="-54"/>
        </w:rPr>
        <w:t> </w:t>
      </w:r>
      <w:r>
        <w:rPr/>
        <w:t>博</w:t>
      </w:r>
      <w:r>
        <w:rPr>
          <w:rFonts w:ascii="Times New Roman" w:hAnsi="Times New Roman" w:cs="Times New Roman" w:eastAsia="Times New Roman" w:hint="default"/>
        </w:rPr>
        <w:t>”</w:t>
      </w:r>
      <w:r>
        <w:rPr/>
        <w:t>）持有的联景国际有限公司（以下简称</w:t>
      </w:r>
      <w:r>
        <w:rPr>
          <w:rFonts w:ascii="Times New Roman" w:hAnsi="Times New Roman" w:cs="Times New Roman" w:eastAsia="Times New Roman" w:hint="default"/>
        </w:rPr>
        <w:t>“</w:t>
      </w:r>
      <w:r>
        <w:rPr/>
        <w:t>联景国际</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股权。同时，审议通过了拟为华夏视觉天津和联景国际提供担 保事宜，额度为不超过</w:t>
      </w:r>
      <w:r>
        <w:rPr>
          <w:rFonts w:ascii="Times New Roman" w:hAnsi="Times New Roman" w:cs="Times New Roman" w:eastAsia="Times New Roman" w:hint="default"/>
        </w:rPr>
        <w:t>4</w:t>
      </w:r>
      <w:r>
        <w:rPr/>
        <w:t>亿元人民币，并授权管理层在上述额度区间内选择银行等金融机构进行授信担保合作并签署相关协</w:t>
      </w:r>
      <w:r>
        <w:rPr>
          <w:spacing w:val="-83"/>
        </w:rPr>
        <w:t> </w:t>
      </w:r>
      <w:r>
        <w:rPr>
          <w:spacing w:val="-83"/>
        </w:rPr>
      </w:r>
      <w:r>
        <w:rPr/>
        <w:t>议。上述事项于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日通过公司</w:t>
      </w:r>
      <w:r>
        <w:rPr>
          <w:rFonts w:ascii="Times New Roman" w:hAnsi="Times New Roman" w:cs="Times New Roman" w:eastAsia="Times New Roman" w:hint="default"/>
        </w:rPr>
        <w:t>2016</w:t>
      </w:r>
      <w:r>
        <w:rPr/>
        <w:t>年第二次临时股东大会审议。根据收购协议约定，上述收购事项正式生效，据</w:t>
      </w:r>
      <w:r>
        <w:rPr>
          <w:spacing w:val="-83"/>
        </w:rPr>
        <w:t> </w:t>
      </w:r>
      <w:r>
        <w:rPr>
          <w:spacing w:val="-83"/>
        </w:rPr>
      </w:r>
      <w:r>
        <w:rPr/>
        <w:t>此，</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月，基于本次收购协议安排，常州天博及视觉中国分别与上海银行股份有限公司浦西支行签订了《最高额保证</w:t>
      </w:r>
      <w:r>
        <w:rPr>
          <w:spacing w:val="-83"/>
        </w:rPr>
        <w:t> </w:t>
      </w:r>
      <w:r>
        <w:rPr>
          <w:spacing w:val="-83"/>
        </w:rPr>
      </w:r>
      <w:r>
        <w:rPr>
          <w:spacing w:val="-2"/>
        </w:rPr>
        <w:t>合同》，共同为华夏视觉提供连带责任保证，担保金额不超过</w:t>
      </w:r>
      <w:r>
        <w:rPr>
          <w:rFonts w:ascii="Times New Roman" w:hAnsi="Times New Roman" w:cs="Times New Roman" w:eastAsia="Times New Roman" w:hint="default"/>
          <w:spacing w:val="-2"/>
        </w:rPr>
        <w:t>3</w:t>
      </w:r>
      <w:r>
        <w:rPr>
          <w:spacing w:val="-2"/>
        </w:rPr>
        <w:t>亿元人民币，用于支持华夏视觉为联景国际的融资进行担保。</w:t>
      </w:r>
      <w:r>
        <w:rPr>
          <w:spacing w:val="-64"/>
        </w:rPr>
        <w:t> </w:t>
      </w:r>
      <w:r>
        <w:rPr>
          <w:spacing w:val="-64"/>
        </w:rPr>
      </w:r>
      <w:r>
        <w:rPr>
          <w:spacing w:val="-2"/>
        </w:rPr>
        <w:t>由于受国家最新相关政策影响，关于联景国际股权转让的交割手续正在进行中。详见《视觉中国：第八届董事第十七次会议</w:t>
      </w:r>
      <w:r>
        <w:rPr>
          <w:spacing w:val="-66"/>
        </w:rPr>
        <w:t> </w:t>
      </w:r>
      <w:r>
        <w:rPr>
          <w:spacing w:val="-66"/>
        </w:rPr>
      </w:r>
      <w:r>
        <w:rPr>
          <w:spacing w:val="-2"/>
        </w:rPr>
        <w:t>决议公告》（公告编号</w:t>
      </w:r>
      <w:r>
        <w:rPr>
          <w:rFonts w:ascii="Times New Roman" w:hAnsi="Times New Roman" w:cs="Times New Roman" w:eastAsia="Times New Roman" w:hint="default"/>
          <w:spacing w:val="-2"/>
        </w:rPr>
        <w:t>2016-058</w:t>
      </w:r>
      <w:r>
        <w:rPr>
          <w:spacing w:val="-2"/>
        </w:rPr>
        <w:t>）、《视觉中国：关于全资子公司收购联景国际有限公司</w:t>
      </w:r>
      <w:r>
        <w:rPr>
          <w:rFonts w:ascii="Times New Roman" w:hAnsi="Times New Roman" w:cs="Times New Roman" w:eastAsia="Times New Roman" w:hint="default"/>
          <w:spacing w:val="-2"/>
        </w:rPr>
        <w:t>100%</w:t>
      </w:r>
      <w:r>
        <w:rPr>
          <w:spacing w:val="-2"/>
        </w:rPr>
        <w:t>股权暨关联交易的公告》（公</w:t>
      </w:r>
      <w:r>
        <w:rPr>
          <w:spacing w:val="-85"/>
        </w:rPr>
        <w:t> </w:t>
      </w:r>
      <w:r>
        <w:rPr>
          <w:spacing w:val="-85"/>
        </w:rPr>
      </w:r>
      <w:r>
        <w:rPr/>
        <w:t>告编号</w:t>
      </w:r>
      <w:r>
        <w:rPr>
          <w:rFonts w:ascii="Times New Roman" w:hAnsi="Times New Roman" w:cs="Times New Roman" w:eastAsia="Times New Roman" w:hint="default"/>
        </w:rPr>
        <w:t>2016-060</w:t>
      </w:r>
      <w:r>
        <w:rPr/>
        <w:t>）、《视觉中国：关于为全资子公司提供担保及全资子公司互保额度的公告》（公告编号</w:t>
      </w:r>
      <w:r>
        <w:rPr>
          <w:rFonts w:ascii="Times New Roman" w:hAnsi="Times New Roman" w:cs="Times New Roman" w:eastAsia="Times New Roman" w:hint="default"/>
        </w:rPr>
        <w:t>2016-062</w:t>
      </w:r>
      <w:r>
        <w:rPr/>
        <w:t>）《视觉 中国：</w:t>
      </w:r>
      <w:r>
        <w:rPr>
          <w:rFonts w:ascii="Times New Roman" w:hAnsi="Times New Roman" w:cs="Times New Roman" w:eastAsia="Times New Roman" w:hint="default"/>
        </w:rPr>
        <w:t>2016</w:t>
      </w:r>
      <w:r>
        <w:rPr/>
        <w:t>年第二次临时股东大会决议公告》（公告编号</w:t>
      </w:r>
      <w:r>
        <w:rPr>
          <w:rFonts w:ascii="Times New Roman" w:hAnsi="Times New Roman" w:cs="Times New Roman" w:eastAsia="Times New Roman" w:hint="default"/>
        </w:rPr>
        <w:t>2016-075</w:t>
      </w:r>
      <w:r>
        <w:rPr/>
        <w:t>）。</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046"/>
        <w:gridCol w:w="824"/>
        <w:gridCol w:w="823"/>
        <w:gridCol w:w="580"/>
        <w:gridCol w:w="709"/>
        <w:gridCol w:w="961"/>
        <w:gridCol w:w="998"/>
        <w:gridCol w:w="1019"/>
        <w:gridCol w:w="793"/>
      </w:tblGrid>
      <w:tr>
        <w:trPr>
          <w:trHeight w:val="402"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9" w:type="dxa"/>
            <w:vMerge/>
            <w:tcBorders>
              <w:left w:val="single" w:sz="4" w:space="0" w:color="000000"/>
              <w:right w:val="single" w:sz="4" w:space="0" w:color="000000"/>
            </w:tcBorders>
            <w:shd w:val="clear" w:color="auto" w:fill="D2D2D2"/>
          </w:tcPr>
          <w:p>
            <w:pPr/>
          </w:p>
        </w:tc>
        <w:tc>
          <w:tcPr>
            <w:tcW w:w="9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8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61" w:type="dxa"/>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503,901,958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71.93%</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420,705,113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13,912,450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13,912,450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489,989,508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69.94%</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406,792,663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18,752,772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18,752,772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471,236,736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67.26%</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-83,196,845</w:t>
            </w:r>
            <w:r>
              <w:rPr>
                <w:rFonts w:ascii="Times New Roman"/>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388,039,891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196,675,478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28.07%</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83,196,845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83,196,845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279,872,323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196,675,478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28.07%</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83,196,845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83,196,845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279,872,323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39.95%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700,577,436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700,577,436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319"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日，黄厄文等</w:t>
      </w:r>
      <w:r>
        <w:rPr>
          <w:rFonts w:ascii="Times New Roman" w:hAnsi="Times New Roman" w:cs="Times New Roman" w:eastAsia="Times New Roman" w:hint="default"/>
        </w:rPr>
        <w:t>7</w:t>
      </w:r>
      <w:r>
        <w:rPr/>
        <w:t>名自然人在</w:t>
      </w:r>
      <w:r>
        <w:rPr>
          <w:rFonts w:ascii="Times New Roman" w:hAnsi="Times New Roman" w:cs="Times New Roman" w:eastAsia="Times New Roman" w:hint="default"/>
        </w:rPr>
        <w:t>2014</w:t>
      </w:r>
      <w:r>
        <w:rPr/>
        <w:t>年资产重组时所作的股份限售承诺到期，</w:t>
      </w:r>
      <w:r>
        <w:rPr>
          <w:rFonts w:ascii="Times New Roman" w:hAnsi="Times New Roman" w:cs="Times New Roman" w:eastAsia="Times New Roman" w:hint="default"/>
        </w:rPr>
        <w:t>7</w:t>
      </w:r>
      <w:r>
        <w:rPr/>
        <w:t>名自然人共持限售股份</w:t>
      </w:r>
      <w:r>
        <w:rPr>
          <w:rFonts w:ascii="Times New Roman" w:hAnsi="Times New Roman" w:cs="Times New Roman" w:eastAsia="Times New Roman" w:hint="default"/>
        </w:rPr>
        <w:t>83,196,845</w:t>
      </w:r>
      <w:r>
        <w:rPr/>
        <w:t>股， 持股比例合计</w:t>
      </w:r>
      <w:r>
        <w:rPr>
          <w:rFonts w:ascii="Times New Roman" w:hAnsi="Times New Roman" w:cs="Times New Roman" w:eastAsia="Times New Roman" w:hint="default"/>
        </w:rPr>
        <w:t>11.88%</w:t>
      </w:r>
      <w:r>
        <w:rPr/>
        <w:t>。上述限售股份可上市流通日期为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w:t>
      </w:r>
    </w:p>
    <w:p>
      <w:pPr>
        <w:pStyle w:val="BodyText"/>
        <w:spacing w:line="240" w:lineRule="auto" w:before="38"/>
        <w:ind w:right="0"/>
        <w:jc w:val="left"/>
      </w:pPr>
      <w:r>
        <w:rPr/>
        <w:t>股份变动的批准情况</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1"/>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349"/>
        <w:gridCol w:w="1628"/>
        <w:gridCol w:w="1560"/>
        <w:gridCol w:w="1349"/>
        <w:gridCol w:w="1349"/>
        <w:gridCol w:w="169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1"/>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60,143,474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60,143,474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谢志辉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7,436,115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6,528,985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6,528,985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王广平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马文佳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张向宁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喻建军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661,145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661,145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83,196,845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83,196,845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509.636993pt;margin-top:70.511726pt;width:52.15pt;height:31.2pt;mso-position-horizontal-relative:page;mso-position-vertical-relative:paragraph;z-index:-1031296" type="#_x0000_t202" filled="false" stroked="false">
            <v:textbox inset="0,0,0,0">
              <w:txbxContent>
                <w:p>
                  <w:pPr>
                    <w:pStyle w:val="BodyText"/>
                    <w:spacing w:line="207" w:lineRule="exact"/>
                    <w:ind w:left="0" w:right="0"/>
                    <w:jc w:val="left"/>
                  </w:pPr>
                  <w:r>
                    <w:rPr/>
                    <w:t>）</w:t>
                  </w:r>
                </w:p>
              </w:txbxContent>
            </v:textbox>
            <w10:wrap type="none"/>
          </v:shape>
        </w:pict>
      </w:r>
      <w:r>
        <w:rPr/>
        <w:pict>
          <v:group style="position:absolute;margin-left:403pt;margin-top:50.381721pt;width:43.1pt;height:20.7pt;mso-position-horizontal-relative:page;mso-position-vertical-relative:paragraph;z-index:-1031272" coordorigin="8060,1008" coordsize="862,414">
            <v:group style="position:absolute;left:8071;top:1019;width:2;height:392" coordorigin="8071,1019" coordsize="2,392">
              <v:shape style="position:absolute;left:8071;top:1019;width:2;height:392" coordorigin="8071,1019" coordsize="0,392" path="m8071,1019l8071,1410e" filled="false" stroked="true" strokeweight="1.140pt" strokecolor="#ffffff">
                <v:path arrowok="t"/>
              </v:shape>
            </v:group>
            <v:group style="position:absolute;left:8083;top:1019;width:840;height:392" coordorigin="8083,1019" coordsize="840,392">
              <v:shape style="position:absolute;left:8083;top:1019;width:840;height:392" coordorigin="8083,1019" coordsize="840,392" path="m8083,1410l8922,1410,8922,1019,8083,1019,8083,1410xe" filled="true" fillcolor="#ffffff" stroked="false">
                <v:path arrowok="t"/>
                <v:fill type="solid"/>
              </v:shape>
            </v:group>
            <w10:wrap type="none"/>
          </v:group>
        </w:pict>
      </w:r>
      <w:r>
        <w:rPr/>
        <w:pict>
          <v:group style="position:absolute;margin-left:515.820007pt;margin-top:70.511726pt;width:46pt;height:31.2pt;mso-position-horizontal-relative:page;mso-position-vertical-relative:paragraph;z-index:-1031248" coordorigin="10316,1410" coordsize="920,624">
            <v:shape style="position:absolute;left:10316;top:1410;width:920;height:624" coordorigin="10316,1410" coordsize="920,624" path="m10316,2034l11236,2034,11236,1410,10316,1410,10316,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1196"/>
        <w:gridCol w:w="1327"/>
        <w:gridCol w:w="1295"/>
        <w:gridCol w:w="1900"/>
        <w:gridCol w:w="908"/>
        <w:gridCol w:w="1349"/>
        <w:gridCol w:w="929"/>
      </w:tblGrid>
      <w:tr>
        <w:trPr>
          <w:trHeight w:val="165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25,742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29,187</w:t>
            </w:r>
          </w:p>
        </w:tc>
        <w:tc>
          <w:tcPr>
            <w:tcW w:w="1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65"/>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5"/>
                <w:sz w:val="18"/>
                <w:szCs w:val="18"/>
              </w:rPr>
              <w:t>优先股股东总数（如有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772" w:val="left" w:leader="none"/>
              </w:tabs>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7"/>
                <w:sz w:val="18"/>
                <w:szCs w:val="18"/>
              </w:rPr>
              <w:t>股东总数（如有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1008"/>
        <w:gridCol w:w="992"/>
        <w:gridCol w:w="994"/>
        <w:gridCol w:w="708"/>
        <w:gridCol w:w="283"/>
        <w:gridCol w:w="661"/>
        <w:gridCol w:w="331"/>
        <w:gridCol w:w="1428"/>
      </w:tblGrid>
      <w:tr>
        <w:trPr>
          <w:trHeight w:val="402" w:hRule="exact"/>
        </w:trPr>
        <w:tc>
          <w:tcPr>
            <w:tcW w:w="100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3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9" w:right="47"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420" w:type="dxa"/>
            <w:gridSpan w:val="3"/>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5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7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97,912,627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97,912,627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44,760,000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89,161,290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56,351,000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89,161,290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89,161,290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52,550,000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49,762,128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49,762,128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41,500,000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-29,396,674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30,746,800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27,500,000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30,610,125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30,610,125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29,000,000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常州服装集团有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16,102,425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16,102,425</w:t>
            </w:r>
          </w:p>
        </w:tc>
        <w:tc>
          <w:tcPr>
            <w:tcW w:w="661" w:type="dxa"/>
            <w:tcBorders>
              <w:top w:val="single" w:sz="4" w:space="0" w:color="000000"/>
              <w:left w:val="single" w:sz="4" w:space="0" w:color="000000"/>
              <w:bottom w:val="single" w:sz="4" w:space="0" w:color="000000"/>
              <w:right w:val="single" w:sz="4" w:space="0" w:color="000000"/>
            </w:tcBorders>
          </w:tcPr>
          <w:p>
            <w:pPr/>
          </w:p>
        </w:tc>
        <w:tc>
          <w:tcPr>
            <w:tcW w:w="1759"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14,830,762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14,830,762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4" w:space="0" w:color="000000"/>
              <w:left w:val="single" w:sz="4" w:space="0" w:color="000000"/>
              <w:bottom w:val="single" w:sz="4" w:space="0" w:color="000000"/>
              <w:right w:val="single" w:sz="4" w:space="0" w:color="000000"/>
            </w:tcBorders>
          </w:tcPr>
          <w:p>
            <w:pPr/>
          </w:p>
        </w:tc>
        <w:tc>
          <w:tcPr>
            <w:tcW w:w="175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常州产业投资集 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12,868,633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5,938,400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6,930,233</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5" w:right="0"/>
              <w:jc w:val="left"/>
              <w:rPr>
                <w:rFonts w:ascii="Times New Roman" w:hAnsi="Times New Roman" w:cs="Times New Roman" w:eastAsia="Times New Roman" w:hint="default"/>
                <w:sz w:val="18"/>
                <w:szCs w:val="18"/>
              </w:rPr>
            </w:pPr>
            <w:r>
              <w:rPr>
                <w:rFonts w:ascii="Times New Roman"/>
                <w:sz w:val="18"/>
              </w:rPr>
              <w:t>12,868,633</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陕西省国际信托 股份有限公司－ 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金元宝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 </w:t>
            </w:r>
            <w:r>
              <w:rPr>
                <w:rFonts w:ascii="宋体" w:hAnsi="宋体" w:cs="宋体" w:eastAsia="宋体" w:hint="default"/>
                <w:sz w:val="18"/>
                <w:szCs w:val="18"/>
              </w:rPr>
              <w:t>号证券投资集合 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8,000,000</w:t>
            </w:r>
          </w:p>
        </w:tc>
        <w:tc>
          <w:tcPr>
            <w:tcW w:w="661" w:type="dxa"/>
            <w:tcBorders>
              <w:top w:val="single" w:sz="4" w:space="0" w:color="000000"/>
              <w:left w:val="single" w:sz="4" w:space="0" w:color="000000"/>
              <w:bottom w:val="single" w:sz="4" w:space="0" w:color="000000"/>
              <w:right w:val="single" w:sz="4" w:space="0" w:color="000000"/>
            </w:tcBorders>
          </w:tcPr>
          <w:p>
            <w:pPr/>
          </w:p>
        </w:tc>
        <w:tc>
          <w:tcPr>
            <w:tcW w:w="175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195"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95" w:type="dxa"/>
            <w:gridSpan w:val="9"/>
            <w:vMerge w:val="restart"/>
            <w:tcBorders>
              <w:top w:val="single" w:sz="4" w:space="0" w:color="000000"/>
              <w:left w:val="single" w:sz="10" w:space="0" w:color="D2D2D2"/>
              <w:right w:val="single" w:sz="4" w:space="0" w:color="000000"/>
            </w:tcBorders>
          </w:tcPr>
          <w:p>
            <w:pPr>
              <w:pStyle w:val="TableParagraph"/>
              <w:spacing w:line="319" w:lineRule="auto" w:before="51"/>
              <w:ind w:left="15" w:right="-7"/>
              <w:jc w:val="both"/>
              <w:rPr>
                <w:rFonts w:ascii="宋体" w:hAnsi="宋体" w:cs="宋体" w:eastAsia="宋体" w:hint="default"/>
                <w:sz w:val="18"/>
                <w:szCs w:val="18"/>
              </w:rPr>
            </w:pPr>
            <w:r>
              <w:rPr>
                <w:rFonts w:ascii="宋体" w:hAnsi="宋体" w:cs="宋体" w:eastAsia="宋体" w:hint="default"/>
                <w:spacing w:val="-1"/>
                <w:sz w:val="18"/>
                <w:szCs w:val="18"/>
              </w:rPr>
              <w:t>吴春红、廖道训、吴玉瑞、柴继军、姜海林、陈智华同为公司实际控制人（即十名一致行动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人范围内）。常州产业投资集团有限公司、常州服装集团有限公司实际控制人同为江苏省常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州市国资委，为公司战略投资者。</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195" w:type="dxa"/>
            <w:gridSpan w:val="9"/>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95" w:type="dxa"/>
            <w:gridSpan w:val="9"/>
            <w:vMerge/>
            <w:tcBorders>
              <w:left w:val="single" w:sz="10" w:space="0" w:color="D2D2D2"/>
              <w:bottom w:val="single" w:sz="4" w:space="0" w:color="000000"/>
              <w:right w:val="single" w:sz="4" w:space="0" w:color="000000"/>
            </w:tcBorders>
          </w:tcPr>
          <w:p>
            <w:pPr/>
          </w:p>
        </w:tc>
      </w:tr>
      <w:tr>
        <w:trPr>
          <w:trHeight w:val="402" w:hRule="exact"/>
        </w:trPr>
        <w:tc>
          <w:tcPr>
            <w:tcW w:w="100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49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9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8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4"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4491" w:type="dxa"/>
            <w:gridSpan w:val="5"/>
            <w:vMerge/>
            <w:tcBorders>
              <w:left w:val="single" w:sz="4" w:space="0" w:color="000000"/>
              <w:bottom w:val="nil" w:sz="6" w:space="0" w:color="auto"/>
              <w:right w:val="single" w:sz="4" w:space="0" w:color="000000"/>
            </w:tcBorders>
            <w:shd w:val="clear" w:color="auto" w:fill="D2D2D2"/>
          </w:tcPr>
          <w:p>
            <w:pPr/>
          </w:p>
        </w:tc>
        <w:tc>
          <w:tcPr>
            <w:tcW w:w="1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49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gridSpan w:val="3"/>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黄厄文</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30,746,800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30,746,800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常州服装集团有限公司</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16,102,425</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16,102,425</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金元宝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号证券投资集合资金 信托计划</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6,930,233</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6,930,233</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主题行业混合型证券投资基金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44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6,800,020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6,800,020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4491"/>
        <w:gridCol w:w="1276"/>
        <w:gridCol w:w="1447"/>
      </w:tblGrid>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持盈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号证券投资集合资金信 托计划</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鄢秀平</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4,820,000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王晓春</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4,000,000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广东粤财信托有限公司－粤财信托</w:t>
            </w:r>
          </w:p>
          <w:p>
            <w:pPr>
              <w:pStyle w:val="TableParagraph"/>
              <w:spacing w:line="302" w:lineRule="auto" w:before="76"/>
              <w:ind w:left="22" w:right="146"/>
              <w:jc w:val="left"/>
              <w:rPr>
                <w:rFonts w:ascii="宋体" w:hAnsi="宋体" w:cs="宋体" w:eastAsia="宋体" w:hint="default"/>
                <w:sz w:val="18"/>
                <w:szCs w:val="18"/>
              </w:rPr>
            </w:pPr>
            <w:r>
              <w:rPr>
                <w:rFonts w:ascii="宋体" w:hAnsi="宋体" w:cs="宋体" w:eastAsia="宋体" w:hint="default"/>
                <w:sz w:val="18"/>
                <w:szCs w:val="18"/>
              </w:rPr>
              <w:t>－创盈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号结构化证券投资集合资 金信托计划</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秦弦</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3,969,100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21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 w:right="-19"/>
              <w:jc w:val="both"/>
              <w:rPr>
                <w:rFonts w:ascii="宋体" w:hAnsi="宋体" w:cs="宋体" w:eastAsia="宋体" w:hint="default"/>
                <w:sz w:val="18"/>
                <w:szCs w:val="18"/>
              </w:rPr>
            </w:pPr>
            <w:r>
              <w:rPr>
                <w:rFonts w:ascii="宋体" w:hAnsi="宋体" w:cs="宋体" w:eastAsia="宋体" w:hint="default"/>
                <w:sz w:val="18"/>
                <w:szCs w:val="18"/>
              </w:rPr>
              <w:t>常州产业投资集团有限公司、常州服装集团有限公司实际控制人同为江苏省常州市国资委。 无法得知其他股东关联关系。公司未知其他前十名股东之间是否存在关联关系，也未知是否 属于《上市公司信息披露管理办法》中规定的一致行动人。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14"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40"/>
        <w:jc w:val="right"/>
      </w:pPr>
      <w:r>
        <w:rPr/>
        <w:pict>
          <v:shape style="position:absolute;margin-left:56.459999pt;margin-top:-221.968292pt;width:479.2pt;height:29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169"/>
                    <w:gridCol w:w="3982"/>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4"/>
                            <w:sz w:val="18"/>
                            <w:szCs w:val="18"/>
                          </w:rPr>
                          <w:t>柴继军为公司董事、副总裁、总编辑、董秘。其他自然人股东均未在公司任职</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吴春红、廖道训、吴玉瑞、姜海林、袁闯、梁世平间接控制中国智能交通系统</w:t>
                        </w:r>
                      </w:p>
                      <w:p>
                        <w:pPr>
                          <w:pStyle w:val="TableParagraph"/>
                          <w:spacing w:line="302" w:lineRule="auto" w:before="76"/>
                          <w:ind w:left="23" w:right="21"/>
                          <w:jc w:val="left"/>
                          <w:rPr>
                            <w:rFonts w:ascii="宋体" w:hAnsi="宋体" w:cs="宋体" w:eastAsia="宋体" w:hint="default"/>
                            <w:sz w:val="18"/>
                            <w:szCs w:val="18"/>
                          </w:rPr>
                        </w:pPr>
                        <w:r>
                          <w:rPr>
                            <w:rFonts w:ascii="宋体" w:hAnsi="宋体" w:cs="宋体" w:eastAsia="宋体" w:hint="default"/>
                            <w:spacing w:val="-5"/>
                            <w:w w:val="99"/>
                            <w:sz w:val="18"/>
                            <w:szCs w:val="18"/>
                          </w:rPr>
                          <w:t>（控股）有限公司（</w:t>
                        </w:r>
                        <w:r>
                          <w:rPr>
                            <w:rFonts w:ascii="Times New Roman" w:hAnsi="Times New Roman" w:cs="Times New Roman" w:eastAsia="Times New Roman" w:hint="default"/>
                            <w:spacing w:val="-5"/>
                            <w:w w:val="99"/>
                            <w:sz w:val="18"/>
                            <w:szCs w:val="18"/>
                          </w:rPr>
                          <w:t>HK.1900</w:t>
                        </w:r>
                        <w:r>
                          <w:rPr>
                            <w:rFonts w:ascii="宋体" w:hAnsi="宋体" w:cs="宋体" w:eastAsia="宋体" w:hint="default"/>
                            <w:spacing w:val="-5"/>
                            <w:w w:val="99"/>
                            <w:sz w:val="18"/>
                            <w:szCs w:val="18"/>
                          </w:rPr>
                          <w:t>）。李学凌直接持有纳斯达克上市公司欢聚时代科</w:t>
                        </w:r>
                        <w:r>
                          <w:rPr>
                            <w:rFonts w:ascii="宋体" w:hAnsi="宋体" w:cs="宋体" w:eastAsia="宋体" w:hint="default"/>
                            <w:spacing w:val="-54"/>
                            <w:w w:val="99"/>
                            <w:sz w:val="18"/>
                            <w:szCs w:val="18"/>
                          </w:rPr>
                          <w:t> </w:t>
                        </w:r>
                        <w:r>
                          <w:rPr>
                            <w:rFonts w:ascii="宋体" w:hAnsi="宋体" w:cs="宋体" w:eastAsia="宋体" w:hint="default"/>
                            <w:spacing w:val="-54"/>
                            <w:w w:val="99"/>
                            <w:sz w:val="18"/>
                            <w:szCs w:val="18"/>
                          </w:rPr>
                        </w: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YY.O</w:t>
                        </w:r>
                        <w:r>
                          <w:rPr>
                            <w:rFonts w:ascii="宋体" w:hAnsi="宋体" w:cs="宋体" w:eastAsia="宋体" w:hint="default"/>
                            <w:sz w:val="18"/>
                            <w:szCs w:val="18"/>
                          </w:rPr>
                          <w:t>）</w:t>
                        </w:r>
                        <w:r>
                          <w:rPr>
                            <w:rFonts w:ascii="Times New Roman" w:hAnsi="Times New Roman" w:cs="Times New Roman" w:eastAsia="Times New Roman" w:hint="default"/>
                            <w:sz w:val="18"/>
                            <w:szCs w:val="18"/>
                          </w:rPr>
                          <w:t>17.46%</w:t>
                        </w:r>
                        <w:r>
                          <w:rPr>
                            <w:rFonts w:ascii="宋体" w:hAnsi="宋体" w:cs="宋体" w:eastAsia="宋体" w:hint="default"/>
                            <w:sz w:val="18"/>
                            <w:szCs w:val="18"/>
                          </w:rPr>
                          <w:t>股份，并任职董事会主席。</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138"/>
        <w:jc w:val="right"/>
      </w:pPr>
      <w:r>
        <w:rPr/>
        <w:pict>
          <v:shape style="position:absolute;margin-left:56.459999pt;margin-top:-221.998291pt;width:479.2pt;height:293.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1994"/>
                    <w:gridCol w:w="4247"/>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吴春红</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吴玉瑞</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李学凌</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梁世平</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袁闯</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姜海林</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陈智华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柴继军为公司董事、副总裁、总编辑、董秘。其他自然人股东均未在公司任职</w:t>
                        </w:r>
                      </w:p>
                    </w:tc>
                  </w:tr>
                  <w:tr>
                    <w:trPr>
                      <w:trHeight w:val="10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吴春红、廖道训、吴玉瑞、姜海林、袁闯、梁世平间接控制中国智能交通系统</w:t>
                        </w:r>
                      </w:p>
                      <w:p>
                        <w:pPr>
                          <w:pStyle w:val="TableParagraph"/>
                          <w:spacing w:line="302" w:lineRule="auto" w:before="75"/>
                          <w:ind w:left="23" w:right="51"/>
                          <w:jc w:val="left"/>
                          <w:rPr>
                            <w:rFonts w:ascii="宋体" w:hAnsi="宋体" w:cs="宋体" w:eastAsia="宋体" w:hint="default"/>
                            <w:sz w:val="18"/>
                            <w:szCs w:val="18"/>
                          </w:rPr>
                        </w:pPr>
                        <w:r>
                          <w:rPr>
                            <w:rFonts w:ascii="宋体" w:hAnsi="宋体" w:cs="宋体" w:eastAsia="宋体" w:hint="default"/>
                            <w:spacing w:val="-3"/>
                            <w:w w:val="99"/>
                            <w:sz w:val="18"/>
                            <w:szCs w:val="18"/>
                          </w:rPr>
                          <w:t>（控股）有限公司（</w:t>
                        </w:r>
                        <w:r>
                          <w:rPr>
                            <w:rFonts w:ascii="Times New Roman" w:hAnsi="Times New Roman" w:cs="Times New Roman" w:eastAsia="Times New Roman" w:hint="default"/>
                            <w:spacing w:val="-3"/>
                            <w:w w:val="99"/>
                            <w:sz w:val="18"/>
                            <w:szCs w:val="18"/>
                          </w:rPr>
                          <w:t>HK.1900</w:t>
                        </w:r>
                        <w:r>
                          <w:rPr>
                            <w:rFonts w:ascii="宋体" w:hAnsi="宋体" w:cs="宋体" w:eastAsia="宋体" w:hint="default"/>
                            <w:spacing w:val="-3"/>
                            <w:w w:val="99"/>
                            <w:sz w:val="18"/>
                            <w:szCs w:val="18"/>
                          </w:rPr>
                          <w:t>）。李学凌直接持有纳斯达克上市公司欢聚时代科</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YY.O</w:t>
                        </w:r>
                        <w:r>
                          <w:rPr>
                            <w:rFonts w:ascii="宋体" w:hAnsi="宋体" w:cs="宋体" w:eastAsia="宋体" w:hint="default"/>
                            <w:sz w:val="18"/>
                            <w:szCs w:val="18"/>
                          </w:rPr>
                          <w:t>）</w:t>
                        </w:r>
                        <w:r>
                          <w:rPr>
                            <w:rFonts w:ascii="Times New Roman" w:hAnsi="Times New Roman" w:cs="Times New Roman" w:eastAsia="Times New Roman" w:hint="default"/>
                            <w:sz w:val="18"/>
                            <w:szCs w:val="18"/>
                          </w:rPr>
                          <w:t>17.46%</w:t>
                        </w:r>
                        <w:r>
                          <w:rPr>
                            <w:rFonts w:ascii="宋体" w:hAnsi="宋体" w:cs="宋体" w:eastAsia="宋体" w:hint="default"/>
                            <w:sz w:val="18"/>
                            <w:szCs w:val="18"/>
                          </w:rPr>
                          <w:t>股份，并任职董事会主席。</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154" w:right="0"/>
        <w:jc w:val="left"/>
      </w:pPr>
      <w:r>
        <w:rPr/>
        <w:t>实际控制人报告期内变更</w:t>
      </w:r>
    </w:p>
    <w:p>
      <w:pPr>
        <w:pStyle w:val="BodyText"/>
        <w:spacing w:line="348"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6"/>
          <w:szCs w:val="16"/>
        </w:rPr>
      </w:pPr>
    </w:p>
    <w:p>
      <w:pPr>
        <w:spacing w:line="2415" w:lineRule="exact"/>
        <w:ind w:left="1356"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591688" cy="15335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591688" cy="153352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5"/>
        <w:rPr>
          <w:rFonts w:ascii="宋体" w:hAnsi="宋体" w:cs="宋体" w:eastAsia="宋体" w:hint="default"/>
          <w:sz w:val="19"/>
          <w:szCs w:val="19"/>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84"/>
        <w:gridCol w:w="568"/>
        <w:gridCol w:w="974"/>
        <w:gridCol w:w="887"/>
        <w:gridCol w:w="956"/>
        <w:gridCol w:w="798"/>
        <w:gridCol w:w="798"/>
        <w:gridCol w:w="798"/>
        <w:gridCol w:w="116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211" w:right="21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360" w:lineRule="auto"/>
              <w:ind w:left="167" w:right="16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tabs>
                <w:tab w:pos="308" w:val="left" w:leader="none"/>
              </w:tabs>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tab/>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5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2" w:right="222"/>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总裁、董 事会秘书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49,762,128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49,762,128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钱朝晖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84"/>
        <w:gridCol w:w="568"/>
        <w:gridCol w:w="974"/>
        <w:gridCol w:w="887"/>
        <w:gridCol w:w="956"/>
        <w:gridCol w:w="798"/>
        <w:gridCol w:w="798"/>
        <w:gridCol w:w="798"/>
        <w:gridCol w:w="116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49,762,628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49,762,628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506"/>
        <w:gridCol w:w="1330"/>
        <w:gridCol w:w="1646"/>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监事会主席、监事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因个人原因离职。</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1130" w:hanging="291"/>
        <w:jc w:val="left"/>
      </w:pPr>
      <w:r>
        <w:rPr/>
        <w:t>公司现任董事、监事、高级管理人员专业背景、主要工作经历以及目前在公司的主要职责 </w:t>
      </w:r>
      <w:r>
        <w:rPr>
          <w:spacing w:val="-1"/>
        </w:rPr>
        <w:t>廖杰，男，</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3</w:t>
      </w:r>
      <w:r>
        <w:rPr>
          <w:spacing w:val="-1"/>
        </w:rPr>
        <w:t>月出生，加拿大国籍，硕士学历。</w:t>
      </w:r>
      <w:r>
        <w:rPr>
          <w:rFonts w:ascii="Times New Roman" w:hAnsi="Times New Roman" w:cs="Times New Roman" w:eastAsia="Times New Roman" w:hint="default"/>
          <w:spacing w:val="-1"/>
        </w:rPr>
        <w:t>2011</w:t>
      </w:r>
      <w:r>
        <w:rPr>
          <w:spacing w:val="-1"/>
        </w:rPr>
        <w:t>年至今，历任中国智能交通系统</w:t>
      </w:r>
      <w:r>
        <w:rPr>
          <w:rFonts w:ascii="Times New Roman" w:hAnsi="Times New Roman" w:cs="Times New Roman" w:eastAsia="Times New Roman" w:hint="default"/>
          <w:spacing w:val="-1"/>
        </w:rPr>
        <w:t>(</w:t>
      </w:r>
      <w:r>
        <w:rPr>
          <w:spacing w:val="-1"/>
        </w:rPr>
        <w:t>控股</w:t>
      </w:r>
      <w:r>
        <w:rPr>
          <w:rFonts w:ascii="Times New Roman" w:hAnsi="Times New Roman" w:cs="Times New Roman" w:eastAsia="Times New Roman" w:hint="default"/>
          <w:spacing w:val="-1"/>
        </w:rPr>
        <w:t>)</w:t>
      </w:r>
      <w:r>
        <w:rPr>
          <w:spacing w:val="-1"/>
        </w:rPr>
        <w:t>有限公司执行董事、总</w:t>
      </w:r>
    </w:p>
    <w:p>
      <w:pPr>
        <w:pStyle w:val="BodyText"/>
        <w:spacing w:line="215" w:lineRule="exact"/>
        <w:ind w:right="0"/>
        <w:jc w:val="left"/>
      </w:pPr>
      <w:r>
        <w:rPr/>
        <w:t>裁，现任董事会主席。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日至今任视觉（中国）文化发展股份有限公司董事长。</w:t>
      </w:r>
    </w:p>
    <w:p>
      <w:pPr>
        <w:pStyle w:val="BodyText"/>
        <w:spacing w:line="300" w:lineRule="auto" w:before="63"/>
        <w:ind w:right="1130" w:firstLine="290"/>
        <w:jc w:val="both"/>
      </w:pPr>
      <w:r>
        <w:rPr/>
        <w:t>吴斯远，男，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月出生，硕士研究生学历。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月，任华侨城股份有限公司副总裁；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 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月，任康佳集团股份公司董事长；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月，任华侨城集团公司副总经理；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月，任唱游信息技术有限公司董事长、法定代表人。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日至今任视觉（中国）文化发展股份有限公司副董事长。</w:t>
      </w:r>
    </w:p>
    <w:p>
      <w:pPr>
        <w:pStyle w:val="BodyText"/>
        <w:spacing w:line="300" w:lineRule="auto" w:before="13"/>
        <w:ind w:right="1061" w:firstLine="290"/>
        <w:jc w:val="left"/>
      </w:pPr>
      <w:r>
        <w:rPr/>
        <w:t>梁军，女，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7</w:t>
      </w:r>
      <w:r>
        <w:rPr/>
        <w:t>月出生，美国国籍，硕士学历。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月任优力易美（北京）图像技术有限公司董事；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月任华盖创意（北京）图像技术有限公司董事、总经理；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月任北京汉华易美图片有限 公司董事、总经理。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日至今任视觉（中国）文化发展股份有限公司总裁，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w:t>
      </w:r>
      <w:r>
        <w:rPr>
          <w:spacing w:val="-83"/>
        </w:rPr>
        <w:t> </w:t>
      </w:r>
      <w:r>
        <w:rPr>
          <w:spacing w:val="-83"/>
        </w:rPr>
      </w:r>
      <w:r>
        <w:rPr/>
        <w:t>化发展股份有限公司董事。</w:t>
      </w:r>
    </w:p>
    <w:p>
      <w:pPr>
        <w:pStyle w:val="BodyText"/>
        <w:spacing w:line="300" w:lineRule="auto" w:before="31"/>
        <w:ind w:right="1129" w:firstLine="290"/>
        <w:jc w:val="both"/>
      </w:pPr>
      <w:r>
        <w:rPr>
          <w:spacing w:val="-1"/>
        </w:rPr>
        <w:t>柴继军，男，</w:t>
      </w:r>
      <w:r>
        <w:rPr>
          <w:rFonts w:ascii="Times New Roman" w:hAnsi="Times New Roman" w:cs="Times New Roman" w:eastAsia="Times New Roman" w:hint="default"/>
          <w:spacing w:val="-1"/>
        </w:rPr>
        <w:t>1974</w:t>
      </w:r>
      <w:r>
        <w:rPr>
          <w:spacing w:val="-1"/>
        </w:rPr>
        <w:t>年</w:t>
      </w:r>
      <w:r>
        <w:rPr>
          <w:rFonts w:ascii="Times New Roman" w:hAnsi="Times New Roman" w:cs="Times New Roman" w:eastAsia="Times New Roman" w:hint="default"/>
          <w:spacing w:val="-1"/>
        </w:rPr>
        <w:t>4</w:t>
      </w:r>
      <w:r>
        <w:rPr>
          <w:spacing w:val="-1"/>
        </w:rPr>
        <w:t>月出生，本科学历。</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月任中国青年报图片编辑、摄影记者；</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3</w:t>
      </w:r>
      <w:r>
        <w:rPr>
          <w:spacing w:val="-1"/>
        </w:rPr>
        <w:t>月至今任</w:t>
      </w:r>
      <w:r>
        <w:rPr/>
        <w:t> 北京汉华易美图片有限公司董事、总编辑；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月至今任华夏视觉（北京）图像技术有限公司执行董事、总编辑；</w:t>
      </w:r>
      <w:r>
        <w:rPr>
          <w:rFonts w:ascii="Times New Roman" w:hAnsi="Times New Roman" w:cs="Times New Roman" w:eastAsia="Times New Roman" w:hint="default"/>
        </w:rPr>
        <w:t>2014</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日至今任视觉（中国）文化发展股份有限公司副总裁、总编辑；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日至今任视觉（中国）文化发展股份有</w:t>
      </w:r>
      <w:r>
        <w:rPr>
          <w:spacing w:val="-82"/>
        </w:rPr>
        <w:t> </w:t>
      </w:r>
      <w:r>
        <w:rPr>
          <w:spacing w:val="-82"/>
        </w:rPr>
      </w:r>
      <w:r>
        <w:rPr/>
        <w:t>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日至今任视觉（中国）文化发展股份有限公司董事会秘书。</w:t>
      </w:r>
    </w:p>
    <w:p>
      <w:pPr>
        <w:pStyle w:val="BodyText"/>
        <w:spacing w:line="300" w:lineRule="auto" w:before="13"/>
        <w:ind w:right="1130" w:firstLine="289"/>
        <w:jc w:val="both"/>
      </w:pPr>
      <w:r>
        <w:rPr>
          <w:spacing w:val="12"/>
        </w:rPr>
        <w:t>周云东，</w:t>
      </w:r>
      <w:r>
        <w:rPr>
          <w:spacing w:val="-73"/>
        </w:rPr>
        <w:t> </w:t>
      </w:r>
      <w:r>
        <w:rPr>
          <w:spacing w:val="8"/>
        </w:rPr>
        <w:t>男，</w:t>
      </w:r>
      <w:r>
        <w:rPr>
          <w:spacing w:val="-70"/>
        </w:rPr>
        <w:t> </w:t>
      </w:r>
      <w:r>
        <w:rPr>
          <w:rFonts w:ascii="Times New Roman" w:hAnsi="Times New Roman" w:cs="Times New Roman" w:eastAsia="Times New Roman" w:hint="default"/>
        </w:rPr>
        <w:t>1971</w:t>
      </w:r>
      <w:r>
        <w:rPr>
          <w:rFonts w:ascii="Times New Roman" w:hAnsi="Times New Roman" w:cs="Times New Roman" w:eastAsia="Times New Roman" w:hint="default"/>
          <w:spacing w:val="-26"/>
        </w:rPr>
        <w:t> </w:t>
      </w:r>
      <w:r>
        <w:rPr/>
        <w:t>年</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12"/>
        </w:rPr>
        <w:t>月出生，</w:t>
      </w:r>
      <w:r>
        <w:rPr>
          <w:spacing w:val="-72"/>
        </w:rPr>
        <w:t> </w:t>
      </w:r>
      <w:r>
        <w:rPr>
          <w:spacing w:val="14"/>
        </w:rPr>
        <w:t>研究生学历，</w:t>
      </w:r>
      <w:r>
        <w:rPr>
          <w:spacing w:val="-72"/>
        </w:rPr>
        <w:t> </w:t>
      </w:r>
      <w:r>
        <w:rPr>
          <w:spacing w:val="13"/>
        </w:rPr>
        <w:t>中共党员。</w:t>
      </w:r>
      <w:r>
        <w:rPr>
          <w:spacing w:val="-67"/>
        </w:rPr>
        <w:t> </w:t>
      </w:r>
      <w:r>
        <w:rPr>
          <w:rFonts w:ascii="Times New Roman" w:hAnsi="Times New Roman" w:cs="Times New Roman" w:eastAsia="Times New Roman" w:hint="default"/>
        </w:rPr>
        <w:t>2007.06</w:t>
      </w:r>
      <w:r>
        <w:rPr>
          <w:rFonts w:ascii="Times New Roman" w:hAnsi="Times New Roman" w:cs="Times New Roman" w:eastAsia="Times New Roman" w:hint="default"/>
        </w:rPr>
        <w:t>—</w:t>
      </w:r>
      <w:r>
        <w:rPr>
          <w:rFonts w:ascii="Times New Roman" w:hAnsi="Times New Roman" w:cs="Times New Roman" w:eastAsia="Times New Roman" w:hint="default"/>
        </w:rPr>
        <w:t>2013.12</w:t>
      </w:r>
      <w:r>
        <w:rPr>
          <w:rFonts w:ascii="Times New Roman" w:hAnsi="Times New Roman" w:cs="Times New Roman" w:eastAsia="Times New Roman" w:hint="default"/>
          <w:spacing w:val="-26"/>
        </w:rPr>
        <w:t> </w:t>
      </w:r>
      <w:r>
        <w:rPr>
          <w:spacing w:val="15"/>
        </w:rPr>
        <w:t>任常州市发展和改革委员会副主任；</w:t>
      </w:r>
      <w:r>
        <w:rPr/>
        <w:t> </w:t>
      </w:r>
      <w:r>
        <w:rPr>
          <w:rFonts w:ascii="Times New Roman" w:hAnsi="Times New Roman" w:cs="Times New Roman" w:eastAsia="Times New Roman" w:hint="default"/>
        </w:rPr>
        <w:t>2013.12</w:t>
      </w:r>
      <w:r>
        <w:rPr>
          <w:rFonts w:ascii="Times New Roman" w:hAnsi="Times New Roman" w:cs="Times New Roman" w:eastAsia="Times New Roman" w:hint="default"/>
        </w:rPr>
        <w:t>—</w:t>
      </w:r>
      <w:r>
        <w:rPr>
          <w:rFonts w:ascii="Times New Roman" w:hAnsi="Times New Roman" w:cs="Times New Roman" w:eastAsia="Times New Roman" w:hint="default"/>
        </w:rPr>
        <w:t>2014.04</w:t>
      </w:r>
      <w:r>
        <w:rPr/>
        <w:t>任常州工贸国有资产经营有限公司党委书记；</w:t>
      </w:r>
      <w:r>
        <w:rPr>
          <w:rFonts w:ascii="Times New Roman" w:hAnsi="Times New Roman" w:cs="Times New Roman" w:eastAsia="Times New Roman" w:hint="default"/>
        </w:rPr>
        <w:t>2014.04</w:t>
      </w:r>
      <w:r>
        <w:rPr>
          <w:rFonts w:ascii="Times New Roman" w:hAnsi="Times New Roman" w:cs="Times New Roman" w:eastAsia="Times New Roman" w:hint="default"/>
        </w:rPr>
        <w:t>—</w:t>
      </w:r>
      <w:r>
        <w:rPr>
          <w:rFonts w:ascii="Times New Roman" w:hAnsi="Times New Roman" w:cs="Times New Roman" w:eastAsia="Times New Roman" w:hint="default"/>
        </w:rPr>
        <w:t>2014.08</w:t>
      </w:r>
      <w:r>
        <w:rPr/>
        <w:t>任常州产业投资集团有限公司党委书记；</w:t>
      </w:r>
    </w:p>
    <w:p>
      <w:pPr>
        <w:pStyle w:val="BodyText"/>
        <w:spacing w:line="300" w:lineRule="auto" w:before="13"/>
        <w:ind w:right="0"/>
        <w:jc w:val="left"/>
      </w:pPr>
      <w:r>
        <w:rPr>
          <w:rFonts w:ascii="Times New Roman" w:hAnsi="Times New Roman" w:cs="Times New Roman" w:eastAsia="Times New Roman" w:hint="default"/>
        </w:rPr>
        <w:t>2014.08</w:t>
      </w:r>
      <w:r>
        <w:rPr>
          <w:rFonts w:ascii="Times New Roman" w:hAnsi="Times New Roman" w:cs="Times New Roman" w:eastAsia="Times New Roman" w:hint="default"/>
        </w:rPr>
        <w:t>—</w:t>
      </w:r>
      <w:r>
        <w:rPr/>
        <w:t>至今任常州产业投资集团有限公司党委书记、董事长兼总经理。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日至今任视觉（中国）文化发展股份</w:t>
      </w:r>
      <w:r>
        <w:rPr>
          <w:spacing w:val="-45"/>
        </w:rPr>
        <w:t> </w:t>
      </w:r>
      <w:r>
        <w:rPr>
          <w:spacing w:val="-45"/>
        </w:rPr>
      </w:r>
      <w:r>
        <w:rPr/>
        <w:t>有限公司董事。</w:t>
      </w:r>
    </w:p>
    <w:p>
      <w:pPr>
        <w:pStyle w:val="BodyText"/>
        <w:spacing w:line="300" w:lineRule="auto" w:before="31"/>
        <w:ind w:left="154" w:right="1025" w:firstLine="290"/>
        <w:jc w:val="left"/>
      </w:pPr>
      <w:r>
        <w:rPr>
          <w:spacing w:val="-1"/>
        </w:rPr>
        <w:t>汪天润，男，</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2</w:t>
      </w:r>
      <w:r>
        <w:rPr>
          <w:spacing w:val="-1"/>
        </w:rPr>
        <w:t>月出生，大学本科学历。现任北京中财富国投资管理有限公司监事；北京天旭投资管理有限公司、</w:t>
      </w:r>
      <w:r>
        <w:rPr/>
        <w:t> </w:t>
      </w:r>
      <w:r>
        <w:rPr>
          <w:spacing w:val="-2"/>
        </w:rPr>
        <w:t>北京天润财富投资管理有限公司董事长、经理、法定代表人。</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日至今任视觉（中国）文化发展股份有限公司独立</w:t>
      </w:r>
      <w:r>
        <w:rPr>
          <w:spacing w:val="-60"/>
        </w:rPr>
        <w:t> </w:t>
      </w:r>
      <w:r>
        <w:rPr>
          <w:spacing w:val="-60"/>
        </w:rPr>
      </w:r>
      <w:r>
        <w:rPr/>
        <w:t>董事。</w:t>
      </w:r>
    </w:p>
    <w:p>
      <w:pPr>
        <w:pStyle w:val="BodyText"/>
        <w:spacing w:line="300" w:lineRule="auto" w:before="31"/>
        <w:ind w:right="1129" w:firstLine="290"/>
        <w:jc w:val="both"/>
      </w:pPr>
      <w:r>
        <w:rPr>
          <w:spacing w:val="-1"/>
        </w:rPr>
        <w:t>张迪生，男，</w:t>
      </w:r>
      <w:r>
        <w:rPr>
          <w:rFonts w:ascii="Times New Roman" w:hAnsi="Times New Roman" w:cs="Times New Roman" w:eastAsia="Times New Roman" w:hint="default"/>
          <w:spacing w:val="-1"/>
        </w:rPr>
        <w:t>1955</w:t>
      </w:r>
      <w:r>
        <w:rPr>
          <w:spacing w:val="-1"/>
        </w:rPr>
        <w:t>年</w:t>
      </w:r>
      <w:r>
        <w:rPr>
          <w:rFonts w:ascii="Times New Roman" w:hAnsi="Times New Roman" w:cs="Times New Roman" w:eastAsia="Times New Roman" w:hint="default"/>
          <w:spacing w:val="-1"/>
        </w:rPr>
        <w:t>8</w:t>
      </w:r>
      <w:r>
        <w:rPr>
          <w:spacing w:val="-1"/>
        </w:rPr>
        <w:t>月出生，研究生学历，高级经济师。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2</w:t>
      </w:r>
      <w:r>
        <w:rPr>
          <w:spacing w:val="-1"/>
        </w:rPr>
        <w:t>月至今任北京四通新技术产业有限公司、北京四通投</w:t>
      </w:r>
      <w:r>
        <w:rPr/>
        <w:t> 资有限公司董事长兼总经理、法定代表人；</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月至今任四通资源有限公司董事；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月至今任北京云水山庄度假</w:t>
      </w:r>
      <w:r>
        <w:rPr>
          <w:spacing w:val="-83"/>
        </w:rPr>
        <w:t> </w:t>
      </w:r>
      <w:r>
        <w:rPr>
          <w:spacing w:val="-83"/>
        </w:rPr>
      </w:r>
      <w:r>
        <w:rPr/>
        <w:t>村有限公司董事长、法定代表人；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月任中国民生股份有限公司银行监事；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月任北京</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95190</w:t>
      </w:r>
      <w:r>
        <w:rPr/>
        <w:t>信息技术有限公司董事；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月至今任北京四通智能建筑系统集成工程有限公司董事长、法定代表人；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p>
    <w:p>
      <w:pPr>
        <w:pStyle w:val="BodyText"/>
        <w:spacing w:line="316" w:lineRule="auto" w:before="63"/>
        <w:ind w:left="444" w:right="0" w:hanging="291"/>
        <w:jc w:val="left"/>
        <w:rPr>
          <w:rFonts w:ascii="Times New Roman" w:hAnsi="Times New Roman" w:cs="Times New Roman" w:eastAsia="Times New Roman" w:hint="default"/>
        </w:rPr>
      </w:pPr>
      <w:r>
        <w:rPr/>
        <w:t>日至今任视觉（中国）文化发展股份有限公司独立董事。 </w:t>
      </w:r>
      <w:r>
        <w:rPr>
          <w:spacing w:val="-4"/>
        </w:rPr>
        <w:t>王冬，男，</w:t>
      </w:r>
      <w:r>
        <w:rPr>
          <w:rFonts w:ascii="Times New Roman" w:hAnsi="Times New Roman" w:cs="Times New Roman" w:eastAsia="Times New Roman" w:hint="default"/>
          <w:spacing w:val="-4"/>
        </w:rPr>
        <w:t>1975</w:t>
      </w:r>
      <w:r>
        <w:rPr>
          <w:spacing w:val="-4"/>
        </w:rPr>
        <w:t>年</w:t>
      </w:r>
      <w:r>
        <w:rPr>
          <w:rFonts w:ascii="Times New Roman" w:hAnsi="Times New Roman" w:cs="Times New Roman" w:eastAsia="Times New Roman" w:hint="default"/>
          <w:spacing w:val="-4"/>
        </w:rPr>
        <w:t>10</w:t>
      </w:r>
      <w:r>
        <w:rPr>
          <w:spacing w:val="-4"/>
        </w:rPr>
        <w:t>月出生，硕士研究生学历，注册会计师。</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10</w:t>
      </w:r>
      <w:r>
        <w:rPr>
          <w:spacing w:val="-4"/>
        </w:rPr>
        <w:t>月至今任奥瑞金包装股份有限公司财务总监。</w:t>
      </w:r>
      <w:r>
        <w:rPr>
          <w:rFonts w:ascii="Times New Roman" w:hAnsi="Times New Roman" w:cs="Times New Roman" w:eastAsia="Times New Roman" w:hint="default"/>
          <w:spacing w:val="-4"/>
        </w:rPr>
        <w:t>2014</w:t>
      </w:r>
    </w:p>
    <w:p>
      <w:pPr>
        <w:pStyle w:val="BodyText"/>
        <w:spacing w:line="300" w:lineRule="auto"/>
        <w:ind w:right="1131"/>
        <w:jc w:val="both"/>
      </w:pPr>
      <w:r>
        <w:rPr>
          <w:spacing w:val="-2"/>
        </w:rPr>
        <w:t>年</w:t>
      </w:r>
      <w:r>
        <w:rPr>
          <w:rFonts w:ascii="Times New Roman" w:hAnsi="Times New Roman" w:cs="Times New Roman" w:eastAsia="Times New Roman" w:hint="default"/>
          <w:spacing w:val="-2"/>
        </w:rPr>
        <w:t>02</w:t>
      </w:r>
      <w:r>
        <w:rPr>
          <w:spacing w:val="-2"/>
        </w:rPr>
        <w:t>月至今任奥瑞金包装股份有限公司董事、副总经理。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月至今任黄山永新股份有限公司董事。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月至今任江</w:t>
      </w:r>
      <w:r>
        <w:rPr>
          <w:spacing w:val="-53"/>
        </w:rPr>
        <w:t> </w:t>
      </w:r>
      <w:r>
        <w:rPr>
          <w:spacing w:val="-2"/>
        </w:rPr>
        <w:t>苏沃田集团股份有限公司监事。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月至今任陕西宝光真空电器股份有限公司独立董事。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日至今任视觉（中</w:t>
      </w:r>
      <w:r>
        <w:rPr>
          <w:spacing w:val="-53"/>
        </w:rPr>
        <w:t> </w:t>
      </w:r>
      <w:r>
        <w:rPr>
          <w:spacing w:val="-53"/>
        </w:rPr>
      </w:r>
      <w:r>
        <w:rPr/>
        <w:t>国）文化发展股份有限公司独立董事。</w:t>
      </w:r>
    </w:p>
    <w:p>
      <w:pPr>
        <w:pStyle w:val="BodyText"/>
        <w:spacing w:line="300" w:lineRule="auto" w:before="31"/>
        <w:ind w:right="1132" w:firstLine="290"/>
        <w:jc w:val="both"/>
      </w:pPr>
      <w:r>
        <w:rPr/>
        <w:t>岳蓉，女，</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7</w:t>
      </w:r>
      <w:r>
        <w:rPr/>
        <w:t>月出生，博士研究生学历。</w:t>
      </w:r>
      <w:r>
        <w:rPr>
          <w:rFonts w:ascii="Times New Roman" w:hAnsi="Times New Roman" w:cs="Times New Roman" w:eastAsia="Times New Roman" w:hint="default"/>
        </w:rPr>
        <w:t>2003</w:t>
      </w:r>
      <w:r>
        <w:rPr/>
        <w:t>年至今任武汉华工创业投资有限责任公司副总经理；</w:t>
      </w:r>
      <w:r>
        <w:rPr>
          <w:rFonts w:ascii="Times New Roman" w:hAnsi="Times New Roman" w:cs="Times New Roman" w:eastAsia="Times New Roman" w:hint="default"/>
        </w:rPr>
        <w:t>2005</w:t>
      </w:r>
      <w:r>
        <w:rPr/>
        <w:t>年至今任 </w:t>
      </w:r>
      <w:r>
        <w:rPr>
          <w:spacing w:val="-2"/>
        </w:rPr>
        <w:t>武汉华科大生命科技有限公司董事长、总经理、法定代表人；</w:t>
      </w:r>
      <w:r>
        <w:rPr>
          <w:rFonts w:ascii="Times New Roman" w:hAnsi="Times New Roman" w:cs="Times New Roman" w:eastAsia="Times New Roman" w:hint="default"/>
          <w:spacing w:val="-2"/>
        </w:rPr>
        <w:t>2011</w:t>
      </w:r>
      <w:r>
        <w:rPr>
          <w:spacing w:val="-2"/>
        </w:rPr>
        <w:t>年至今任科华银赛创业投资有限公司董事、总经理。</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日至今任视觉（中国）文化发展股份有限公司监事。</w:t>
      </w:r>
    </w:p>
    <w:p>
      <w:pPr>
        <w:pStyle w:val="BodyText"/>
        <w:spacing w:line="240" w:lineRule="auto" w:before="13"/>
        <w:ind w:left="444" w:right="0"/>
        <w:jc w:val="left"/>
      </w:pPr>
      <w:r>
        <w:rPr/>
        <w:t>杨霞，女，</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5</w:t>
      </w:r>
      <w:r>
        <w:rPr/>
        <w:t>月出生，本科学历。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月至今在华盖创意（北京）图像技术有限公司任职，现任助理运营总监。</w:t>
      </w:r>
    </w:p>
    <w:p>
      <w:pPr>
        <w:pStyle w:val="BodyText"/>
        <w:spacing w:line="300" w:lineRule="auto" w:before="63"/>
        <w:ind w:left="444" w:right="0" w:hanging="29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日至今任视觉（中国）文化发展股份有限公司监事。 </w:t>
      </w:r>
      <w:r>
        <w:rPr>
          <w:spacing w:val="-1"/>
        </w:rPr>
        <w:t>苏华，男，</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9</w:t>
      </w:r>
      <w:r>
        <w:rPr>
          <w:spacing w:val="-1"/>
        </w:rPr>
        <w:t>月出生，本科学历。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月至今任视觉（中国）文化发展股份有限公司技术部助理总监。</w:t>
      </w:r>
      <w:r>
        <w:rPr>
          <w:rFonts w:ascii="Times New Roman" w:hAnsi="Times New Roman" w:cs="Times New Roman" w:eastAsia="Times New Roman" w:hint="default"/>
          <w:spacing w:val="-1"/>
        </w:rPr>
        <w:t>2014</w:t>
      </w:r>
      <w:r>
        <w:rPr>
          <w:spacing w:val="-1"/>
        </w:rPr>
        <w:t>年</w:t>
      </w:r>
    </w:p>
    <w:p>
      <w:pPr>
        <w:pStyle w:val="BodyText"/>
        <w:spacing w:line="300" w:lineRule="auto" w:before="13"/>
        <w:ind w:left="444" w:right="0" w:hanging="291"/>
        <w:jc w:val="left"/>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日至今任视觉（中国）文化发展股份有限公司职工监事。 </w:t>
      </w:r>
      <w:r>
        <w:rPr>
          <w:spacing w:val="-1"/>
        </w:rPr>
        <w:t>王刚，男，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10</w:t>
      </w:r>
      <w:r>
        <w:rPr>
          <w:spacing w:val="-1"/>
        </w:rPr>
        <w:t>月出生，硕士学历。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8</w:t>
      </w:r>
      <w:r>
        <w:rPr>
          <w:spacing w:val="-1"/>
        </w:rPr>
        <w:t>月至今任华盖创意（北京）图像技术有限公司副总裁；</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8</w:t>
      </w:r>
      <w:r>
        <w:rPr>
          <w:spacing w:val="-1"/>
        </w:rPr>
        <w:t>月至今</w:t>
      </w:r>
    </w:p>
    <w:p>
      <w:pPr>
        <w:pStyle w:val="BodyText"/>
        <w:spacing w:line="300" w:lineRule="auto" w:before="13"/>
        <w:ind w:right="1130"/>
        <w:jc w:val="both"/>
      </w:pPr>
      <w:r>
        <w:rPr>
          <w:spacing w:val="-2"/>
        </w:rPr>
        <w:t>任北京汉华易美图片有限公司副总裁；</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月至今任华夏视觉（北京）图像技术有限公司副总裁。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日至今任</w:t>
      </w:r>
      <w:r>
        <w:rPr>
          <w:spacing w:val="-52"/>
        </w:rPr>
        <w:t> </w:t>
      </w:r>
      <w:r>
        <w:rPr/>
        <w:t>视觉（中国）文化发展股份有限公司副总裁。</w:t>
      </w:r>
    </w:p>
    <w:p>
      <w:pPr>
        <w:pStyle w:val="BodyText"/>
        <w:spacing w:line="300" w:lineRule="auto" w:before="31"/>
        <w:ind w:right="1132" w:firstLine="290"/>
        <w:jc w:val="both"/>
      </w:pPr>
      <w:r>
        <w:rPr/>
        <w:t>张宏麟，男，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7</w:t>
      </w:r>
      <w:r>
        <w:rPr/>
        <w:t>月出生，大学本科学历。自</w:t>
      </w:r>
      <w:r>
        <w:rPr>
          <w:rFonts w:ascii="Times New Roman" w:hAnsi="Times New Roman" w:cs="Times New Roman" w:eastAsia="Times New Roman" w:hint="default"/>
        </w:rPr>
        <w:t>2005</w:t>
      </w:r>
      <w:r>
        <w:rPr/>
        <w:t>年加入视觉中国集团旗下华盖创意（北京）图像技术有限公司， </w:t>
      </w:r>
      <w:r>
        <w:rPr>
          <w:spacing w:val="-2"/>
        </w:rPr>
        <w:t>主持并负责法律维权部工作，历任经理、高级经理、总监、高级总监；</w:t>
      </w:r>
      <w:r>
        <w:rPr>
          <w:rFonts w:ascii="Times New Roman" w:hAnsi="Times New Roman" w:cs="Times New Roman" w:eastAsia="Times New Roman" w:hint="default"/>
          <w:spacing w:val="-2"/>
        </w:rPr>
        <w:t>2014</w:t>
      </w:r>
      <w:r>
        <w:rPr>
          <w:spacing w:val="-2"/>
        </w:rPr>
        <w:t>年至今担任视觉（中国）文化发展股份有限公司</w:t>
      </w:r>
      <w:r>
        <w:rPr>
          <w:spacing w:val="-66"/>
        </w:rPr>
        <w:t> </w:t>
      </w:r>
      <w:r>
        <w:rPr>
          <w:spacing w:val="-66"/>
        </w:rPr>
      </w:r>
      <w:r>
        <w:rPr/>
        <w:t>助理副总裁，并承担企业组销售工作。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日至今任视觉（中国）文化发展股份有限公司副总裁。</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753"/>
        <w:gridCol w:w="1364"/>
        <w:gridCol w:w="16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6" w:right="47"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党委书记、董事 长兼总经理</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5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详见简历部分。</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277"/>
        <w:gridCol w:w="1559"/>
        <w:gridCol w:w="1559"/>
        <w:gridCol w:w="1379"/>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3"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中国智能交通系统（控股）有限公司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常州产业投资集团有限公司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党委书记、董事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科通芯城集团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北京四通新技术产业有限公司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董事长兼总经 </w:t>
            </w:r>
            <w:r>
              <w:rPr>
                <w:rFonts w:ascii="宋体" w:hAnsi="宋体" w:cs="宋体" w:eastAsia="宋体" w:hint="default"/>
                <w:spacing w:val="-6"/>
                <w:sz w:val="18"/>
                <w:szCs w:val="18"/>
              </w:rPr>
              <w:t>理、法定代表人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北京四通投资有限公司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董事长兼总经 </w:t>
            </w:r>
            <w:r>
              <w:rPr>
                <w:rFonts w:ascii="宋体" w:hAnsi="宋体" w:cs="宋体" w:eastAsia="宋体" w:hint="default"/>
                <w:spacing w:val="-6"/>
                <w:sz w:val="18"/>
                <w:szCs w:val="18"/>
              </w:rPr>
              <w:t>理、法定代表人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四通资源有限公司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277"/>
        <w:gridCol w:w="1559"/>
        <w:gridCol w:w="1559"/>
        <w:gridCol w:w="1379"/>
      </w:tblGrid>
      <w:tr>
        <w:trPr>
          <w:trHeight w:val="75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北京云水山庄度假村有限公司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342"/>
              <w:jc w:val="left"/>
              <w:rPr>
                <w:rFonts w:ascii="宋体" w:hAnsi="宋体" w:cs="宋体" w:eastAsia="宋体" w:hint="default"/>
                <w:sz w:val="18"/>
                <w:szCs w:val="18"/>
              </w:rPr>
            </w:pPr>
            <w:r>
              <w:rPr>
                <w:rFonts w:ascii="宋体" w:hAnsi="宋体" w:cs="宋体" w:eastAsia="宋体" w:hint="default"/>
                <w:sz w:val="18"/>
                <w:szCs w:val="18"/>
              </w:rPr>
              <w:t>董事长、 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05"/>
              <w:jc w:val="left"/>
              <w:rPr>
                <w:rFonts w:ascii="宋体" w:hAnsi="宋体" w:cs="宋体" w:eastAsia="宋体" w:hint="default"/>
                <w:sz w:val="18"/>
                <w:szCs w:val="18"/>
              </w:rPr>
            </w:pPr>
            <w:r>
              <w:rPr>
                <w:rFonts w:ascii="宋体" w:hAnsi="宋体" w:cs="宋体" w:eastAsia="宋体" w:hint="default"/>
                <w:sz w:val="18"/>
                <w:szCs w:val="18"/>
              </w:rPr>
              <w:t>北京四通智能建筑系统集成工程有限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2"/>
              <w:jc w:val="left"/>
              <w:rPr>
                <w:rFonts w:ascii="宋体" w:hAnsi="宋体" w:cs="宋体" w:eastAsia="宋体" w:hint="default"/>
                <w:sz w:val="18"/>
                <w:szCs w:val="18"/>
              </w:rPr>
            </w:pPr>
            <w:r>
              <w:rPr>
                <w:rFonts w:ascii="宋体" w:hAnsi="宋体" w:cs="宋体" w:eastAsia="宋体" w:hint="default"/>
                <w:sz w:val="18"/>
                <w:szCs w:val="18"/>
              </w:rPr>
              <w:t>董事长兼法定 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黄山永新股份有限公司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陕西宝光真空电器股份有限公司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北京中财富国投资管理有限公司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北京天旭投资管理有限公司</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董事长、经理、 法定代表人</w:t>
            </w:r>
          </w:p>
        </w:tc>
        <w:tc>
          <w:tcPr>
            <w:tcW w:w="155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汪天润</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北京天润财富投资管理有限公司</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董事长、经理、 法定代表人</w:t>
            </w:r>
          </w:p>
        </w:tc>
        <w:tc>
          <w:tcPr>
            <w:tcW w:w="155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武汉华工创业投资有限责任公司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武汉华科大生命科技有限公司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董事长、总经 </w:t>
            </w:r>
            <w:r>
              <w:rPr>
                <w:rFonts w:ascii="宋体" w:hAnsi="宋体" w:cs="宋体" w:eastAsia="宋体" w:hint="default"/>
                <w:spacing w:val="-6"/>
                <w:sz w:val="18"/>
                <w:szCs w:val="18"/>
              </w:rPr>
              <w:t>理、法定代表人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岳蓉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科华银赛创业投资有限公司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7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t>董事、监事、高级管理人员报酬的决策程序：独立董事、董事、监事报酬由股东大会审议通过，其他高管各自所在的岗位、 所承担的责任风险和所做贡献等因素，核定其薪酬。 </w:t>
      </w:r>
      <w:r>
        <w:rPr>
          <w:spacing w:val="-2"/>
        </w:rPr>
        <w:t>董事、监事、高级管理人员报酬确定依据：根据董事、监事及高级管理人员管理岗位的主要范围、职责、重要性，参照同行</w:t>
      </w:r>
      <w:r>
        <w:rPr>
          <w:spacing w:val="-70"/>
        </w:rPr>
        <w:t> </w:t>
      </w:r>
      <w:r>
        <w:rPr>
          <w:spacing w:val="-70"/>
        </w:rPr>
      </w:r>
      <w:r>
        <w:rPr/>
        <w:t>业其他相关企业相关岗位的薪酬水平并结合本公司的具体情况制定薪酬标准。 董事、监事和高级管理人员报酬的实际支付情况：董事、监事和高级管理人员报酬按月支付。 新任董事、监事、高管的薪酬已由</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日召开的</w:t>
      </w:r>
      <w:r>
        <w:rPr>
          <w:rFonts w:ascii="Times New Roman" w:hAnsi="Times New Roman" w:cs="Times New Roman" w:eastAsia="Times New Roman" w:hint="default"/>
        </w:rPr>
        <w:t>2016</w:t>
      </w:r>
      <w:r>
        <w:rPr/>
        <w:t>年度股东大会审议通过。</w:t>
      </w:r>
    </w:p>
    <w:p>
      <w:pPr>
        <w:spacing w:line="240" w:lineRule="auto" w:before="6"/>
        <w:rPr>
          <w:rFonts w:ascii="宋体" w:hAnsi="宋体" w:cs="宋体" w:eastAsia="宋体" w:hint="default"/>
          <w:sz w:val="23"/>
          <w:szCs w:val="23"/>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吴斯远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柴继军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董事、副总裁、 总编辑、董事会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钱朝晖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张宏麟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611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611</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611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611</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jc w:val="both"/>
      </w:pPr>
      <w:r>
        <w:rPr>
          <w:spacing w:val="-2"/>
        </w:rPr>
        <w:t>公司按照《中华人民共和国劳动合同法》和其他有关劳动法律、法规的规定，与员工签订劳动合同，并严格执行国家用工制</w:t>
      </w:r>
      <w:r>
        <w:rPr>
          <w:spacing w:val="-66"/>
        </w:rPr>
        <w:t> </w:t>
      </w:r>
      <w:r>
        <w:rPr>
          <w:spacing w:val="-66"/>
        </w:rPr>
      </w:r>
      <w:r>
        <w:rPr>
          <w:spacing w:val="-2"/>
        </w:rPr>
        <w:t>度、劳动保护制度、社会保障制度和医疗保障制度，按照国家规定为员工缴纳五险一金。根据公平、竞争、激励的原则，公</w:t>
      </w:r>
      <w:r>
        <w:rPr>
          <w:spacing w:val="-70"/>
        </w:rPr>
        <w:t> </w:t>
      </w:r>
      <w:r>
        <w:rPr>
          <w:spacing w:val="-70"/>
        </w:rPr>
      </w:r>
      <w:r>
        <w:rPr>
          <w:spacing w:val="-2"/>
        </w:rPr>
        <w:t>司建立了具备市场竞争力与内部公平性的薪酬体系，以岗位和职级为薪酬基准线，同时完善了绩效考核管理制度，将绩效考</w:t>
      </w:r>
      <w:r>
        <w:rPr>
          <w:spacing w:val="-66"/>
        </w:rPr>
        <w:t> </w:t>
      </w:r>
      <w:r>
        <w:rPr>
          <w:spacing w:val="-66"/>
        </w:rPr>
      </w:r>
      <w:r>
        <w:rPr>
          <w:spacing w:val="-2"/>
        </w:rPr>
        <w:t>核结果运用到员工薪酬调整中去，公司也会定期根据市场情况、公司业绩完成情况对员工薪酬作出适当调整。公司薪酬政策</w:t>
      </w:r>
      <w:r>
        <w:rPr>
          <w:spacing w:val="-66"/>
        </w:rPr>
        <w:t> </w:t>
      </w:r>
      <w:r>
        <w:rPr>
          <w:spacing w:val="-66"/>
        </w:rPr>
      </w:r>
      <w:r>
        <w:rPr/>
        <w:t>确保了个人绩效公平，充分调动了公司员工的积极性，同时增加了对人才的吸引力。</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t>公司通过内训、外训、行业精英交流会、案例分享等形式，开展一系列的培训活动。课程涵盖几大方向：新员工入职培训、 </w:t>
      </w:r>
      <w:r>
        <w:rPr>
          <w:spacing w:val="-2"/>
        </w:rPr>
        <w:t>专业技能、通用技能、管理能力、商务礼仪、社保报销培训等。同时，公司也通过员工生日会、运动会等一系列员工关怀项</w:t>
      </w:r>
      <w:r>
        <w:rPr>
          <w:spacing w:val="-71"/>
        </w:rPr>
        <w:t> </w:t>
      </w:r>
      <w:r>
        <w:rPr>
          <w:spacing w:val="-71"/>
        </w:rPr>
      </w:r>
      <w:r>
        <w:rPr/>
        <w:t>目，增强员工对集团的主人翁意识和归属感。</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t>（一）公司治理基本情况 公司按照《公司法》、《企业内部控制基本规范》及配套指引、《上市公司治理准则》、《深圳证券交易所股票上市规则》 </w:t>
      </w:r>
      <w:r>
        <w:rPr>
          <w:spacing w:val="-2"/>
        </w:rPr>
        <w:t>等相关法律法规和业务规则的要求，进一步完善公司法人治理结构和提升内部控制的有效性，形成了以《公司章程》为基础</w:t>
      </w:r>
      <w:r>
        <w:rPr>
          <w:spacing w:val="-66"/>
        </w:rPr>
        <w:t> </w:t>
      </w:r>
      <w:r>
        <w:rPr>
          <w:spacing w:val="-66"/>
        </w:rPr>
      </w:r>
      <w:r>
        <w:rPr>
          <w:spacing w:val="-2"/>
        </w:rPr>
        <w:t>的内控制度体系和以股东大会、董事会、监事会为主体的较为完善的法人治理结构。报告期内，公司重新修订及审议通过了</w:t>
      </w:r>
    </w:p>
    <w:p>
      <w:pPr>
        <w:pStyle w:val="BodyText"/>
        <w:spacing w:line="316" w:lineRule="auto" w:before="19"/>
        <w:ind w:right="1118"/>
        <w:jc w:val="left"/>
      </w:pPr>
      <w:r>
        <w:rPr>
          <w:spacing w:val="-2"/>
        </w:rPr>
        <w:t>《公司章程》、《股东大会议事规则》、《董事会议事规则》、《银行间债券市场债务融资工具信息披露管理制度》等重要</w:t>
      </w:r>
      <w:r>
        <w:rPr>
          <w:spacing w:val="-68"/>
        </w:rPr>
        <w:t> </w:t>
      </w:r>
      <w:r>
        <w:rPr>
          <w:spacing w:val="-68"/>
        </w:rPr>
      </w:r>
      <w:r>
        <w:rPr/>
        <w:t>制度。</w:t>
      </w:r>
    </w:p>
    <w:p>
      <w:pPr>
        <w:pStyle w:val="BodyText"/>
        <w:spacing w:line="316" w:lineRule="auto" w:before="19"/>
        <w:ind w:right="0"/>
        <w:jc w:val="left"/>
      </w:pPr>
      <w:r>
        <w:rPr/>
        <w:t>（二）内幕信息知情人管理工作 </w:t>
      </w:r>
      <w:r>
        <w:rPr>
          <w:spacing w:val="-2"/>
        </w:rPr>
        <w:t>报告期内，公司董事、监事、高级管理人员及员工严格遵守《深圳证券交易所股票上市规则》、《深圳证券交易所主板上市</w:t>
      </w:r>
      <w:r>
        <w:rPr>
          <w:spacing w:val="-70"/>
        </w:rPr>
        <w:t> </w:t>
      </w:r>
      <w:r>
        <w:rPr>
          <w:spacing w:val="-70"/>
        </w:rPr>
      </w:r>
      <w:r>
        <w:rPr>
          <w:spacing w:val="-2"/>
        </w:rPr>
        <w:t>公司规范运作指引》、公司《董事、监事和高级管理人员持有和买卖本公司股票管理制度》及《内幕信息知情人登记管理制</w:t>
      </w:r>
      <w:r>
        <w:rPr>
          <w:spacing w:val="-70"/>
        </w:rPr>
        <w:t> </w:t>
      </w:r>
      <w:r>
        <w:rPr>
          <w:spacing w:val="-70"/>
        </w:rPr>
      </w:r>
      <w:r>
        <w:rPr>
          <w:spacing w:val="-2"/>
        </w:rPr>
        <w:t>度》、《重大信息内部报告制度》的相关规定，严格内幕信息的防控，对于有可能影响公司股价的重大财务或经营信息做到</w:t>
      </w:r>
      <w:r>
        <w:rPr>
          <w:spacing w:val="-67"/>
        </w:rPr>
        <w:t> </w:t>
      </w:r>
      <w:r>
        <w:rPr>
          <w:spacing w:val="-67"/>
        </w:rPr>
      </w:r>
      <w:r>
        <w:rPr>
          <w:spacing w:val="-2"/>
        </w:rPr>
        <w:t>严控知情人范围，并尽量缩短从信息产生到对外发布的时间。在公司重大事项、定期报告等窗口期及时对相关内幕信息之前</w:t>
      </w:r>
      <w:r>
        <w:rPr>
          <w:spacing w:val="-66"/>
        </w:rPr>
        <w:t> </w:t>
      </w:r>
      <w:r>
        <w:rPr>
          <w:spacing w:val="-66"/>
        </w:rPr>
      </w:r>
      <w:r>
        <w:rPr/>
        <w:t>人员进行提醒，杜绝内幕交易。报告期内，公司无内幕信息知情人违规买卖公司股票的行为。</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18"/>
        <w:jc w:val="left"/>
      </w:pPr>
      <w:r>
        <w:rPr>
          <w:spacing w:val="-2"/>
        </w:rPr>
        <w:t>公司的实际控制人为十名一致行动人，公司业务、人员、资产、机构、财务等方面具有独立性，不存在不能保存自主经营能</w:t>
      </w:r>
      <w:r>
        <w:rPr>
          <w:spacing w:val="-67"/>
        </w:rPr>
        <w:t> </w:t>
      </w:r>
      <w:r>
        <w:rPr>
          <w:spacing w:val="-67"/>
        </w:rPr>
      </w:r>
      <w:r>
        <w:rPr/>
        <w:t>力的情况。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346"/>
        <w:gridCol w:w="1595"/>
        <w:gridCol w:w="1594"/>
        <w:gridCol w:w="184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40" w:lineRule="auto"/>
              <w:ind w:left="22" w:right="4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2017-003</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巨潮资讯网</w:t>
            </w:r>
          </w:p>
        </w:tc>
      </w:tr>
      <w:tr>
        <w:trPr>
          <w:trHeight w:val="7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4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9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346"/>
        <w:gridCol w:w="1595"/>
        <w:gridCol w:w="1594"/>
        <w:gridCol w:w="1844"/>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pacing w:val="1"/>
                <w:sz w:val="18"/>
                <w:szCs w:val="18"/>
              </w:rPr>
              <w:t>巨</w:t>
            </w:r>
            <w:r>
              <w:rPr>
                <w:rFonts w:ascii="宋体" w:hAnsi="宋体" w:cs="宋体" w:eastAsia="宋体" w:hint="default"/>
                <w:sz w:val="18"/>
                <w:szCs w:val="18"/>
              </w:rPr>
              <w:t>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40" w:lineRule="auto"/>
              <w:ind w:left="22" w:right="6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9"/>
                <w:sz w:val="18"/>
                <w:szCs w:val="18"/>
              </w:rPr>
              <w:t>会决议公告》（公告编</w:t>
            </w:r>
            <w:r>
              <w:rPr>
                <w:rFonts w:ascii="宋体" w:hAnsi="宋体" w:cs="宋体" w:eastAsia="宋体" w:hint="default"/>
                <w:sz w:val="18"/>
                <w:szCs w:val="18"/>
              </w:rPr>
              <w:t> </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2017-038</w:t>
            </w:r>
            <w:r>
              <w:rPr>
                <w:rFonts w:ascii="宋体" w:hAnsi="宋体" w:cs="宋体" w:eastAsia="宋体" w:hint="default"/>
                <w:spacing w:val="-11"/>
                <w:sz w:val="18"/>
                <w:szCs w:val="18"/>
              </w:rPr>
              <w:t>），巨潮资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40" w:lineRule="auto"/>
              <w:ind w:left="22" w:right="4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股东大会决议公告》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2017-049</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40" w:lineRule="auto"/>
              <w:ind w:left="22" w:right="4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股东大会决议公告》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2017-077</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340" w:lineRule="auto"/>
              <w:ind w:left="22" w:right="43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 临时股东大会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股东大会决议公告》</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2017-082</w:t>
            </w:r>
            <w:r>
              <w:rPr>
                <w:rFonts w:ascii="宋体" w:hAnsi="宋体" w:cs="宋体" w:eastAsia="宋体" w:hint="default"/>
                <w:spacing w:val="-90"/>
                <w:sz w:val="18"/>
                <w:szCs w:val="18"/>
              </w:rPr>
              <w:t>）</w:t>
            </w:r>
            <w:r>
              <w:rPr>
                <w:rFonts w:ascii="宋体" w:hAnsi="宋体" w:cs="宋体" w:eastAsia="宋体" w:hint="default"/>
                <w:spacing w:val="-71"/>
                <w:sz w:val="18"/>
                <w:szCs w:val="18"/>
              </w:rPr>
              <w:t>，</w:t>
            </w: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1164"/>
        <w:gridCol w:w="1164"/>
        <w:gridCol w:w="1163"/>
        <w:gridCol w:w="1163"/>
        <w:gridCol w:w="865"/>
        <w:gridCol w:w="1568"/>
        <w:gridCol w:w="834"/>
      </w:tblGrid>
      <w:tr>
        <w:trPr>
          <w:trHeight w:val="401" w:hRule="exact"/>
        </w:trPr>
        <w:tc>
          <w:tcPr>
            <w:tcW w:w="891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1" w:right="0"/>
              <w:jc w:val="left"/>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5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310" w:right="131"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25" w:right="126" w:firstLine="90"/>
              <w:jc w:val="left"/>
              <w:rPr>
                <w:rFonts w:ascii="宋体" w:hAnsi="宋体" w:cs="宋体" w:eastAsia="宋体" w:hint="default"/>
                <w:sz w:val="18"/>
                <w:szCs w:val="18"/>
              </w:rPr>
            </w:pPr>
            <w:r>
              <w:rPr>
                <w:rFonts w:ascii="宋体" w:hAnsi="宋体" w:cs="宋体" w:eastAsia="宋体" w:hint="default"/>
                <w:sz w:val="18"/>
                <w:szCs w:val="18"/>
              </w:rPr>
              <w:t>现场出席 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25" w:right="125" w:firstLine="90"/>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57" w:right="66"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58" w:right="57"/>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52" w:right="49"/>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钟晓林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张迪生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39"/>
        <w:ind w:right="1033"/>
        <w:jc w:val="left"/>
      </w:pPr>
      <w:r>
        <w:rPr>
          <w:spacing w:val="-2"/>
        </w:rPr>
        <w:t>报告期内，独立董事与公司相关工作人员能够经常保持联系，了解公司日常生产经营情况，公司董事会审议议案均按规定提</w:t>
      </w:r>
      <w:r>
        <w:rPr>
          <w:spacing w:val="-66"/>
        </w:rPr>
        <w:t> </w:t>
      </w:r>
      <w:r>
        <w:rPr>
          <w:spacing w:val="-66"/>
        </w:rPr>
      </w:r>
      <w:r>
        <w:rPr>
          <w:spacing w:val="-2"/>
        </w:rPr>
        <w:t>前发给各董事进行审阅。</w:t>
      </w:r>
      <w:r>
        <w:rPr>
          <w:rFonts w:ascii="Times New Roman" w:hAnsi="Times New Roman" w:cs="Times New Roman" w:eastAsia="Times New Roman" w:hint="default"/>
          <w:spacing w:val="-2"/>
        </w:rPr>
        <w:t>2017</w:t>
      </w:r>
      <w:r>
        <w:rPr>
          <w:spacing w:val="-2"/>
        </w:rPr>
        <w:t>年，公司独立董事对于公司的财务报告、提供担保、关联交易、募集资金使用、增补独立董事</w:t>
      </w:r>
      <w:r>
        <w:rPr>
          <w:spacing w:val="-63"/>
        </w:rPr>
        <w:t> </w:t>
      </w:r>
      <w:r>
        <w:rPr>
          <w:spacing w:val="-63"/>
        </w:rPr>
      </w:r>
      <w:r>
        <w:rPr/>
        <w:t>及聘任高管等事项均提出了意见和建议，充分发挥了独立董事的作用，维护了公司、全体股东尤其是中小股东的合法权益。</w:t>
      </w:r>
      <w:r>
        <w:rPr/>
        <w:t> 公司董事会在讨论审议议案过程中，均充分考虑和尊重独立董事意见。</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23"/>
        <w:jc w:val="left"/>
      </w:pPr>
      <w:r>
        <w:rPr/>
        <w:t>（一）董事会战略委员会履职情况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5</w:t>
      </w:r>
      <w:r>
        <w:rPr>
          <w:spacing w:val="-2"/>
        </w:rPr>
        <w:t>日，战略委员会召开</w:t>
      </w:r>
      <w:r>
        <w:rPr>
          <w:rFonts w:ascii="Times New Roman" w:hAnsi="Times New Roman" w:cs="Times New Roman" w:eastAsia="Times New Roman" w:hint="default"/>
          <w:spacing w:val="-2"/>
        </w:rPr>
        <w:t>2017</w:t>
      </w:r>
      <w:r>
        <w:rPr>
          <w:spacing w:val="-2"/>
        </w:rPr>
        <w:t>年度第一次会议，审议通过了《关于全资子公司受让辽宁华盖安泰企业管理中心（有限</w:t>
      </w:r>
      <w:r>
        <w:rPr>
          <w:spacing w:val="-57"/>
        </w:rPr>
        <w:t> </w:t>
      </w:r>
      <w:r>
        <w:rPr>
          <w:spacing w:val="-57"/>
        </w:rPr>
      </w:r>
      <w:r>
        <w:rPr/>
        <w:t>合伙）少数股东权益的议案》；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日，战略委员会召开</w:t>
      </w:r>
      <w:r>
        <w:rPr>
          <w:rFonts w:ascii="Times New Roman" w:hAnsi="Times New Roman" w:cs="Times New Roman" w:eastAsia="Times New Roman" w:hint="default"/>
        </w:rPr>
        <w:t>2017</w:t>
      </w:r>
      <w:r>
        <w:rPr/>
        <w:t>年度第二次会议，审议通过了《关于全资子公司收购 广东易教优培教育科技有限公司</w:t>
      </w:r>
      <w:r>
        <w:rPr>
          <w:rFonts w:ascii="Times New Roman" w:hAnsi="Times New Roman" w:cs="Times New Roman" w:eastAsia="Times New Roman" w:hint="default"/>
        </w:rPr>
        <w:t>35%</w:t>
      </w:r>
      <w:r>
        <w:rPr/>
        <w:t>股份的议案》、《关于全资子公司控股设立天津笛笛科技有限公司的议案》；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25</w:t>
      </w:r>
      <w:r>
        <w:rPr/>
        <w:t>日，战略委员会召开</w:t>
      </w:r>
      <w:r>
        <w:rPr>
          <w:rFonts w:ascii="Times New Roman" w:hAnsi="Times New Roman" w:cs="Times New Roman" w:eastAsia="Times New Roman" w:hint="default"/>
        </w:rPr>
        <w:t>2017</w:t>
      </w:r>
      <w:r>
        <w:rPr/>
        <w:t>年度第三次会议，审议通过了《关于转让全资子公司深圳艾特凡斯智能科技有限公司</w:t>
      </w:r>
      <w:r>
        <w:rPr>
          <w:rFonts w:ascii="Times New Roman" w:hAnsi="Times New Roman" w:cs="Times New Roman" w:eastAsia="Times New Roman" w:hint="default"/>
        </w:rPr>
        <w:t>100%</w:t>
      </w:r>
      <w:r>
        <w:rPr/>
        <w:t>股 权的议案》。</w:t>
      </w:r>
    </w:p>
    <w:p>
      <w:pPr>
        <w:pStyle w:val="BodyText"/>
        <w:spacing w:line="302" w:lineRule="auto" w:before="28"/>
        <w:ind w:right="1111"/>
        <w:jc w:val="left"/>
      </w:pPr>
      <w:r>
        <w:rPr/>
        <w:t>（二）董事会审计委员会履职情况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日，审计委员会召开</w:t>
      </w:r>
      <w:r>
        <w:rPr>
          <w:rFonts w:ascii="Times New Roman" w:hAnsi="Times New Roman" w:cs="Times New Roman" w:eastAsia="Times New Roman" w:hint="default"/>
        </w:rPr>
        <w:t>2017</w:t>
      </w:r>
      <w:r>
        <w:rPr/>
        <w:t>年度第一次会议，审议通过了《关于为全资子公司提供担保的议案》；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 </w:t>
      </w:r>
      <w:r>
        <w:rPr/>
        <w:t>日，审计委员会召开</w:t>
      </w:r>
      <w:r>
        <w:rPr>
          <w:rFonts w:ascii="Times New Roman" w:hAnsi="Times New Roman" w:cs="Times New Roman" w:eastAsia="Times New Roman" w:hint="default"/>
        </w:rPr>
        <w:t>2017</w:t>
      </w:r>
      <w:r>
        <w:rPr/>
        <w:t>年度第二次会议，审议通过了《关于公司</w:t>
      </w:r>
      <w:r>
        <w:rPr>
          <w:rFonts w:ascii="Times New Roman" w:hAnsi="Times New Roman" w:cs="Times New Roman" w:eastAsia="Times New Roman" w:hint="default"/>
        </w:rPr>
        <w:t>2016</w:t>
      </w:r>
      <w:r>
        <w:rPr/>
        <w:t>年度经审计的财务报告的议案》、《关于</w:t>
      </w:r>
      <w:r>
        <w:rPr>
          <w:rFonts w:ascii="Times New Roman" w:hAnsi="Times New Roman" w:cs="Times New Roman" w:eastAsia="Times New Roman" w:hint="default"/>
        </w:rPr>
        <w:t>&lt;2016</w:t>
      </w:r>
      <w:r>
        <w:rPr/>
        <w:t>年年</w:t>
      </w:r>
      <w:r>
        <w:rPr>
          <w:spacing w:val="1"/>
        </w:rPr>
        <w:t> </w:t>
      </w:r>
      <w:r>
        <w:rPr>
          <w:spacing w:val="-5"/>
        </w:rPr>
        <w:t>度报告</w:t>
      </w:r>
      <w:r>
        <w:rPr>
          <w:rFonts w:ascii="Times New Roman" w:hAnsi="Times New Roman" w:cs="Times New Roman" w:eastAsia="Times New Roman" w:hint="default"/>
          <w:spacing w:val="-5"/>
        </w:rPr>
        <w:t>&gt;</w:t>
      </w:r>
      <w:r>
        <w:rPr>
          <w:spacing w:val="-5"/>
        </w:rPr>
        <w:t>及</w:t>
      </w:r>
      <w:r>
        <w:rPr>
          <w:rFonts w:ascii="Times New Roman" w:hAnsi="Times New Roman" w:cs="Times New Roman" w:eastAsia="Times New Roman" w:hint="default"/>
          <w:spacing w:val="-5"/>
        </w:rPr>
        <w:t>&lt;2016</w:t>
      </w:r>
      <w:r>
        <w:rPr>
          <w:spacing w:val="-5"/>
        </w:rPr>
        <w:t>年年度报告摘要</w:t>
      </w:r>
      <w:r>
        <w:rPr>
          <w:rFonts w:ascii="Times New Roman" w:hAnsi="Times New Roman" w:cs="Times New Roman" w:eastAsia="Times New Roman" w:hint="default"/>
          <w:spacing w:val="-5"/>
        </w:rPr>
        <w:t>&gt;</w:t>
      </w:r>
      <w:r>
        <w:rPr>
          <w:spacing w:val="-5"/>
        </w:rPr>
        <w:t>的议案》、《关于</w:t>
      </w:r>
      <w:r>
        <w:rPr>
          <w:rFonts w:ascii="Times New Roman" w:hAnsi="Times New Roman" w:cs="Times New Roman" w:eastAsia="Times New Roman" w:hint="default"/>
          <w:spacing w:val="-5"/>
        </w:rPr>
        <w:t>&lt;2017</w:t>
      </w:r>
      <w:r>
        <w:rPr>
          <w:spacing w:val="-5"/>
        </w:rPr>
        <w:t>年第一季度报告全文</w:t>
      </w:r>
      <w:r>
        <w:rPr>
          <w:rFonts w:ascii="Times New Roman" w:hAnsi="Times New Roman" w:cs="Times New Roman" w:eastAsia="Times New Roman" w:hint="default"/>
          <w:spacing w:val="-5"/>
        </w:rPr>
        <w:t>&gt;</w:t>
      </w:r>
      <w:r>
        <w:rPr>
          <w:spacing w:val="-5"/>
        </w:rPr>
        <w:t>及</w:t>
      </w:r>
      <w:r>
        <w:rPr>
          <w:rFonts w:ascii="Times New Roman" w:hAnsi="Times New Roman" w:cs="Times New Roman" w:eastAsia="Times New Roman" w:hint="default"/>
          <w:spacing w:val="-5"/>
        </w:rPr>
        <w:t>&lt;2017</w:t>
      </w:r>
      <w:r>
        <w:rPr>
          <w:spacing w:val="-5"/>
        </w:rPr>
        <w:t>年第一季度报告正文</w:t>
      </w:r>
      <w:r>
        <w:rPr>
          <w:rFonts w:ascii="Times New Roman" w:hAnsi="Times New Roman" w:cs="Times New Roman" w:eastAsia="Times New Roman" w:hint="default"/>
          <w:spacing w:val="-5"/>
        </w:rPr>
        <w:t>&gt;</w:t>
      </w:r>
      <w:r>
        <w:rPr>
          <w:spacing w:val="-5"/>
        </w:rPr>
        <w:t>的议案》、《关</w:t>
      </w:r>
      <w:r>
        <w:rPr>
          <w:spacing w:val="-29"/>
        </w:rPr>
        <w:t> </w:t>
      </w:r>
      <w:r>
        <w:rPr>
          <w:spacing w:val="-29"/>
        </w:rPr>
      </w:r>
      <w:r>
        <w:rPr>
          <w:spacing w:val="-1"/>
        </w:rPr>
        <w:t>于公司</w:t>
      </w:r>
      <w:r>
        <w:rPr>
          <w:rFonts w:ascii="Times New Roman" w:hAnsi="Times New Roman" w:cs="Times New Roman" w:eastAsia="Times New Roman" w:hint="default"/>
          <w:spacing w:val="-1"/>
        </w:rPr>
        <w:t>2016</w:t>
      </w:r>
      <w:r>
        <w:rPr>
          <w:spacing w:val="-1"/>
        </w:rPr>
        <w:t>年年度利润分配预案的议案》、《关于</w:t>
      </w:r>
      <w:r>
        <w:rPr>
          <w:rFonts w:ascii="Times New Roman" w:hAnsi="Times New Roman" w:cs="Times New Roman" w:eastAsia="Times New Roman" w:hint="default"/>
          <w:spacing w:val="-1"/>
        </w:rPr>
        <w:t>&lt;2016</w:t>
      </w:r>
      <w:r>
        <w:rPr>
          <w:spacing w:val="-1"/>
        </w:rPr>
        <w:t>年度内部控制评价报告</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&lt;2016</w:t>
      </w:r>
      <w:r>
        <w:rPr>
          <w:spacing w:val="-1"/>
        </w:rPr>
        <w:t>年度募集资金存放</w:t>
      </w:r>
      <w:r>
        <w:rPr>
          <w:spacing w:val="-59"/>
        </w:rPr>
        <w:t> </w:t>
      </w:r>
      <w:r>
        <w:rPr/>
        <w:t>与使用情况的专项报告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2016</w:t>
      </w:r>
      <w:r>
        <w:rPr/>
        <w:t>年坏账核销的议案》、《关于续聘中审众环会计师事务所（特殊普通合伙） 作为公司</w:t>
      </w:r>
      <w:r>
        <w:rPr>
          <w:rFonts w:ascii="Times New Roman" w:hAnsi="Times New Roman" w:cs="Times New Roman" w:eastAsia="Times New Roman" w:hint="default"/>
        </w:rPr>
        <w:t>2017</w:t>
      </w:r>
      <w:r>
        <w:rPr/>
        <w:t>年度审计机构的议案》；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日，审计委员会召开</w:t>
      </w:r>
      <w:r>
        <w:rPr>
          <w:rFonts w:ascii="Times New Roman" w:hAnsi="Times New Roman" w:cs="Times New Roman" w:eastAsia="Times New Roman" w:hint="default"/>
        </w:rPr>
        <w:t>2017</w:t>
      </w:r>
      <w:r>
        <w:rPr/>
        <w:t>年度第三次会议，审议通过了《关于公司全资 子公司深圳艾特凡斯智能科技有限公司使用部分闲置募集资金为公司补充流动资金的议案》；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日，审计委员会 </w:t>
      </w:r>
      <w:r>
        <w:rPr>
          <w:spacing w:val="-2"/>
        </w:rPr>
        <w:t>召开</w:t>
      </w:r>
      <w:r>
        <w:rPr>
          <w:rFonts w:ascii="Times New Roman" w:hAnsi="Times New Roman" w:cs="Times New Roman" w:eastAsia="Times New Roman" w:hint="default"/>
          <w:spacing w:val="-2"/>
        </w:rPr>
        <w:t>2017</w:t>
      </w:r>
      <w:r>
        <w:rPr>
          <w:spacing w:val="-2"/>
        </w:rPr>
        <w:t>年度第四次会议，审议通过了《关于使用节余募集资金及利息收入永久补充流动资金的议案》、《关于公司与关联</w:t>
      </w:r>
      <w:r>
        <w:rPr>
          <w:spacing w:val="-62"/>
        </w:rPr>
        <w:t> </w:t>
      </w:r>
      <w:r>
        <w:rPr>
          <w:spacing w:val="-62"/>
        </w:rPr>
      </w:r>
      <w:r>
        <w:rPr/>
        <w:t>方联合投标暨关联交易的议案》；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日，审计委员会召开</w:t>
      </w:r>
      <w:r>
        <w:rPr>
          <w:rFonts w:ascii="Times New Roman" w:hAnsi="Times New Roman" w:cs="Times New Roman" w:eastAsia="Times New Roman" w:hint="default"/>
        </w:rPr>
        <w:t>2017</w:t>
      </w:r>
      <w:r>
        <w:rPr/>
        <w:t>年度第五次会议，审议通过了《关于公司</w:t>
      </w:r>
      <w:r>
        <w:rPr>
          <w:rFonts w:ascii="Times New Roman" w:hAnsi="Times New Roman" w:cs="Times New Roman" w:eastAsia="Times New Roman" w:hint="default"/>
        </w:rPr>
        <w:t>2017</w:t>
      </w:r>
      <w:r>
        <w:rPr/>
        <w:t>年半 年度报告全文及摘要的议案》、《关于</w:t>
      </w:r>
      <w:r>
        <w:rPr>
          <w:rFonts w:ascii="Times New Roman" w:hAnsi="Times New Roman" w:cs="Times New Roman" w:eastAsia="Times New Roman" w:hint="default"/>
        </w:rPr>
        <w:t>&lt;2017</w:t>
      </w:r>
      <w:r>
        <w:rPr/>
        <w:t>年上半年募集资金存放与使用情况的专项报告</w:t>
      </w:r>
      <w:r>
        <w:rPr>
          <w:rFonts w:ascii="Times New Roman" w:hAnsi="Times New Roman" w:cs="Times New Roman" w:eastAsia="Times New Roman" w:hint="default"/>
        </w:rPr>
        <w:t>&gt;</w:t>
      </w:r>
      <w:r>
        <w:rPr/>
        <w:t>的议案》、《关于会计政策变 </w:t>
      </w:r>
      <w:r>
        <w:rPr>
          <w:spacing w:val="-2"/>
        </w:rPr>
        <w:t>更的议案》、《关于</w:t>
      </w:r>
      <w:r>
        <w:rPr>
          <w:rFonts w:ascii="Times New Roman" w:hAnsi="Times New Roman" w:cs="Times New Roman" w:eastAsia="Times New Roman" w:hint="default"/>
          <w:spacing w:val="-2"/>
        </w:rPr>
        <w:t>2017</w:t>
      </w:r>
      <w:r>
        <w:rPr>
          <w:spacing w:val="-2"/>
        </w:rPr>
        <w:t>年上半年坏账核销的议案》；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日，审计委员会召开</w:t>
      </w:r>
      <w:r>
        <w:rPr>
          <w:rFonts w:ascii="Times New Roman" w:hAnsi="Times New Roman" w:cs="Times New Roman" w:eastAsia="Times New Roman" w:hint="default"/>
          <w:spacing w:val="-2"/>
        </w:rPr>
        <w:t>2017</w:t>
      </w:r>
      <w:r>
        <w:rPr>
          <w:spacing w:val="-2"/>
        </w:rPr>
        <w:t>年度第六次会议，审议通过了</w:t>
      </w:r>
    </w:p>
    <w:p>
      <w:pPr>
        <w:pStyle w:val="BodyText"/>
        <w:spacing w:line="300" w:lineRule="auto" w:before="11"/>
        <w:ind w:left="154" w:right="0"/>
        <w:jc w:val="left"/>
      </w:pPr>
      <w:r>
        <w:rPr>
          <w:spacing w:val="-2"/>
        </w:rPr>
        <w:t>《关于</w:t>
      </w:r>
      <w:r>
        <w:rPr>
          <w:rFonts w:ascii="Times New Roman" w:hAnsi="Times New Roman" w:cs="Times New Roman" w:eastAsia="Times New Roman" w:hint="default"/>
          <w:spacing w:val="-2"/>
        </w:rPr>
        <w:t>&lt;2017</w:t>
      </w:r>
      <w:r>
        <w:rPr>
          <w:spacing w:val="-2"/>
        </w:rPr>
        <w:t>年第三季度报告全文》及《</w:t>
      </w:r>
      <w:r>
        <w:rPr>
          <w:rFonts w:ascii="Times New Roman" w:hAnsi="Times New Roman" w:cs="Times New Roman" w:eastAsia="Times New Roman" w:hint="default"/>
          <w:spacing w:val="-2"/>
        </w:rPr>
        <w:t>2017</w:t>
      </w:r>
      <w:r>
        <w:rPr>
          <w:spacing w:val="-2"/>
        </w:rPr>
        <w:t>年第三季度报告正文</w:t>
      </w:r>
      <w:r>
        <w:rPr>
          <w:rFonts w:ascii="Times New Roman" w:hAnsi="Times New Roman" w:cs="Times New Roman" w:eastAsia="Times New Roman" w:hint="default"/>
          <w:spacing w:val="-2"/>
        </w:rPr>
        <w:t>&gt;</w:t>
      </w:r>
      <w:r>
        <w:rPr>
          <w:spacing w:val="-2"/>
        </w:rPr>
        <w:t>的议案》、《关于为全资子公司提供担保的议案》；</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日，审计委员会召开</w:t>
      </w:r>
      <w:r>
        <w:rPr>
          <w:rFonts w:ascii="Times New Roman" w:hAnsi="Times New Roman" w:cs="Times New Roman" w:eastAsia="Times New Roman" w:hint="default"/>
        </w:rPr>
        <w:t>2017</w:t>
      </w:r>
      <w:r>
        <w:rPr/>
        <w:t>年度第七次会议，审议通过了《关于</w:t>
      </w:r>
      <w:r>
        <w:rPr>
          <w:rFonts w:ascii="Times New Roman" w:hAnsi="Times New Roman" w:cs="Times New Roman" w:eastAsia="Times New Roman" w:hint="default"/>
        </w:rPr>
        <w:t>2018</w:t>
      </w:r>
      <w:r>
        <w:rPr/>
        <w:t>年度公司及子公司担保额度的议案》。</w:t>
      </w:r>
    </w:p>
    <w:p>
      <w:pPr>
        <w:pStyle w:val="BodyText"/>
        <w:spacing w:line="309" w:lineRule="auto" w:before="13"/>
        <w:ind w:right="0"/>
        <w:jc w:val="left"/>
      </w:pPr>
      <w:r>
        <w:rPr/>
        <w:t>（三）董事会提名委员会履职情况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日，提名委员会召开</w:t>
      </w:r>
      <w:r>
        <w:rPr>
          <w:rFonts w:ascii="Times New Roman" w:hAnsi="Times New Roman" w:cs="Times New Roman" w:eastAsia="Times New Roman" w:hint="default"/>
          <w:spacing w:val="-2"/>
        </w:rPr>
        <w:t>2017</w:t>
      </w:r>
      <w:r>
        <w:rPr>
          <w:spacing w:val="-2"/>
        </w:rPr>
        <w:t>年度第一次会议，审议通过了《关于增补汪天润先生为独立董事的议案》、《关于聘</w:t>
      </w:r>
      <w:r>
        <w:rPr>
          <w:spacing w:val="-54"/>
        </w:rPr>
        <w:t> </w:t>
      </w:r>
      <w:r>
        <w:rPr>
          <w:spacing w:val="-54"/>
        </w:rPr>
      </w:r>
      <w:r>
        <w:rPr/>
        <w:t>任公司高级管理人员的议案》。</w:t>
      </w:r>
    </w:p>
    <w:p>
      <w:pPr>
        <w:pStyle w:val="BodyText"/>
        <w:spacing w:line="240" w:lineRule="auto" w:before="24"/>
        <w:ind w:right="0"/>
        <w:jc w:val="left"/>
      </w:pPr>
      <w:r>
        <w:rPr/>
        <w:t>（四）董事会薪酬与考核委员会履职情况</w:t>
      </w:r>
    </w:p>
    <w:p>
      <w:pPr>
        <w:pStyle w:val="BodyText"/>
        <w:spacing w:line="240" w:lineRule="auto" w:before="76"/>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日，薪酬与考核委员会召开</w:t>
      </w:r>
      <w:r>
        <w:rPr>
          <w:rFonts w:ascii="Times New Roman" w:hAnsi="Times New Roman" w:cs="Times New Roman" w:eastAsia="Times New Roman" w:hint="default"/>
        </w:rPr>
        <w:t>2017</w:t>
      </w:r>
      <w:r>
        <w:rPr/>
        <w:t>年度第一次会议，审议通过了《关于第八届增补董事、监事年度薪酬的议案》。</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jc w:val="both"/>
      </w:pPr>
      <w:r>
        <w:rPr>
          <w:spacing w:val="-2"/>
        </w:rPr>
        <w:t>报告期内，公司高级管理人员严格按照《公司法》、《公司章程》及有关法律法规认真履行职责，积极落实公司股东大会和</w:t>
      </w:r>
      <w:r>
        <w:rPr>
          <w:spacing w:val="-70"/>
        </w:rPr>
        <w:t> </w:t>
      </w:r>
      <w:r>
        <w:rPr>
          <w:spacing w:val="-70"/>
        </w:rPr>
      </w:r>
      <w:r>
        <w:rPr>
          <w:spacing w:val="-2"/>
        </w:rPr>
        <w:t>董事会各项决议，较好地完成了本年度的各项工作任务。董事会根据公司经营状况并参照社会及行业的平均水平制定了薪酬</w:t>
      </w:r>
      <w:r>
        <w:rPr>
          <w:spacing w:val="-64"/>
        </w:rPr>
        <w:t> </w:t>
      </w:r>
      <w:r>
        <w:rPr>
          <w:spacing w:val="-64"/>
        </w:rPr>
      </w:r>
      <w:r>
        <w:rPr/>
        <w:t>方案，公司高级管理人员依据其在公司的任职岗位领取相应薪酬。</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内部控制情况" w:id="149"/>
      <w:bookmarkEnd w:id="149"/>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before="44"/>
        <w:ind w:left="0" w:right="1139"/>
        <w:jc w:val="right"/>
      </w:pPr>
      <w:r>
        <w:rPr/>
        <w:pict>
          <v:shape style="position:absolute;margin-left:56.459999pt;margin-top:-183.868286pt;width:479.2pt;height:482.4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0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30" w:firstLine="90"/>
                          <w:jc w:val="left"/>
                          <w:rPr>
                            <w:rFonts w:ascii="宋体" w:hAnsi="宋体" w:cs="宋体" w:eastAsia="宋体" w:hint="default"/>
                            <w:sz w:val="18"/>
                            <w:szCs w:val="18"/>
                          </w:rPr>
                        </w:pPr>
                        <w:r>
                          <w:rPr>
                            <w:rFonts w:ascii="宋体" w:hAnsi="宋体" w:cs="宋体" w:eastAsia="宋体" w:hint="default"/>
                            <w:spacing w:val="-5"/>
                            <w:sz w:val="18"/>
                            <w:szCs w:val="18"/>
                          </w:rPr>
                          <w:t>①出现以下情形的（包括但不限于），一</w:t>
                        </w:r>
                        <w:r>
                          <w:rPr>
                            <w:rFonts w:ascii="宋体" w:hAnsi="宋体" w:cs="宋体" w:eastAsia="宋体" w:hint="default"/>
                            <w:sz w:val="18"/>
                            <w:szCs w:val="18"/>
                          </w:rPr>
                          <w:t> 般应认定为财务报告内部控制重大缺陷：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董事、监事和高层管理人员滥用职权， 发生贪污、受贿、挪用公款等舞弊行为； </w:t>
                        </w:r>
                        <w:r>
                          <w:rPr>
                            <w:rFonts w:ascii="Times New Roman" w:hAnsi="Times New Roman" w:cs="Times New Roman" w:eastAsia="Times New Roman" w:hint="default"/>
                            <w:sz w:val="18"/>
                            <w:szCs w:val="18"/>
                          </w:rPr>
                          <w:t>B. </w:t>
                        </w:r>
                        <w:r>
                          <w:rPr>
                            <w:rFonts w:ascii="宋体" w:hAnsi="宋体" w:cs="宋体" w:eastAsia="宋体" w:hint="default"/>
                            <w:sz w:val="18"/>
                            <w:szCs w:val="18"/>
                          </w:rPr>
                          <w:t>公司因发现以前年度存在重大会计差 </w:t>
                        </w:r>
                        <w:r>
                          <w:rPr>
                            <w:rFonts w:ascii="宋体" w:hAnsi="宋体" w:cs="宋体" w:eastAsia="宋体" w:hint="default"/>
                            <w:spacing w:val="-3"/>
                            <w:sz w:val="18"/>
                            <w:szCs w:val="18"/>
                          </w:rPr>
                          <w:t>错，更正已上报或披露的财务报告；</w:t>
                        </w:r>
                        <w:r>
                          <w:rPr>
                            <w:rFonts w:ascii="Times New Roman" w:hAnsi="Times New Roman" w:cs="Times New Roman" w:eastAsia="Times New Roman" w:hint="default"/>
                            <w:spacing w:val="-3"/>
                            <w:sz w:val="18"/>
                            <w:szCs w:val="18"/>
                          </w:rPr>
                          <w:t>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司审计委员会（或类似机构）和内部审机 </w:t>
                        </w:r>
                        <w:r>
                          <w:rPr>
                            <w:rFonts w:ascii="宋体" w:hAnsi="宋体" w:cs="宋体" w:eastAsia="宋体" w:hint="default"/>
                            <w:spacing w:val="-5"/>
                            <w:sz w:val="18"/>
                            <w:szCs w:val="18"/>
                          </w:rPr>
                          <w:t>构对内部控制监督无效；</w:t>
                        </w:r>
                        <w:r>
                          <w:rPr>
                            <w:rFonts w:ascii="Times New Roman" w:hAnsi="Times New Roman" w:cs="Times New Roman" w:eastAsia="Times New Roman" w:hint="default"/>
                            <w:spacing w:val="-5"/>
                            <w:sz w:val="18"/>
                            <w:szCs w:val="18"/>
                          </w:rPr>
                          <w:t>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外部审计师发</w:t>
                        </w:r>
                        <w:r>
                          <w:rPr>
                            <w:rFonts w:ascii="宋体" w:hAnsi="宋体" w:cs="宋体" w:eastAsia="宋体" w:hint="default"/>
                            <w:spacing w:val="-87"/>
                            <w:sz w:val="18"/>
                            <w:szCs w:val="18"/>
                          </w:rPr>
                          <w:t> </w:t>
                        </w:r>
                        <w:r>
                          <w:rPr>
                            <w:rFonts w:ascii="宋体" w:hAnsi="宋体" w:cs="宋体" w:eastAsia="宋体" w:hint="default"/>
                            <w:sz w:val="18"/>
                            <w:szCs w:val="18"/>
                          </w:rPr>
                          <w:t>现当期财务报告存在重大错报，且内部控 制运行未能发现该错报。②出现以下情形 </w:t>
                        </w:r>
                        <w:r>
                          <w:rPr>
                            <w:rFonts w:ascii="宋体" w:hAnsi="宋体" w:cs="宋体" w:eastAsia="宋体" w:hint="default"/>
                            <w:spacing w:val="-9"/>
                            <w:sz w:val="18"/>
                            <w:szCs w:val="18"/>
                          </w:rPr>
                          <w:t>的（包括但不限于），一般应认定为财务报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未依照公认会计 </w:t>
                        </w:r>
                        <w:r>
                          <w:rPr>
                            <w:rFonts w:ascii="宋体" w:hAnsi="宋体" w:cs="宋体" w:eastAsia="宋体" w:hint="default"/>
                            <w:spacing w:val="-4"/>
                            <w:sz w:val="18"/>
                            <w:szCs w:val="18"/>
                          </w:rPr>
                          <w:t>准则选择和应用会计政策；</w:t>
                        </w:r>
                        <w:r>
                          <w:rPr>
                            <w:rFonts w:ascii="Times New Roman" w:hAnsi="Times New Roman" w:cs="Times New Roman" w:eastAsia="Times New Roman" w:hint="default"/>
                            <w:spacing w:val="-4"/>
                            <w:sz w:val="18"/>
                            <w:szCs w:val="18"/>
                          </w:rPr>
                          <w:t>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未建立反舞</w:t>
                        </w:r>
                        <w:r>
                          <w:rPr>
                            <w:rFonts w:ascii="宋体" w:hAnsi="宋体" w:cs="宋体" w:eastAsia="宋体" w:hint="default"/>
                            <w:spacing w:val="-87"/>
                            <w:sz w:val="18"/>
                            <w:szCs w:val="18"/>
                          </w:rPr>
                          <w:t> </w:t>
                        </w:r>
                        <w:r>
                          <w:rPr>
                            <w:rFonts w:ascii="宋体" w:hAnsi="宋体" w:cs="宋体" w:eastAsia="宋体" w:hint="default"/>
                            <w:spacing w:val="-5"/>
                            <w:sz w:val="18"/>
                            <w:szCs w:val="18"/>
                          </w:rPr>
                          <w:t>弊程序和控制措施；</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对于非常规或特殊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交易的账务处理没有建立相应的控制机制 或没有实施且没有相应的补偿性控制；</w:t>
                        </w:r>
                        <w:r>
                          <w:rPr>
                            <w:rFonts w:ascii="Times New Roman" w:hAnsi="Times New Roman" w:cs="Times New Roman" w:eastAsia="Times New Roman" w:hint="default"/>
                            <w:sz w:val="18"/>
                            <w:szCs w:val="18"/>
                          </w:rPr>
                          <w:t>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对于期末财务报告过程的控制存在一项或 多项缺陷且不能合理保证编制的财务报表 </w:t>
                        </w:r>
                        <w:r>
                          <w:rPr>
                            <w:rFonts w:ascii="宋体" w:hAnsi="宋体" w:cs="宋体" w:eastAsia="宋体" w:hint="default"/>
                            <w:spacing w:val="-3"/>
                            <w:sz w:val="18"/>
                            <w:szCs w:val="18"/>
                          </w:rPr>
                          <w:t>达到真实、准确的目标。</w:t>
                        </w:r>
                        <w:r>
                          <w:rPr>
                            <w:rFonts w:ascii="宋体" w:hAnsi="宋体" w:cs="宋体" w:eastAsia="宋体" w:hint="default"/>
                            <w:spacing w:val="-31"/>
                            <w:sz w:val="18"/>
                            <w:szCs w:val="18"/>
                          </w:rPr>
                          <w:t> </w:t>
                        </w:r>
                        <w:r>
                          <w:rPr>
                            <w:rFonts w:ascii="宋体" w:hAnsi="宋体" w:cs="宋体" w:eastAsia="宋体" w:hint="default"/>
                            <w:sz w:val="18"/>
                            <w:szCs w:val="18"/>
                          </w:rPr>
                          <w:t>③其他不构成重</w:t>
                        </w:r>
                        <w:r>
                          <w:rPr>
                            <w:rFonts w:ascii="宋体" w:hAnsi="宋体" w:cs="宋体" w:eastAsia="宋体" w:hint="default"/>
                            <w:sz w:val="18"/>
                            <w:szCs w:val="18"/>
                          </w:rPr>
                          <w:t> 大缺陷或重要缺陷的其他内部控制缺陷为</w:t>
                        </w:r>
                      </w:p>
                    </w:tc>
                    <w:tc>
                      <w:tcPr>
                        <w:tcW w:w="3039" w:type="dxa"/>
                        <w:vMerge w:val="restart"/>
                        <w:tcBorders>
                          <w:top w:val="single" w:sz="4" w:space="0" w:color="000000"/>
                          <w:left w:val="single" w:sz="9" w:space="0" w:color="FFFFFF"/>
                          <w:right w:val="single" w:sz="4" w:space="0" w:color="000000"/>
                        </w:tcBorders>
                      </w:tcPr>
                      <w:p>
                        <w:pPr>
                          <w:pStyle w:val="TableParagraph"/>
                          <w:spacing w:line="309" w:lineRule="auto" w:before="52"/>
                          <w:ind w:left="4" w:right="-42"/>
                          <w:jc w:val="left"/>
                          <w:rPr>
                            <w:rFonts w:ascii="宋体" w:hAnsi="宋体" w:cs="宋体" w:eastAsia="宋体" w:hint="default"/>
                            <w:sz w:val="18"/>
                            <w:szCs w:val="18"/>
                          </w:rPr>
                        </w:pPr>
                        <w:r>
                          <w:rPr>
                            <w:rFonts w:ascii="宋体" w:hAnsi="宋体" w:cs="宋体" w:eastAsia="宋体" w:hint="default"/>
                            <w:spacing w:val="-6"/>
                            <w:sz w:val="18"/>
                            <w:szCs w:val="18"/>
                          </w:rPr>
                          <w:t>①出现以下情形的（包括但不限于），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一般应认定为非财务报告内部控制重 </w:t>
                        </w:r>
                        <w:r>
                          <w:rPr>
                            <w:rFonts w:ascii="宋体" w:hAnsi="宋体" w:cs="宋体" w:eastAsia="宋体" w:hint="default"/>
                            <w:spacing w:val="-5"/>
                            <w:sz w:val="18"/>
                            <w:szCs w:val="18"/>
                          </w:rPr>
                          <w:t>大缺陷：</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对公司的战略制定、实施</w:t>
                        </w:r>
                        <w:r>
                          <w:rPr>
                            <w:rFonts w:ascii="宋体" w:hAnsi="宋体" w:cs="宋体" w:eastAsia="宋体" w:hint="default"/>
                            <w:sz w:val="18"/>
                            <w:szCs w:val="18"/>
                          </w:rPr>
                          <w:t> </w:t>
                        </w:r>
                        <w:r>
                          <w:rPr>
                            <w:rFonts w:ascii="宋体" w:hAnsi="宋体" w:cs="宋体" w:eastAsia="宋体" w:hint="default"/>
                            <w:spacing w:val="-4"/>
                            <w:sz w:val="18"/>
                            <w:szCs w:val="18"/>
                          </w:rPr>
                          <w:t>对公司经营产生重大影响，无法达到重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要营运目标或关键业绩指标。</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 不充分导致重大失误；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违反国家法 律法规并受到重大处罚；</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中高级管 </w:t>
                        </w:r>
                        <w:r>
                          <w:rPr>
                            <w:rFonts w:ascii="宋体" w:hAnsi="宋体" w:cs="宋体" w:eastAsia="宋体" w:hint="default"/>
                            <w:spacing w:val="-4"/>
                            <w:sz w:val="18"/>
                            <w:szCs w:val="18"/>
                          </w:rPr>
                          <w:t>理人员和高级技术人员流失严重。②出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现以下情形的（包括但不限于），一般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应认定为非财务报告内部控制重要缺 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对公司的战略制定、实施，对 </w:t>
                        </w:r>
                        <w:r>
                          <w:rPr>
                            <w:rFonts w:ascii="宋体" w:hAnsi="宋体" w:cs="宋体" w:eastAsia="宋体" w:hint="default"/>
                            <w:spacing w:val="-4"/>
                            <w:sz w:val="18"/>
                            <w:szCs w:val="18"/>
                          </w:rPr>
                          <w:t>公司经营产生中度影响，对达到营运目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标或关键业绩指标产生部分负面影响。 </w:t>
                        </w:r>
                        <w:r>
                          <w:rPr>
                            <w:rFonts w:ascii="Times New Roman" w:hAnsi="Times New Roman" w:cs="Times New Roman" w:eastAsia="Times New Roman" w:hint="default"/>
                            <w:sz w:val="18"/>
                            <w:szCs w:val="18"/>
                          </w:rPr>
                          <w:t>B. </w:t>
                        </w:r>
                        <w:r>
                          <w:rPr>
                            <w:rFonts w:ascii="宋体" w:hAnsi="宋体" w:cs="宋体" w:eastAsia="宋体" w:hint="default"/>
                            <w:sz w:val="18"/>
                            <w:szCs w:val="18"/>
                          </w:rPr>
                          <w:t>决策程序不充分导致出现重要失 误；</w:t>
                        </w:r>
                        <w:r>
                          <w:rPr>
                            <w:rFonts w:ascii="Times New Roman" w:hAnsi="Times New Roman" w:cs="Times New Roman" w:eastAsia="Times New Roman" w:hint="default"/>
                            <w:sz w:val="18"/>
                            <w:szCs w:val="18"/>
                          </w:rPr>
                          <w:t>C. </w:t>
                        </w:r>
                        <w:r>
                          <w:rPr>
                            <w:rFonts w:ascii="宋体" w:hAnsi="宋体" w:cs="宋体" w:eastAsia="宋体" w:hint="default"/>
                            <w:sz w:val="18"/>
                            <w:szCs w:val="18"/>
                          </w:rPr>
                          <w:t>违反企业内部规章，形成较大 金额损失；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关键岗位业务人员流失 </w:t>
                        </w:r>
                        <w:r>
                          <w:rPr>
                            <w:rFonts w:ascii="宋体" w:hAnsi="宋体" w:cs="宋体" w:eastAsia="宋体" w:hint="default"/>
                            <w:spacing w:val="-4"/>
                            <w:sz w:val="18"/>
                            <w:szCs w:val="18"/>
                          </w:rPr>
                          <w:t>严重。③出现以下情形的（包括但不限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于），一般应认定为非财务报告内部控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制一般缺陷</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对公司的战略制定、实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施，对公司经营产生轻微影响，减慢营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运运行，但对达到营运目标只有轻微影</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10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83.980011pt;margin-top:342.199982pt;width:149.8pt;height:31.2pt;mso-position-horizontal-relative:page;mso-position-vertical-relative:page;z-index:-1031152" coordorigin="7680,6844" coordsize="2996,624">
            <v:group style="position:absolute;left:7680;top:6844;width:2996;height:312" coordorigin="7680,6844" coordsize="2996,312">
              <v:shape style="position:absolute;left:7680;top:6844;width:2996;height:312" coordorigin="7680,6844" coordsize="2996,312" path="m7680,7156l10675,7156,10675,6844,7680,6844,7680,7156xe" filled="true" fillcolor="#ffffff" stroked="false">
                <v:path arrowok="t"/>
                <v:fill type="solid"/>
              </v:shape>
            </v:group>
            <v:group style="position:absolute;left:7680;top:7156;width:2996;height:312" coordorigin="7680,7156" coordsize="2996,312">
              <v:shape style="position:absolute;left:7680;top:7156;width:2996;height:312" coordorigin="7680,7156" coordsize="2996,312" path="m7680,7468l10675,7468,10675,7156,7680,7156,7680,746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1" w:right="20"/>
              <w:jc w:val="both"/>
              <w:rPr>
                <w:rFonts w:ascii="宋体" w:hAnsi="宋体" w:cs="宋体" w:eastAsia="宋体" w:hint="default"/>
                <w:sz w:val="18"/>
                <w:szCs w:val="18"/>
              </w:rPr>
            </w:pP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B. </w:t>
            </w:r>
            <w:r>
              <w:rPr>
                <w:rFonts w:ascii="宋体" w:hAnsi="宋体" w:cs="宋体" w:eastAsia="宋体" w:hint="default"/>
                <w:sz w:val="18"/>
                <w:szCs w:val="18"/>
              </w:rPr>
              <w:t>决策程序效率不高；</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违反内 部规章，但未形成损失；</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一般岗位 业务人员流失严重。</w:t>
            </w:r>
          </w:p>
        </w:tc>
      </w:tr>
      <w:tr>
        <w:trPr>
          <w:trHeight w:val="66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2" w:lineRule="auto"/>
              <w:ind w:left="23" w:right="2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利润总额：重大缺陷定量标准：错报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w:t>
            </w:r>
            <w:r>
              <w:rPr>
                <w:rFonts w:ascii="宋体" w:hAnsi="宋体" w:cs="宋体" w:eastAsia="宋体" w:hint="default"/>
                <w:spacing w:val="-81"/>
                <w:sz w:val="18"/>
                <w:szCs w:val="18"/>
              </w:rPr>
              <w:t> </w:t>
            </w:r>
            <w:r>
              <w:rPr>
                <w:rFonts w:ascii="宋体" w:hAnsi="宋体" w:cs="宋体" w:eastAsia="宋体" w:hint="default"/>
                <w:sz w:val="18"/>
                <w:szCs w:val="18"/>
              </w:rPr>
              <w:t>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；重要缺陷定量标准：利润总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；一般缺陷</w:t>
            </w:r>
            <w:r>
              <w:rPr>
                <w:rFonts w:ascii="宋体" w:hAnsi="宋体" w:cs="宋体" w:eastAsia="宋体" w:hint="default"/>
                <w:sz w:val="18"/>
                <w:szCs w:val="18"/>
              </w:rPr>
              <w:t> 定量标准：错报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 </w:t>
            </w:r>
            <w:r>
              <w:rPr>
                <w:rFonts w:ascii="宋体" w:hAnsi="宋体" w:cs="宋体" w:eastAsia="宋体" w:hint="default"/>
                <w:spacing w:val="-4"/>
                <w:sz w:val="18"/>
                <w:szCs w:val="18"/>
              </w:rPr>
              <w:t>总额：重大缺陷定量标准：错报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资产总额</w:t>
            </w:r>
            <w:r>
              <w:rPr>
                <w:rFonts w:ascii="宋体" w:hAnsi="宋体" w:cs="宋体" w:eastAsia="宋体" w:hint="default"/>
                <w:spacing w:val="-87"/>
                <w:sz w:val="18"/>
                <w:szCs w:val="18"/>
              </w:rPr>
              <w:t> </w:t>
            </w:r>
            <w:r>
              <w:rPr>
                <w:rFonts w:ascii="宋体" w:hAnsi="宋体" w:cs="宋体" w:eastAsia="宋体" w:hint="default"/>
                <w:sz w:val="18"/>
                <w:szCs w:val="18"/>
              </w:rPr>
              <w:t>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；重要缺陷定量标准：资产总额的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Times New Roman" w:hAnsi="Times New Roman" w:cs="Times New Roman" w:eastAsia="Times New Roman" w:hint="default"/>
                <w:spacing w:val="-7"/>
                <w:sz w:val="18"/>
                <w:szCs w:val="18"/>
              </w:rPr>
              <w:t>0.8%</w:t>
            </w:r>
            <w:r>
              <w:rPr>
                <w:rFonts w:ascii="宋体" w:hAnsi="宋体" w:cs="宋体" w:eastAsia="宋体" w:hint="default"/>
                <w:spacing w:val="-7"/>
                <w:sz w:val="18"/>
                <w:szCs w:val="18"/>
              </w:rPr>
              <w:t>；一般缺陷定</w:t>
            </w:r>
            <w:r>
              <w:rPr>
                <w:rFonts w:ascii="宋体" w:hAnsi="宋体" w:cs="宋体" w:eastAsia="宋体" w:hint="default"/>
                <w:sz w:val="18"/>
                <w:szCs w:val="18"/>
              </w:rPr>
              <w:t> </w:t>
            </w:r>
            <w:r>
              <w:rPr>
                <w:rFonts w:ascii="宋体" w:hAnsi="宋体" w:cs="宋体" w:eastAsia="宋体" w:hint="default"/>
                <w:spacing w:val="-4"/>
                <w:sz w:val="18"/>
                <w:szCs w:val="18"/>
              </w:rPr>
              <w:t>量标准：错报</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营业收</w:t>
            </w:r>
            <w:r>
              <w:rPr>
                <w:rFonts w:ascii="宋体" w:hAnsi="宋体" w:cs="宋体" w:eastAsia="宋体" w:hint="default"/>
                <w:spacing w:val="-88"/>
                <w:sz w:val="18"/>
                <w:szCs w:val="18"/>
              </w:rPr>
              <w:t> </w:t>
            </w:r>
            <w:r>
              <w:rPr>
                <w:rFonts w:ascii="宋体" w:hAnsi="宋体" w:cs="宋体" w:eastAsia="宋体" w:hint="default"/>
                <w:spacing w:val="-4"/>
                <w:sz w:val="18"/>
                <w:szCs w:val="18"/>
              </w:rPr>
              <w:t>入总额：重大缺陷定量标准：错报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w:t>
            </w:r>
            <w:r>
              <w:rPr>
                <w:rFonts w:ascii="宋体" w:hAnsi="宋体" w:cs="宋体" w:eastAsia="宋体" w:hint="default"/>
                <w:spacing w:val="-87"/>
                <w:sz w:val="18"/>
                <w:szCs w:val="18"/>
              </w:rPr>
              <w:t> </w:t>
            </w:r>
            <w:r>
              <w:rPr>
                <w:rFonts w:ascii="宋体" w:hAnsi="宋体" w:cs="宋体" w:eastAsia="宋体" w:hint="default"/>
                <w:sz w:val="18"/>
                <w:szCs w:val="18"/>
              </w:rPr>
              <w:t>入总额的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；重要缺陷定量标准：营业收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；一般缺陷定量标准：错报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 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所有者权益总额：重大缺 </w:t>
            </w:r>
            <w:r>
              <w:rPr>
                <w:rFonts w:ascii="宋体" w:hAnsi="宋体" w:cs="宋体" w:eastAsia="宋体" w:hint="default"/>
                <w:spacing w:val="-6"/>
                <w:w w:val="100"/>
                <w:sz w:val="18"/>
                <w:szCs w:val="18"/>
              </w:rPr>
              <w:t>陷定量标准：错报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所有者权益总额的</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重要缺陷定量标准：所有者权益总额总额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 </w:t>
            </w:r>
            <w:r>
              <w:rPr>
                <w:rFonts w:ascii="宋体" w:hAnsi="宋体" w:cs="宋体" w:eastAsia="宋体" w:hint="default"/>
                <w:spacing w:val="-5"/>
                <w:sz w:val="18"/>
                <w:szCs w:val="18"/>
              </w:rPr>
              <w:t>般缺陷定量标准：错报</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所有者权益总额的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00" w:lineRule="auto" w:before="51"/>
              <w:ind w:left="4"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利润总额：重大缺陷定量标准：影响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w w:val="100"/>
                <w:sz w:val="18"/>
                <w:szCs w:val="18"/>
              </w:rPr>
              <w:t>金额</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利润总额的</w:t>
            </w:r>
            <w:r>
              <w:rPr>
                <w:rFonts w:ascii="宋体" w:hAnsi="宋体" w:cs="宋体" w:eastAsia="宋体" w:hint="default"/>
                <w:spacing w:val="-41"/>
                <w:w w:val="100"/>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；重要缺陷定量标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准：利润总额的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；一般缺陷定量标准：影响金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资产总额：重大</w:t>
            </w:r>
            <w:r>
              <w:rPr>
                <w:rFonts w:ascii="宋体" w:hAnsi="宋体" w:cs="宋体" w:eastAsia="宋体" w:hint="default"/>
                <w:sz w:val="18"/>
                <w:szCs w:val="18"/>
              </w:rPr>
              <w:t> 缺陷定量标准：影响金额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；重要缺陷定量标准：资产总额的</w:t>
            </w:r>
          </w:p>
          <w:p>
            <w:pPr>
              <w:pStyle w:val="TableParagraph"/>
              <w:spacing w:line="300" w:lineRule="auto" w:before="13"/>
              <w:ind w:left="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；一 般缺陷定量标准：影响金额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 的</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营业收入总额：重大缺陷定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；重要缺陷定量标准：营业收入总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；一般缺陷定量标准：影响金额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w:t>
            </w:r>
          </w:p>
          <w:p>
            <w:pPr>
              <w:pStyle w:val="TableParagraph"/>
              <w:spacing w:line="203" w:lineRule="exact" w:before="13"/>
              <w:ind w:left="4" w:right="0"/>
              <w:jc w:val="left"/>
              <w:rPr>
                <w:rFonts w:ascii="宋体" w:hAnsi="宋体" w:cs="宋体" w:eastAsia="宋体" w:hint="default"/>
                <w:sz w:val="18"/>
                <w:szCs w:val="18"/>
              </w:rPr>
            </w:pPr>
            <w:r>
              <w:rPr>
                <w:rFonts w:ascii="宋体" w:hAnsi="宋体" w:cs="宋体" w:eastAsia="宋体" w:hint="default"/>
                <w:sz w:val="18"/>
                <w:szCs w:val="18"/>
              </w:rPr>
              <w:t>业收入总额的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所有者权益总</w:t>
            </w:r>
          </w:p>
          <w:p>
            <w:pPr>
              <w:pStyle w:val="TableParagraph"/>
              <w:spacing w:line="14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额：重大缺陷定量标准：影响金额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所</w:t>
            </w:r>
          </w:p>
          <w:p>
            <w:pPr>
              <w:pStyle w:val="TableParagraph"/>
              <w:spacing w:line="300" w:lineRule="auto" w:before="63"/>
              <w:ind w:left="4" w:right="20"/>
              <w:jc w:val="left"/>
              <w:rPr>
                <w:rFonts w:ascii="宋体" w:hAnsi="宋体" w:cs="宋体" w:eastAsia="宋体" w:hint="default"/>
                <w:sz w:val="18"/>
                <w:szCs w:val="18"/>
              </w:rPr>
            </w:pPr>
            <w:r>
              <w:rPr>
                <w:rFonts w:ascii="宋体" w:hAnsi="宋体" w:cs="宋体" w:eastAsia="宋体" w:hint="default"/>
                <w:sz w:val="18"/>
                <w:szCs w:val="18"/>
              </w:rPr>
              <w:t>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；重要缺陷定量标 </w:t>
            </w:r>
            <w:r>
              <w:rPr>
                <w:rFonts w:ascii="宋体" w:hAnsi="宋体" w:cs="宋体" w:eastAsia="宋体" w:hint="default"/>
                <w:spacing w:val="-4"/>
                <w:sz w:val="18"/>
                <w:szCs w:val="18"/>
              </w:rPr>
              <w:t>准：所有者权益总额总额的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影响 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 陷定量标准：影响金额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0"/>
        <w:jc w:val="left"/>
        <w:rPr>
          <w:b w:val="0"/>
          <w:bCs w:val="0"/>
        </w:rPr>
      </w:pPr>
      <w:bookmarkStart w:name="十、内部控制审计报告" w:id="152"/>
      <w:bookmarkEnd w:id="152"/>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我们认为，视觉中国于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(2018) 080200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32" w:hRule="exact"/>
        </w:trPr>
        <w:tc>
          <w:tcPr>
            <w:tcW w:w="2662" w:type="dxa"/>
            <w:tcBorders>
              <w:top w:val="nil" w:sz="6" w:space="0" w:color="auto"/>
              <w:left w:val="nil" w:sz="6" w:space="0" w:color="auto"/>
              <w:bottom w:val="single" w:sz="4" w:space="0" w:color="000000"/>
              <w:right w:val="nil" w:sz="6" w:space="0" w:color="auto"/>
            </w:tcBorders>
          </w:tcPr>
          <w:p>
            <w:pPr/>
          </w:p>
        </w:tc>
        <w:tc>
          <w:tcPr>
            <w:tcW w:w="690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1031128" coordorigin="1104,-740" coordsize="9700,2">
            <v:shape style="position:absolute;left:1104;top:-740;width:9700;height:2" coordorigin="1104,-740" coordsize="9700,0" path="m1104,-740l10804,-740e" filled="false" stroked="true" strokeweight=".72pt" strokecolor="#000000">
              <v:path arrowok="t"/>
            </v:shape>
            <w10:wrap type="none"/>
          </v:group>
        </w:pict>
      </w: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126" w:right="0"/>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众环审字</w:t>
            </w:r>
            <w:r>
              <w:rPr>
                <w:rFonts w:ascii="Times New Roman" w:hAnsi="Times New Roman" w:cs="Times New Roman" w:eastAsia="Times New Roman" w:hint="default"/>
                <w:sz w:val="18"/>
                <w:szCs w:val="18"/>
              </w:rPr>
              <w:t>(2018)080199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黄丽琼、安素强</w:t>
            </w:r>
          </w:p>
        </w:tc>
      </w:tr>
    </w:tbl>
    <w:p>
      <w:pPr>
        <w:pStyle w:val="BodyText"/>
        <w:spacing w:line="316" w:lineRule="auto" w:before="10"/>
        <w:ind w:left="576" w:right="6973" w:hanging="423"/>
        <w:jc w:val="left"/>
      </w:pPr>
      <w:r>
        <w:rPr/>
        <w:t>视觉（中国）文化发展股份有限公司全体股东： 一、审计意见</w:t>
      </w:r>
    </w:p>
    <w:p>
      <w:pPr>
        <w:pStyle w:val="BodyText"/>
        <w:spacing w:line="300" w:lineRule="auto" w:before="19"/>
        <w:ind w:right="1131" w:firstLine="420"/>
        <w:jc w:val="both"/>
      </w:pPr>
      <w:r>
        <w:rPr/>
        <w:t>我们审计了视觉（中国）文化发展股份有限公司（以下简称视觉中国）的财务报表，包括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 </w:t>
      </w:r>
      <w:r>
        <w:rPr>
          <w:spacing w:val="-2"/>
        </w:rPr>
        <w:t>司资产负债表，</w:t>
      </w:r>
      <w:r>
        <w:rPr>
          <w:rFonts w:ascii="Times New Roman" w:hAnsi="Times New Roman" w:cs="Times New Roman" w:eastAsia="Times New Roman" w:hint="default"/>
          <w:spacing w:val="-2"/>
        </w:rPr>
        <w:t>2017</w:t>
      </w:r>
      <w:r>
        <w:rPr>
          <w:spacing w:val="-2"/>
        </w:rPr>
        <w:t>年度的合并及公司利润表、合并及公司现金流量表、合并及公司股东权益变动表，以及相关财务报表附</w:t>
      </w:r>
      <w:r>
        <w:rPr>
          <w:spacing w:val="-61"/>
        </w:rPr>
        <w:t> </w:t>
      </w:r>
      <w:r>
        <w:rPr>
          <w:spacing w:val="-61"/>
        </w:rPr>
      </w:r>
      <w:r>
        <w:rPr/>
        <w:t>注。</w:t>
      </w:r>
    </w:p>
    <w:p>
      <w:pPr>
        <w:pStyle w:val="BodyText"/>
        <w:spacing w:line="300" w:lineRule="auto" w:before="31"/>
        <w:ind w:right="0" w:firstLine="420"/>
        <w:jc w:val="left"/>
      </w:pPr>
      <w:r>
        <w:rPr/>
        <w:t>我们认为，后附的财务报表在所有重大方面按照企业会计准则的规定编制，公允反映了视觉中国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并及公司财务状况以及</w:t>
      </w:r>
      <w:r>
        <w:rPr>
          <w:rFonts w:ascii="Times New Roman" w:hAnsi="Times New Roman" w:cs="Times New Roman" w:eastAsia="Times New Roman" w:hint="default"/>
        </w:rPr>
        <w:t>2017</w:t>
      </w:r>
      <w:r>
        <w:rPr/>
        <w:t>年度的合并及公司经营成果和现金流量。</w:t>
      </w:r>
    </w:p>
    <w:p>
      <w:pPr>
        <w:pStyle w:val="BodyText"/>
        <w:spacing w:line="316" w:lineRule="auto" w:before="13"/>
        <w:ind w:left="574" w:right="0" w:firstLine="2"/>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1133"/>
        <w:jc w:val="both"/>
      </w:pPr>
      <w:r>
        <w:rPr>
          <w:spacing w:val="-2"/>
        </w:rPr>
        <w:t>步阐述了我们在这些准则下的责任。按照中国注册会计师职业道德守则，我们独立于视觉中国，并履行了职业道德方面的其</w:t>
      </w:r>
      <w:r>
        <w:rPr>
          <w:spacing w:val="-66"/>
        </w:rPr>
        <w:t> </w:t>
      </w:r>
      <w:r>
        <w:rPr>
          <w:spacing w:val="-66"/>
        </w:rPr>
      </w:r>
      <w:r>
        <w:rPr/>
        <w:t>他责任。我们相信，我们获取的审计证据是充分、适当的，为发表审计意见提供了基础。</w:t>
      </w:r>
    </w:p>
    <w:p>
      <w:pPr>
        <w:pStyle w:val="BodyText"/>
        <w:spacing w:line="316" w:lineRule="auto" w:before="19"/>
        <w:ind w:left="573" w:right="0" w:firstLine="2"/>
        <w:jc w:val="left"/>
      </w:pPr>
      <w:r>
        <w:rPr/>
        <w:t>三、关键审计事项 关键审计事项是我们根据职业判断，认为对本期财务报表审计最为重要的事项。这些事项的应对以对财务报表整体进</w:t>
      </w:r>
    </w:p>
    <w:p>
      <w:pPr>
        <w:pStyle w:val="BodyText"/>
        <w:spacing w:line="240" w:lineRule="auto" w:before="19"/>
        <w:ind w:right="0"/>
        <w:jc w:val="both"/>
      </w:pPr>
      <w:r>
        <w:rPr/>
        <w:t>行审计并形成审计意见为背景，我们不对这些事项单独发表意见。</w:t>
      </w:r>
    </w:p>
    <w:p>
      <w:pPr>
        <w:pStyle w:val="BodyText"/>
        <w:spacing w:line="240" w:lineRule="auto" w:before="76"/>
        <w:ind w:left="573" w:right="0"/>
        <w:jc w:val="left"/>
      </w:pPr>
      <w:r>
        <w:rPr/>
        <w:t>（一）收入的确认</w:t>
      </w:r>
    </w:p>
    <w:p>
      <w:pPr>
        <w:pStyle w:val="BodyText"/>
        <w:spacing w:line="300" w:lineRule="auto" w:before="76"/>
        <w:ind w:left="573" w:right="1108"/>
        <w:jc w:val="left"/>
      </w:pPr>
      <w:r>
        <w:rPr>
          <w:rFonts w:ascii="Times New Roman" w:hAnsi="Times New Roman" w:cs="Times New Roman" w:eastAsia="Times New Roman" w:hint="default"/>
        </w:rPr>
        <w:t>1</w:t>
      </w:r>
      <w:r>
        <w:rPr/>
        <w:t>、事项描述 参见财务报表附注五、</w:t>
      </w:r>
      <w:r>
        <w:rPr>
          <w:rFonts w:ascii="Times New Roman" w:hAnsi="Times New Roman" w:cs="Times New Roman" w:eastAsia="Times New Roman" w:hint="default"/>
        </w:rPr>
        <w:t>22</w:t>
      </w:r>
      <w:r>
        <w:rPr/>
        <w:t>及附注七、</w:t>
      </w:r>
      <w:r>
        <w:rPr>
          <w:rFonts w:ascii="Times New Roman" w:hAnsi="Times New Roman" w:cs="Times New Roman" w:eastAsia="Times New Roman" w:hint="default"/>
        </w:rPr>
        <w:t>38</w:t>
      </w:r>
      <w:r>
        <w:rPr/>
        <w:t>。视觉中国</w:t>
      </w:r>
      <w:r>
        <w:rPr>
          <w:rFonts w:ascii="Times New Roman" w:hAnsi="Times New Roman" w:cs="Times New Roman" w:eastAsia="Times New Roman" w:hint="default"/>
        </w:rPr>
        <w:t>2017</w:t>
      </w:r>
      <w:r>
        <w:rPr/>
        <w:t>年度的收入为</w:t>
      </w:r>
      <w:r>
        <w:rPr>
          <w:rFonts w:ascii="Times New Roman" w:hAnsi="Times New Roman" w:cs="Times New Roman" w:eastAsia="Times New Roman" w:hint="default"/>
        </w:rPr>
        <w:t>814,570,532.71</w:t>
      </w:r>
      <w:r>
        <w:rPr/>
        <w:t>元，主要来自于视觉内容与服务。</w:t>
      </w:r>
    </w:p>
    <w:p>
      <w:pPr>
        <w:pStyle w:val="BodyText"/>
        <w:spacing w:line="316" w:lineRule="auto" w:before="13"/>
        <w:ind w:right="1131"/>
        <w:jc w:val="both"/>
      </w:pPr>
      <w:r>
        <w:rPr>
          <w:spacing w:val="-2"/>
        </w:rPr>
        <w:t>由于视觉中国需要在业务系统中处理当年各类销售而产生大量业务数据，因此在合并财务报表中收入确认的准确性存在固有</w:t>
      </w:r>
      <w:r>
        <w:rPr>
          <w:spacing w:val="-64"/>
        </w:rPr>
        <w:t> </w:t>
      </w:r>
      <w:r>
        <w:rPr>
          <w:spacing w:val="-64"/>
        </w:rPr>
      </w:r>
      <w:r>
        <w:rPr/>
        <w:t>风险。</w:t>
      </w:r>
    </w:p>
    <w:p>
      <w:pPr>
        <w:pStyle w:val="BodyText"/>
        <w:spacing w:line="316" w:lineRule="auto" w:before="19"/>
        <w:ind w:right="0" w:firstLine="420"/>
        <w:jc w:val="left"/>
      </w:pPr>
      <w:r>
        <w:rPr/>
        <w:t>由于收入是视觉中国的关键绩效指标之一，且其涉及复杂的信息技术系统和管理层判断，使得收入存在可能被确认于 不正确的期间或被操控以达到目标或预期水平的固有风险，我们将视觉中国的收入确认识别为关键审计事项。</w:t>
      </w:r>
    </w:p>
    <w:p>
      <w:pPr>
        <w:pStyle w:val="BodyText"/>
        <w:spacing w:line="300" w:lineRule="auto" w:before="19"/>
        <w:ind w:left="573" w:right="1118"/>
        <w:jc w:val="left"/>
      </w:pPr>
      <w:r>
        <w:rPr>
          <w:rFonts w:ascii="Times New Roman" w:hAnsi="Times New Roman" w:cs="Times New Roman" w:eastAsia="Times New Roman" w:hint="default"/>
        </w:rPr>
        <w:t>2</w:t>
      </w:r>
      <w:r>
        <w:rPr/>
        <w:t>、审计应对 </w:t>
      </w:r>
      <w:r>
        <w:rPr>
          <w:spacing w:val="-2"/>
        </w:rPr>
        <w:t>我们的审计程序中包括：（</w:t>
      </w:r>
      <w:r>
        <w:rPr>
          <w:rFonts w:ascii="Times New Roman" w:hAnsi="Times New Roman" w:cs="Times New Roman" w:eastAsia="Times New Roman" w:hint="default"/>
          <w:spacing w:val="-2"/>
        </w:rPr>
        <w:t>1</w:t>
      </w:r>
      <w:r>
        <w:rPr>
          <w:spacing w:val="-2"/>
        </w:rPr>
        <w:t>）了解、评估并测试了视觉中国自审批客户订单至销售交易入账的收入流程以及管理层关</w:t>
      </w:r>
    </w:p>
    <w:p>
      <w:pPr>
        <w:pStyle w:val="BodyText"/>
        <w:spacing w:line="300" w:lineRule="auto" w:before="13"/>
        <w:ind w:right="1049"/>
        <w:jc w:val="both"/>
      </w:pPr>
      <w:r>
        <w:rPr/>
        <w:t>键内部控制</w:t>
      </w:r>
      <w:r>
        <w:rPr>
          <w:spacing w:val="-107"/>
        </w:rPr>
        <w:t>；</w:t>
      </w:r>
      <w:r>
        <w:rPr/>
        <w:t>（</w:t>
      </w:r>
      <w:r>
        <w:rPr>
          <w:rFonts w:ascii="Times New Roman" w:hAnsi="Times New Roman" w:cs="Times New Roman" w:eastAsia="Times New Roman" w:hint="default"/>
        </w:rPr>
        <w:t>2</w:t>
      </w:r>
      <w:r>
        <w:rPr>
          <w:spacing w:val="-17"/>
        </w:rPr>
        <w:t>）</w:t>
      </w:r>
      <w:r>
        <w:rPr/>
        <w:t>利用本所内部信息技术专家的工作</w:t>
      </w:r>
      <w:r>
        <w:rPr>
          <w:spacing w:val="-17"/>
        </w:rPr>
        <w:t>，</w:t>
      </w:r>
      <w:r>
        <w:rPr/>
        <w:t>评价业务系统运行的完整性和准确性</w:t>
      </w:r>
      <w:r>
        <w:rPr>
          <w:spacing w:val="-107"/>
        </w:rPr>
        <w:t>；</w:t>
      </w:r>
      <w:r>
        <w:rPr/>
        <w:t>（</w:t>
      </w:r>
      <w:r>
        <w:rPr>
          <w:rFonts w:ascii="Times New Roman" w:hAnsi="Times New Roman" w:cs="Times New Roman" w:eastAsia="Times New Roman" w:hint="default"/>
        </w:rPr>
        <w:t>3</w:t>
      </w:r>
      <w:r>
        <w:rPr>
          <w:spacing w:val="-17"/>
        </w:rPr>
        <w:t>）</w:t>
      </w:r>
      <w:r>
        <w:rPr>
          <w:spacing w:val="1"/>
        </w:rPr>
        <w:t>选</w:t>
      </w:r>
      <w:r>
        <w:rPr/>
        <w:t>取部分重要视觉内容与</w:t>
      </w:r>
      <w:r>
        <w:rPr/>
        <w:t> 服务的业务系统数据与财务系统数据进行核对</w:t>
      </w:r>
      <w:r>
        <w:rPr>
          <w:spacing w:val="-118"/>
        </w:rPr>
        <w:t>；</w:t>
      </w:r>
      <w:r>
        <w:rPr/>
        <w:t>（</w:t>
      </w:r>
      <w:r>
        <w:rPr>
          <w:rFonts w:ascii="Times New Roman" w:hAnsi="Times New Roman" w:cs="Times New Roman" w:eastAsia="Times New Roman" w:hint="default"/>
        </w:rPr>
        <w:t>4</w:t>
      </w:r>
      <w:r>
        <w:rPr>
          <w:spacing w:val="-28"/>
        </w:rPr>
        <w:t>）</w:t>
      </w:r>
      <w:r>
        <w:rPr/>
        <w:t>选取视觉内容与服务业务中重要客户的合同进行检查</w:t>
      </w:r>
      <w:r>
        <w:rPr>
          <w:spacing w:val="-28"/>
        </w:rPr>
        <w:t>，</w:t>
      </w:r>
      <w:r>
        <w:rPr/>
        <w:t>与相关的信息系</w:t>
      </w:r>
      <w:r>
        <w:rPr/>
        <w:t> 统、财务数据进行核对</w:t>
      </w:r>
      <w:r>
        <w:rPr>
          <w:spacing w:val="-90"/>
        </w:rPr>
        <w:t>；</w:t>
      </w:r>
      <w:r>
        <w:rPr/>
        <w:t>（</w:t>
      </w:r>
      <w:r>
        <w:rPr>
          <w:rFonts w:ascii="Times New Roman" w:hAnsi="Times New Roman" w:cs="Times New Roman" w:eastAsia="Times New Roman" w:hint="default"/>
        </w:rPr>
        <w:t>5</w:t>
      </w:r>
      <w:r>
        <w:rPr/>
        <w:t>）对收入金额、毛利率进行不同月份和年份之间分析比较，并对出现的重大波动进行分析</w:t>
      </w:r>
      <w:r>
        <w:rPr>
          <w:spacing w:val="-90"/>
        </w:rPr>
        <w:t>；</w:t>
      </w:r>
      <w:r>
        <w:rPr/>
        <w:t>（</w:t>
      </w:r>
      <w:r>
        <w:rPr>
          <w:rFonts w:ascii="Times New Roman" w:hAnsi="Times New Roman" w:cs="Times New Roman" w:eastAsia="Times New Roman" w:hint="default"/>
        </w:rPr>
        <w:t>6</w:t>
      </w:r>
      <w:r>
        <w:rPr/>
        <w:t>）</w:t>
      </w:r>
    </w:p>
    <w:p>
      <w:pPr>
        <w:pStyle w:val="BodyText"/>
        <w:tabs>
          <w:tab w:pos="3094" w:val="left" w:leader="none"/>
        </w:tabs>
        <w:spacing w:line="240" w:lineRule="auto" w:before="13"/>
        <w:ind w:left="573" w:right="0"/>
        <w:jc w:val="left"/>
      </w:pPr>
      <w:r>
        <w:rPr/>
        <w:t>向重要客户发函询证</w:t>
      </w:r>
      <w:r>
        <w:rPr>
          <w:spacing w:val="-90"/>
        </w:rPr>
        <w:t>；</w:t>
      </w:r>
      <w:r>
        <w:rPr/>
        <w:t>（</w:t>
      </w:r>
      <w:r>
        <w:rPr>
          <w:rFonts w:ascii="Times New Roman" w:hAnsi="Times New Roman" w:cs="Times New Roman" w:eastAsia="Times New Roman" w:hint="default"/>
        </w:rPr>
        <w:t>7</w:t>
      </w:r>
      <w:r>
        <w:rPr/>
        <w:t>）</w:t>
        <w:tab/>
        <w:t>选取样本，对收入的会计分录进行评价。</w:t>
      </w:r>
    </w:p>
    <w:p>
      <w:pPr>
        <w:pStyle w:val="BodyText"/>
        <w:spacing w:line="240" w:lineRule="auto" w:before="63"/>
        <w:ind w:left="573" w:right="0"/>
        <w:jc w:val="left"/>
      </w:pPr>
      <w:r>
        <w:rPr/>
        <w:t>（二）商誉减值</w:t>
      </w:r>
    </w:p>
    <w:p>
      <w:pPr>
        <w:pStyle w:val="BodyText"/>
        <w:spacing w:line="300" w:lineRule="auto" w:before="76"/>
        <w:ind w:left="573" w:right="1118"/>
        <w:jc w:val="left"/>
      </w:pPr>
      <w:r>
        <w:rPr>
          <w:rFonts w:ascii="Times New Roman" w:hAnsi="Times New Roman" w:cs="Times New Roman" w:eastAsia="Times New Roman" w:hint="default"/>
        </w:rPr>
        <w:t>1</w:t>
      </w:r>
      <w:r>
        <w:rPr/>
        <w:t>、事项描述 参见财务报表附注五、</w:t>
      </w:r>
      <w:r>
        <w:rPr>
          <w:rFonts w:ascii="Times New Roman" w:hAnsi="Times New Roman" w:cs="Times New Roman" w:eastAsia="Times New Roman" w:hint="default"/>
        </w:rPr>
        <w:t>19</w:t>
      </w:r>
      <w:r>
        <w:rPr/>
        <w:t>及附注七、</w:t>
      </w:r>
      <w:r>
        <w:rPr>
          <w:rFonts w:ascii="Times New Roman" w:hAnsi="Times New Roman" w:cs="Times New Roman" w:eastAsia="Times New Roman" w:hint="default"/>
        </w:rPr>
        <w:t>15</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日合并报表中商誉账面价值为</w:t>
      </w:r>
      <w:r>
        <w:rPr>
          <w:rFonts w:ascii="Times New Roman" w:hAnsi="Times New Roman" w:cs="Times New Roman" w:eastAsia="Times New Roman" w:hint="default"/>
        </w:rPr>
        <w:t>1,264,635,162.64</w:t>
      </w:r>
      <w:r>
        <w:rPr/>
        <w:t>元。为非同一</w:t>
      </w:r>
    </w:p>
    <w:p>
      <w:pPr>
        <w:pStyle w:val="BodyText"/>
        <w:spacing w:line="240" w:lineRule="auto" w:before="13"/>
        <w:ind w:right="0"/>
        <w:jc w:val="both"/>
      </w:pPr>
      <w:r>
        <w:rPr/>
        <w:t>控制下的企业合并形成的，商誉减值评估每年执行一次。减值评估基于各资产组的可回收金额进行测算。管理层通过比较被</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分摊商誉的相关资产组的可收回金额与该资产组及商誉的账面价值，对商誉进行减值测试。预测可收回金额涉及对资产组未</w:t>
      </w:r>
      <w:r>
        <w:rPr>
          <w:spacing w:val="-64"/>
        </w:rPr>
        <w:t> </w:t>
      </w:r>
      <w:r>
        <w:rPr>
          <w:spacing w:val="-64"/>
        </w:rPr>
      </w:r>
      <w:r>
        <w:rPr>
          <w:spacing w:val="-2"/>
        </w:rPr>
        <w:t>来现金流量现值的预测，管理层在预测中需要做出重大判断和假设，特别是对于未来收入增长率和利润及折现率等。由于减</w:t>
      </w:r>
      <w:r>
        <w:rPr>
          <w:spacing w:val="-65"/>
        </w:rPr>
        <w:t> </w:t>
      </w:r>
      <w:r>
        <w:rPr>
          <w:spacing w:val="-65"/>
        </w:rPr>
      </w:r>
      <w:r>
        <w:rPr/>
        <w:t>值测试过程较为复杂，同时涉及重大判断，我们将视觉中国商誉潜在减值识别作为关键审计事项。</w:t>
      </w:r>
    </w:p>
    <w:p>
      <w:pPr>
        <w:pStyle w:val="BodyText"/>
        <w:spacing w:line="300" w:lineRule="auto" w:before="19"/>
        <w:ind w:left="573" w:right="1025"/>
        <w:jc w:val="left"/>
      </w:pPr>
      <w:r>
        <w:rPr>
          <w:rFonts w:ascii="Times New Roman" w:hAnsi="Times New Roman" w:cs="Times New Roman" w:eastAsia="Times New Roman" w:hint="default"/>
        </w:rPr>
        <w:t>2</w:t>
      </w:r>
      <w:r>
        <w:rPr/>
        <w:t>、审计应对 </w:t>
      </w:r>
      <w:r>
        <w:rPr>
          <w:spacing w:val="-2"/>
        </w:rPr>
        <w:t>我们实施的审计程序包括：评价相关内部控制设计及执行的情况；评价了历史的测试结果与实际是否存在重大的差异；</w:t>
      </w:r>
    </w:p>
    <w:p>
      <w:pPr>
        <w:pStyle w:val="BodyText"/>
        <w:spacing w:line="316" w:lineRule="auto" w:before="31"/>
        <w:ind w:right="1131"/>
        <w:jc w:val="both"/>
      </w:pPr>
      <w:r>
        <w:rPr>
          <w:spacing w:val="-2"/>
        </w:rPr>
        <w:t>在评价管理层所聘请外部估计专家的胜任能力、专业素质和客观性的基础上与管理层聘请的估值专家讨论视觉中国使用的假</w:t>
      </w:r>
      <w:r>
        <w:rPr>
          <w:spacing w:val="-64"/>
        </w:rPr>
        <w:t> </w:t>
      </w:r>
      <w:r>
        <w:rPr>
          <w:spacing w:val="-64"/>
        </w:rPr>
      </w:r>
      <w:r>
        <w:rPr>
          <w:spacing w:val="-2"/>
        </w:rPr>
        <w:t>设和方法，特别是与所预测收入增长和利润率及折现率相关的假设和方法。对于减值测试结果最为敏感的假设（即对于商誉</w:t>
      </w:r>
      <w:r>
        <w:rPr>
          <w:spacing w:val="-66"/>
        </w:rPr>
        <w:t> </w:t>
      </w:r>
      <w:r>
        <w:rPr>
          <w:spacing w:val="-66"/>
        </w:rPr>
      </w:r>
      <w:r>
        <w:rPr>
          <w:spacing w:val="-3"/>
        </w:rPr>
        <w:t>可回收金额影响最大），我们关注了视觉中国对这些假设的披露是否适当。</w:t>
      </w:r>
    </w:p>
    <w:p>
      <w:pPr>
        <w:pStyle w:val="BodyText"/>
        <w:spacing w:line="240" w:lineRule="auto" w:before="19"/>
        <w:ind w:left="573" w:right="0"/>
        <w:jc w:val="left"/>
      </w:pPr>
      <w:r>
        <w:rPr/>
        <w:t>（三）使用寿命不确定的图片素材资产减值</w:t>
      </w:r>
    </w:p>
    <w:p>
      <w:pPr>
        <w:pStyle w:val="BodyText"/>
        <w:spacing w:line="240" w:lineRule="auto" w:before="76"/>
        <w:ind w:left="573" w:right="0"/>
        <w:jc w:val="left"/>
      </w:pPr>
      <w:r>
        <w:rPr>
          <w:rFonts w:ascii="Times New Roman" w:hAnsi="Times New Roman" w:cs="Times New Roman" w:eastAsia="Times New Roman" w:hint="default"/>
        </w:rPr>
        <w:t>1</w:t>
      </w:r>
      <w:r>
        <w:rPr/>
        <w:t>、事项描述</w:t>
      </w:r>
    </w:p>
    <w:p>
      <w:pPr>
        <w:pStyle w:val="BodyText"/>
        <w:spacing w:line="300" w:lineRule="auto" w:before="63"/>
        <w:ind w:right="1131" w:firstLine="420"/>
        <w:jc w:val="both"/>
      </w:pPr>
      <w:r>
        <w:rPr>
          <w:spacing w:val="-4"/>
        </w:rPr>
        <w:t>参见财务报表附注七、</w:t>
      </w:r>
      <w:r>
        <w:rPr>
          <w:rFonts w:ascii="Times New Roman" w:hAnsi="Times New Roman" w:cs="Times New Roman" w:eastAsia="Times New Roman" w:hint="default"/>
          <w:spacing w:val="-4"/>
        </w:rPr>
        <w:t>18</w:t>
      </w:r>
      <w:r>
        <w:rPr>
          <w:spacing w:val="-4"/>
        </w:rPr>
        <w:t>。于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日，合并财务报表中使用寿命不确定非流动资产中的</w:t>
      </w:r>
      <w:r>
        <w:rPr>
          <w:rFonts w:ascii="Times New Roman" w:hAnsi="Times New Roman" w:cs="Times New Roman" w:eastAsia="Times New Roman" w:hint="default"/>
        </w:rPr>
        <w:t>Corbis</w:t>
      </w:r>
      <w:r>
        <w:rPr/>
        <w:t>图片素材 账面价值为</w:t>
      </w:r>
      <w:r>
        <w:rPr>
          <w:rFonts w:ascii="Times New Roman" w:hAnsi="Times New Roman" w:cs="Times New Roman" w:eastAsia="Times New Roman" w:hint="default"/>
        </w:rPr>
        <w:t>515,349,431.97</w:t>
      </w:r>
      <w:r>
        <w:rPr/>
        <w:t>元。作为寿命不确定的非流动资产，管理层须每年对使用寿命不确定的该项资产进行减值测试。</w:t>
      </w:r>
      <w:r>
        <w:rPr>
          <w:spacing w:val="-47"/>
        </w:rPr>
        <w:t> </w:t>
      </w:r>
      <w:r>
        <w:rPr>
          <w:spacing w:val="-47"/>
        </w:rPr>
      </w:r>
      <w:r>
        <w:rPr/>
        <w:t>由于减值测试过程较为复杂，同时涉及重大判断，我们将视觉中国</w:t>
      </w:r>
      <w:r>
        <w:rPr>
          <w:rFonts w:ascii="Times New Roman" w:hAnsi="Times New Roman" w:cs="Times New Roman" w:eastAsia="Times New Roman" w:hint="default"/>
        </w:rPr>
        <w:t>Corbis</w:t>
      </w:r>
      <w:r>
        <w:rPr/>
        <w:t>图片素材潜在减值识别作为关键审计事项。</w:t>
      </w:r>
    </w:p>
    <w:p>
      <w:pPr>
        <w:pStyle w:val="BodyText"/>
        <w:spacing w:line="300" w:lineRule="auto" w:before="13"/>
        <w:ind w:left="573" w:right="1118"/>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、审计应对 </w:t>
      </w:r>
      <w:r>
        <w:rPr>
          <w:spacing w:val="-2"/>
        </w:rPr>
        <w:t>我们实施的审计程序包括了解和评估非流动资产使用寿命不确定的减值准则的相关内部控制；与管理层讨论持有</w:t>
      </w:r>
      <w:r>
        <w:rPr>
          <w:rFonts w:ascii="Times New Roman" w:hAnsi="Times New Roman" w:cs="Times New Roman" w:eastAsia="Times New Roman" w:hint="default"/>
          <w:spacing w:val="-2"/>
        </w:rPr>
        <w:t>Corbis</w:t>
      </w:r>
    </w:p>
    <w:p>
      <w:pPr>
        <w:pStyle w:val="BodyText"/>
        <w:spacing w:line="316" w:lineRule="auto" w:before="13"/>
        <w:ind w:right="1133"/>
        <w:jc w:val="both"/>
      </w:pPr>
      <w:r>
        <w:rPr>
          <w:spacing w:val="-2"/>
        </w:rPr>
        <w:t>图片素材图片的目的及市场发展趋势；现场观察盘点图片资产，确认其存在性和品质；与管理层所聘请的估值专家讨论视觉</w:t>
      </w:r>
      <w:r>
        <w:rPr>
          <w:spacing w:val="-66"/>
        </w:rPr>
        <w:t> </w:t>
      </w:r>
      <w:r>
        <w:rPr>
          <w:spacing w:val="-66"/>
        </w:rPr>
      </w:r>
      <w:r>
        <w:rPr>
          <w:spacing w:val="-2"/>
        </w:rPr>
        <w:t>中国对图片价值评估所使用的假设和方法，并检查其评估报告，分析其关键参数的合理性；同时我们关注了对该项资产披露</w:t>
      </w:r>
      <w:r>
        <w:rPr>
          <w:spacing w:val="-66"/>
        </w:rPr>
        <w:t> </w:t>
      </w:r>
      <w:r>
        <w:rPr>
          <w:spacing w:val="-66"/>
        </w:rPr>
      </w:r>
      <w:r>
        <w:rPr/>
        <w:t>的充分性。</w:t>
      </w:r>
    </w:p>
    <w:p>
      <w:pPr>
        <w:pStyle w:val="BodyText"/>
        <w:spacing w:line="316" w:lineRule="auto" w:before="19"/>
        <w:ind w:left="573" w:right="1118" w:firstLine="2"/>
        <w:jc w:val="left"/>
      </w:pPr>
      <w:r>
        <w:rPr/>
        <w:t>四、其他信息 视觉中国管理层对其他信息负责。其他信息包括视觉中国</w:t>
      </w:r>
      <w:r>
        <w:rPr>
          <w:rFonts w:ascii="Times New Roman" w:hAnsi="Times New Roman" w:cs="Times New Roman" w:eastAsia="Times New Roman" w:hint="default"/>
        </w:rPr>
        <w:t>2017</w:t>
      </w:r>
      <w:r>
        <w:rPr/>
        <w:t>年年度报告中涵盖的信息，但不包括财务报表和我们的</w:t>
      </w:r>
    </w:p>
    <w:p>
      <w:pPr>
        <w:pStyle w:val="BodyText"/>
        <w:spacing w:line="235" w:lineRule="exact"/>
        <w:ind w:right="0"/>
        <w:jc w:val="both"/>
      </w:pPr>
      <w:r>
        <w:rPr/>
        <w:t>审计报告。</w:t>
      </w:r>
    </w:p>
    <w:p>
      <w:pPr>
        <w:pStyle w:val="BodyText"/>
        <w:spacing w:line="319" w:lineRule="auto" w:before="76"/>
        <w:ind w:left="573"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7"/>
        <w:ind w:left="573" w:right="0" w:hanging="420"/>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right="0"/>
        <w:jc w:val="both"/>
      </w:pPr>
      <w:r>
        <w:rPr/>
        <w:t>要报告。</w:t>
      </w:r>
    </w:p>
    <w:p>
      <w:pPr>
        <w:pStyle w:val="BodyText"/>
        <w:spacing w:line="316" w:lineRule="auto" w:before="76"/>
        <w:ind w:left="573" w:right="0" w:firstLine="2"/>
        <w:jc w:val="left"/>
      </w:pPr>
      <w:r>
        <w:rPr/>
        <w:t>五、管理层和治理层对财务报表的责任 视觉中国管理层负责按照企业会计准则的规定编制财务报表，使其实现公允反映，并设计、执行和维护必要的内部控</w:t>
      </w:r>
    </w:p>
    <w:p>
      <w:pPr>
        <w:pStyle w:val="BodyText"/>
        <w:spacing w:line="316" w:lineRule="auto" w:before="19"/>
        <w:ind w:left="573" w:right="1025" w:hanging="420"/>
        <w:jc w:val="left"/>
      </w:pPr>
      <w:r>
        <w:rPr/>
        <w:t>制，以使财务报表不存在由于舞弊或错误导致的重大错报。 </w:t>
      </w:r>
      <w:r>
        <w:rPr>
          <w:spacing w:val="-1"/>
        </w:rPr>
        <w:t>在编制财务报表时，管理层负责评估视觉中国的持续经营能力，并运用持续经营假设，除非管理层计划清算视觉中国、</w:t>
      </w:r>
    </w:p>
    <w:p>
      <w:pPr>
        <w:pStyle w:val="BodyText"/>
        <w:spacing w:line="316" w:lineRule="auto" w:before="19"/>
        <w:ind w:left="573" w:right="6913" w:hanging="420"/>
        <w:jc w:val="left"/>
      </w:pPr>
      <w:r>
        <w:rPr/>
        <w:t>终止运营或别无其他现实的选择。 治理层负责监督视觉中国的财务报告过程。 六、注册会计师对财务报表审计的责任</w:t>
      </w:r>
    </w:p>
    <w:p>
      <w:pPr>
        <w:pStyle w:val="BodyText"/>
        <w:spacing w:line="316" w:lineRule="auto" w:before="19"/>
        <w:ind w:right="1132" w:firstLine="42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573" w:right="0"/>
        <w:jc w:val="left"/>
      </w:pPr>
      <w:r>
        <w:rPr/>
        <w:t>在按照审计准则执行审计工作的过程中，我们运用职业判断，并保持职业怀疑。同时，我们也执行以下工作：</w:t>
      </w:r>
    </w:p>
    <w:p>
      <w:pPr>
        <w:pStyle w:val="BodyText"/>
        <w:spacing w:line="319" w:lineRule="auto" w:before="76"/>
        <w:ind w:right="1040" w:firstLine="420"/>
        <w:jc w:val="both"/>
      </w:pPr>
      <w:r>
        <w:rPr>
          <w:spacing w:val="-1"/>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573" w:right="0"/>
        <w:jc w:val="left"/>
      </w:pPr>
      <w:r>
        <w:rPr/>
        <w:t>（二）了解与审计相关的内部控制，以设计恰当的审计程序。</w:t>
      </w:r>
    </w:p>
    <w:p>
      <w:pPr>
        <w:pStyle w:val="BodyText"/>
        <w:spacing w:line="240" w:lineRule="auto" w:before="76"/>
        <w:ind w:left="573" w:right="0"/>
        <w:jc w:val="left"/>
      </w:pPr>
      <w:r>
        <w:rPr/>
        <w:t>（三）评价管理层选用会计政策的恰当性和作出会计估计及相关披露的合理性。</w:t>
      </w:r>
    </w:p>
    <w:p>
      <w:pPr>
        <w:pStyle w:val="BodyText"/>
        <w:spacing w:line="240" w:lineRule="auto" w:before="76"/>
        <w:ind w:left="573" w:right="0"/>
        <w:jc w:val="left"/>
      </w:pPr>
      <w:r>
        <w:rPr/>
        <w:t>（四）对管理层使用持续经营假设的恰当性得出结论。同时，根据获取的审计证据，就可能导致对视觉中国持续经营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基于截至审计报告日可获得的信息。然而，未来的事项或情况可能导致视觉中国不能持续经营。</w:t>
      </w:r>
    </w:p>
    <w:p>
      <w:pPr>
        <w:pStyle w:val="BodyText"/>
        <w:spacing w:line="240" w:lineRule="auto" w:before="19"/>
        <w:ind w:left="573" w:right="0"/>
        <w:jc w:val="left"/>
      </w:pPr>
      <w:r>
        <w:rPr/>
        <w:t>（五）评价财务报表的总体列报、结构和内容（包括披露</w:t>
      </w:r>
      <w:r>
        <w:rPr>
          <w:spacing w:val="-90"/>
        </w:rPr>
        <w:t>）</w:t>
      </w:r>
      <w:r>
        <w:rPr/>
        <w:t>，并评价财务报表是否公允反映相关交易和事项。</w:t>
      </w:r>
    </w:p>
    <w:p>
      <w:pPr>
        <w:pStyle w:val="BodyText"/>
        <w:spacing w:line="316" w:lineRule="auto" w:before="77"/>
        <w:ind w:right="0" w:firstLine="420"/>
        <w:jc w:val="left"/>
      </w:pPr>
      <w:r>
        <w:rPr/>
        <w:t>（六）就视觉中国中实体或业务活动的财务信息获取充分、适当的审计证据，以对财务报表发表审计意见。我们负责 指导、监督和执行集团审计，并对审计意见承担全部责任。</w:t>
      </w:r>
    </w:p>
    <w:p>
      <w:pPr>
        <w:pStyle w:val="BodyText"/>
        <w:spacing w:line="316" w:lineRule="auto" w:before="19"/>
        <w:ind w:right="0" w:firstLine="420"/>
        <w:jc w:val="left"/>
      </w:pPr>
      <w:r>
        <w:rPr/>
        <w:t>我们与治理层就计划的审计范围、时间安排和重大审计发现等事项进行沟通，包括沟通我们在审计中识别出的值得关 注的内部控制缺陷。</w:t>
      </w:r>
    </w:p>
    <w:p>
      <w:pPr>
        <w:pStyle w:val="BodyText"/>
        <w:spacing w:line="316" w:lineRule="auto" w:before="19"/>
        <w:ind w:right="0" w:firstLine="420"/>
        <w:jc w:val="left"/>
      </w:pPr>
      <w:r>
        <w:rPr/>
        <w:t>我们还就已遵守与独立性相关的职业道德要求向治理层提供声明，并与治理层沟通可能被合理认为影响我们独立性的 </w:t>
      </w:r>
      <w:r>
        <w:rPr>
          <w:spacing w:val="-4"/>
        </w:rPr>
        <w:t>所有关系和其他事项，以及相关的防范措施（如适用）。</w:t>
      </w:r>
      <w:r>
        <w:rPr>
          <w:spacing w:val="-80"/>
        </w:rPr>
        <w:t> </w:t>
      </w:r>
      <w:r>
        <w:rPr>
          <w:spacing w:val="-80"/>
        </w:rPr>
      </w: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BodyText"/>
        <w:tabs>
          <w:tab w:pos="5090" w:val="left" w:leader="none"/>
        </w:tabs>
        <w:spacing w:line="240" w:lineRule="auto"/>
        <w:ind w:left="333" w:right="0"/>
        <w:jc w:val="left"/>
      </w:pPr>
      <w:r>
        <w:rPr/>
        <w:t>中审众环会计师事务所（特殊普通合伙）</w:t>
        <w:tab/>
        <w:t>中国注册会计师：黄丽琼</w:t>
      </w:r>
    </w:p>
    <w:p>
      <w:pPr>
        <w:pStyle w:val="BodyText"/>
        <w:spacing w:line="636" w:lineRule="auto" w:before="76"/>
        <w:ind w:left="5167" w:right="3759" w:firstLine="87"/>
        <w:jc w:val="left"/>
      </w:pPr>
      <w:r>
        <w:rPr/>
        <w:t>（项目合伙人） 中国注册会计师：安素强</w:t>
      </w:r>
    </w:p>
    <w:p>
      <w:pPr>
        <w:pStyle w:val="BodyText"/>
        <w:tabs>
          <w:tab w:pos="5750" w:val="left" w:leader="none"/>
        </w:tabs>
        <w:spacing w:line="240" w:lineRule="auto" w:before="91"/>
        <w:ind w:left="1144" w:right="0"/>
        <w:jc w:val="left"/>
      </w:pPr>
      <w:r>
        <w:rPr>
          <w:spacing w:val="-1"/>
        </w:rPr>
        <w:t>中国</w:t>
      </w:r>
      <w:r>
        <w:rPr>
          <w:rFonts w:ascii="Times New Roman" w:hAnsi="Times New Roman" w:cs="Times New Roman" w:eastAsia="Times New Roman" w:hint="default"/>
          <w:spacing w:val="-1"/>
        </w:rPr>
        <w:t>·</w:t>
      </w:r>
      <w:r>
        <w:rPr>
          <w:spacing w:val="-1"/>
        </w:rPr>
        <w:t>武汉</w:t>
        <w:tab/>
        <w:t>二〇一八年四月二十日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编制单位：视觉（中国）文化发展股份有限公司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390,502,762.13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467,837,177.36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352,261,537.61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345,424,723.69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6,503,787.81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3,990,430.16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1,247,847.22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20,253,003.97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34,540,295.80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29,394,917.05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29,405,082.48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8,412,877.25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183,006,492.11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808,002,510.82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1,066,080,788.82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99,167,864.30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1,073,608,363.30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820,095,673.49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5,941,766.23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6,043,080.61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20,277,430.49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8,164,357.67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1,264,635,162.64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1,264,635,162.64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6,308,470.23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570,308.71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2,396,688.75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2,309,258.95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807,849,431.97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3,291,462,777.91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2,457,485,706.37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4,099,465,288.73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3,523,566,495.19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157,629,116.17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185,249,437.31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164,275,359.08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104,452,365.40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102,832,347.12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12,667,656.42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13,816,022.26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64,672,694.04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69,637,790.17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2,470,055.99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1,954,262.51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7,009,468.42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20,962,908.61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104,834,465.87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188,066,891.45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130,022,000.00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736,171,125.39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616,381,715.43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489,663,582.19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235,541,647.29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156,820,800.00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166,488,000.00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145,161.29</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220,117.45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109,700,596.66</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169,175,423.61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759,830,140.14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574,225,188.35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1,496,001,265.53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1,190,606,903.78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73,892,895.00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73,892,895.00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1,600,354,275.31</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1,600,354,275.31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-12,214,473.17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2,885,543.36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8,943,162.85</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901,523,172.91</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619,145,418.60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2,572,499,032.90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2,296,778,132.27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30,964,990.30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36,181,459.14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2,603,464,023.20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2,332,959,591.41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4,099,465,288.73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3,523,566,495.19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法定代表人：廖杰</w:t>
        <w:tab/>
        <w:t>主管会计工作负责人：梁军</w:t>
        <w:tab/>
        <w:t>会计机构负责人：宋姝樨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115,142,739.66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130,831,598.33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1,161,212.66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1,105,359.77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1,247,847.22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137,460,819.41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50,908,152.19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4,681,658.25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172,107,416.00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557,090,054.98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356,200,373.51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48,671,864.30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43,671,864.30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2,814,206,382.32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2,944,443,696.35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3,012,782.05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1,675,711.97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761,938.45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645,305.62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6,308,470.23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3,133,961,437.35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3,071,436,578.24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3,691,051,492.33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3,427,636,951.75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809,919.69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1,327,920.14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1,324,420.14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1,330,207.66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1,460,547.37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1,876,732.43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237,791,275.50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280,898,508.31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303,136,055.42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305,957,107.80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303,936,055.42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306,757,107.80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700,577,436.00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700,577,436.00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2,610,669,983.51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2,610,669,983.51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37,242,459.36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38,625,558.04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-219,166,872.07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3,387,115,436.91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3,120,879,843.95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3,691,051,492.33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3,427,636,951.75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814,570,532.71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735,497,004.94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814,570,532.71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735,497,004.94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530,457,301.61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520,070,702.63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278,105,169.25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305,018,187.63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5,685,278.73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4,972,965.61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71,542,100.81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68,651,777.89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125,031,616.98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105,839,978.14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35,229,297.62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22,949,743.88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14,863,838.22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12,638,049.48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628,740.00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65,708,413.22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54,160,847.98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60,797,389.05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41,989,529.40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031080"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r>
        <w:rPr/>
        <w:pict>
          <v:group style="position:absolute;margin-left:212.119995pt;margin-top:208.699982pt;width:157.7pt;height:19.650pt;mso-position-horizontal-relative:page;mso-position-vertical-relative:page;z-index:-1031056" coordorigin="4242,4174" coordsize="3154,393">
            <v:shape style="position:absolute;left:4242;top:4174;width:3154;height:393" coordorigin="4242,4174" coordsize="3154,393" path="m4242,4566l7396,4566,7396,4174,4242,4174,4242,45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4,360,953.66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353,553,857.98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270,215,890.29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217,195.45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7,714,693.72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492,340.63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1,475,372.37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353,278,712.80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276,455,211.64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40,712,139.71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45,897,598.29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312,566,573.09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230,557,613.35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312,566,573.09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230,557,613.35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290,820,917.16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214,659,215.55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21,745,655.93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15,898,397.80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-15,905,926.41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2,413,720.32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-15,100,016.53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1,681,191.80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-15,100,016.53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1,681,191.80</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-1,214,600.82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53,535.75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-13,885,415.71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1,627,656.05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-805,909.88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732,528.52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296,660,646.68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232,971,333.67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275,720,900.63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216,340,407.35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20,939,746.05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16,630,926.32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0.3064</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法定代表人：廖杰</w:t>
        <w:tab/>
        <w:t>主管会计工作负责人：梁军</w:t>
        <w:tab/>
        <w:t>会计机构负责人：宋姝樨</w:t>
      </w:r>
    </w:p>
    <w:p>
      <w:pPr>
        <w:pStyle w:val="Heading3"/>
        <w:spacing w:line="240" w:lineRule="auto" w:before="63"/>
        <w:ind w:right="0"/>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5,364,266.35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6,786,558.33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1,159,097.58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3,191,652.88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1,684,242.33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147,695.66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272,745.59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1,306,372.41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43,770,639.16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37,422,816.71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10,465,438.00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2,488,317.51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632,187.97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147,708.88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318,770,567.32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8,229,626.55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16,248,445.82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4,224,195.01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266,150,483.04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-29,688,379.17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1,347,269.09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10,010.08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266,235,592.96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-28,341,110.08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266,235,592.96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-28,341,110.08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266,235,592.96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-28,341,110.08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266,235,592.96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-28,341,110.08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839,855,674.35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802,651,311.66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2,345,887.20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3,392,806.73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74,577,397.23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37,865,000.90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916,778,958.78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843,909,119.29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303,853,644.52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272,865,409.51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117,951,384.39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118,473,407.62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85,104,874.84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79,259,534.93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159,741,425.15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138,826,256.31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666,651,328.90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609,424,608.37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250,127,629.88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234,484,510.92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2,163,559.22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5,009,610.82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32,221,744.48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10,017.90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43,497,554.67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174,933,233.03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184,428,114.60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252,816,251.40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189,447,743.32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15,071,781.61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1,571,940.09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545,216,926.82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108,905,000.00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482,007,607.15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425,616,781.61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1,028,796,474.06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-172,800,530.21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-839,348,730.74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400,006,650.42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523,671,075.41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417,006,650.42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761,671,075.41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242,712,877.72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183,449,292.57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45,089,540.53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6,271,576.87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17,322,331.30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268,100,962.14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555,903,380.39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342,720,869.44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-138,896,729.97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418,950,205.97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-4,014,096.16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2,084,956.19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-65,583,726.46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-183,829,057.66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445,588,488.59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629,417,546.25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380,004,762.13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5,325,343.57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7,839,393.08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558,148,050.36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596,371,093.79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563,473,393.93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604,210,486.87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3,582,291.90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4,453,681.31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15,979,436.57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15,448,452.71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88,685.20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538,574,034.35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311,918,892.20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558,224,448.02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331,821,026.22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5,248,945.91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272,389,460.65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2,160,980.56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3,930,827.62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48,628,210.94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174,933,233.03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70,514,314.11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225,722,424.53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74,445,141.73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6,108,920.07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1,085,454.30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136,328,571.60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11,108,920.07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618,914,025.90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214,613,504.46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-544,468,884.17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4,685,878.91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429,852.50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265,599,430.13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307,285,309.04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153,429,852.50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-227,285,309.04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104,570,147.50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-7,422,858.67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-167,509,276.02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112,261,598.33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279,770,874.35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104,838,739.66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112,261,598.33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619,145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,418.60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459.14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619,145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,418.60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36,181,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459.14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016.53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282,377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,754.31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-5,216,4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68.84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270,504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,431.79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016.53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290,820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,917.16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746.05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296,660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,646.68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352.01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352.01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352.01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-15,843,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352.01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862.88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862.88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862.88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862.88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8,943,1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62.85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901,523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,172.91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990.30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1,204,3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404,486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,203.05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31,412,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269.99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3"/>
                <w:sz w:val="18"/>
              </w:rPr>
              <w:t>2,111,8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49,994.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1,204,3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404,486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,203.05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31,412,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269.99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3"/>
                <w:sz w:val="18"/>
              </w:rPr>
              <w:t>2,111,8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49,994.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1,681,1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214,659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,215.55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4,769,1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89.15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221,109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,596.50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1,681,1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91.80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214,659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,215.55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16,630,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926.32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232,971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,333.67</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3,168,0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3,168,0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57.70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3,168,0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3,168,0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57.70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-15,029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,794.87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-15,029,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794.87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-15,029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,794.87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-15,029,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794.87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54,275.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619,145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,418.60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36,181,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459.14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59,591.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sz w:val="21"/>
          <w:szCs w:val="21"/>
        </w:rPr>
        <w:t>8</w:t>
      </w:r>
      <w:r>
        <w:rPr>
          <w:sz w:val="21"/>
          <w:szCs w:val="21"/>
        </w:rPr>
        <w:t>、</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15" w:right="0"/>
              <w:jc w:val="left"/>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sz w:val="18"/>
              </w:rPr>
              <w:t>-219,16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6,872.0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sz w:val="18"/>
              </w:rPr>
              <w:t>3,120,879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,843.95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-219,16</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6,872.0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3,120,879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,843.95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257,792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,430.11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266,235,5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92.96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266,235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,592.96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266,235,5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92.96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62.85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8,443,162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-8,443,1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62.85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37,242,45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38,625,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558.04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3,387,115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,436.91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18"/>
                <w:szCs w:val="18"/>
              </w:rPr>
            </w:pPr>
            <w:r>
              <w:rPr>
                <w:rFonts w:ascii="Times New Roman"/>
                <w:sz w:val="18"/>
              </w:rPr>
              <w:t>-190,82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3,149,220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,954.03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436.00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-190,82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5,761.9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3,149,220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,954.03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-28,341,</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-28,341,1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-28,341,</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110.08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-28,341,1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700,577,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436.00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2,610,669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,983.51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6,872.0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3,120,879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,843.95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7"/>
      <w:bookmarkEnd w:id="167"/>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64" w:lineRule="auto" w:before="0"/>
        <w:ind w:right="1131" w:firstLine="420"/>
        <w:jc w:val="both"/>
      </w:pPr>
      <w:r>
        <w:rPr>
          <w:spacing w:val="-1"/>
        </w:rPr>
        <w:t>视觉（中国）文化发展股份有限公司（以下简称公司或本公司）原名远东实业股份有限公司（以下简</w:t>
      </w:r>
      <w:r>
        <w:rPr/>
        <w:t> </w:t>
      </w:r>
      <w:r>
        <w:rPr>
          <w:spacing w:val="-1"/>
        </w:rPr>
        <w:t>称远东股份），远东股份成立时的发起人为远东服装有限公司、常州服装集团公司和中行江苏信托咨询公</w:t>
      </w:r>
      <w:r>
        <w:rPr>
          <w:spacing w:val="-83"/>
        </w:rPr>
        <w:t> </w:t>
      </w:r>
      <w:r>
        <w:rPr>
          <w:spacing w:val="-83"/>
        </w:rPr>
      </w:r>
      <w:r>
        <w:rPr>
          <w:spacing w:val="-1"/>
        </w:rPr>
        <w:t>司。经江苏省经济体制改革委员会</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w:t>
      </w:r>
      <w:r>
        <w:rPr>
          <w:spacing w:val="-1"/>
        </w:rPr>
        <w:t>日《关于同意设立远东实业股份有限公司的批复》（苏体</w:t>
      </w:r>
      <w:r>
        <w:rPr>
          <w:spacing w:val="-83"/>
        </w:rPr>
        <w:t> </w:t>
      </w:r>
      <w:r>
        <w:rPr>
          <w:spacing w:val="-83"/>
        </w:rPr>
      </w:r>
      <w:r>
        <w:rPr>
          <w:spacing w:val="-2"/>
        </w:rPr>
        <w:t>改生</w:t>
      </w:r>
      <w:r>
        <w:rPr>
          <w:rFonts w:ascii="Times New Roman" w:hAnsi="Times New Roman" w:cs="Times New Roman" w:eastAsia="Times New Roman" w:hint="default"/>
          <w:spacing w:val="-2"/>
        </w:rPr>
        <w:t>[1993]376</w:t>
      </w:r>
      <w:r>
        <w:rPr>
          <w:spacing w:val="-2"/>
        </w:rPr>
        <w:t>号）批准，由远东服装有限公司作为主要发起人，常州服装集团公司和中行江苏信托咨询公</w:t>
      </w:r>
      <w:r>
        <w:rPr>
          <w:spacing w:val="-63"/>
        </w:rPr>
        <w:t> </w:t>
      </w:r>
      <w:r>
        <w:rPr>
          <w:spacing w:val="-63"/>
        </w:rPr>
      </w:r>
      <w:r>
        <w:rPr/>
        <w:t>司作为共同发起人，向社会法人和内部职工定向募集设立公司，股本总额为</w:t>
      </w:r>
      <w:r>
        <w:rPr>
          <w:rFonts w:ascii="Times New Roman" w:hAnsi="Times New Roman" w:cs="Times New Roman" w:eastAsia="Times New Roman" w:hint="default"/>
        </w:rPr>
        <w:t>5,422.9377</w:t>
      </w:r>
      <w:r>
        <w:rPr/>
        <w:t>万元。</w:t>
      </w:r>
    </w:p>
    <w:p>
      <w:pPr>
        <w:pStyle w:val="Heading4"/>
        <w:spacing w:line="256" w:lineRule="auto" w:before="0"/>
        <w:ind w:left="154" w:right="1129" w:firstLine="420"/>
        <w:jc w:val="both"/>
      </w:pPr>
      <w:r>
        <w:rPr>
          <w:spacing w:val="-1"/>
        </w:rPr>
        <w:t>经远东股份</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10</w:t>
      </w:r>
      <w:r>
        <w:rPr>
          <w:spacing w:val="-1"/>
        </w:rPr>
        <w:t>日临时股东大会审议通过，并经江苏省人民政府</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17</w:t>
      </w:r>
      <w:r>
        <w:rPr>
          <w:spacing w:val="-1"/>
        </w:rPr>
        <w:t>日《省政府关于</w:t>
      </w:r>
      <w:r>
        <w:rPr/>
        <w:t> </w:t>
      </w:r>
      <w:r>
        <w:rPr>
          <w:spacing w:val="-4"/>
        </w:rPr>
        <w:t>同意远东实业股份有限公司分立的批复》（苏政复</w:t>
      </w:r>
      <w:r>
        <w:rPr>
          <w:rFonts w:ascii="Times New Roman" w:hAnsi="Times New Roman" w:cs="Times New Roman" w:eastAsia="Times New Roman" w:hint="default"/>
          <w:spacing w:val="-4"/>
        </w:rPr>
        <w:t>[1996]72</w:t>
      </w:r>
      <w:r>
        <w:rPr>
          <w:spacing w:val="-4"/>
        </w:rPr>
        <w:t>号）批准，远东股份因分立减少注册资本至</w:t>
      </w:r>
      <w:r>
        <w:rPr>
          <w:rFonts w:ascii="Times New Roman" w:hAnsi="Times New Roman" w:cs="Times New Roman" w:eastAsia="Times New Roman" w:hint="default"/>
          <w:spacing w:val="-4"/>
        </w:rPr>
        <w:t>3,750</w:t>
      </w:r>
      <w:r>
        <w:rPr>
          <w:rFonts w:ascii="Times New Roman" w:hAnsi="Times New Roman" w:cs="Times New Roman" w:eastAsia="Times New Roman" w:hint="default"/>
        </w:rPr>
        <w:t> </w:t>
      </w:r>
      <w:r>
        <w:rPr/>
        <w:t>万元。</w:t>
      </w:r>
    </w:p>
    <w:p>
      <w:pPr>
        <w:pStyle w:val="Heading4"/>
        <w:spacing w:line="261" w:lineRule="auto" w:before="22"/>
        <w:ind w:left="154" w:right="1129" w:firstLine="420"/>
        <w:jc w:val="both"/>
      </w:pPr>
      <w:r>
        <w:rPr>
          <w:spacing w:val="-1"/>
        </w:rPr>
        <w:t>根据江苏省经济体制改革委员会</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日《关于远东实业股份有限公司内部职工股清理情况的</w:t>
      </w:r>
      <w:r>
        <w:rPr/>
        <w:t> </w:t>
      </w:r>
      <w:r>
        <w:rPr>
          <w:spacing w:val="-11"/>
        </w:rPr>
        <w:t>报告》（苏体改生</w:t>
      </w:r>
      <w:r>
        <w:rPr>
          <w:rFonts w:ascii="Times New Roman" w:hAnsi="Times New Roman" w:cs="Times New Roman" w:eastAsia="Times New Roman" w:hint="default"/>
          <w:spacing w:val="-11"/>
        </w:rPr>
        <w:t>[1996]357</w:t>
      </w:r>
      <w:r>
        <w:rPr>
          <w:spacing w:val="-11"/>
        </w:rPr>
        <w:t>号）和《关于对远东实业股份有限公司股票托管情况的确认函》（苏体改函</w:t>
      </w:r>
      <w:r>
        <w:rPr>
          <w:rFonts w:ascii="Times New Roman" w:hAnsi="Times New Roman" w:cs="Times New Roman" w:eastAsia="Times New Roman" w:hint="default"/>
          <w:spacing w:val="-11"/>
        </w:rPr>
        <w:t>[1996]53</w:t>
      </w:r>
      <w:r>
        <w:rPr>
          <w:rFonts w:ascii="Times New Roman" w:hAnsi="Times New Roman" w:cs="Times New Roman" w:eastAsia="Times New Roman" w:hint="default"/>
          <w:spacing w:val="-35"/>
        </w:rPr>
        <w:t> </w:t>
      </w:r>
      <w:r>
        <w:rPr>
          <w:spacing w:val="-1"/>
        </w:rPr>
        <w:t>号），经征得内部职工股持有人同意、远东股份股东大会通过，将内部职工股全部转让给法人股东，并由</w:t>
      </w:r>
      <w:r>
        <w:rPr>
          <w:spacing w:val="-83"/>
        </w:rPr>
        <w:t> </w:t>
      </w:r>
      <w:r>
        <w:rPr>
          <w:spacing w:val="-83"/>
        </w:rPr>
      </w:r>
      <w:r>
        <w:rPr/>
        <w:t>常州市证券登记公司办理了股权转让手续，远东股份的所有股份全部办理托管手续。</w:t>
      </w:r>
    </w:p>
    <w:p>
      <w:pPr>
        <w:pStyle w:val="Heading4"/>
        <w:spacing w:line="256" w:lineRule="auto" w:before="18"/>
        <w:ind w:right="1130" w:firstLine="420"/>
        <w:jc w:val="both"/>
      </w:pPr>
      <w:r>
        <w:rPr/>
        <w:t>经远东股份</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日临时股东大会审议通过，并经中国证监会《关于远东实业股份有限公司申 </w:t>
      </w:r>
      <w:r>
        <w:rPr>
          <w:spacing w:val="-1"/>
        </w:rPr>
        <w:t>请公开发行股票的批复》（证监发字</w:t>
      </w:r>
      <w:r>
        <w:rPr>
          <w:rFonts w:ascii="Times New Roman" w:hAnsi="Times New Roman" w:cs="Times New Roman" w:eastAsia="Times New Roman" w:hint="default"/>
          <w:spacing w:val="-1"/>
        </w:rPr>
        <w:t>[1996]406</w:t>
      </w:r>
      <w:r>
        <w:rPr>
          <w:spacing w:val="-1"/>
        </w:rPr>
        <w:t>号）、《关于同意远东实业股份有限公司采用</w:t>
      </w:r>
      <w:r>
        <w:rPr>
          <w:rFonts w:ascii="Times New Roman" w:hAnsi="Times New Roman" w:cs="Times New Roman" w:eastAsia="Times New Roman" w:hint="default"/>
          <w:spacing w:val="-1"/>
        </w:rPr>
        <w:t>“</w:t>
      </w:r>
      <w:r>
        <w:rPr>
          <w:spacing w:val="-1"/>
        </w:rPr>
        <w:t>上网定价</w:t>
      </w:r>
      <w:r>
        <w:rPr>
          <w:rFonts w:ascii="Times New Roman" w:hAnsi="Times New Roman" w:cs="Times New Roman" w:eastAsia="Times New Roman" w:hint="default"/>
          <w:spacing w:val="-1"/>
        </w:rPr>
        <w:t>”</w:t>
      </w:r>
      <w:r>
        <w:rPr>
          <w:spacing w:val="-1"/>
        </w:rPr>
        <w:t>方</w:t>
      </w:r>
      <w:r>
        <w:rPr>
          <w:spacing w:val="-90"/>
        </w:rPr>
        <w:t> </w:t>
      </w:r>
      <w:r>
        <w:rPr/>
        <w:t>式发行</w:t>
      </w:r>
      <w:r>
        <w:rPr>
          <w:rFonts w:ascii="Times New Roman" w:hAnsi="Times New Roman" w:cs="Times New Roman" w:eastAsia="Times New Roman" w:hint="default"/>
        </w:rPr>
        <w:t>A</w:t>
      </w:r>
      <w:r>
        <w:rPr/>
        <w:t>股的批复》（证监发字</w:t>
      </w:r>
      <w:r>
        <w:rPr>
          <w:rFonts w:ascii="Times New Roman" w:hAnsi="Times New Roman" w:cs="Times New Roman" w:eastAsia="Times New Roman" w:hint="default"/>
        </w:rPr>
        <w:t>[1996]407</w:t>
      </w:r>
      <w:r>
        <w:rPr/>
        <w:t>号）批准，远东股份于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月向社会公开发行人民币普通股 </w:t>
      </w:r>
      <w:r>
        <w:rPr>
          <w:rFonts w:ascii="Times New Roman" w:hAnsi="Times New Roman" w:cs="Times New Roman" w:eastAsia="Times New Roman" w:hint="default"/>
          <w:spacing w:val="-1"/>
        </w:rPr>
        <w:t>1,250</w:t>
      </w:r>
      <w:r>
        <w:rPr>
          <w:spacing w:val="-1"/>
        </w:rPr>
        <w:t>万股（含职工股</w:t>
      </w:r>
      <w:r>
        <w:rPr>
          <w:rFonts w:ascii="Times New Roman" w:hAnsi="Times New Roman" w:cs="Times New Roman" w:eastAsia="Times New Roman" w:hint="default"/>
          <w:spacing w:val="-1"/>
        </w:rPr>
        <w:t>125</w:t>
      </w:r>
      <w:r>
        <w:rPr>
          <w:spacing w:val="-1"/>
        </w:rPr>
        <w:t>万股），远东股份的注册资本增加为</w:t>
      </w:r>
      <w:r>
        <w:rPr>
          <w:rFonts w:ascii="Times New Roman" w:hAnsi="Times New Roman" w:cs="Times New Roman" w:eastAsia="Times New Roman" w:hint="default"/>
          <w:spacing w:val="-1"/>
        </w:rPr>
        <w:t>5,000</w:t>
      </w:r>
      <w:r>
        <w:rPr>
          <w:spacing w:val="-1"/>
        </w:rPr>
        <w:t>万元，其中，职工股自本次发行的股票</w:t>
      </w:r>
      <w:r>
        <w:rPr>
          <w:spacing w:val="-81"/>
        </w:rPr>
        <w:t> </w:t>
      </w:r>
      <w:r>
        <w:rPr>
          <w:spacing w:val="-81"/>
        </w:rPr>
      </w:r>
      <w:r>
        <w:rPr/>
        <w:t>上市之日起期满半年后方可上市流通。远东股份股票于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日在深圳证券交易所挂牌交易，股票</w:t>
      </w:r>
      <w:r>
        <w:rPr>
          <w:spacing w:val="-31"/>
        </w:rPr>
        <w:t> </w:t>
      </w:r>
      <w:r>
        <w:rPr>
          <w:spacing w:val="-31"/>
        </w:rPr>
      </w:r>
      <w:r>
        <w:rPr/>
        <w:t>代码：</w:t>
      </w:r>
      <w:r>
        <w:rPr>
          <w:rFonts w:ascii="Times New Roman" w:hAnsi="Times New Roman" w:cs="Times New Roman" w:eastAsia="Times New Roman" w:hint="default"/>
        </w:rPr>
        <w:t>000681</w:t>
      </w:r>
      <w:r>
        <w:rPr/>
        <w:t>，股票简称：苏常远东。</w:t>
      </w:r>
    </w:p>
    <w:p>
      <w:pPr>
        <w:pStyle w:val="Heading4"/>
        <w:spacing w:line="256" w:lineRule="auto" w:before="5"/>
        <w:ind w:right="1130" w:firstLine="420"/>
        <w:jc w:val="both"/>
      </w:pPr>
      <w:r>
        <w:rPr>
          <w:spacing w:val="2"/>
        </w:rPr>
        <w:t>经远东股份</w:t>
      </w:r>
      <w:r>
        <w:rPr>
          <w:rFonts w:ascii="Times New Roman" w:hAnsi="Times New Roman" w:cs="Times New Roman" w:eastAsia="Times New Roman" w:hint="default"/>
          <w:spacing w:val="2"/>
        </w:rPr>
        <w:t>1996</w:t>
      </w:r>
      <w:r>
        <w:rPr>
          <w:spacing w:val="2"/>
        </w:rPr>
        <w:t>年度股东大会审议通过，远东股份按总股本</w:t>
      </w:r>
      <w:r>
        <w:rPr>
          <w:rFonts w:ascii="Times New Roman" w:hAnsi="Times New Roman" w:cs="Times New Roman" w:eastAsia="Times New Roman" w:hint="default"/>
          <w:spacing w:val="2"/>
        </w:rPr>
        <w:t>5,000</w:t>
      </w:r>
      <w:r>
        <w:rPr>
          <w:spacing w:val="2"/>
        </w:rPr>
        <w:t>万股计算，实施了向全体股东每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
        </w:rPr>
        <w:t> </w:t>
      </w:r>
      <w:r>
        <w:rPr/>
        <w:t>股送红股</w:t>
      </w:r>
      <w:r>
        <w:rPr>
          <w:rFonts w:ascii="Times New Roman" w:hAnsi="Times New Roman" w:cs="Times New Roman" w:eastAsia="Times New Roman" w:hint="default"/>
        </w:rPr>
        <w:t>2.5</w:t>
      </w:r>
      <w:r>
        <w:rPr/>
        <w:t>股、用公积金向全体股东每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7.5</w:t>
      </w:r>
      <w:r>
        <w:rPr/>
        <w:t>股的利润分配方案及公积金转增股本方案，远东股份</w:t>
      </w:r>
    </w:p>
    <w:p>
      <w:pPr>
        <w:spacing w:after="0" w:line="256" w:lineRule="auto"/>
        <w:jc w:val="both"/>
        <w:sectPr>
          <w:footerReference w:type="default" r:id="rId16"/>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3" w:right="0" w:hanging="420"/>
        <w:jc w:val="left"/>
        <w:rPr>
          <w:rFonts w:ascii="Times New Roman" w:hAnsi="Times New Roman" w:cs="Times New Roman" w:eastAsia="Times New Roman" w:hint="default"/>
        </w:rPr>
      </w:pPr>
      <w:r>
        <w:rPr/>
        <w:t>的注册资本增加为</w:t>
      </w:r>
      <w:r>
        <w:rPr>
          <w:rFonts w:ascii="Times New Roman" w:hAnsi="Times New Roman" w:cs="Times New Roman" w:eastAsia="Times New Roman" w:hint="default"/>
        </w:rPr>
        <w:t>10,000</w:t>
      </w:r>
      <w:r>
        <w:rPr/>
        <w:t>万元，股份总数增加为</w:t>
      </w:r>
      <w:r>
        <w:rPr>
          <w:rFonts w:ascii="Times New Roman" w:hAnsi="Times New Roman" w:cs="Times New Roman" w:eastAsia="Times New Roman" w:hint="default"/>
        </w:rPr>
        <w:t>10,000</w:t>
      </w:r>
      <w:r>
        <w:rPr/>
        <w:t>万股。 经远东股份</w:t>
      </w:r>
      <w:r>
        <w:rPr>
          <w:rFonts w:ascii="Times New Roman" w:hAnsi="Times New Roman" w:cs="Times New Roman" w:eastAsia="Times New Roman" w:hint="default"/>
        </w:rPr>
        <w:t>1999</w:t>
      </w:r>
      <w:r>
        <w:rPr/>
        <w:t>年度股东大会审议通过，远东股份以</w:t>
      </w:r>
      <w:r>
        <w:rPr>
          <w:rFonts w:ascii="Times New Roman" w:hAnsi="Times New Roman" w:cs="Times New Roman" w:eastAsia="Times New Roman" w:hint="default"/>
        </w:rPr>
        <w:t>1999</w:t>
      </w:r>
      <w:r>
        <w:rPr/>
        <w:t>年末总股本</w:t>
      </w:r>
      <w:r>
        <w:rPr>
          <w:rFonts w:ascii="Times New Roman" w:hAnsi="Times New Roman" w:cs="Times New Roman" w:eastAsia="Times New Roman" w:hint="default"/>
        </w:rPr>
        <w:t>10,000</w:t>
      </w:r>
      <w:r>
        <w:rPr/>
        <w:t>万股为基数，实施了每</w:t>
      </w:r>
      <w:r>
        <w:rPr>
          <w:rFonts w:ascii="Times New Roman" w:hAnsi="Times New Roman" w:cs="Times New Roman" w:eastAsia="Times New Roman" w:hint="default"/>
        </w:rPr>
        <w:t>10</w:t>
      </w:r>
    </w:p>
    <w:p>
      <w:pPr>
        <w:pStyle w:val="Heading4"/>
        <w:spacing w:line="256" w:lineRule="auto" w:before="5"/>
        <w:ind w:left="154" w:right="1130"/>
        <w:jc w:val="both"/>
      </w:pPr>
      <w:r>
        <w:rPr>
          <w:spacing w:val="-2"/>
        </w:rPr>
        <w:t>股送</w:t>
      </w:r>
      <w:r>
        <w:rPr>
          <w:rFonts w:ascii="Times New Roman" w:hAnsi="Times New Roman" w:cs="Times New Roman" w:eastAsia="Times New Roman" w:hint="default"/>
          <w:spacing w:val="-2"/>
        </w:rPr>
        <w:t>2.5</w:t>
      </w:r>
      <w:r>
        <w:rPr>
          <w:spacing w:val="-2"/>
        </w:rPr>
        <w:t>股、派现金股利</w:t>
      </w:r>
      <w:r>
        <w:rPr>
          <w:rFonts w:ascii="Times New Roman" w:hAnsi="Times New Roman" w:cs="Times New Roman" w:eastAsia="Times New Roman" w:hint="default"/>
          <w:spacing w:val="-2"/>
        </w:rPr>
        <w:t>0.625</w:t>
      </w:r>
      <w:r>
        <w:rPr>
          <w:spacing w:val="-2"/>
        </w:rPr>
        <w:t>元（含税）的利润分配方案，公司的注册资本增加为</w:t>
      </w:r>
      <w:r>
        <w:rPr>
          <w:rFonts w:ascii="Times New Roman" w:hAnsi="Times New Roman" w:cs="Times New Roman" w:eastAsia="Times New Roman" w:hint="default"/>
          <w:spacing w:val="-2"/>
        </w:rPr>
        <w:t>12,500</w:t>
      </w:r>
      <w:r>
        <w:rPr>
          <w:spacing w:val="-2"/>
        </w:rPr>
        <w:t>万元，股份总数增</w:t>
      </w:r>
      <w:r>
        <w:rPr>
          <w:spacing w:val="-77"/>
        </w:rPr>
        <w:t> </w:t>
      </w:r>
      <w:r>
        <w:rPr>
          <w:spacing w:val="-77"/>
        </w:rPr>
      </w:r>
      <w:r>
        <w:rPr/>
        <w:t>加为</w:t>
      </w:r>
      <w:r>
        <w:rPr>
          <w:rFonts w:ascii="Times New Roman" w:hAnsi="Times New Roman" w:cs="Times New Roman" w:eastAsia="Times New Roman" w:hint="default"/>
        </w:rPr>
        <w:t>12,500</w:t>
      </w:r>
      <w:r>
        <w:rPr/>
        <w:t>万股。</w:t>
      </w:r>
    </w:p>
    <w:p>
      <w:pPr>
        <w:pStyle w:val="Heading4"/>
        <w:spacing w:line="256" w:lineRule="auto" w:before="5"/>
        <w:ind w:right="1132" w:firstLine="420"/>
        <w:jc w:val="both"/>
      </w:pPr>
      <w:r>
        <w:rPr>
          <w:spacing w:val="-1"/>
        </w:rPr>
        <w:t>经远东股份</w:t>
      </w:r>
      <w:r>
        <w:rPr>
          <w:rFonts w:ascii="Times New Roman" w:hAnsi="Times New Roman" w:cs="Times New Roman" w:eastAsia="Times New Roman" w:hint="default"/>
          <w:spacing w:val="-1"/>
        </w:rPr>
        <w:t>1999</w:t>
      </w:r>
      <w:r>
        <w:rPr>
          <w:spacing w:val="-1"/>
        </w:rPr>
        <w:t>年度股东大会审议通过，并经中国证监会《关于远东实业股份有限公司申请配股的批</w:t>
      </w:r>
      <w:r>
        <w:rPr/>
        <w:t> 复》（证监公司字</w:t>
      </w:r>
      <w:r>
        <w:rPr>
          <w:rFonts w:ascii="Times New Roman" w:hAnsi="Times New Roman" w:cs="Times New Roman" w:eastAsia="Times New Roman" w:hint="default"/>
        </w:rPr>
        <w:t>[2000]134</w:t>
      </w:r>
      <w:r>
        <w:rPr/>
        <w:t>号）批准，远东股份向社会公众配售</w:t>
      </w:r>
      <w:r>
        <w:rPr>
          <w:rFonts w:ascii="Times New Roman" w:hAnsi="Times New Roman" w:cs="Times New Roman" w:eastAsia="Times New Roman" w:hint="default"/>
        </w:rPr>
        <w:t>750</w:t>
      </w:r>
      <w:r>
        <w:rPr/>
        <w:t>万股股份。远东股份的注册资本增加</w:t>
      </w:r>
      <w:r>
        <w:rPr>
          <w:spacing w:val="-67"/>
        </w:rPr>
        <w:t> </w:t>
      </w:r>
      <w:r>
        <w:rPr>
          <w:spacing w:val="-67"/>
        </w:rPr>
      </w:r>
      <w:r>
        <w:rPr/>
        <w:t>为</w:t>
      </w:r>
      <w:r>
        <w:rPr>
          <w:rFonts w:ascii="Times New Roman" w:hAnsi="Times New Roman" w:cs="Times New Roman" w:eastAsia="Times New Roman" w:hint="default"/>
        </w:rPr>
        <w:t>13,250</w:t>
      </w:r>
      <w:r>
        <w:rPr/>
        <w:t>万元，股份总数增加为</w:t>
      </w:r>
      <w:r>
        <w:rPr>
          <w:rFonts w:ascii="Times New Roman" w:hAnsi="Times New Roman" w:cs="Times New Roman" w:eastAsia="Times New Roman" w:hint="default"/>
        </w:rPr>
        <w:t>13,250</w:t>
      </w:r>
      <w:r>
        <w:rPr/>
        <w:t>万股。</w:t>
      </w:r>
    </w:p>
    <w:p>
      <w:pPr>
        <w:pStyle w:val="Heading4"/>
        <w:spacing w:line="256" w:lineRule="auto" w:before="5"/>
        <w:ind w:right="1131" w:firstLine="420"/>
        <w:jc w:val="both"/>
      </w:pPr>
      <w:r>
        <w:rPr/>
        <w:t>经远东股份</w:t>
      </w:r>
      <w:r>
        <w:rPr>
          <w:rFonts w:ascii="Times New Roman" w:hAnsi="Times New Roman" w:cs="Times New Roman" w:eastAsia="Times New Roman" w:hint="default"/>
        </w:rPr>
        <w:t>2000</w:t>
      </w:r>
      <w:r>
        <w:rPr/>
        <w:t>年度股东大会审议通过，远东股份以</w:t>
      </w:r>
      <w:r>
        <w:rPr>
          <w:rFonts w:ascii="Times New Roman" w:hAnsi="Times New Roman" w:cs="Times New Roman" w:eastAsia="Times New Roman" w:hint="default"/>
        </w:rPr>
        <w:t>2000</w:t>
      </w:r>
      <w:r>
        <w:rPr/>
        <w:t>年末总股本</w:t>
      </w:r>
      <w:r>
        <w:rPr>
          <w:rFonts w:ascii="Times New Roman" w:hAnsi="Times New Roman" w:cs="Times New Roman" w:eastAsia="Times New Roman" w:hint="default"/>
        </w:rPr>
        <w:t>13,250</w:t>
      </w:r>
      <w:r>
        <w:rPr/>
        <w:t>万股为基数，实施了向全 </w:t>
      </w:r>
      <w:r>
        <w:rPr>
          <w:spacing w:val="-1"/>
        </w:rPr>
        <w:t>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5</w:t>
      </w:r>
      <w:r>
        <w:rPr>
          <w:spacing w:val="-1"/>
        </w:rPr>
        <w:t>股的利润分配方案，远东股份的注册</w:t>
      </w:r>
      <w:r>
        <w:rPr>
          <w:spacing w:val="-87"/>
        </w:rPr>
        <w:t> </w:t>
      </w:r>
      <w:r>
        <w:rPr>
          <w:spacing w:val="-87"/>
        </w:rPr>
      </w:r>
      <w:r>
        <w:rPr/>
        <w:t>资本增加为</w:t>
      </w:r>
      <w:r>
        <w:rPr>
          <w:rFonts w:ascii="Times New Roman" w:hAnsi="Times New Roman" w:cs="Times New Roman" w:eastAsia="Times New Roman" w:hint="default"/>
        </w:rPr>
        <w:t>19,875</w:t>
      </w:r>
      <w:r>
        <w:rPr/>
        <w:t>万元，股份总数增加为</w:t>
      </w:r>
      <w:r>
        <w:rPr>
          <w:rFonts w:ascii="Times New Roman" w:hAnsi="Times New Roman" w:cs="Times New Roman" w:eastAsia="Times New Roman" w:hint="default"/>
        </w:rPr>
        <w:t>19,875</w:t>
      </w:r>
      <w:r>
        <w:rPr/>
        <w:t>万股。</w:t>
      </w:r>
    </w:p>
    <w:p>
      <w:pPr>
        <w:pStyle w:val="Heading4"/>
        <w:spacing w:line="256" w:lineRule="auto" w:before="5"/>
        <w:ind w:right="1131" w:firstLine="420"/>
        <w:jc w:val="both"/>
      </w:pPr>
      <w:r>
        <w:rPr/>
        <w:t>经远东股份</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日股权分置改革相关股东会议审议通过、并经商务部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日《商务部 关于同意远东实业股份有限公司股权转让等事项的批复》（商资批</w:t>
      </w:r>
      <w:r>
        <w:rPr>
          <w:rFonts w:ascii="Times New Roman" w:hAnsi="Times New Roman" w:cs="Times New Roman" w:eastAsia="Times New Roman" w:hint="default"/>
        </w:rPr>
        <w:t>[2006]1577</w:t>
      </w:r>
      <w:r>
        <w:rPr/>
        <w:t>号）批准，公司非流通股股</w:t>
      </w:r>
      <w:r>
        <w:rPr>
          <w:spacing w:val="-66"/>
        </w:rPr>
        <w:t> </w:t>
      </w:r>
      <w:r>
        <w:rPr>
          <w:spacing w:val="-66"/>
        </w:rPr>
      </w:r>
      <w:r>
        <w:rPr>
          <w:spacing w:val="-1"/>
        </w:rPr>
        <w:t>东向截至</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日登记在册的流通股股东送股，流通股股东每</w:t>
      </w:r>
      <w:r>
        <w:rPr>
          <w:rFonts w:ascii="Times New Roman" w:hAnsi="Times New Roman" w:cs="Times New Roman" w:eastAsia="Times New Roman" w:hint="default"/>
          <w:spacing w:val="-1"/>
        </w:rPr>
        <w:t>10</w:t>
      </w:r>
      <w:r>
        <w:rPr>
          <w:spacing w:val="-1"/>
        </w:rPr>
        <w:t>股获送</w:t>
      </w:r>
      <w:r>
        <w:rPr>
          <w:rFonts w:ascii="Times New Roman" w:hAnsi="Times New Roman" w:cs="Times New Roman" w:eastAsia="Times New Roman" w:hint="default"/>
          <w:spacing w:val="-1"/>
        </w:rPr>
        <w:t>3</w:t>
      </w:r>
      <w:r>
        <w:rPr>
          <w:spacing w:val="-1"/>
        </w:rPr>
        <w:t>股股份，全体流通股股东共</w:t>
      </w:r>
      <w:r>
        <w:rPr>
          <w:spacing w:val="-83"/>
        </w:rPr>
        <w:t> </w:t>
      </w:r>
      <w:r>
        <w:rPr>
          <w:spacing w:val="-83"/>
        </w:rPr>
      </w:r>
      <w:r>
        <w:rPr/>
        <w:t>计获送</w:t>
      </w:r>
      <w:r>
        <w:rPr>
          <w:rFonts w:ascii="Times New Roman" w:hAnsi="Times New Roman" w:cs="Times New Roman" w:eastAsia="Times New Roman" w:hint="default"/>
        </w:rPr>
        <w:t>17,437,501</w:t>
      </w:r>
      <w:r>
        <w:rPr/>
        <w:t>股股份，公司的股份总数不变。</w:t>
      </w:r>
    </w:p>
    <w:p>
      <w:pPr>
        <w:pStyle w:val="Heading4"/>
        <w:spacing w:line="256" w:lineRule="auto" w:before="5"/>
        <w:ind w:left="154" w:right="1130" w:firstLine="420"/>
        <w:jc w:val="both"/>
      </w:pPr>
      <w:r>
        <w:rPr/>
        <w:t>经远东股份</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日临时股东大会审议通过，并于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日经中国证监会《关于核准远 </w:t>
      </w:r>
      <w:r>
        <w:rPr>
          <w:spacing w:val="-2"/>
        </w:rPr>
        <w:t>东实业股份有限公司向柴继军等发行股份购买资产的批复》（证监许可</w:t>
      </w:r>
      <w:r>
        <w:rPr>
          <w:rFonts w:ascii="Times New Roman" w:hAnsi="Times New Roman" w:cs="Times New Roman" w:eastAsia="Times New Roman" w:hint="default"/>
          <w:spacing w:val="-2"/>
        </w:rPr>
        <w:t>[2014]221</w:t>
      </w:r>
      <w:r>
        <w:rPr>
          <w:spacing w:val="-2"/>
        </w:rPr>
        <w:t>号）及《关于核准柴继军</w:t>
      </w:r>
      <w:r>
        <w:rPr>
          <w:spacing w:val="-63"/>
        </w:rPr>
        <w:t> </w:t>
      </w:r>
      <w:r>
        <w:rPr>
          <w:spacing w:val="-63"/>
        </w:rPr>
      </w:r>
      <w:r>
        <w:rPr>
          <w:spacing w:val="-2"/>
        </w:rPr>
        <w:t>及一致行动人公告远东实业股份有限公司收购报告书并豁免其要约收购义务的批复》（证监许可</w:t>
      </w:r>
      <w:r>
        <w:rPr>
          <w:rFonts w:ascii="Times New Roman" w:hAnsi="Times New Roman" w:cs="Times New Roman" w:eastAsia="Times New Roman" w:hint="default"/>
          <w:spacing w:val="-2"/>
        </w:rPr>
        <w:t>[2014]222</w:t>
      </w:r>
      <w:r>
        <w:rPr>
          <w:rFonts w:ascii="Times New Roman" w:hAnsi="Times New Roman" w:cs="Times New Roman" w:eastAsia="Times New Roman" w:hint="default"/>
          <w:spacing w:val="-7"/>
        </w:rPr>
        <w:t> </w:t>
      </w:r>
      <w:r>
        <w:rPr>
          <w:spacing w:val="-1"/>
        </w:rPr>
        <w:t>号）核准，远东股份实施重大资产重组并同时向廖道训等</w:t>
      </w:r>
      <w:r>
        <w:rPr>
          <w:rFonts w:ascii="Times New Roman" w:hAnsi="Times New Roman" w:cs="Times New Roman" w:eastAsia="Times New Roman" w:hint="default"/>
          <w:spacing w:val="-1"/>
        </w:rPr>
        <w:t>17</w:t>
      </w:r>
      <w:r>
        <w:rPr>
          <w:spacing w:val="-1"/>
        </w:rPr>
        <w:t>名自然人发行</w:t>
      </w:r>
      <w:r>
        <w:rPr>
          <w:rFonts w:ascii="Times New Roman" w:hAnsi="Times New Roman" w:cs="Times New Roman" w:eastAsia="Times New Roman" w:hint="default"/>
          <w:spacing w:val="-1"/>
        </w:rPr>
        <w:t>471,236,736</w:t>
      </w:r>
      <w:r>
        <w:rPr>
          <w:spacing w:val="-1"/>
        </w:rPr>
        <w:t>股股份，远东股份总</w:t>
      </w:r>
      <w:r>
        <w:rPr>
          <w:spacing w:val="-81"/>
        </w:rPr>
        <w:t> </w:t>
      </w:r>
      <w:r>
        <w:rPr>
          <w:spacing w:val="-81"/>
        </w:rPr>
      </w:r>
      <w:r>
        <w:rPr/>
        <w:t>股本由</w:t>
      </w:r>
      <w:r>
        <w:rPr>
          <w:rFonts w:ascii="Times New Roman" w:hAnsi="Times New Roman" w:cs="Times New Roman" w:eastAsia="Times New Roman" w:hint="default"/>
        </w:rPr>
        <w:t>198,750,000</w:t>
      </w:r>
      <w:r>
        <w:rPr/>
        <w:t>股增加至</w:t>
      </w:r>
      <w:r>
        <w:rPr>
          <w:rFonts w:ascii="Times New Roman" w:hAnsi="Times New Roman" w:cs="Times New Roman" w:eastAsia="Times New Roman" w:hint="default"/>
        </w:rPr>
        <w:t>669,986,736</w:t>
      </w:r>
      <w:r>
        <w:rPr/>
        <w:t>股。</w:t>
      </w:r>
    </w:p>
    <w:p>
      <w:pPr>
        <w:pStyle w:val="Heading4"/>
        <w:spacing w:line="256" w:lineRule="auto" w:before="5"/>
        <w:ind w:right="1130"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日远东股份召开了第七届董事会第二十四次会议审议通过了《关于变更公司名称和经营范</w:t>
      </w:r>
      <w:r>
        <w:rPr/>
        <w:t> </w:t>
      </w:r>
      <w:r>
        <w:rPr>
          <w:spacing w:val="-2"/>
        </w:rPr>
        <w:t>围的议案》《关于修订</w:t>
      </w:r>
      <w:r>
        <w:rPr>
          <w:rFonts w:ascii="Times New Roman" w:hAnsi="Times New Roman" w:cs="Times New Roman" w:eastAsia="Times New Roman" w:hint="default"/>
          <w:spacing w:val="-2"/>
        </w:rPr>
        <w:t>&lt;</w:t>
      </w:r>
      <w:r>
        <w:rPr>
          <w:spacing w:val="-2"/>
        </w:rPr>
        <w:t>公司章程</w:t>
      </w:r>
      <w:r>
        <w:rPr>
          <w:rFonts w:ascii="Times New Roman" w:hAnsi="Times New Roman" w:cs="Times New Roman" w:eastAsia="Times New Roman" w:hint="default"/>
          <w:spacing w:val="-2"/>
        </w:rPr>
        <w:t>&gt;</w:t>
      </w:r>
      <w:r>
        <w:rPr>
          <w:spacing w:val="-2"/>
        </w:rPr>
        <w:t>的议案》，上述事项已经公司</w:t>
      </w:r>
      <w:r>
        <w:rPr>
          <w:rFonts w:ascii="Times New Roman" w:hAnsi="Times New Roman" w:cs="Times New Roman" w:eastAsia="Times New Roman" w:hint="default"/>
          <w:spacing w:val="-2"/>
        </w:rPr>
        <w:t>2013</w:t>
      </w:r>
      <w:r>
        <w:rPr>
          <w:spacing w:val="-2"/>
        </w:rPr>
        <w:t>年度股东大会审议批准。经国家工商</w:t>
      </w:r>
      <w:r>
        <w:rPr>
          <w:spacing w:val="-58"/>
        </w:rPr>
        <w:t> </w:t>
      </w:r>
      <w:r>
        <w:rPr>
          <w:spacing w:val="-58"/>
        </w:rPr>
      </w:r>
      <w:r>
        <w:rPr/>
        <w:t>总局和江苏省常州工商行政管理局核准，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日，远东股份完成了工商变更登记手续，取得由江</w:t>
      </w:r>
      <w:r>
        <w:rPr>
          <w:spacing w:val="-32"/>
        </w:rPr>
        <w:t> </w:t>
      </w:r>
      <w:r>
        <w:rPr>
          <w:spacing w:val="-32"/>
        </w:rPr>
      </w:r>
      <w:r>
        <w:rPr/>
        <w:t>苏省常州工商行政管理局换发的《企业法人营业执照》，变更后的公司名称为</w:t>
      </w:r>
      <w:r>
        <w:rPr>
          <w:rFonts w:ascii="Times New Roman" w:hAnsi="Times New Roman" w:cs="Times New Roman" w:eastAsia="Times New Roman" w:hint="default"/>
        </w:rPr>
        <w:t>“</w:t>
      </w:r>
      <w:r>
        <w:rPr/>
        <w:t>视觉（中国）文化发展股</w:t>
      </w:r>
      <w:r>
        <w:rPr>
          <w:spacing w:val="-15"/>
        </w:rPr>
        <w:t> </w:t>
      </w:r>
      <w:r>
        <w:rPr>
          <w:spacing w:val="-15"/>
        </w:rPr>
      </w:r>
      <w:r>
        <w:rPr/>
        <w:t>份有限公司</w:t>
      </w:r>
      <w:r>
        <w:rPr>
          <w:rFonts w:ascii="Times New Roman" w:hAnsi="Times New Roman" w:cs="Times New Roman" w:eastAsia="Times New Roman" w:hint="default"/>
        </w:rPr>
        <w:t>”</w:t>
      </w:r>
      <w:r>
        <w:rPr/>
        <w:t>，股票简称</w:t>
      </w:r>
      <w:r>
        <w:rPr>
          <w:rFonts w:ascii="Times New Roman" w:hAnsi="Times New Roman" w:cs="Times New Roman" w:eastAsia="Times New Roman" w:hint="default"/>
        </w:rPr>
        <w:t>“</w:t>
      </w:r>
      <w:r>
        <w:rPr/>
        <w:t>视觉中国</w:t>
      </w:r>
      <w:r>
        <w:rPr>
          <w:rFonts w:ascii="Times New Roman" w:hAnsi="Times New Roman" w:cs="Times New Roman" w:eastAsia="Times New Roman" w:hint="default"/>
        </w:rPr>
        <w:t>”</w:t>
      </w:r>
      <w:r>
        <w:rPr/>
        <w:t>。</w:t>
      </w:r>
    </w:p>
    <w:p>
      <w:pPr>
        <w:pStyle w:val="Heading4"/>
        <w:spacing w:line="240" w:lineRule="auto" w:before="5"/>
        <w:ind w:left="658" w:right="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日公司召开的第七届董事会第二十七次会议和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spacing w:val="2"/>
        </w:rPr>
        <w:t>19</w:t>
      </w:r>
      <w:r>
        <w:rPr>
          <w:spacing w:val="2"/>
        </w:rPr>
        <w:t>日召开的 </w:t>
      </w:r>
      <w:r>
        <w:rPr>
          <w:rFonts w:ascii="Times New Roman" w:hAnsi="Times New Roman" w:cs="Times New Roman" w:eastAsia="Times New Roman" w:hint="default"/>
        </w:rPr>
        <w:t>2014 </w:t>
      </w:r>
      <w:r>
        <w:rPr>
          <w:rFonts w:ascii="Times New Roman" w:hAnsi="Times New Roman" w:cs="Times New Roman" w:eastAsia="Times New Roman" w:hint="default"/>
          <w:spacing w:val="15"/>
        </w:rPr>
        <w:t> </w:t>
      </w:r>
      <w:r>
        <w:rPr/>
        <w:t>年第二</w:t>
      </w:r>
    </w:p>
    <w:p>
      <w:pPr>
        <w:pStyle w:val="Heading4"/>
        <w:spacing w:line="256" w:lineRule="auto" w:before="21"/>
        <w:ind w:right="1130"/>
        <w:jc w:val="both"/>
      </w:pPr>
      <w:r>
        <w:rPr/>
        <w:t>次临时股东大会、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日召开的第七届董事会第三十一次会议和</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日召开的 </w:t>
      </w:r>
      <w:r>
        <w:rPr>
          <w:rFonts w:ascii="Times New Roman" w:hAnsi="Times New Roman" w:cs="Times New Roman" w:eastAsia="Times New Roman" w:hint="default"/>
        </w:rPr>
        <w:t>2015</w:t>
      </w:r>
      <w:r>
        <w:rPr>
          <w:rFonts w:ascii="Times New Roman" w:hAnsi="Times New Roman" w:cs="Times New Roman" w:eastAsia="Times New Roman" w:hint="default"/>
          <w:spacing w:val="20"/>
        </w:rPr>
        <w:t> </w:t>
      </w:r>
      <w:r>
        <w:rPr/>
        <w:t>年第 一次临时股东大会、</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日召开的第七届董事会第三十四次会议通过的发行人民币普通股股票决</w:t>
      </w:r>
      <w:r>
        <w:rPr>
          <w:spacing w:val="-91"/>
        </w:rPr>
        <w:t> </w:t>
      </w:r>
      <w:r>
        <w:rPr>
          <w:spacing w:val="-91"/>
        </w:rPr>
      </w:r>
      <w:r>
        <w:rPr/>
        <w:t>议，并经中国证券监督管理委员会于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日出具的《关于核准视觉（中国）文化发展股份有限公</w:t>
      </w:r>
      <w:r>
        <w:rPr>
          <w:spacing w:val="-33"/>
        </w:rPr>
        <w:t> </w:t>
      </w:r>
      <w:r>
        <w:rPr>
          <w:spacing w:val="-33"/>
        </w:rPr>
      </w:r>
      <w:r>
        <w:rPr/>
        <w:t>司非公开发行股票的批复》（证监许可</w:t>
      </w:r>
      <w:r>
        <w:rPr>
          <w:rFonts w:ascii="Times New Roman" w:hAnsi="Times New Roman" w:cs="Times New Roman" w:eastAsia="Times New Roman" w:hint="default"/>
        </w:rPr>
        <w:t>[2015]1230 </w:t>
      </w:r>
      <w:r>
        <w:rPr/>
        <w:t>号）文件核准，公司非公开发行</w:t>
      </w:r>
      <w:r>
        <w:rPr>
          <w:rFonts w:ascii="Times New Roman" w:hAnsi="Times New Roman" w:cs="Times New Roman" w:eastAsia="Times New Roman" w:hint="default"/>
        </w:rPr>
        <w:t>30,590,700</w:t>
      </w:r>
      <w:r>
        <w:rPr>
          <w:rFonts w:ascii="Times New Roman" w:hAnsi="Times New Roman" w:cs="Times New Roman" w:eastAsia="Times New Roman" w:hint="default"/>
          <w:spacing w:val="45"/>
        </w:rPr>
        <w:t> </w:t>
      </w:r>
      <w:r>
        <w:rPr/>
        <w:t>股人民币普 通股股票。公司总股本由</w:t>
      </w:r>
      <w:r>
        <w:rPr>
          <w:rFonts w:ascii="Times New Roman" w:hAnsi="Times New Roman" w:cs="Times New Roman" w:eastAsia="Times New Roman" w:hint="default"/>
        </w:rPr>
        <w:t>669,986,736</w:t>
      </w:r>
      <w:r>
        <w:rPr/>
        <w:t>元增至</w:t>
      </w:r>
      <w:r>
        <w:rPr>
          <w:rFonts w:ascii="Times New Roman" w:hAnsi="Times New Roman" w:cs="Times New Roman" w:eastAsia="Times New Roman" w:hint="default"/>
        </w:rPr>
        <w:t>700,577,436.00</w:t>
      </w:r>
      <w:r>
        <w:rPr/>
        <w:t>元（每股面值</w:t>
      </w:r>
      <w:r>
        <w:rPr>
          <w:rFonts w:ascii="Times New Roman" w:hAnsi="Times New Roman" w:cs="Times New Roman" w:eastAsia="Times New Roman" w:hint="default"/>
        </w:rPr>
        <w:t>1</w:t>
      </w:r>
      <w:r>
        <w:rPr/>
        <w:t>元）。</w:t>
      </w:r>
    </w:p>
    <w:p>
      <w:pPr>
        <w:pStyle w:val="Heading4"/>
        <w:spacing w:line="256" w:lineRule="auto" w:before="5"/>
        <w:ind w:right="1132" w:firstLine="420"/>
        <w:jc w:val="both"/>
      </w:pPr>
      <w:r>
        <w:rPr>
          <w:spacing w:val="-1"/>
        </w:rPr>
        <w:t>经以上历次变更，截至本报告期末，本公司注册资本为人民币</w:t>
      </w:r>
      <w:r>
        <w:rPr>
          <w:rFonts w:ascii="Times New Roman" w:hAnsi="Times New Roman" w:cs="Times New Roman" w:eastAsia="Times New Roman" w:hint="default"/>
          <w:spacing w:val="-1"/>
        </w:rPr>
        <w:t>70,057.74</w:t>
      </w:r>
      <w:r>
        <w:rPr>
          <w:spacing w:val="-1"/>
        </w:rPr>
        <w:t>万元，住所位于江苏省武进经</w:t>
      </w:r>
      <w:r>
        <w:rPr/>
        <w:t> 济开发区绿杨路</w:t>
      </w:r>
      <w:r>
        <w:rPr>
          <w:rFonts w:ascii="Times New Roman" w:hAnsi="Times New Roman" w:cs="Times New Roman" w:eastAsia="Times New Roman" w:hint="default"/>
        </w:rPr>
        <w:t>2</w:t>
      </w:r>
      <w:r>
        <w:rPr/>
        <w:t>号，法定代表人为廖杰。</w:t>
      </w:r>
    </w:p>
    <w:p>
      <w:pPr>
        <w:pStyle w:val="Heading4"/>
        <w:spacing w:line="261" w:lineRule="auto" w:before="5"/>
        <w:ind w:right="1130" w:firstLine="420"/>
        <w:jc w:val="both"/>
      </w:pPr>
      <w:r>
        <w:rPr>
          <w:spacing w:val="-1"/>
        </w:rPr>
        <w:t>本公司及子公司</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本集团</w:t>
      </w:r>
      <w:r>
        <w:rPr>
          <w:rFonts w:ascii="Times New Roman" w:hAnsi="Times New Roman" w:cs="Times New Roman" w:eastAsia="Times New Roman" w:hint="default"/>
          <w:spacing w:val="-1"/>
        </w:rPr>
        <w:t>”)</w:t>
      </w:r>
      <w:r>
        <w:rPr>
          <w:spacing w:val="-1"/>
        </w:rPr>
        <w:t>属于文化创意产业的信息传播服务业，主要业务板块包括</w:t>
      </w:r>
      <w:r>
        <w:rPr>
          <w:rFonts w:ascii="Times New Roman" w:hAnsi="Times New Roman" w:cs="Times New Roman" w:eastAsia="Times New Roman" w:hint="default"/>
          <w:spacing w:val="-1"/>
        </w:rPr>
        <w:t>“</w:t>
      </w:r>
      <w:r>
        <w:rPr>
          <w:spacing w:val="-1"/>
        </w:rPr>
        <w:t>互联网</w:t>
      </w:r>
      <w:r>
        <w:rPr/>
        <w:t> </w:t>
      </w:r>
      <w:r>
        <w:rPr>
          <w:spacing w:val="-2"/>
        </w:rPr>
        <w:t>娱乐与传媒</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旅游及其他</w:t>
      </w:r>
      <w:r>
        <w:rPr>
          <w:rFonts w:ascii="Times New Roman" w:hAnsi="Times New Roman" w:cs="Times New Roman" w:eastAsia="Times New Roman" w:hint="default"/>
          <w:spacing w:val="-2"/>
        </w:rPr>
        <w:t>”</w:t>
      </w:r>
      <w:r>
        <w:rPr>
          <w:spacing w:val="-2"/>
        </w:rPr>
        <w:t>。本集团主要基于互联网的版权交易平台，为媒体客户、商业客户及政府企事</w:t>
      </w:r>
      <w:r>
        <w:rPr>
          <w:spacing w:val="-101"/>
        </w:rPr>
        <w:t> </w:t>
      </w:r>
      <w:r>
        <w:rPr>
          <w:spacing w:val="-101"/>
        </w:rPr>
      </w:r>
      <w:r>
        <w:rPr>
          <w:spacing w:val="-1"/>
        </w:rPr>
        <w:t>业单位提供视觉素材和定制化的增值服务；提供主题公园、城市综合体数字娱乐整体解决方案，提供广告</w:t>
      </w:r>
      <w:r>
        <w:rPr>
          <w:spacing w:val="-83"/>
        </w:rPr>
        <w:t> </w:t>
      </w:r>
      <w:r>
        <w:rPr>
          <w:spacing w:val="-83"/>
        </w:rPr>
      </w:r>
      <w:r>
        <w:rPr/>
        <w:t>设计、策划等全流程服务。</w:t>
      </w:r>
    </w:p>
    <w:p>
      <w:pPr>
        <w:pStyle w:val="Heading4"/>
        <w:spacing w:line="268" w:lineRule="auto" w:before="18"/>
        <w:ind w:right="1131" w:firstLine="420"/>
        <w:jc w:val="both"/>
      </w:pPr>
      <w:r>
        <w:rPr>
          <w:spacing w:val="-1"/>
        </w:rPr>
        <w:t>本公司经营范围：广播电视传输技术，互联网络传播、互联网络游戏及娱乐技术，移动通讯网络游戏</w:t>
      </w:r>
      <w:r>
        <w:rPr/>
        <w:t> </w:t>
      </w:r>
      <w:r>
        <w:rPr>
          <w:spacing w:val="-1"/>
        </w:rPr>
        <w:t>及娱乐的技术，广播影视网影视娱乐的技术，视频制作、电子传输技术等文化及娱乐产品技术的开发、咨</w:t>
      </w:r>
      <w:r>
        <w:rPr>
          <w:spacing w:val="-85"/>
        </w:rPr>
        <w:t> </w:t>
      </w:r>
      <w:r>
        <w:rPr>
          <w:spacing w:val="-85"/>
        </w:rPr>
      </w:r>
      <w:r>
        <w:rPr>
          <w:spacing w:val="-1"/>
        </w:rPr>
        <w:t>询、服务与转让；媒体资产管理软件及其他计算机软件的开发、咨询、服务与转让；计算机图文设计、制</w:t>
      </w:r>
      <w:r>
        <w:rPr>
          <w:spacing w:val="-83"/>
        </w:rPr>
        <w:t> </w:t>
      </w:r>
      <w:r>
        <w:rPr>
          <w:spacing w:val="-83"/>
        </w:rPr>
      </w:r>
      <w:r>
        <w:rPr>
          <w:spacing w:val="-1"/>
        </w:rPr>
        <w:t>作服务（不含印刷和广告）；摄影、扩印服务；组织文化艺术交流活动（不含演出）；企业管理，企业创</w:t>
      </w:r>
      <w:r>
        <w:rPr>
          <w:spacing w:val="-86"/>
        </w:rPr>
        <w:t> </w:t>
      </w:r>
      <w:r>
        <w:rPr>
          <w:spacing w:val="-86"/>
        </w:rPr>
      </w:r>
      <w:r>
        <w:rPr>
          <w:spacing w:val="-3"/>
        </w:rPr>
        <w:t>业投资咨询服务，企业形象策划，市场营销策划，财务咨询；版权代理；物业管理，自有房屋租赁。</w:t>
      </w:r>
      <w:r>
        <w:rPr>
          <w:rFonts w:ascii="Times New Roman" w:hAnsi="Times New Roman" w:cs="Times New Roman" w:eastAsia="Times New Roman" w:hint="default"/>
          <w:spacing w:val="-3"/>
        </w:rPr>
        <w:t>(</w:t>
      </w:r>
      <w:r>
        <w:rPr>
          <w:spacing w:val="-3"/>
        </w:rPr>
        <w:t>依法</w:t>
      </w:r>
      <w:r>
        <w:rPr>
          <w:spacing w:val="-61"/>
        </w:rPr>
        <w:t> </w:t>
      </w:r>
      <w:r>
        <w:rPr/>
        <w:t>须经批准的项目，经相关部门批准后方可开展经营活动）。</w:t>
      </w:r>
    </w:p>
    <w:p>
      <w:pPr>
        <w:pStyle w:val="Heading4"/>
        <w:spacing w:line="256" w:lineRule="auto" w:before="12"/>
        <w:ind w:left="154" w:right="1129" w:firstLine="420"/>
        <w:jc w:val="both"/>
      </w:pPr>
      <w:r>
        <w:rPr>
          <w:spacing w:val="-1"/>
        </w:rPr>
        <w:t>本公司股东廖道训、吴玉瑞、吴春红、柴继军、姜海林、陈智华、袁闯、李学凌、高玮、梁世平等</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1"/>
        </w:rPr>
        <w:t>名一致行动人合计持有本公司</w:t>
      </w:r>
      <w:r>
        <w:rPr>
          <w:rFonts w:ascii="Times New Roman" w:hAnsi="Times New Roman" w:cs="Times New Roman" w:eastAsia="Times New Roman" w:hint="default"/>
          <w:spacing w:val="-1"/>
        </w:rPr>
        <w:t>388,039,891</w:t>
      </w:r>
      <w:r>
        <w:rPr>
          <w:spacing w:val="-1"/>
        </w:rPr>
        <w:t>股股份，持股比例为</w:t>
      </w:r>
      <w:r>
        <w:rPr>
          <w:rFonts w:ascii="Times New Roman" w:hAnsi="Times New Roman" w:cs="Times New Roman" w:eastAsia="Times New Roman" w:hint="default"/>
          <w:spacing w:val="-1"/>
        </w:rPr>
        <w:t>55.39%</w:t>
      </w:r>
      <w:r>
        <w:rPr>
          <w:spacing w:val="-1"/>
        </w:rPr>
        <w:t>，取得本公司的控制权，为本公司实</w:t>
      </w:r>
    </w:p>
    <w:p>
      <w:pPr>
        <w:spacing w:after="0" w:line="256" w:lineRule="auto"/>
        <w:jc w:val="both"/>
        <w:sectPr>
          <w:footerReference w:type="default" r:id="rId17"/>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际控制人。</w:t>
      </w:r>
    </w:p>
    <w:p>
      <w:pPr>
        <w:pStyle w:val="Heading4"/>
        <w:spacing w:line="264" w:lineRule="auto" w:before="37"/>
        <w:ind w:left="573" w:right="3088"/>
        <w:jc w:val="left"/>
      </w:pPr>
      <w:r>
        <w:rPr/>
        <w:t>本财务报表由本公司董事会于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日批准报出。 截至报告期末，纳入合并财务报表范围的子公司共计</w:t>
      </w:r>
      <w:r>
        <w:rPr>
          <w:rFonts w:ascii="Times New Roman" w:hAnsi="Times New Roman" w:cs="Times New Roman" w:eastAsia="Times New Roman" w:hint="default"/>
        </w:rPr>
        <w:t>30</w:t>
      </w:r>
      <w:r>
        <w:rPr/>
        <w:t>家，详见本附注九、</w:t>
      </w:r>
      <w:r>
        <w:rPr>
          <w:rFonts w:ascii="Times New Roman" w:hAnsi="Times New Roman" w:cs="Times New Roman" w:eastAsia="Times New Roman" w:hint="default"/>
        </w:rPr>
        <w:t>1</w:t>
      </w:r>
      <w:r>
        <w:rPr/>
        <w:t>。 本报告期合并财务报表范围变化情况详见本附注八。</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132" w:firstLine="420"/>
        <w:jc w:val="both"/>
      </w:pPr>
      <w:r>
        <w:rPr/>
        <w:t>本财务报表按照财政部于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日及以后期间颁布的《企业会计准则</w:t>
      </w:r>
      <w:r>
        <w:rPr>
          <w:rFonts w:ascii="Times New Roman" w:hAnsi="Times New Roman" w:cs="Times New Roman" w:eastAsia="Times New Roman" w:hint="default"/>
        </w:rPr>
        <w:t>——</w:t>
      </w:r>
      <w:r>
        <w:rPr/>
        <w:t>基本准则》、各项具 体会计准则及相关规定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w:t>
      </w:r>
      <w:r>
        <w:rPr>
          <w:spacing w:val="-45"/>
        </w:rPr>
        <w:t> </w:t>
      </w:r>
      <w:r>
        <w:rPr>
          <w:spacing w:val="-45"/>
        </w:rPr>
      </w:r>
      <w:r>
        <w:rPr/>
        <w:t>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财务报告的一般规定》的披露规定编制。</w:t>
      </w:r>
    </w:p>
    <w:p>
      <w:pPr>
        <w:pStyle w:val="Heading4"/>
        <w:spacing w:line="240" w:lineRule="auto" w:before="5"/>
        <w:ind w:left="573" w:right="0"/>
        <w:jc w:val="left"/>
      </w:pPr>
      <w:r>
        <w:rPr/>
        <w:t>本财务报表以持续经营为基础编制。</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130" w:firstLine="420"/>
        <w:jc w:val="both"/>
      </w:pPr>
      <w:r>
        <w:rPr>
          <w:spacing w:val="-1"/>
        </w:rPr>
        <w:t>本集团在编制财务报表过程中，已全面评估本集团自资产负债表日起未来</w:t>
      </w:r>
      <w:r>
        <w:rPr>
          <w:rFonts w:ascii="Times New Roman" w:hAnsi="Times New Roman" w:cs="Times New Roman" w:eastAsia="Times New Roman" w:hint="default"/>
          <w:spacing w:val="-1"/>
        </w:rPr>
        <w:t>12</w:t>
      </w:r>
      <w:r>
        <w:rPr>
          <w:spacing w:val="-1"/>
        </w:rPr>
        <w:t>个月的持续经营能力。本</w:t>
      </w:r>
      <w:r>
        <w:rPr/>
        <w:t> </w:t>
      </w:r>
      <w:r>
        <w:rPr>
          <w:spacing w:val="-1"/>
        </w:rPr>
        <w:t>集团利用所有可获得的信息，包括近期获利经营的历史、通过银行融资等财务资源支持的信息作出评估后</w:t>
      </w:r>
    </w:p>
    <w:p>
      <w:pPr>
        <w:pStyle w:val="Heading4"/>
        <w:spacing w:line="256" w:lineRule="auto" w:before="22"/>
        <w:ind w:right="0"/>
        <w:jc w:val="left"/>
      </w:pPr>
      <w:r>
        <w:rPr>
          <w:spacing w:val="-1"/>
        </w:rPr>
        <w:t>﹐合理预期本集团将有足够的资源在自资产负债表日起未来</w:t>
      </w:r>
      <w:r>
        <w:rPr>
          <w:rFonts w:ascii="Times New Roman" w:hAnsi="Times New Roman" w:cs="Times New Roman" w:eastAsia="Times New Roman" w:hint="default"/>
          <w:spacing w:val="-1"/>
        </w:rPr>
        <w:t>12</w:t>
      </w:r>
      <w:r>
        <w:rPr>
          <w:spacing w:val="-1"/>
        </w:rPr>
        <w:t>个月内保持持续经营，本集团因而按持续经</w:t>
      </w:r>
      <w:r>
        <w:rPr>
          <w:spacing w:val="-82"/>
        </w:rPr>
        <w:t> </w:t>
      </w:r>
      <w:r>
        <w:rPr>
          <w:spacing w:val="-82"/>
        </w:rPr>
      </w:r>
      <w:r>
        <w:rPr/>
        <w:t>营基础编制本财务报表。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6"/>
        <w:ind w:left="154" w:right="0"/>
        <w:jc w:val="left"/>
      </w:pPr>
      <w:r>
        <w:rPr/>
        <w:t>具体会计政策和会计估计提示：</w:t>
      </w:r>
    </w:p>
    <w:p>
      <w:pPr>
        <w:pStyle w:val="Heading4"/>
        <w:spacing w:line="273" w:lineRule="auto" w:before="89"/>
        <w:ind w:right="0"/>
        <w:jc w:val="left"/>
        <w:rPr>
          <w:rFonts w:ascii="Times New Roman" w:hAnsi="Times New Roman" w:cs="Times New Roman" w:eastAsia="Times New Roman" w:hint="default"/>
        </w:rPr>
      </w:pPr>
      <w:r>
        <w:rPr>
          <w:spacing w:val="-1"/>
        </w:rPr>
        <w:t>本集团根据生产经营特点确定具体会计政策和会计估计，主要体现在应收款项坏账准备的计提方法、可供</w:t>
      </w:r>
      <w:r>
        <w:rPr>
          <w:spacing w:val="-81"/>
        </w:rPr>
        <w:t> </w:t>
      </w:r>
      <w:r>
        <w:rPr>
          <w:spacing w:val="-81"/>
        </w:rPr>
      </w:r>
      <w:r>
        <w:rPr/>
        <w:t>出售权益工具发生减值的判断标准、固定资产折旧和无形资产摊销、收入的确认时点等。 本集团在确定重要的会计政策时所运用的关键判断详见附注五、</w:t>
      </w:r>
      <w:r>
        <w:rPr>
          <w:rFonts w:ascii="Times New Roman" w:hAnsi="Times New Roman" w:cs="Times New Roman" w:eastAsia="Times New Roman" w:hint="default"/>
        </w:rPr>
        <w:t>31</w:t>
      </w:r>
    </w:p>
    <w:p>
      <w:pPr>
        <w:spacing w:line="612" w:lineRule="exact" w:before="45"/>
        <w:ind w:left="573" w:right="0" w:hanging="420"/>
        <w:jc w:val="left"/>
        <w:rPr>
          <w:rFonts w:ascii="宋体" w:hAnsi="宋体" w:cs="宋体" w:eastAsia="宋体" w:hint="default"/>
          <w:sz w:val="21"/>
          <w:szCs w:val="21"/>
        </w:rPr>
      </w:pPr>
      <w:bookmarkStart w:name="1、遵循企业会计准则的声明"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本财务报表符合企业会计准则的要求，真实、完整地反映了本公司及本集团的财务状况、经营成果和</w:t>
      </w:r>
    </w:p>
    <w:p>
      <w:pPr>
        <w:pStyle w:val="Heading4"/>
        <w:spacing w:line="219" w:lineRule="exact" w:before="0"/>
        <w:ind w:right="0"/>
        <w:jc w:val="left"/>
      </w:pPr>
      <w:r>
        <w:rPr/>
        <w:t>现金流量等有关信息。</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本集团会计年度采用公历年度，即每年自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4"/>
          <w:szCs w:val="24"/>
        </w:rPr>
      </w:pPr>
    </w:p>
    <w:p>
      <w:pPr>
        <w:pStyle w:val="Heading4"/>
        <w:spacing w:line="273" w:lineRule="auto" w:before="0"/>
        <w:ind w:right="1131" w:firstLine="420"/>
        <w:jc w:val="both"/>
      </w:pPr>
      <w:r>
        <w:rPr>
          <w:spacing w:val="-1"/>
        </w:rPr>
        <w:t>正常营业周期，是指企业从购买用于加工的资产起至实现现金或现金等价物的期间。本集团正常营业</w:t>
      </w:r>
      <w:r>
        <w:rPr/>
        <w:t> </w:t>
      </w:r>
      <w:r>
        <w:rPr>
          <w:spacing w:val="-1"/>
        </w:rPr>
        <w:t>周期短于一年。正常营业周期短于一年的，自资产负债表日起一年内变现的资产或自资产负债表日起一年</w:t>
      </w:r>
      <w:r>
        <w:rPr>
          <w:spacing w:val="-81"/>
        </w:rPr>
        <w:t> </w:t>
      </w:r>
      <w:r>
        <w:rPr>
          <w:spacing w:val="-81"/>
        </w:rPr>
      </w:r>
      <w:r>
        <w:rPr/>
        <w:t>内到期应予以清偿的负债归类为流动资产或流动负债。</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2" w:firstLine="420"/>
        <w:jc w:val="both"/>
      </w:pPr>
      <w:r>
        <w:rPr>
          <w:spacing w:val="-1"/>
        </w:rPr>
        <w:t>本公司及境内子公司以人民币为记账本位币。本公司之境外子公司根据其经营所处的主要经济环境中</w:t>
      </w:r>
      <w:r>
        <w:rPr/>
        <w:t> 的货币确定其记账本位币。本集团编制本财务报表时所采用的货币为人民币。</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68" w:lineRule="auto" w:before="0"/>
        <w:ind w:right="1117" w:firstLine="420"/>
        <w:jc w:val="left"/>
      </w:pPr>
      <w:r>
        <w:rPr/>
        <w:t>（</w:t>
      </w:r>
      <w:r>
        <w:rPr>
          <w:rFonts w:ascii="Times New Roman" w:hAnsi="Times New Roman" w:cs="Times New Roman" w:eastAsia="Times New Roman" w:hint="default"/>
        </w:rPr>
        <w:t>1</w:t>
      </w:r>
      <w:r>
        <w:rPr/>
        <w:t>）本集团报告期内发生同一控制下企业合并的，采用权益结合法进行会计处理。合并方在企业合 </w:t>
      </w:r>
      <w:r>
        <w:rPr>
          <w:spacing w:val="-1"/>
        </w:rPr>
        <w:t>并中取得的资产和负债，于合并日按照被合并方在最终控制方合并财务报表中的账面价值计量。合并方取</w:t>
      </w:r>
      <w:r>
        <w:rPr>
          <w:spacing w:val="-81"/>
        </w:rPr>
        <w:t> </w:t>
      </w:r>
      <w:r>
        <w:rPr>
          <w:spacing w:val="-81"/>
        </w:rPr>
      </w:r>
      <w:r>
        <w:rPr>
          <w:spacing w:val="-1"/>
        </w:rPr>
        <w:t>得的净资产账面价值与支付的合并对价账面价值（或发行股份面值总额）的差额，调整资本公积；资本公</w:t>
      </w:r>
      <w:r>
        <w:rPr>
          <w:spacing w:val="-86"/>
        </w:rPr>
        <w:t> </w:t>
      </w:r>
      <w:r>
        <w:rPr>
          <w:spacing w:val="-86"/>
        </w:rPr>
      </w:r>
      <w:r>
        <w:rPr>
          <w:spacing w:val="-1"/>
        </w:rPr>
        <w:t>积不足冲减的，调整留存收益。合并方为进行企业合并发生的各项直接相关费用，包括为进行企业合并而</w:t>
      </w:r>
      <w:r>
        <w:rPr>
          <w:spacing w:val="-83"/>
        </w:rPr>
        <w:t> </w:t>
      </w:r>
      <w:r>
        <w:rPr>
          <w:spacing w:val="-83"/>
        </w:rPr>
      </w:r>
      <w:r>
        <w:rPr>
          <w:spacing w:val="-1"/>
        </w:rPr>
        <w:t>支付的审计费用、评估费用、法律服务费用等，于发生时计入当期损益。为企业合并发行的债券或承担其</w:t>
      </w:r>
      <w:r>
        <w:rPr>
          <w:spacing w:val="-86"/>
        </w:rPr>
        <w:t> </w:t>
      </w:r>
      <w:r>
        <w:rPr>
          <w:spacing w:val="-86"/>
        </w:rPr>
      </w:r>
      <w:r>
        <w:rPr>
          <w:spacing w:val="-1"/>
        </w:rPr>
        <w:t>他债务支付的手续费、佣金等，计入所发行债券及其他债务的初始计量金额。企业合并中发行权益性证券</w:t>
      </w:r>
      <w:r>
        <w:rPr>
          <w:spacing w:val="-82"/>
        </w:rPr>
        <w:t> </w:t>
      </w:r>
      <w:r>
        <w:rPr>
          <w:spacing w:val="-82"/>
        </w:rPr>
      </w:r>
      <w:r>
        <w:rPr>
          <w:spacing w:val="-1"/>
        </w:rPr>
        <w:t>发生的手续费、佣金等费用，抵减权益性证券溢价收入，溢价收入不足冲减的，冲减留存收益。企业合并</w:t>
      </w:r>
      <w:r>
        <w:rPr>
          <w:spacing w:val="-83"/>
        </w:rPr>
        <w:t> </w:t>
      </w:r>
      <w:r>
        <w:rPr>
          <w:spacing w:val="-83"/>
        </w:rPr>
      </w:r>
      <w:r>
        <w:rPr/>
        <w:t>形成母子公司关系的，编制合并财务报表，按照本集团制定的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会计政策执行；合并财务报 表比较数据调整的期间应不早于合并方、被合并方处于最终控制方的控制之下孰晚的时间。</w:t>
      </w:r>
    </w:p>
    <w:p>
      <w:pPr>
        <w:pStyle w:val="Heading4"/>
        <w:spacing w:line="266" w:lineRule="auto" w:before="12"/>
        <w:ind w:right="1093" w:firstLine="420"/>
        <w:jc w:val="left"/>
      </w:pPr>
      <w:r>
        <w:rPr/>
        <w:t>（</w:t>
      </w:r>
      <w:r>
        <w:rPr>
          <w:rFonts w:ascii="Times New Roman" w:hAnsi="Times New Roman" w:cs="Times New Roman" w:eastAsia="Times New Roman" w:hint="default"/>
        </w:rPr>
        <w:t>2</w:t>
      </w:r>
      <w:r>
        <w:rPr/>
        <w:t>）本集团报告期内发生非同一控制下的企业合并的，采用购买法进行会计处理。区别下列情况确 </w:t>
      </w:r>
      <w:r>
        <w:rPr>
          <w:spacing w:val="-1"/>
        </w:rPr>
        <w:t>定合并成本：①一次交换交易实现的企业合并，合并成本为在购买日为取得对被购买方的控制权而付出的</w:t>
      </w:r>
      <w:r>
        <w:rPr>
          <w:spacing w:val="-81"/>
        </w:rPr>
        <w:t> </w:t>
      </w:r>
      <w:r>
        <w:rPr>
          <w:spacing w:val="-81"/>
        </w:rPr>
      </w:r>
      <w:r>
        <w:rPr/>
        <w:t>资产、发生或承担的负债以及发行的权益性证券的公允价值。②通过多次交换交易分步实现的企业合并， 对于购买日之前持有的被购买方的股权，区分个别财务报表和合并财务报表进行相关会计处理：</w:t>
      </w:r>
    </w:p>
    <w:p>
      <w:pPr>
        <w:pStyle w:val="Heading4"/>
        <w:spacing w:line="264" w:lineRule="auto" w:before="14"/>
        <w:ind w:right="1131" w:firstLine="420"/>
        <w:jc w:val="both"/>
      </w:pPr>
      <w:r>
        <w:rPr>
          <w:rFonts w:ascii="Times New Roman" w:hAnsi="Times New Roman" w:cs="Times New Roman" w:eastAsia="Times New Roman" w:hint="default"/>
        </w:rPr>
        <w:t>A</w:t>
      </w:r>
      <w:r>
        <w:rPr/>
        <w:t>、在个别财务报表中，按照原持有被购买方的股权投资的账面价值加上新增投资成本之和，作为改 </w:t>
      </w:r>
      <w:r>
        <w:rPr>
          <w:spacing w:val="-1"/>
        </w:rPr>
        <w:t>按成本法核算的初始投资成本；购买日之前持有的股权投资因采用权益法核算而确认的其他综合收益，在</w:t>
      </w:r>
      <w:r>
        <w:rPr>
          <w:spacing w:val="-81"/>
        </w:rPr>
        <w:t> </w:t>
      </w:r>
      <w:r>
        <w:rPr>
          <w:spacing w:val="-81"/>
        </w:rPr>
      </w:r>
      <w:r>
        <w:rPr>
          <w:spacing w:val="-1"/>
        </w:rPr>
        <w:t>处置该项投资时采用与被购买方直接处置相关资产或负债相同的基础进行会计处理。购买日之前持有的股</w:t>
      </w:r>
      <w:r>
        <w:rPr>
          <w:spacing w:val="-81"/>
        </w:rPr>
        <w:t> </w:t>
      </w:r>
      <w:r>
        <w:rPr>
          <w:spacing w:val="-81"/>
        </w:rPr>
      </w:r>
      <w:r>
        <w:rPr>
          <w:spacing w:val="-1"/>
        </w:rPr>
        <w:t>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金融工具确认和计量》的有关规定进行会计处理的，原计入其他综</w:t>
      </w:r>
      <w:r>
        <w:rPr>
          <w:spacing w:val="-84"/>
        </w:rPr>
        <w:t> </w:t>
      </w:r>
      <w:r>
        <w:rPr>
          <w:spacing w:val="-84"/>
        </w:rPr>
      </w:r>
      <w:r>
        <w:rPr/>
        <w:t>合收益的累计公允价值变动在改按成本法核算时转入当期损益。</w:t>
      </w:r>
    </w:p>
    <w:p>
      <w:pPr>
        <w:pStyle w:val="Heading4"/>
        <w:spacing w:line="268" w:lineRule="auto" w:before="16"/>
        <w:ind w:right="1131" w:firstLine="420"/>
        <w:jc w:val="both"/>
      </w:pPr>
      <w:r>
        <w:rPr>
          <w:rFonts w:ascii="Times New Roman" w:hAnsi="Times New Roman" w:cs="Times New Roman" w:eastAsia="Times New Roman" w:hint="default"/>
        </w:rPr>
        <w:t>B</w:t>
      </w:r>
      <w:r>
        <w:rPr/>
        <w:t>、在合并财务报表中，对于购买日之前持有的被购买方的股权，按照该股权在购买日的公允价值进 </w:t>
      </w:r>
      <w:r>
        <w:rPr>
          <w:spacing w:val="-1"/>
        </w:rPr>
        <w:t>行重新计量，公允价值与其账面价值的差额计入当期投资收益；购买日之前持有的被购买方的股权涉及权</w:t>
      </w:r>
      <w:r>
        <w:rPr>
          <w:spacing w:val="-81"/>
        </w:rPr>
        <w:t> </w:t>
      </w:r>
      <w:r>
        <w:rPr>
          <w:spacing w:val="-81"/>
        </w:rPr>
      </w:r>
      <w:r>
        <w:rPr>
          <w:spacing w:val="-1"/>
        </w:rPr>
        <w:t>益法核算下的其他综合收益等的，与其相关的其他综合收益等转为购买日所属当期投资收益。本集团在附</w:t>
      </w:r>
      <w:r>
        <w:rPr>
          <w:spacing w:val="-81"/>
        </w:rPr>
        <w:t> </w:t>
      </w:r>
      <w:r>
        <w:rPr>
          <w:spacing w:val="-81"/>
        </w:rPr>
      </w:r>
      <w:r>
        <w:rPr>
          <w:spacing w:val="-1"/>
        </w:rPr>
        <w:t>注中披露其在购买日之前持有的被购买方的股权在购买日的公允价值、按照公允价值重新计量产生的相关</w:t>
      </w:r>
      <w:r>
        <w:rPr>
          <w:spacing w:val="-81"/>
        </w:rPr>
        <w:t> </w:t>
      </w:r>
      <w:r>
        <w:rPr>
          <w:spacing w:val="-81"/>
        </w:rPr>
      </w:r>
      <w:r>
        <w:rPr/>
        <w:t>利得或损失的金额。</w:t>
      </w:r>
    </w:p>
    <w:p>
      <w:pPr>
        <w:pStyle w:val="Heading4"/>
        <w:spacing w:line="273" w:lineRule="auto" w:before="12"/>
        <w:ind w:left="154" w:right="0" w:firstLine="315"/>
        <w:jc w:val="left"/>
      </w:pPr>
      <w:r>
        <w:rPr/>
        <w:t>③为企业合并发生的审计、法律服务、评估咨询等中介费用以及其他相关管理费用，于发生时计入当 </w:t>
      </w:r>
      <w:r>
        <w:rPr>
          <w:spacing w:val="-1"/>
        </w:rPr>
        <w:t>期损益；作为合并对价发行的权益性证券或债务性证券的交易费用，计入权益性证券或债务性证券的初始</w:t>
      </w:r>
      <w:r>
        <w:rPr>
          <w:spacing w:val="-81"/>
        </w:rPr>
        <w:t> </w:t>
      </w:r>
      <w:r>
        <w:rPr>
          <w:spacing w:val="-81"/>
        </w:rPr>
      </w:r>
      <w:r>
        <w:rPr>
          <w:spacing w:val="-1"/>
        </w:rPr>
        <w:t>确认金额。④在合并合同或协议中对可能影响合并成本的未来事项作出约定的，购买日如果估计未来事项</w:t>
      </w:r>
      <w:r>
        <w:rPr>
          <w:spacing w:val="-81"/>
        </w:rPr>
        <w:t> </w:t>
      </w:r>
      <w:r>
        <w:rPr>
          <w:spacing w:val="-81"/>
        </w:rPr>
      </w:r>
      <w:r>
        <w:rPr/>
        <w:t>很可能发生并且对合并成本的影响金额能够可靠计量的，将其计入合并成本。</w:t>
      </w:r>
    </w:p>
    <w:p>
      <w:pPr>
        <w:pStyle w:val="Heading4"/>
        <w:spacing w:line="273" w:lineRule="auto"/>
        <w:ind w:right="1131" w:firstLine="420"/>
        <w:jc w:val="both"/>
      </w:pPr>
      <w:r>
        <w:rPr>
          <w:spacing w:val="-1"/>
        </w:rPr>
        <w:t>本集团在购买日对作为企业合并对价付出的资产、发生或承担的负债按照公允价值计量，公允价值与</w:t>
      </w:r>
      <w:r>
        <w:rPr/>
        <w:t> 其账面价值的差额，计入当期损益。</w:t>
      </w:r>
    </w:p>
    <w:p>
      <w:pPr>
        <w:pStyle w:val="Heading4"/>
        <w:spacing w:line="273" w:lineRule="auto"/>
        <w:ind w:right="1130" w:firstLine="420"/>
        <w:jc w:val="both"/>
      </w:pPr>
      <w:r>
        <w:rPr>
          <w:spacing w:val="-1"/>
        </w:rPr>
        <w:t>本集团在购买日对合并成本进行分配，按照规定确认所取得的被购买方各项可辨认资产、负债及或有</w:t>
      </w:r>
      <w:r>
        <w:rPr/>
        <w:t> </w:t>
      </w:r>
      <w:r>
        <w:rPr>
          <w:spacing w:val="-1"/>
        </w:rPr>
        <w:t>负债。①对合并成本大于合并中取得的被购买方可辨认净资产公允价值份额的差额，确认为商誉。②对合</w:t>
      </w:r>
      <w:r>
        <w:rPr>
          <w:spacing w:val="-83"/>
        </w:rPr>
        <w:t> </w:t>
      </w:r>
      <w:r>
        <w:rPr>
          <w:spacing w:val="-83"/>
        </w:rPr>
      </w:r>
      <w:r>
        <w:rPr>
          <w:spacing w:val="-1"/>
        </w:rPr>
        <w:t>并成本小于合并中取得的被购买方可辨认净资产公允价值份额的差额，则对取得的被购买方各项可辨认资</w:t>
      </w:r>
      <w:r>
        <w:rPr>
          <w:spacing w:val="-81"/>
        </w:rPr>
        <w:t> </w:t>
      </w:r>
      <w:r>
        <w:rPr>
          <w:spacing w:val="-81"/>
        </w:rPr>
      </w:r>
      <w:r>
        <w:rPr>
          <w:spacing w:val="-1"/>
        </w:rPr>
        <w:t>产、负债及或有负债的公允价值以及合并成本的计量进行复核；经复核后合并成本仍小于合并中取得的被</w:t>
      </w:r>
      <w:r>
        <w:rPr>
          <w:spacing w:val="-81"/>
        </w:rPr>
        <w:t> </w:t>
      </w:r>
      <w:r>
        <w:rPr>
          <w:spacing w:val="-81"/>
        </w:rPr>
      </w:r>
      <w:r>
        <w:rPr/>
        <w:t>购买方可辨认净资产公允价值份额的，其差额计入当期损益。</w:t>
      </w:r>
    </w:p>
    <w:p>
      <w:pPr>
        <w:pStyle w:val="Heading4"/>
        <w:spacing w:line="273" w:lineRule="auto"/>
        <w:ind w:right="1110" w:firstLine="420"/>
        <w:jc w:val="both"/>
      </w:pPr>
      <w:r>
        <w:rPr/>
        <w:t>企业合并形成母子公司关系的，母公司设置备查簿，记录企业合并中取得的子公司各项可辨认资产、 </w:t>
      </w:r>
      <w:r>
        <w:rPr>
          <w:spacing w:val="-1"/>
        </w:rPr>
        <w:t>负债及或有负债等在购买日的公允价值。编制合并财务报表时，以购买日确定的各项可辨认资产、负债及</w:t>
      </w:r>
      <w:r>
        <w:rPr>
          <w:spacing w:val="-83"/>
        </w:rPr>
        <w:t> </w:t>
      </w:r>
      <w:r>
        <w:rPr>
          <w:spacing w:val="-83"/>
        </w:rPr>
      </w:r>
      <w:r>
        <w:rPr/>
        <w:t>或有负债的公允价值为基础对子公司的财务报表进行调整，按照本集团制定的</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w:t>
      </w:r>
      <w:r>
        <w:rPr/>
        <w:t>会计政策执</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pPr>
      <w:r>
        <w:rPr/>
        <w:t>行。</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574" w:right="0"/>
        <w:jc w:val="left"/>
      </w:pPr>
      <w:r>
        <w:rPr/>
        <w:t>（</w:t>
      </w:r>
      <w:r>
        <w:rPr>
          <w:rFonts w:ascii="Times New Roman" w:hAnsi="Times New Roman" w:cs="Times New Roman" w:eastAsia="Times New Roman" w:hint="default"/>
        </w:rPr>
        <w:t>1</w:t>
      </w:r>
      <w:r>
        <w:rPr/>
        <w:t>）合并范围 </w:t>
      </w:r>
      <w:r>
        <w:rPr>
          <w:spacing w:val="-1"/>
        </w:rPr>
        <w:t>合并财务报表的合并范围以控制为基础予以确定，包括本公司及全部子公司截至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日止的</w:t>
      </w:r>
    </w:p>
    <w:p>
      <w:pPr>
        <w:pStyle w:val="Heading4"/>
        <w:spacing w:line="273" w:lineRule="auto" w:before="5"/>
        <w:ind w:right="1133"/>
        <w:jc w:val="both"/>
      </w:pPr>
      <w:r>
        <w:rPr>
          <w:spacing w:val="-1"/>
        </w:rPr>
        <w:t>年度财务报表。子公司，是指被本公司控制的主体（含企业、被投资单位中可分割的部分，以及本公司所</w:t>
      </w:r>
      <w:r>
        <w:rPr>
          <w:spacing w:val="-83"/>
        </w:rPr>
        <w:t> </w:t>
      </w:r>
      <w:r>
        <w:rPr>
          <w:spacing w:val="-83"/>
        </w:rPr>
      </w:r>
      <w:r>
        <w:rPr>
          <w:spacing w:val="-1"/>
        </w:rPr>
        <w:t>控制的结构化主体等）。控制，是指投资方拥有对被投资方的权力，通过参与被投资方的相关活动而享有</w:t>
      </w:r>
      <w:r>
        <w:rPr>
          <w:spacing w:val="-86"/>
        </w:rPr>
        <w:t> </w:t>
      </w:r>
      <w:r>
        <w:rPr>
          <w:spacing w:val="-86"/>
        </w:rPr>
      </w:r>
      <w:r>
        <w:rPr/>
        <w:t>可变回报，并且有能力运用对被投资方的权力影响其回报金额。</w:t>
      </w:r>
    </w:p>
    <w:p>
      <w:pPr>
        <w:pStyle w:val="Heading4"/>
        <w:spacing w:line="264" w:lineRule="auto"/>
        <w:ind w:left="573" w:right="0"/>
        <w:jc w:val="left"/>
      </w:pPr>
      <w:r>
        <w:rPr/>
        <w:t>（</w:t>
      </w:r>
      <w:r>
        <w:rPr>
          <w:rFonts w:ascii="Times New Roman" w:hAnsi="Times New Roman" w:cs="Times New Roman" w:eastAsia="Times New Roman" w:hint="default"/>
        </w:rPr>
        <w:t>2</w:t>
      </w:r>
      <w:r>
        <w:rPr/>
        <w:t>）合并财务报表编制方法 本公司以自身和其子公司的财务报表为基础，根据其他有关资料，编制合并财务报表。 </w:t>
      </w:r>
      <w:r>
        <w:rPr>
          <w:spacing w:val="-1"/>
        </w:rPr>
        <w:t>本公司编制合并财务报表，将整个企业集团视为一个会计主体，依据相关企业会计准则的确认、计量</w:t>
      </w:r>
    </w:p>
    <w:p>
      <w:pPr>
        <w:pStyle w:val="Heading4"/>
        <w:spacing w:line="273" w:lineRule="auto" w:before="16"/>
        <w:ind w:left="573" w:right="0" w:hanging="420"/>
        <w:jc w:val="left"/>
      </w:pPr>
      <w:r>
        <w:rPr/>
        <w:t>和列报要求，按照统一的会计政策，反映企业集团整体财务状况、经营成果和现金流量。 </w:t>
      </w:r>
      <w:r>
        <w:rPr>
          <w:spacing w:val="-1"/>
        </w:rPr>
        <w:t>在编制合并财务报表时，子公司与本公司采用的会计政策或会计期间不一致的，按照本公司的会计政</w:t>
      </w:r>
    </w:p>
    <w:p>
      <w:pPr>
        <w:pStyle w:val="Heading4"/>
        <w:spacing w:line="273" w:lineRule="auto"/>
        <w:ind w:right="0"/>
        <w:jc w:val="left"/>
      </w:pP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Heading4"/>
        <w:spacing w:line="256" w:lineRule="auto"/>
        <w:ind w:left="574" w:right="0"/>
        <w:jc w:val="left"/>
      </w:pPr>
      <w:r>
        <w:rPr/>
        <w:t>（</w:t>
      </w:r>
      <w:r>
        <w:rPr>
          <w:rFonts w:ascii="Times New Roman" w:hAnsi="Times New Roman" w:cs="Times New Roman" w:eastAsia="Times New Roman" w:hint="default"/>
        </w:rPr>
        <w:t>3</w:t>
      </w:r>
      <w:r>
        <w:rPr/>
        <w:t>）少数股东权益和损益的列报 </w:t>
      </w:r>
      <w:r>
        <w:rPr>
          <w:spacing w:val="-1"/>
        </w:rPr>
        <w:t>子公司所有者权益中不属于母公司的份额，作为少数股东权益，在合并资产负债表中所有者权益项目</w:t>
      </w:r>
    </w:p>
    <w:p>
      <w:pPr>
        <w:pStyle w:val="Heading4"/>
        <w:spacing w:line="256" w:lineRule="auto" w:before="22"/>
        <w:ind w:left="574" w:right="1116"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Heading4"/>
        <w:spacing w:line="240" w:lineRule="auto" w:before="5"/>
        <w:ind w:right="0"/>
        <w:jc w:val="left"/>
      </w:pPr>
      <w:r>
        <w:rPr/>
        <w:t>列示。</w:t>
      </w:r>
    </w:p>
    <w:p>
      <w:pPr>
        <w:pStyle w:val="Heading4"/>
        <w:spacing w:line="256" w:lineRule="auto" w:before="37"/>
        <w:ind w:left="573" w:right="0"/>
        <w:jc w:val="left"/>
      </w:pPr>
      <w:r>
        <w:rPr/>
        <w:t>（</w:t>
      </w:r>
      <w:r>
        <w:rPr>
          <w:rFonts w:ascii="Times New Roman" w:hAnsi="Times New Roman" w:cs="Times New Roman" w:eastAsia="Times New Roman" w:hint="default"/>
        </w:rPr>
        <w:t>4</w:t>
      </w:r>
      <w:r>
        <w:rPr/>
        <w:t>）超额亏损的处理 </w:t>
      </w:r>
      <w:r>
        <w:rPr>
          <w:spacing w:val="-1"/>
        </w:rPr>
        <w:t>在合并财务报表中，子公司少数股东分担的当期亏损超过了少数股东在该子公司期初所有者权益中所</w:t>
      </w:r>
    </w:p>
    <w:p>
      <w:pPr>
        <w:pStyle w:val="Heading4"/>
        <w:spacing w:line="240" w:lineRule="auto" w:before="22"/>
        <w:ind w:right="0"/>
        <w:jc w:val="left"/>
      </w:pPr>
      <w:r>
        <w:rPr/>
        <w:t>享有的份额的，其余额仍冲减少数股东权益。</w:t>
      </w:r>
    </w:p>
    <w:p>
      <w:pPr>
        <w:pStyle w:val="Heading4"/>
        <w:spacing w:line="256" w:lineRule="auto" w:before="37"/>
        <w:ind w:left="574" w:right="0"/>
        <w:jc w:val="left"/>
      </w:pPr>
      <w:r>
        <w:rPr/>
        <w:t>（</w:t>
      </w:r>
      <w:r>
        <w:rPr>
          <w:rFonts w:ascii="Times New Roman" w:hAnsi="Times New Roman" w:cs="Times New Roman" w:eastAsia="Times New Roman" w:hint="default"/>
        </w:rPr>
        <w:t>5</w:t>
      </w:r>
      <w:r>
        <w:rPr/>
        <w:t>）当期增加减少子公司的合并报表处理 </w:t>
      </w:r>
      <w:r>
        <w:rPr>
          <w:spacing w:val="-1"/>
        </w:rPr>
        <w:t>在报告期内，因同一控制下企业合并增加的子公司，编制合并资产负债表时，调整合并资产负债表的</w:t>
      </w:r>
    </w:p>
    <w:p>
      <w:pPr>
        <w:pStyle w:val="Heading4"/>
        <w:spacing w:line="273" w:lineRule="auto" w:before="22"/>
        <w:ind w:left="154" w:right="0"/>
        <w:jc w:val="left"/>
      </w:pPr>
      <w:r>
        <w:rPr>
          <w:spacing w:val="-1"/>
        </w:rPr>
        <w:t>年初余额。因非同一控制下企业合并增加的子公司，编制合并资产负债表时，不调整合并资产负债表的年</w:t>
      </w:r>
      <w:r>
        <w:rPr>
          <w:spacing w:val="-82"/>
        </w:rPr>
        <w:t> </w:t>
      </w:r>
      <w:r>
        <w:rPr>
          <w:spacing w:val="-82"/>
        </w:rPr>
      </w:r>
      <w:r>
        <w:rPr/>
        <w:t>初余额。在报告期内处置子公司，编制合并资产负债表时，不调整合并资产负债表的年初余额。</w:t>
      </w:r>
    </w:p>
    <w:p>
      <w:pPr>
        <w:pStyle w:val="Heading4"/>
        <w:spacing w:line="273" w:lineRule="auto"/>
        <w:ind w:left="154" w:right="1017" w:firstLine="420"/>
        <w:jc w:val="left"/>
      </w:pPr>
      <w:r>
        <w:rPr>
          <w:spacing w:val="-3"/>
        </w:rPr>
        <w:t>在报告期内，因同一控制下企业合并增加的子公司，将该子公司在合并当期的期初至报告期末的收入、</w:t>
      </w:r>
      <w:r>
        <w:rPr/>
        <w:t> 费用、利润纳入合并利润表，将该子公司合并当期期初至报告期末的现金流量纳入合并现金流量表。因非 </w:t>
      </w:r>
      <w:r>
        <w:rPr>
          <w:spacing w:val="-3"/>
        </w:rPr>
        <w:t>同一控制下企业合并增加的子公司，将该子公司自购买日至报告期末的收入、费用、利润纳入合并利润表，</w:t>
      </w:r>
      <w:r>
        <w:rPr>
          <w:spacing w:val="-92"/>
        </w:rPr>
        <w:t> </w:t>
      </w:r>
      <w:r>
        <w:rPr>
          <w:spacing w:val="-92"/>
        </w:rPr>
      </w:r>
      <w:r>
        <w:rPr/>
        <w:t>将该子公司购买日至报告期末的现金流量纳入合并现金流量表。在报告期内处置子公司，将该子公司期初</w:t>
      </w:r>
      <w:r>
        <w:rPr/>
        <w:t> </w:t>
      </w:r>
      <w:r>
        <w:rPr>
          <w:spacing w:val="-3"/>
        </w:rPr>
        <w:t>至处置日的收入、费用、利润纳入合并利润表，将该子公司期初至处置日的现金流量纳入合并现金流量表。</w:t>
      </w:r>
    </w:p>
    <w:p>
      <w:pPr>
        <w:pStyle w:val="Heading4"/>
        <w:spacing w:line="273" w:lineRule="auto"/>
        <w:ind w:left="154" w:right="1131" w:firstLine="420"/>
        <w:jc w:val="both"/>
      </w:pPr>
      <w:r>
        <w:rPr>
          <w:spacing w:val="-1"/>
        </w:rPr>
        <w:t>因处置部分股权投资或其他原因丧失了对原有子公司控制权时，对于处置后的剩余股权投资，按照其</w:t>
      </w:r>
      <w:r>
        <w:rPr/>
        <w:t> </w:t>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比例计算应享有原有子公司自购买日开始持续计算的净资产的份额之间的差额，计入丧失控制权当期的投</w:t>
      </w:r>
      <w:r>
        <w:rPr>
          <w:spacing w:val="-81"/>
        </w:rPr>
        <w:t> </w:t>
      </w:r>
      <w:r>
        <w:rPr>
          <w:spacing w:val="-81"/>
        </w:rPr>
      </w:r>
      <w:r>
        <w:rPr/>
        <w:t>资收益。与原有子公司股权投资相关的其他综合收益，在丧失控制权时转为当期投资收益。</w:t>
      </w:r>
    </w:p>
    <w:p>
      <w:pPr>
        <w:pStyle w:val="Heading4"/>
        <w:spacing w:line="273" w:lineRule="auto"/>
        <w:ind w:left="154" w:right="0" w:firstLine="420"/>
        <w:jc w:val="left"/>
      </w:pPr>
      <w:r>
        <w:rPr/>
        <w:t>因购买少数股权新取得的长期股权投资与按照新增持股比例计算应享有子公司的可辨认净资产份额 </w:t>
      </w:r>
      <w:r>
        <w:rPr>
          <w:spacing w:val="-1"/>
        </w:rPr>
        <w:t>之间的差额，以及在不丧失控制权的情况下因部分处置对子公司的股权投资而取得的处置价款与处置长期</w:t>
      </w:r>
      <w:r>
        <w:rPr>
          <w:spacing w:val="-81"/>
        </w:rPr>
        <w:t> </w:t>
      </w:r>
      <w:r>
        <w:rPr>
          <w:spacing w:val="-81"/>
        </w:rPr>
      </w:r>
      <w:r>
        <w:rPr>
          <w:spacing w:val="-1"/>
        </w:rPr>
        <w:t>股权投资相对应享有子公司净资产份额的差额，均调整合并资产负债表中的资本公积中的股本溢价，资本</w:t>
      </w:r>
      <w:r>
        <w:rPr>
          <w:spacing w:val="-81"/>
        </w:rPr>
        <w:t> </w:t>
      </w:r>
      <w:r>
        <w:rPr>
          <w:spacing w:val="-81"/>
        </w:rPr>
      </w:r>
      <w:r>
        <w:rPr/>
        <w:t>公积中的股本溢价不足冲减的，调整留存收益。</w:t>
      </w:r>
    </w:p>
    <w:p>
      <w:pPr>
        <w:pStyle w:val="Heading4"/>
        <w:spacing w:line="256" w:lineRule="auto"/>
        <w:ind w:left="574" w:right="0"/>
        <w:jc w:val="left"/>
      </w:pPr>
      <w:r>
        <w:rPr/>
        <w:t>（</w:t>
      </w:r>
      <w:r>
        <w:rPr>
          <w:rFonts w:ascii="Times New Roman" w:hAnsi="Times New Roman" w:cs="Times New Roman" w:eastAsia="Times New Roman" w:hint="default"/>
        </w:rPr>
        <w:t>6</w:t>
      </w:r>
      <w:r>
        <w:rPr/>
        <w:t>）分步处置股权至丧失控制权的合并报表处理 </w:t>
      </w:r>
      <w:r>
        <w:rPr>
          <w:spacing w:val="-1"/>
        </w:rPr>
        <w:t>处置对子公司股权投资直至丧失控制权的各项交易属于一揽子交易的，将各项交易作为一项处置子公</w:t>
      </w:r>
    </w:p>
    <w:p>
      <w:pPr>
        <w:pStyle w:val="Heading4"/>
        <w:spacing w:line="240" w:lineRule="auto" w:before="22"/>
        <w:ind w:left="154" w:right="0"/>
        <w:jc w:val="left"/>
      </w:pPr>
      <w:r>
        <w:rPr/>
        <w:t>司并丧失控制权的交易进行会计处理；但是，在丧失控制权之前每一次处置价款与处置投资对应的享有该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0"/>
        <w:jc w:val="both"/>
      </w:pPr>
      <w:r>
        <w:rPr>
          <w:spacing w:val="-1"/>
        </w:rPr>
        <w:t>子公司净资产份额的差额，在合并财务报表中确认为其他综合收益，在丧失控制权时一并转入丧失控制权</w:t>
      </w:r>
      <w:r>
        <w:rPr>
          <w:spacing w:val="-80"/>
        </w:rPr>
        <w:t> </w:t>
      </w:r>
      <w:r>
        <w:rPr>
          <w:spacing w:val="-80"/>
        </w:rPr>
      </w:r>
      <w:r>
        <w:rPr>
          <w:spacing w:val="-1"/>
        </w:rPr>
        <w:t>当期的损益。不属于一揽子交易的，在丧失控制权之前与丧失控制权时，按照前述不丧失控制权的情况下</w:t>
      </w:r>
      <w:r>
        <w:rPr>
          <w:spacing w:val="-83"/>
        </w:rPr>
        <w:t> </w:t>
      </w:r>
      <w:r>
        <w:rPr>
          <w:spacing w:val="-83"/>
        </w:rPr>
      </w:r>
      <w:r>
        <w:rPr/>
        <w:t>部分处置对子公司的股权投资与丧失对原有子公司控制权时的会计政策实施会计处理。</w:t>
      </w:r>
    </w:p>
    <w:p>
      <w:pPr>
        <w:pStyle w:val="Heading4"/>
        <w:spacing w:line="273" w:lineRule="auto"/>
        <w:ind w:right="1131" w:firstLine="420"/>
        <w:jc w:val="both"/>
      </w:pPr>
      <w:r>
        <w:rPr>
          <w:spacing w:val="-1"/>
        </w:rPr>
        <w:t>处置对子公司股权投资的各项交易的条款、条件以及经济影响符合以下一种或多种情况，表明将多次</w:t>
      </w:r>
      <w:r>
        <w:rPr/>
        <w:t> </w:t>
      </w:r>
      <w:r>
        <w:rPr>
          <w:spacing w:val="-1"/>
        </w:rPr>
        <w:t>交易事项作为一揽子交易进行会计处理：①这些交易是同时或者在考虑了彼此影响的情况下订立的；②这</w:t>
      </w:r>
      <w:r>
        <w:rPr>
          <w:spacing w:val="-81"/>
        </w:rPr>
        <w:t> </w:t>
      </w:r>
      <w:r>
        <w:rPr>
          <w:spacing w:val="-81"/>
        </w:rPr>
      </w:r>
      <w:r>
        <w:rPr>
          <w:spacing w:val="-1"/>
        </w:rPr>
        <w:t>些交易整体才能达成一项完整的商业结果；③一项交易的发生取决于其他至少一项交易的发生；④一项交</w:t>
      </w:r>
      <w:r>
        <w:rPr>
          <w:spacing w:val="-81"/>
        </w:rPr>
        <w:t> </w:t>
      </w:r>
      <w:r>
        <w:rPr>
          <w:spacing w:val="-81"/>
        </w:rPr>
      </w:r>
      <w:r>
        <w:rPr/>
        <w:t>易单独看是不经济的，但是和其他交易一并考虑时是经济的。</w:t>
      </w:r>
    </w:p>
    <w:p>
      <w:pPr>
        <w:pStyle w:val="Heading4"/>
        <w:spacing w:line="240" w:lineRule="auto"/>
        <w:ind w:left="573" w:right="0"/>
        <w:jc w:val="left"/>
      </w:pPr>
      <w:r>
        <w:rPr/>
        <w:t>个别财务报表分步处置股权至丧失控制权按照处置长期股权投资的会计政策实施会计处理。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3" w:right="0"/>
        <w:jc w:val="left"/>
      </w:pPr>
      <w:r>
        <w:rPr/>
        <w:t>（</w:t>
      </w:r>
      <w:r>
        <w:rPr>
          <w:rFonts w:ascii="Times New Roman" w:hAnsi="Times New Roman" w:cs="Times New Roman" w:eastAsia="Times New Roman" w:hint="default"/>
        </w:rPr>
        <w:t>1</w:t>
      </w:r>
      <w:r>
        <w:rPr/>
        <w:t>）合营安排的分类 </w:t>
      </w:r>
      <w:r>
        <w:rPr>
          <w:spacing w:val="-1"/>
        </w:rPr>
        <w:t>合营安排，是指一项由两个或两个以上的参与方共同控制的安排。本集团将合营安排分为共同经营和</w:t>
      </w:r>
    </w:p>
    <w:p>
      <w:pPr>
        <w:pStyle w:val="Heading4"/>
        <w:spacing w:line="273" w:lineRule="auto" w:before="22"/>
        <w:ind w:right="1133"/>
        <w:jc w:val="both"/>
      </w:pPr>
      <w:r>
        <w:rPr>
          <w:spacing w:val="-1"/>
        </w:rPr>
        <w:t>合营企业。共同经营，是指合营方享有该安排相关资产且承担该安排相关负债的合营安排。合营企业，是</w:t>
      </w:r>
      <w:r>
        <w:rPr>
          <w:spacing w:val="-85"/>
        </w:rPr>
        <w:t> </w:t>
      </w:r>
      <w:r>
        <w:rPr>
          <w:spacing w:val="-85"/>
        </w:rPr>
      </w:r>
      <w:r>
        <w:rPr/>
        <w:t>指合营方仅对该安排的净资产享有权利的合营安排。</w:t>
      </w:r>
    </w:p>
    <w:p>
      <w:pPr>
        <w:pStyle w:val="Heading4"/>
        <w:spacing w:line="273" w:lineRule="auto"/>
        <w:ind w:left="154" w:right="1023" w:firstLine="420"/>
        <w:jc w:val="left"/>
      </w:pPr>
      <w:r>
        <w:rPr/>
        <w:t>未通过单独主体达成的合营安排，划分为共同经营。单独主体，是指具有单独可辨认的财务架构的主 体，包括单独的法人主体和不具备法人主体资格但法律认可的主体。通过单独主体达成的合营安排，通常 划分为合营企业，但有确凿证据表明满足下列任一条件并且符合相关法律法规规定的合营安排应当划分为 共同经营：合营安排的法律形式表明，合营方对该安排中的相关资产和负债分别享有权利和承担义务；合 营安排的合同条款约定，合营方对该安排中的相关资产和负债分别享有权利和承担义务；其他相关事实和 情况表明，合营方对该安排中的相关资产和负债分别享有权利和承担义务，如合营方享有与合营安排相关 的几乎所有产出，并且该安排中负债的清偿持续依赖于合营方的支持。不能仅凭合营方对合营安排提供债 务担保即将其视为合营方承担该安排相关负债。合营方承担向合营安排支付认缴出资义务的，不视为合营 方承担该安排相关负债。相关事实和情况变化导致合营方在合营安排中享有的权利和承担的义务发生变化 </w:t>
      </w:r>
      <w:r>
        <w:rPr>
          <w:spacing w:val="-3"/>
        </w:rPr>
        <w:t>的，本集团对合营安排的分类进行重新评估。对于为完成不同活动而设立多项合营安排的一个框架性协议，</w:t>
      </w:r>
      <w:r>
        <w:rPr>
          <w:spacing w:val="-92"/>
        </w:rPr>
        <w:t> </w:t>
      </w:r>
      <w:r>
        <w:rPr>
          <w:spacing w:val="-92"/>
        </w:rPr>
      </w:r>
      <w:r>
        <w:rPr/>
        <w:t>本集团分别确定各项合营安排的分类。</w:t>
      </w:r>
    </w:p>
    <w:p>
      <w:pPr>
        <w:pStyle w:val="Heading4"/>
        <w:spacing w:line="298" w:lineRule="exact" w:before="0"/>
        <w:ind w:left="574" w:right="0"/>
        <w:jc w:val="left"/>
      </w:pPr>
      <w:r>
        <w:rPr/>
        <w:t>确定共同控制的依据及对合营企业的计量的会计政策详见本附注</w:t>
      </w:r>
      <w:r>
        <w:rPr>
          <w:rFonts w:ascii="宋体" w:hAnsi="宋体" w:cs="宋体" w:eastAsia="宋体" w:hint="default"/>
          <w:i/>
          <w:sz w:val="22"/>
          <w:szCs w:val="22"/>
        </w:rPr>
        <w:t>五、</w:t>
      </w:r>
      <w:r>
        <w:rPr>
          <w:rFonts w:ascii="Times New Roman" w:hAnsi="Times New Roman" w:cs="Times New Roman" w:eastAsia="Times New Roman" w:hint="default"/>
          <w:i/>
        </w:rPr>
        <w:t>13</w:t>
      </w:r>
      <w:r>
        <w:rPr/>
        <w:t>。</w:t>
      </w:r>
    </w:p>
    <w:p>
      <w:pPr>
        <w:pStyle w:val="Heading4"/>
        <w:spacing w:line="256" w:lineRule="auto" w:before="21"/>
        <w:ind w:left="573" w:right="1303"/>
        <w:jc w:val="left"/>
      </w:pPr>
      <w:r>
        <w:rPr/>
        <w:t>（</w:t>
      </w:r>
      <w:r>
        <w:rPr>
          <w:rFonts w:ascii="Times New Roman" w:hAnsi="Times New Roman" w:cs="Times New Roman" w:eastAsia="Times New Roman" w:hint="default"/>
        </w:rPr>
        <w:t>2</w:t>
      </w:r>
      <w:r>
        <w:rPr/>
        <w:t>）共同经营的会计处理方法 本集团确认其与共同经营中利益份额相关的下列项目，并按照相关企业会计准则的规定进行会计处</w:t>
      </w:r>
    </w:p>
    <w:p>
      <w:pPr>
        <w:pStyle w:val="Heading4"/>
        <w:spacing w:line="273" w:lineRule="auto" w:before="22"/>
        <w:ind w:right="1131"/>
        <w:jc w:val="both"/>
      </w:pPr>
      <w:r>
        <w:rPr>
          <w:spacing w:val="-1"/>
        </w:rPr>
        <w:t>理：确认单独所持有的资产，以及按其份额确认共同持有的资产；确认单独所承担的负债，以及按其份额</w:t>
      </w:r>
      <w:r>
        <w:rPr>
          <w:spacing w:val="-86"/>
        </w:rPr>
        <w:t> </w:t>
      </w:r>
      <w:r>
        <w:rPr>
          <w:spacing w:val="-86"/>
        </w:rPr>
      </w:r>
      <w:r>
        <w:rPr>
          <w:spacing w:val="-1"/>
        </w:rPr>
        <w:t>确认共同承担的负债；确认出售其享有的共同经营产出份额所产生的收入；按其份额确认共同经营因出售</w:t>
      </w:r>
      <w:r>
        <w:rPr>
          <w:spacing w:val="-81"/>
        </w:rPr>
        <w:t> </w:t>
      </w:r>
      <w:r>
        <w:rPr>
          <w:spacing w:val="-81"/>
        </w:rPr>
      </w:r>
      <w:r>
        <w:rPr/>
        <w:t>产出所产生的收入；确认单独所发生的费用，以及按其份额确认共同经营发生的费用。</w:t>
      </w:r>
    </w:p>
    <w:p>
      <w:pPr>
        <w:pStyle w:val="Heading4"/>
        <w:spacing w:line="266" w:lineRule="auto"/>
        <w:ind w:right="1118" w:firstLine="420"/>
        <w:jc w:val="left"/>
      </w:pPr>
      <w:r>
        <w:rPr>
          <w:spacing w:val="-1"/>
        </w:rPr>
        <w:t>本集团向共同经营投出或出售资产等（该资产构成业务的除外），在该资产等由共同经营出售给第三</w:t>
      </w:r>
      <w:r>
        <w:rPr/>
        <w:t> </w:t>
      </w:r>
      <w:r>
        <w:rPr>
          <w:spacing w:val="-5"/>
        </w:rPr>
        <w:t>方之前，仅确认因该交易产生的损益中归属于共同经营其他参与方的部分。投出或出售的资产发生符合《企</w:t>
      </w:r>
      <w:r>
        <w:rPr>
          <w:spacing w:val="-101"/>
        </w:rPr>
        <w:t> </w:t>
      </w:r>
      <w:r>
        <w:rPr>
          <w:spacing w:val="-101"/>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资产减值》等规定的资产减值损失的，本集团全额确认该损失。本集团自共同经营 </w:t>
      </w:r>
      <w:r>
        <w:rPr>
          <w:spacing w:val="-1"/>
        </w:rPr>
        <w:t>购买资产等（该资产构成业务的除外），在将该资产等出售给第三方之前，仅确认因该交易产生的损益中</w:t>
      </w:r>
      <w:r>
        <w:rPr>
          <w:spacing w:val="-86"/>
        </w:rPr>
        <w:t> </w:t>
      </w:r>
      <w:r>
        <w:rPr>
          <w:spacing w:val="-86"/>
        </w:rPr>
      </w:r>
      <w:r>
        <w:rPr/>
        <w:t>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 资产减值损失的，本集团按其承担的份额确认该部分损失。</w:t>
      </w:r>
    </w:p>
    <w:p>
      <w:pPr>
        <w:pStyle w:val="Heading4"/>
        <w:spacing w:line="273" w:lineRule="auto" w:before="14"/>
        <w:ind w:left="154" w:right="1131" w:firstLine="420"/>
        <w:jc w:val="both"/>
      </w:pPr>
      <w:r>
        <w:rPr>
          <w:spacing w:val="-1"/>
        </w:rPr>
        <w:t>本集团属于对共同经营不享有共同控制的参与方的，如果享有该共同经营相关资产且承担该共同经营</w:t>
      </w:r>
      <w:r>
        <w:rPr/>
        <w:t> </w:t>
      </w:r>
      <w:r>
        <w:rPr>
          <w:spacing w:val="-1"/>
        </w:rPr>
        <w:t>相关负债的，按照上述原则进行会计处理；否则，按照本集团制定的金融工具或长期股权投资计量的会计</w:t>
      </w:r>
      <w:r>
        <w:rPr>
          <w:spacing w:val="-83"/>
        </w:rPr>
        <w:t> </w:t>
      </w:r>
      <w:r>
        <w:rPr>
          <w:spacing w:val="-83"/>
        </w:rPr>
      </w:r>
      <w:r>
        <w:rPr/>
        <w:t>政策进行会计处理。</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0" w:firstLine="420"/>
        <w:jc w:val="both"/>
      </w:pPr>
      <w:r>
        <w:rPr>
          <w:spacing w:val="-1"/>
        </w:rPr>
        <w:t>本集团现金包括库存现金、可以随时用于支付的存款；现金等价物包括本集团持有的期限短（一般指</w:t>
      </w:r>
      <w:r>
        <w:rPr/>
        <w:t> 从购买日起三个月内到期）、流动性强、易于转换为已知金额现金、价值变动风险很小的投资。</w:t>
      </w:r>
    </w:p>
    <w:p>
      <w:pPr>
        <w:spacing w:line="590" w:lineRule="atLeast" w:before="10"/>
        <w:ind w:left="573" w:right="0" w:hanging="420"/>
        <w:jc w:val="left"/>
        <w:rPr>
          <w:rFonts w:ascii="宋体" w:hAnsi="宋体" w:cs="宋体" w:eastAsia="宋体" w:hint="default"/>
          <w:sz w:val="21"/>
          <w:szCs w:val="21"/>
        </w:rPr>
      </w:pPr>
      <w:bookmarkStart w:name="9、外币业务和外币报表折算" w:id="180"/>
      <w:bookmarkEnd w:id="18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本集团外币交易均按交易发生日的即期汇率（通常指中国人民银行公布的当日外汇牌价的中间价，下</w:t>
      </w:r>
    </w:p>
    <w:p>
      <w:pPr>
        <w:pStyle w:val="Heading4"/>
        <w:spacing w:line="240" w:lineRule="auto" w:before="37"/>
        <w:ind w:right="0"/>
        <w:jc w:val="left"/>
      </w:pPr>
      <w:r>
        <w:rPr/>
        <w:t>同）为记账本位币。</w:t>
      </w:r>
    </w:p>
    <w:p>
      <w:pPr>
        <w:pStyle w:val="Heading4"/>
        <w:spacing w:line="256" w:lineRule="auto" w:before="37"/>
        <w:ind w:left="573" w:right="1093"/>
        <w:jc w:val="left"/>
      </w:pPr>
      <w:r>
        <w:rPr/>
        <w:t>（</w:t>
      </w: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w:t>
      </w:r>
    </w:p>
    <w:p>
      <w:pPr>
        <w:pStyle w:val="Heading4"/>
        <w:spacing w:line="273" w:lineRule="auto" w:before="22"/>
        <w:ind w:right="1110"/>
        <w:jc w:val="both"/>
      </w:pPr>
      <w:r>
        <w:rPr>
          <w:spacing w:val="-1"/>
        </w:rPr>
        <w:t>采用资产负债表日即期汇率折算。因资产负债表日即期汇率与初始确认时或前一资产负债表日即期汇率不</w:t>
      </w:r>
      <w:r>
        <w:rPr>
          <w:spacing w:val="-81"/>
        </w:rPr>
        <w:t> </w:t>
      </w:r>
      <w:r>
        <w:rPr>
          <w:spacing w:val="-81"/>
        </w:rPr>
      </w:r>
      <w:r>
        <w:rPr>
          <w:spacing w:val="-1"/>
        </w:rPr>
        <w:t>同而产生的汇兑差额，计入当期损益；以历史成本计量的外币非货币性项目，仍采用交易发生日的即期汇</w:t>
      </w:r>
      <w:r>
        <w:rPr>
          <w:spacing w:val="-83"/>
        </w:rPr>
        <w:t> </w:t>
      </w:r>
      <w:r>
        <w:rPr>
          <w:spacing w:val="-83"/>
        </w:rPr>
      </w:r>
      <w:r>
        <w:rPr>
          <w:spacing w:val="-1"/>
        </w:rPr>
        <w:t>率折算，不改变其记账本位币金额；以公允价值计量的外币非货币性项目，采用公允价值确定日的即期汇</w:t>
      </w:r>
      <w:r>
        <w:rPr>
          <w:spacing w:val="-83"/>
        </w:rPr>
        <w:t> </w:t>
      </w:r>
      <w:r>
        <w:rPr>
          <w:spacing w:val="-83"/>
        </w:rPr>
      </w:r>
      <w:r>
        <w:rPr/>
        <w:t>率折算，折算后的记账本位币金额与原记账本位币金额的差额，作为公允价值变动（含汇率变动）处理， </w:t>
      </w:r>
      <w:r>
        <w:rPr>
          <w:spacing w:val="-1"/>
        </w:rPr>
        <w:t>计入当期损益；在资本化期间内，外币专门借款本金及利息的汇兑差额，予以资本化，计入符合资本化条</w:t>
      </w:r>
      <w:r>
        <w:rPr>
          <w:spacing w:val="-86"/>
        </w:rPr>
        <w:t> </w:t>
      </w:r>
      <w:r>
        <w:rPr>
          <w:spacing w:val="-86"/>
        </w:rPr>
      </w:r>
      <w:r>
        <w:rPr/>
        <w:t>件的资产的成本。</w:t>
      </w:r>
    </w:p>
    <w:p>
      <w:pPr>
        <w:pStyle w:val="Heading4"/>
        <w:spacing w:line="256" w:lineRule="auto"/>
        <w:ind w:left="573" w:right="0"/>
        <w:jc w:val="left"/>
      </w:pPr>
      <w:r>
        <w:rPr/>
        <w:t>（</w:t>
      </w:r>
      <w:r>
        <w:rPr>
          <w:rFonts w:ascii="Times New Roman" w:hAnsi="Times New Roman" w:cs="Times New Roman" w:eastAsia="Times New Roman" w:hint="default"/>
        </w:rPr>
        <w:t>2</w:t>
      </w:r>
      <w:r>
        <w:rPr/>
        <w:t>）外币财务报表的折算 </w:t>
      </w:r>
      <w:r>
        <w:rPr>
          <w:spacing w:val="-1"/>
        </w:rPr>
        <w:t>本集团对境外经营的财务报表进行折算时，遵循下列规定：资产负债表中的资产和负债项目，采用资</w:t>
      </w:r>
    </w:p>
    <w:p>
      <w:pPr>
        <w:pStyle w:val="Heading4"/>
        <w:spacing w:line="264" w:lineRule="auto" w:before="22"/>
        <w:ind w:left="154" w:right="1131"/>
        <w:jc w:val="both"/>
      </w:pPr>
      <w:r>
        <w:rPr/>
        <w:t>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 </w:t>
      </w:r>
      <w:r>
        <w:rPr>
          <w:spacing w:val="-1"/>
        </w:rPr>
        <w:t>算；利润表中的收入和费用项目，采用交易发生日的当期平均汇率折算。按照上述折算产生的外币财务报</w:t>
      </w:r>
      <w:r>
        <w:rPr>
          <w:spacing w:val="-83"/>
        </w:rPr>
        <w:t> </w:t>
      </w:r>
      <w:r>
        <w:rPr>
          <w:spacing w:val="-83"/>
        </w:rPr>
      </w:r>
      <w:r>
        <w:rPr/>
        <w:t>表折算差额，确认为其他综合收益。比较财务报表的折算比照上述规定处理。</w:t>
      </w:r>
    </w:p>
    <w:p>
      <w:pPr>
        <w:spacing w:line="240" w:lineRule="auto" w:before="4"/>
        <w:rPr>
          <w:rFonts w:ascii="宋体" w:hAnsi="宋体" w:cs="宋体" w:eastAsia="宋体" w:hint="default"/>
          <w:sz w:val="24"/>
          <w:szCs w:val="24"/>
        </w:rPr>
      </w:pPr>
    </w:p>
    <w:p>
      <w:pPr>
        <w:pStyle w:val="Heading3"/>
        <w:spacing w:line="240" w:lineRule="auto"/>
        <w:ind w:left="154" w:right="0"/>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4032"/>
        <w:jc w:val="left"/>
      </w:pPr>
      <w:r>
        <w:rPr/>
        <w:t>（</w:t>
      </w:r>
      <w:r>
        <w:rPr>
          <w:rFonts w:ascii="Times New Roman" w:hAnsi="Times New Roman" w:cs="Times New Roman" w:eastAsia="Times New Roman" w:hint="default"/>
        </w:rPr>
        <w:t>1</w:t>
      </w:r>
      <w:r>
        <w:rPr/>
        <w:t>）金融工具的确认 本集团成为金融工具合同的一方时，确认一项金融资产或金融负债。</w:t>
      </w:r>
    </w:p>
    <w:p>
      <w:pPr>
        <w:pStyle w:val="Heading4"/>
        <w:spacing w:line="240" w:lineRule="auto" w:before="22"/>
        <w:ind w:left="573" w:right="0"/>
        <w:jc w:val="left"/>
      </w:pPr>
      <w:r>
        <w:rPr/>
        <w:t>（</w:t>
      </w:r>
      <w:r>
        <w:rPr>
          <w:rFonts w:ascii="Times New Roman" w:hAnsi="Times New Roman" w:cs="Times New Roman" w:eastAsia="Times New Roman" w:hint="default"/>
        </w:rPr>
        <w:t>2</w:t>
      </w:r>
      <w:r>
        <w:rPr/>
        <w:t>）金融资产的分类和计量</w:t>
      </w:r>
    </w:p>
    <w:p>
      <w:pPr>
        <w:pStyle w:val="Heading4"/>
        <w:spacing w:line="273" w:lineRule="auto" w:before="21"/>
        <w:ind w:right="1131" w:firstLine="420"/>
        <w:jc w:val="both"/>
      </w:pPr>
      <w:r>
        <w:rPr>
          <w:spacing w:val="-1"/>
        </w:rPr>
        <w:t>①本集团基于风险管理、投资策略及持有金融资产的目的等原因，将持有的金融资产划分为以公允价</w:t>
      </w:r>
      <w:r>
        <w:rPr/>
        <w:t> 值计量且其变动计入当期损益的金融资产、持有至到期投资、贷款和应收款项、可供出售金融资产。</w:t>
      </w:r>
    </w:p>
    <w:p>
      <w:pPr>
        <w:pStyle w:val="Heading4"/>
        <w:spacing w:line="256" w:lineRule="auto"/>
        <w:ind w:left="573" w:right="0"/>
        <w:jc w:val="left"/>
      </w:pPr>
      <w:r>
        <w:rPr>
          <w:rFonts w:ascii="Times New Roman" w:hAnsi="Times New Roman" w:cs="Times New Roman" w:eastAsia="Times New Roman" w:hint="default"/>
        </w:rPr>
        <w:t>A</w:t>
      </w:r>
      <w:r>
        <w:rPr/>
        <w:t>、以公允价值计量且其变动计入当期损益的金融资产 </w:t>
      </w:r>
      <w:r>
        <w:rPr>
          <w:spacing w:val="-1"/>
        </w:rPr>
        <w:t>以公允价值计量且其变动计入当期损益的金融资产，包括交易性金融资产和初始确认时指定为以公允</w:t>
      </w:r>
    </w:p>
    <w:p>
      <w:pPr>
        <w:pStyle w:val="Heading4"/>
        <w:spacing w:line="273" w:lineRule="auto" w:before="22"/>
        <w:ind w:left="573" w:right="0" w:hanging="420"/>
        <w:jc w:val="left"/>
      </w:pPr>
      <w:r>
        <w:rPr/>
        <w:t>价值计量且其变动计入当期损益的金融资产。 </w:t>
      </w:r>
      <w:r>
        <w:rPr>
          <w:spacing w:val="-1"/>
        </w:rPr>
        <w:t>交易性金融资产是指满足下列条件之一的金融资产：取得该金融资产的目的是为了在短期内出售；属</w:t>
      </w:r>
    </w:p>
    <w:p>
      <w:pPr>
        <w:pStyle w:val="Heading4"/>
        <w:spacing w:line="273" w:lineRule="auto"/>
        <w:ind w:right="1093"/>
        <w:jc w:val="left"/>
      </w:pPr>
      <w:r>
        <w:rPr>
          <w:spacing w:val="-1"/>
        </w:rPr>
        <w:t>于进行集中管理的可辨认金融工具组合的一部分，且有客观证据表明企业近期采用短期获利方式对该组合</w:t>
      </w:r>
      <w:r>
        <w:rPr>
          <w:spacing w:val="-81"/>
        </w:rPr>
        <w:t> </w:t>
      </w:r>
      <w:r>
        <w:rPr>
          <w:spacing w:val="-81"/>
        </w:rPr>
      </w:r>
      <w:r>
        <w:rPr/>
        <w:t>进行管理；属于衍生工具，但是，被指定且为有效套期工具的衍生工具、属于财务担保合同的衍生工具、 与在活跃市场中没有报价且其公允价值不能可靠计量的权益工具投资挂钩并须通过交付该权益工具结算 的衍生工具除外。</w:t>
      </w:r>
    </w:p>
    <w:p>
      <w:pPr>
        <w:pStyle w:val="Heading4"/>
        <w:spacing w:line="273" w:lineRule="auto"/>
        <w:ind w:right="1131" w:firstLine="420"/>
        <w:jc w:val="both"/>
      </w:pPr>
      <w:r>
        <w:rPr>
          <w:spacing w:val="-1"/>
        </w:rPr>
        <w:t>只有符合以下条件之一，金融资产才可在初始计量时指定为以公允价值计量且变动计入当期损益的金</w:t>
      </w:r>
      <w:r>
        <w:rPr/>
        <w:t> </w:t>
      </w:r>
      <w:r>
        <w:rPr>
          <w:spacing w:val="-1"/>
        </w:rPr>
        <w:t>融资产：该项指定可以消除或明显减少由于金融工具计量基础不同所导致的相关利得或损失在确认或计量</w:t>
      </w:r>
      <w:r>
        <w:rPr>
          <w:spacing w:val="-81"/>
        </w:rPr>
        <w:t> </w:t>
      </w:r>
      <w:r>
        <w:rPr>
          <w:spacing w:val="-81"/>
        </w:rPr>
      </w:r>
      <w:r>
        <w:rPr>
          <w:spacing w:val="-1"/>
        </w:rPr>
        <w:t>方面不一致的情况；风险管理或投资策略的正式书面文件已载明，该金融工具组合以公允价值为基础进行</w:t>
      </w:r>
      <w:r>
        <w:rPr>
          <w:spacing w:val="-81"/>
        </w:rPr>
        <w:t> </w:t>
      </w:r>
      <w:r>
        <w:rPr>
          <w:spacing w:val="-81"/>
        </w:rPr>
      </w:r>
      <w:r>
        <w:rPr>
          <w:spacing w:val="-1"/>
        </w:rPr>
        <w:t>管理、评价并向关键管理人员报告；包含一项或多项嵌入衍生工具的混合工具，除非嵌入衍生工具对混合</w:t>
      </w:r>
      <w:r>
        <w:rPr>
          <w:spacing w:val="-83"/>
        </w:rPr>
        <w:t> </w:t>
      </w:r>
      <w:r>
        <w:rPr>
          <w:spacing w:val="-83"/>
        </w:rPr>
      </w:r>
      <w:r>
        <w:rPr>
          <w:spacing w:val="-1"/>
        </w:rPr>
        <w:t>工具的现金流量没有重大改变，或所嵌入的衍生工具明显不应当从相关混合工具中分拆；包含需要分拆但</w:t>
      </w:r>
      <w:r>
        <w:rPr>
          <w:spacing w:val="-81"/>
        </w:rPr>
        <w:t> </w:t>
      </w:r>
      <w:r>
        <w:rPr>
          <w:spacing w:val="-81"/>
        </w:rPr>
      </w:r>
      <w:r>
        <w:rPr/>
        <w:t>无法在取得时或后续的资产负债表日对其进行单独计量的嵌入衍生工具的混合工具。</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firstLine="420"/>
        <w:jc w:val="both"/>
      </w:pPr>
      <w:r>
        <w:rPr>
          <w:spacing w:val="-1"/>
        </w:rPr>
        <w:t>在活跃市场中没有报价、公允价值不能可靠计量的权益工具投资，不得指定为以公允价值计量且其变</w:t>
      </w:r>
      <w:r>
        <w:rPr/>
        <w:t> 动计入当期损益的金融资产。</w:t>
      </w:r>
    </w:p>
    <w:p>
      <w:pPr>
        <w:pStyle w:val="Heading4"/>
        <w:spacing w:line="256" w:lineRule="auto"/>
        <w:ind w:left="574" w:right="0"/>
        <w:jc w:val="left"/>
      </w:pPr>
      <w:r>
        <w:rPr>
          <w:rFonts w:ascii="Times New Roman" w:hAnsi="Times New Roman" w:cs="Times New Roman" w:eastAsia="Times New Roman" w:hint="default"/>
        </w:rPr>
        <w:t>B</w:t>
      </w:r>
      <w:r>
        <w:rPr/>
        <w:t>、持有至到期投资 </w:t>
      </w:r>
      <w:r>
        <w:rPr>
          <w:spacing w:val="-1"/>
        </w:rPr>
        <w:t>持有至到期投资，是指到期日固定、回收金额固定或可确定，且本集团有明确意图和能力持有至到期</w:t>
      </w:r>
    </w:p>
    <w:p>
      <w:pPr>
        <w:pStyle w:val="Heading4"/>
        <w:spacing w:line="240" w:lineRule="auto" w:before="23"/>
        <w:ind w:left="154" w:right="0"/>
        <w:jc w:val="both"/>
      </w:pPr>
      <w:r>
        <w:rPr/>
        <w:t>的非衍生金融资产。</w:t>
      </w:r>
    </w:p>
    <w:p>
      <w:pPr>
        <w:pStyle w:val="Heading4"/>
        <w:spacing w:line="261" w:lineRule="auto" w:before="37"/>
        <w:ind w:left="573" w:right="1118"/>
        <w:jc w:val="left"/>
      </w:pPr>
      <w:r>
        <w:rPr>
          <w:rFonts w:ascii="Times New Roman" w:hAnsi="Times New Roman" w:cs="Times New Roman" w:eastAsia="Times New Roman" w:hint="default"/>
        </w:rPr>
        <w:t>C</w:t>
      </w:r>
      <w:r>
        <w:rPr/>
        <w:t>、贷款和应收款项 贷款和应收款项，是指在活跃市场中没有报价、回收金额固定或可确定的非衍生金融资产。 </w:t>
      </w:r>
      <w:r>
        <w:rPr>
          <w:rFonts w:ascii="Times New Roman" w:hAnsi="Times New Roman" w:cs="Times New Roman" w:eastAsia="Times New Roman" w:hint="default"/>
        </w:rPr>
        <w:t>D</w:t>
      </w:r>
      <w:r>
        <w:rPr/>
        <w:t>、可供出售金融资产 </w:t>
      </w:r>
      <w:r>
        <w:rPr>
          <w:spacing w:val="-1"/>
        </w:rPr>
        <w:t>可供出售金融资产，是指初始确认时即指定为可供出售的非衍生金融资产，以及除上述金融资产类别</w:t>
      </w:r>
    </w:p>
    <w:p>
      <w:pPr>
        <w:pStyle w:val="Heading4"/>
        <w:spacing w:line="273" w:lineRule="auto" w:before="18"/>
        <w:ind w:left="573" w:right="0" w:hanging="420"/>
        <w:jc w:val="left"/>
      </w:pPr>
      <w:r>
        <w:rPr/>
        <w:t>以外的金融资产。 </w:t>
      </w:r>
      <w:r>
        <w:rPr>
          <w:spacing w:val="-1"/>
        </w:rPr>
        <w:t>本集团在初始确认时将某金融资产划分为以公允价值计量且其变动计入当期损益的金融资产后，不能</w:t>
      </w:r>
    </w:p>
    <w:p>
      <w:pPr>
        <w:pStyle w:val="Heading4"/>
        <w:spacing w:line="273" w:lineRule="auto"/>
        <w:ind w:right="1132"/>
        <w:jc w:val="both"/>
      </w:pPr>
      <w:r>
        <w:rPr>
          <w:spacing w:val="-1"/>
        </w:rPr>
        <w:t>重分类为其他类金融资产；其他类金融资产也不能重分类为以公允价值计量且其变动计入当期损益的金融</w:t>
      </w:r>
      <w:r>
        <w:rPr>
          <w:spacing w:val="-81"/>
        </w:rPr>
        <w:t> </w:t>
      </w:r>
      <w:r>
        <w:rPr>
          <w:spacing w:val="-81"/>
        </w:rPr>
      </w:r>
      <w:r>
        <w:rPr/>
        <w:t>资产。</w:t>
      </w:r>
    </w:p>
    <w:p>
      <w:pPr>
        <w:pStyle w:val="Heading4"/>
        <w:spacing w:line="273" w:lineRule="auto"/>
        <w:ind w:right="1093" w:firstLine="420"/>
        <w:jc w:val="left"/>
      </w:pPr>
      <w:r>
        <w:rPr/>
        <w:t>②金融资产在初始确认时以公允价值计量。对于以公允价值计量且其变动计入当期损益的金融资产， 相关交易费用直接计入当期损益；对于其他类别的金融资产，相关交易费用计入初始确认金额。</w:t>
      </w:r>
    </w:p>
    <w:p>
      <w:pPr>
        <w:pStyle w:val="Heading4"/>
        <w:spacing w:line="240" w:lineRule="auto"/>
        <w:ind w:left="573" w:right="0"/>
        <w:jc w:val="left"/>
      </w:pPr>
      <w:r>
        <w:rPr/>
        <w:t>③金融资产的后续计量</w:t>
      </w:r>
    </w:p>
    <w:p>
      <w:pPr>
        <w:pStyle w:val="Heading4"/>
        <w:spacing w:line="256" w:lineRule="auto" w:before="37"/>
        <w:ind w:right="1168" w:firstLine="420"/>
        <w:jc w:val="both"/>
      </w:pPr>
      <w:r>
        <w:rPr>
          <w:rFonts w:ascii="Times New Roman" w:hAnsi="Times New Roman" w:cs="Times New Roman" w:eastAsia="Times New Roman" w:hint="default"/>
        </w:rPr>
        <w:t>A</w:t>
      </w:r>
      <w:r>
        <w:rPr/>
        <w:t>、以公允价值计量且其变动计入当期损益的金融资产，采用公允价值进行后续计量，公允价值变动 形成的利得或损失，计入当期损益。</w:t>
      </w:r>
    </w:p>
    <w:p>
      <w:pPr>
        <w:pStyle w:val="Heading4"/>
        <w:spacing w:line="256" w:lineRule="auto" w:before="22"/>
        <w:ind w:right="1179" w:firstLine="420"/>
        <w:jc w:val="both"/>
      </w:pPr>
      <w:r>
        <w:rPr>
          <w:rFonts w:ascii="Times New Roman" w:hAnsi="Times New Roman" w:cs="Times New Roman" w:eastAsia="Times New Roman" w:hint="default"/>
        </w:rPr>
        <w:t>B</w:t>
      </w:r>
      <w:r>
        <w:rPr/>
        <w:t>、持有至到期投资，采用实际利率法，按摊余成本进行后续计量，终止确认、减值以及摊销形成的 利得或损失，计入当期损益。</w:t>
      </w:r>
    </w:p>
    <w:p>
      <w:pPr>
        <w:pStyle w:val="Heading4"/>
        <w:spacing w:line="256" w:lineRule="auto" w:before="22"/>
        <w:ind w:left="154" w:right="1179" w:firstLine="420"/>
        <w:jc w:val="both"/>
      </w:pPr>
      <w:r>
        <w:rPr>
          <w:rFonts w:ascii="Times New Roman" w:hAnsi="Times New Roman" w:cs="Times New Roman" w:eastAsia="Times New Roman" w:hint="default"/>
        </w:rPr>
        <w:t>C</w:t>
      </w:r>
      <w:r>
        <w:rPr/>
        <w:t>、贷款和应收款项，采用实际利率法，按摊余成本进行后续计量，终止确认、减值以及摊销形成的 利得或损失，计入当期损益。</w:t>
      </w:r>
    </w:p>
    <w:p>
      <w:pPr>
        <w:pStyle w:val="Heading4"/>
        <w:spacing w:line="266" w:lineRule="auto" w:before="23"/>
        <w:ind w:left="154" w:right="1130" w:firstLine="420"/>
        <w:jc w:val="both"/>
      </w:pPr>
      <w:r>
        <w:rPr>
          <w:rFonts w:ascii="Times New Roman" w:hAnsi="Times New Roman" w:cs="Times New Roman" w:eastAsia="Times New Roman" w:hint="default"/>
        </w:rPr>
        <w:t>D</w:t>
      </w:r>
      <w:r>
        <w:rPr/>
        <w:t>、可供出售金融资产，采用公允价值进行后续计量，公允价值变动计入其他综合收益，在该可供出 </w:t>
      </w:r>
      <w:r>
        <w:rPr>
          <w:spacing w:val="-1"/>
        </w:rPr>
        <w:t>售金融资产发生减值或终止确认时转出，计入当期损益。可供出售金融资产持有期间实现的利息或现金股</w:t>
      </w:r>
      <w:r>
        <w:rPr>
          <w:spacing w:val="-81"/>
        </w:rPr>
        <w:t> </w:t>
      </w:r>
      <w:r>
        <w:rPr>
          <w:spacing w:val="-81"/>
        </w:rPr>
      </w:r>
      <w:r>
        <w:rPr>
          <w:spacing w:val="-1"/>
        </w:rPr>
        <w:t>利，计入当期损益。在活跃市场中没有报价且其公允价值不能可靠计量的权益工具投资，以及与该权益工</w:t>
      </w:r>
      <w:r>
        <w:rPr>
          <w:spacing w:val="-82"/>
        </w:rPr>
        <w:t> </w:t>
      </w:r>
      <w:r>
        <w:rPr>
          <w:spacing w:val="-82"/>
        </w:rPr>
      </w:r>
      <w:r>
        <w:rPr/>
        <w:t>具挂钩并须通过交付该权益工具结算的衍生金融资产，按照成本计量。</w:t>
      </w:r>
    </w:p>
    <w:p>
      <w:pPr>
        <w:pStyle w:val="Heading4"/>
        <w:spacing w:line="240" w:lineRule="auto" w:before="14"/>
        <w:ind w:left="574" w:right="0"/>
        <w:jc w:val="left"/>
      </w:pPr>
      <w:r>
        <w:rPr/>
        <w:t>④金融资产的减值准备</w:t>
      </w:r>
    </w:p>
    <w:p>
      <w:pPr>
        <w:pStyle w:val="Heading4"/>
        <w:spacing w:line="256" w:lineRule="auto" w:before="37"/>
        <w:ind w:left="154" w:right="1168" w:firstLine="420"/>
        <w:jc w:val="both"/>
      </w:pPr>
      <w:r>
        <w:rPr>
          <w:rFonts w:ascii="Times New Roman" w:hAnsi="Times New Roman" w:cs="Times New Roman" w:eastAsia="Times New Roman" w:hint="default"/>
        </w:rPr>
        <w:t>A</w:t>
      </w:r>
      <w:r>
        <w:rPr/>
        <w:t>、本集团在期末对以公允价值计量且其变动计入当期损益的金融资产以外的金融资产的账面价值进 行检查，有客观证据表明该金融资产发生减值的，确认减值损失，计提减值准备。</w:t>
      </w:r>
    </w:p>
    <w:p>
      <w:pPr>
        <w:pStyle w:val="Heading4"/>
        <w:spacing w:line="256" w:lineRule="auto" w:before="22"/>
        <w:ind w:left="574" w:right="1118"/>
        <w:jc w:val="left"/>
      </w:pPr>
      <w:r>
        <w:rPr>
          <w:rFonts w:ascii="Times New Roman" w:hAnsi="Times New Roman" w:cs="Times New Roman" w:eastAsia="Times New Roman" w:hint="default"/>
        </w:rPr>
        <w:t>B</w:t>
      </w:r>
      <w:r>
        <w:rPr/>
        <w:t>、本集团确定金融资产发生减值的客观证据包括下列各项：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p>
    <w:p>
      <w:pPr>
        <w:pStyle w:val="Heading4"/>
        <w:spacing w:line="273" w:lineRule="auto" w:before="5"/>
        <w:ind w:left="154" w:right="1131"/>
        <w:jc w:val="both"/>
      </w:pP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Heading4"/>
        <w:spacing w:line="256" w:lineRule="auto"/>
        <w:ind w:left="154" w:right="1197" w:firstLine="420"/>
        <w:jc w:val="left"/>
      </w:pPr>
      <w:r>
        <w:rPr>
          <w:rFonts w:ascii="Times New Roman" w:hAnsi="Times New Roman" w:cs="Times New Roman" w:eastAsia="Times New Roman" w:hint="default"/>
        </w:rPr>
        <w:t>g</w:t>
      </w:r>
      <w:r>
        <w:rPr/>
        <w:t>）债务人经营所处的技术、市场、经济或法律环境等发生重大不利变化，使权益工具投资人可能无 法收回投资成本；</w:t>
      </w:r>
    </w:p>
    <w:p>
      <w:pPr>
        <w:pStyle w:val="Heading4"/>
        <w:spacing w:line="256" w:lineRule="auto" w:before="22"/>
        <w:ind w:left="574" w:right="5187"/>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3" w:right="0"/>
        <w:jc w:val="left"/>
      </w:pPr>
      <w:r>
        <w:rPr>
          <w:rFonts w:ascii="Times New Roman" w:hAnsi="Times New Roman" w:cs="Times New Roman" w:eastAsia="Times New Roman" w:hint="default"/>
        </w:rPr>
        <w:t>a</w:t>
      </w:r>
      <w:r>
        <w:rPr/>
        <w:t>）持有至到期投资、贷款和应收款项减值损失的计量 </w:t>
      </w:r>
      <w:r>
        <w:rPr>
          <w:spacing w:val="-1"/>
        </w:rPr>
        <w:t>持有至到期投资、贷款和应收款项（以摊余成本后续计量的金融资产）的减值准备，按该金融资产预</w:t>
      </w:r>
    </w:p>
    <w:p>
      <w:pPr>
        <w:pStyle w:val="Heading4"/>
        <w:spacing w:line="273" w:lineRule="auto" w:before="22"/>
        <w:ind w:left="573" w:right="0" w:hanging="420"/>
        <w:jc w:val="left"/>
      </w:pPr>
      <w:r>
        <w:rPr/>
        <w:t>计未来现金流量现值低于其账面价值的差额计提，计入当期损益。 </w:t>
      </w:r>
      <w:r>
        <w:rPr>
          <w:spacing w:val="-1"/>
        </w:rPr>
        <w:t>本集团对单项金额重大的金融资产单独进行减值测试，对单项金额不重大的金融资产，单独或包括在</w:t>
      </w:r>
    </w:p>
    <w:p>
      <w:pPr>
        <w:pStyle w:val="Heading4"/>
        <w:spacing w:line="273" w:lineRule="auto" w:before="8"/>
        <w:ind w:right="1131"/>
        <w:jc w:val="both"/>
      </w:pPr>
      <w:r>
        <w:rPr>
          <w:spacing w:val="-1"/>
        </w:rPr>
        <w:t>具有类似信用风险特征的金融资产组合中进行减值测试。单独测试未发生减值的金融资产，无论单项金额</w:t>
      </w:r>
      <w:r>
        <w:rPr>
          <w:spacing w:val="-81"/>
        </w:rPr>
        <w:t> </w:t>
      </w:r>
      <w:r>
        <w:rPr>
          <w:spacing w:val="-81"/>
        </w:rPr>
      </w:r>
      <w:r>
        <w:rPr>
          <w:spacing w:val="-1"/>
        </w:rPr>
        <w:t>重大与否，仍将包括在具有类似信用风险特征的金融资产组合中再进行减值测试。已单独确认减值损失的</w:t>
      </w:r>
      <w:r>
        <w:rPr>
          <w:spacing w:val="-81"/>
        </w:rPr>
        <w:t> </w:t>
      </w:r>
      <w:r>
        <w:rPr>
          <w:spacing w:val="-81"/>
        </w:rPr>
      </w:r>
      <w:r>
        <w:rPr/>
        <w:t>金融资产，不包括在具有类似信用风险特征的金融资产组合中进行减值测试。</w:t>
      </w:r>
    </w:p>
    <w:p>
      <w:pPr>
        <w:pStyle w:val="Heading4"/>
        <w:spacing w:line="273" w:lineRule="auto"/>
        <w:ind w:right="0" w:firstLine="420"/>
        <w:jc w:val="left"/>
      </w:pPr>
      <w:r>
        <w:rPr>
          <w:spacing w:val="-1"/>
        </w:rPr>
        <w:t>本集团对以摊余成本计量的金融资产确认资产减值损失后，如有客观证据表明该金融资产价值已经恢</w:t>
      </w:r>
      <w:r>
        <w:rPr/>
        <w:t> 复，且客观上与确认该损失后发生的事项有关，原确认的减值损失予以转回，计入当期损益。</w:t>
      </w:r>
    </w:p>
    <w:p>
      <w:pPr>
        <w:pStyle w:val="Heading4"/>
        <w:spacing w:line="256" w:lineRule="auto"/>
        <w:ind w:left="573" w:right="0"/>
        <w:jc w:val="left"/>
      </w:pPr>
      <w:r>
        <w:rPr>
          <w:rFonts w:ascii="Times New Roman" w:hAnsi="Times New Roman" w:cs="Times New Roman" w:eastAsia="Times New Roman" w:hint="default"/>
        </w:rPr>
        <w:t>b</w:t>
      </w:r>
      <w:r>
        <w:rPr/>
        <w:t>）可供出售金融资产 </w:t>
      </w:r>
      <w:r>
        <w:rPr>
          <w:spacing w:val="-1"/>
        </w:rPr>
        <w:t>本集团对可供出售金融资产按单项投资进行减值测试。资产负债表日，判断可供出售金融资产的公允</w:t>
      </w:r>
    </w:p>
    <w:p>
      <w:pPr>
        <w:pStyle w:val="Heading4"/>
        <w:spacing w:line="266" w:lineRule="auto" w:before="22"/>
        <w:ind w:right="1131"/>
        <w:jc w:val="both"/>
      </w:pPr>
      <w:r>
        <w:rPr/>
        <w:t>价值是否严重或非暂时性下跌：如果单项可供出售金融资产的公允价值跌幅超过成本的</w:t>
      </w:r>
      <w:r>
        <w:rPr>
          <w:rFonts w:ascii="Times New Roman" w:hAnsi="Times New Roman" w:cs="Times New Roman" w:eastAsia="Times New Roman" w:hint="default"/>
          <w:i/>
        </w:rPr>
        <w:t>50%</w:t>
      </w:r>
      <w:r>
        <w:rPr/>
        <w:t>，或者持续下 </w:t>
      </w:r>
      <w:r>
        <w:rPr>
          <w:spacing w:val="-1"/>
        </w:rPr>
        <w:t>跌时间达一年以上，则认定该可供出售金融资产已发生减值，按成本与公允价值的差额计提减值准备，确</w:t>
      </w:r>
      <w:r>
        <w:rPr>
          <w:spacing w:val="-83"/>
        </w:rPr>
        <w:t> </w:t>
      </w:r>
      <w:r>
        <w:rPr>
          <w:spacing w:val="-83"/>
        </w:rPr>
      </w:r>
      <w:r>
        <w:rPr>
          <w:spacing w:val="-1"/>
        </w:rPr>
        <w:t>认减值损失。可供出售金融资产的期末成本为取得时按照投资成本进行初始计量、出售时按加权平均法所</w:t>
      </w:r>
      <w:r>
        <w:rPr>
          <w:spacing w:val="-81"/>
        </w:rPr>
        <w:t> </w:t>
      </w:r>
      <w:r>
        <w:rPr>
          <w:spacing w:val="-81"/>
        </w:rPr>
      </w:r>
      <w:r>
        <w:rPr/>
        <w:t>计算的摊余成本。</w:t>
      </w:r>
    </w:p>
    <w:p>
      <w:pPr>
        <w:pStyle w:val="Heading4"/>
        <w:spacing w:line="273" w:lineRule="auto" w:before="14"/>
        <w:ind w:right="0" w:firstLine="420"/>
        <w:jc w:val="left"/>
      </w:pPr>
      <w:r>
        <w:rPr>
          <w:spacing w:val="-1"/>
        </w:rPr>
        <w:t>可供出售金融资产的公允价值发生非暂时性下跌时，即使该金融资产没有终止确认，原直接计入其他</w:t>
      </w:r>
      <w:r>
        <w:rPr/>
        <w:t> 综合收益的因公允价值下降形成的累计损失，亦予以转出，计入当期损益。</w:t>
      </w:r>
    </w:p>
    <w:p>
      <w:pPr>
        <w:pStyle w:val="Heading4"/>
        <w:spacing w:line="273" w:lineRule="auto"/>
        <w:ind w:right="1024" w:firstLine="420"/>
        <w:jc w:val="left"/>
      </w:pPr>
      <w:r>
        <w:rPr/>
        <w:t>在活跃市场中没有报价且其公允价值不能可靠计量的可供出售权益工具投资，或与该权益工具挂钩并 须通过交付该权益工具结算的衍生金融资产发生减值时，本集团将该权益工具投资或衍生金融资产的账面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pStyle w:val="Heading4"/>
        <w:spacing w:line="273" w:lineRule="auto"/>
        <w:ind w:right="0" w:firstLine="420"/>
        <w:jc w:val="left"/>
      </w:pPr>
      <w:r>
        <w:rPr>
          <w:spacing w:val="-1"/>
        </w:rPr>
        <w:t>对可供出售债务工具确认资产减值损失后，如有客观证据表明该金融资产价值已经恢复，且客观上与</w:t>
      </w:r>
      <w:r>
        <w:rPr/>
        <w:t> 确认损失后发生的事项有关，原确认的减值损失予以转回，计入当期损益。</w:t>
      </w:r>
    </w:p>
    <w:p>
      <w:pPr>
        <w:pStyle w:val="Heading4"/>
        <w:spacing w:line="273" w:lineRule="auto"/>
        <w:ind w:right="0" w:firstLine="420"/>
        <w:jc w:val="left"/>
      </w:pPr>
      <w:r>
        <w:rPr>
          <w:spacing w:val="-1"/>
        </w:rPr>
        <w:t>可供出售权益工具投资发生的减值损失，不得通过损益转回。同时，在活跃市场中没有报价且其公允</w:t>
      </w:r>
      <w:r>
        <w:rPr/>
        <w:t> 价值不能可靠计量的权益工具投资或与该权益工具挂钩并须通过交付该权益工具结算的衍生金融资产发 生的减值损失，不予转回。</w:t>
      </w:r>
    </w:p>
    <w:p>
      <w:pPr>
        <w:pStyle w:val="Heading4"/>
        <w:spacing w:line="240" w:lineRule="auto"/>
        <w:ind w:left="573" w:right="0"/>
        <w:jc w:val="left"/>
      </w:pPr>
      <w:r>
        <w:rPr/>
        <w:t>（</w:t>
      </w:r>
      <w:r>
        <w:rPr>
          <w:rFonts w:ascii="Times New Roman" w:hAnsi="Times New Roman" w:cs="Times New Roman" w:eastAsia="Times New Roman" w:hint="default"/>
        </w:rPr>
        <w:t>3</w:t>
      </w:r>
      <w:r>
        <w:rPr/>
        <w:t>）金融负债的分类和计量</w:t>
      </w:r>
    </w:p>
    <w:p>
      <w:pPr>
        <w:pStyle w:val="Heading4"/>
        <w:spacing w:line="273" w:lineRule="auto" w:before="21"/>
        <w:ind w:left="573" w:right="1093"/>
        <w:jc w:val="left"/>
      </w:pPr>
      <w:r>
        <w:rPr/>
        <w:t>①本集团将持有的金融负债分为以公允价值计量且其变动计入当期损益的金融负债和其他金融负债。 </w:t>
      </w:r>
      <w:r>
        <w:rPr>
          <w:spacing w:val="-1"/>
        </w:rPr>
        <w:t>以公允价值计量且其变动计入当期损益的金融负债，包括交易性金融负债和初始确认时指定为以公允</w:t>
      </w:r>
    </w:p>
    <w:p>
      <w:pPr>
        <w:pStyle w:val="Heading4"/>
        <w:spacing w:line="273" w:lineRule="auto"/>
        <w:ind w:left="573" w:right="0" w:hanging="420"/>
        <w:jc w:val="left"/>
      </w:pPr>
      <w:r>
        <w:rPr/>
        <w:t>价值计量且其变动计入当期损益的金融负债。 </w:t>
      </w:r>
      <w:r>
        <w:rPr>
          <w:spacing w:val="-1"/>
        </w:rPr>
        <w:t>交易性金融负债是指满足下列条件之一的金融负债：承担该金融负债的目的是为了在近期内回购；属</w:t>
      </w:r>
    </w:p>
    <w:p>
      <w:pPr>
        <w:pStyle w:val="Heading4"/>
        <w:spacing w:line="273" w:lineRule="auto"/>
        <w:ind w:right="1093"/>
        <w:jc w:val="left"/>
      </w:pPr>
      <w:r>
        <w:rPr>
          <w:spacing w:val="-1"/>
        </w:rPr>
        <w:t>于进行集中管理的可辨认金融工具组合的一部分，且有客观证据表明企业近期采用短期获利方式对该组合</w:t>
      </w:r>
      <w:r>
        <w:rPr>
          <w:spacing w:val="-81"/>
        </w:rPr>
        <w:t> </w:t>
      </w:r>
      <w:r>
        <w:rPr>
          <w:spacing w:val="-81"/>
        </w:rPr>
      </w:r>
      <w:r>
        <w:rPr/>
        <w:t>进行管理；属于衍生工具，但是，被指定且为有效套期工具的衍生工具、属于财务担保合同的衍生工具、 与在活跃市场中没有报价且其公允价值不能可靠计量的权益工具投资挂钩并须通过交付该权益工具结算 的衍生工具除外。</w:t>
      </w:r>
    </w:p>
    <w:p>
      <w:pPr>
        <w:pStyle w:val="Heading4"/>
        <w:spacing w:line="273" w:lineRule="auto"/>
        <w:ind w:right="1131" w:firstLine="420"/>
        <w:jc w:val="both"/>
      </w:pPr>
      <w:r>
        <w:rPr>
          <w:spacing w:val="-1"/>
        </w:rPr>
        <w:t>只有符合以下条件之一，金融负债才可在初始计量时指定为以公允价值计量且变动计入当期损益的金</w:t>
      </w:r>
      <w:r>
        <w:rPr/>
        <w:t> </w:t>
      </w:r>
      <w:r>
        <w:rPr>
          <w:spacing w:val="-1"/>
        </w:rPr>
        <w:t>融负债：该项指定可以消除或明显减少由于金融工具计量基础不同所导致的相关利得或损失在确认或计量</w:t>
      </w:r>
      <w:r>
        <w:rPr>
          <w:spacing w:val="-81"/>
        </w:rPr>
        <w:t> </w:t>
      </w:r>
      <w:r>
        <w:rPr>
          <w:spacing w:val="-81"/>
        </w:rPr>
      </w:r>
      <w:r>
        <w:rPr>
          <w:spacing w:val="-1"/>
        </w:rPr>
        <w:t>方面不一致的情况；风险管理或投资策略的正式书面文件已载明，该金融工具组合以公允价值为基础进行</w:t>
      </w:r>
      <w:r>
        <w:rPr>
          <w:spacing w:val="-81"/>
        </w:rPr>
        <w:t> </w:t>
      </w:r>
      <w:r>
        <w:rPr>
          <w:spacing w:val="-81"/>
        </w:rPr>
      </w:r>
      <w:r>
        <w:rPr>
          <w:spacing w:val="-1"/>
        </w:rPr>
        <w:t>管理、评价并向关键管理人员报告；包含一项或多项嵌入衍生工具的混合工具，除非嵌入衍生工具对混合</w:t>
      </w:r>
      <w:r>
        <w:rPr>
          <w:spacing w:val="-83"/>
        </w:rPr>
        <w:t> </w:t>
      </w:r>
      <w:r>
        <w:rPr>
          <w:spacing w:val="-83"/>
        </w:rPr>
      </w:r>
      <w:r>
        <w:rPr>
          <w:spacing w:val="-1"/>
        </w:rPr>
        <w:t>工具的现金流量没有重大改变，或所嵌入的衍生工具明显不应当从相关混合工具中分拆；包含需要分拆但</w:t>
      </w:r>
      <w:r>
        <w:rPr>
          <w:spacing w:val="-81"/>
        </w:rPr>
        <w:t> </w:t>
      </w:r>
      <w:r>
        <w:rPr>
          <w:spacing w:val="-81"/>
        </w:rPr>
      </w:r>
      <w:r>
        <w:rPr/>
        <w:t>无法在取得时或后续的资产负债表日对其进行单独计量的嵌入衍生工具的混合工具。</w:t>
      </w:r>
    </w:p>
    <w:p>
      <w:pPr>
        <w:pStyle w:val="Heading4"/>
        <w:spacing w:line="273" w:lineRule="auto"/>
        <w:ind w:right="1132" w:firstLine="420"/>
        <w:jc w:val="both"/>
      </w:pPr>
      <w:r>
        <w:rPr>
          <w:spacing w:val="-1"/>
        </w:rPr>
        <w:t>本集团在初始确认时将某金融负债划分为以公允价值计量且其变动计入当期损益的金融负债后，不能</w:t>
      </w:r>
      <w:r>
        <w:rPr/>
        <w:t> </w:t>
      </w:r>
      <w:r>
        <w:rPr>
          <w:spacing w:val="-1"/>
        </w:rPr>
        <w:t>重分类为其他类金融负债；其他类金融负债也不能重分类为以公允价值计量且其变动计入当期损益的金融</w:t>
      </w:r>
      <w:r>
        <w:rPr>
          <w:spacing w:val="-81"/>
        </w:rPr>
        <w:t> </w:t>
      </w:r>
      <w:r>
        <w:rPr>
          <w:spacing w:val="-81"/>
        </w:rPr>
      </w:r>
      <w:r>
        <w:rPr/>
        <w:t>负债。</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093" w:firstLine="420"/>
        <w:jc w:val="left"/>
      </w:pPr>
      <w:r>
        <w:rPr/>
        <w:t>②金融负债在初始确认时以公允价值计量。对于以公允价值计量且其变动计入当期损益的金融负债， 相关交易费用直接计入当期损益；对于其他金融负债，相关交易费用计入初始确认金额。</w:t>
      </w:r>
    </w:p>
    <w:p>
      <w:pPr>
        <w:pStyle w:val="Heading4"/>
        <w:spacing w:line="240" w:lineRule="auto"/>
        <w:ind w:left="573" w:right="0"/>
        <w:jc w:val="left"/>
      </w:pPr>
      <w:r>
        <w:rPr/>
        <w:t>③金融负债的后续计量</w:t>
      </w:r>
    </w:p>
    <w:p>
      <w:pPr>
        <w:pStyle w:val="Heading4"/>
        <w:spacing w:line="256" w:lineRule="auto" w:before="37"/>
        <w:ind w:right="1151" w:firstLine="420"/>
        <w:jc w:val="left"/>
      </w:pPr>
      <w:r>
        <w:rPr>
          <w:rFonts w:ascii="Times New Roman" w:hAnsi="Times New Roman" w:cs="Times New Roman" w:eastAsia="Times New Roman" w:hint="default"/>
        </w:rPr>
        <w:t>A</w:t>
      </w:r>
      <w:r>
        <w:rPr/>
        <w:t>、以公允价值计量且其变动计入当期损益的金融负债，采用公允价值进行后续计量，公允价值变动 形成的利得或损失，计入当期损益。</w:t>
      </w:r>
    </w:p>
    <w:p>
      <w:pPr>
        <w:pStyle w:val="Heading4"/>
        <w:spacing w:line="240" w:lineRule="auto" w:before="22"/>
        <w:ind w:left="573" w:right="0"/>
        <w:jc w:val="left"/>
      </w:pPr>
      <w:r>
        <w:rPr>
          <w:rFonts w:ascii="Times New Roman" w:hAnsi="Times New Roman" w:cs="Times New Roman" w:eastAsia="Times New Roman" w:hint="default"/>
        </w:rPr>
        <w:t>B</w:t>
      </w:r>
      <w:r>
        <w:rPr/>
        <w:t>、其他金融负债，采用实际利率法，按摊余成本进行后续计量。</w:t>
      </w:r>
    </w:p>
    <w:p>
      <w:pPr>
        <w:pStyle w:val="Heading4"/>
        <w:spacing w:line="256" w:lineRule="auto" w:before="21"/>
        <w:ind w:left="574" w:right="1092"/>
        <w:jc w:val="left"/>
      </w:pPr>
      <w:r>
        <w:rPr/>
        <w:t>（</w:t>
      </w:r>
      <w:r>
        <w:rPr>
          <w:rFonts w:ascii="Times New Roman" w:hAnsi="Times New Roman" w:cs="Times New Roman" w:eastAsia="Times New Roman" w:hint="default"/>
        </w:rPr>
        <w:t>4</w:t>
      </w:r>
      <w:r>
        <w:rPr/>
        <w:t>）</w:t>
      </w:r>
      <w:r>
        <w:rPr>
          <w:spacing w:val="-21"/>
        </w:rPr>
        <w:t> </w:t>
      </w:r>
      <w:r>
        <w:rPr/>
        <w:t>金融资产转移确认依据和计量</w:t>
      </w:r>
      <w:r>
        <w:rPr/>
        <w:t> 本集团在已将金融资产所有权上几乎所有的风险和报酬转移给转入方时终止对该项金融资产的确认。</w:t>
      </w:r>
    </w:p>
    <w:p>
      <w:pPr>
        <w:pStyle w:val="Heading4"/>
        <w:spacing w:line="240" w:lineRule="auto" w:before="22"/>
        <w:ind w:left="154" w:right="0"/>
        <w:jc w:val="left"/>
      </w:pPr>
      <w:r>
        <w:rPr/>
        <w:t>在金融资产整体转移满足终止确认条件的，将下列两项的差额计入当期损益：</w:t>
      </w:r>
    </w:p>
    <w:p>
      <w:pPr>
        <w:pStyle w:val="Heading4"/>
        <w:spacing w:line="240" w:lineRule="auto" w:before="37"/>
        <w:ind w:left="573" w:right="0"/>
        <w:jc w:val="left"/>
      </w:pPr>
      <w:r>
        <w:rPr/>
        <w:t>①所转移金融资产的账面价值；</w:t>
      </w:r>
    </w:p>
    <w:p>
      <w:pPr>
        <w:pStyle w:val="Heading4"/>
        <w:spacing w:line="273" w:lineRule="auto" w:before="37"/>
        <w:ind w:right="0" w:firstLine="420"/>
        <w:jc w:val="left"/>
      </w:pPr>
      <w:r>
        <w:rPr>
          <w:spacing w:val="-1"/>
        </w:rPr>
        <w:t>②因转移而收到的对价，与原计入其他综合收益的公允价值变动累计额（涉及转移的金融资产为可供</w:t>
      </w:r>
      <w:r>
        <w:rPr/>
        <w:t> 出售金融资产的情形）之和。</w:t>
      </w:r>
    </w:p>
    <w:p>
      <w:pPr>
        <w:pStyle w:val="Heading4"/>
        <w:spacing w:line="273" w:lineRule="auto"/>
        <w:ind w:left="154" w:right="1092" w:firstLine="420"/>
        <w:jc w:val="left"/>
      </w:pPr>
      <w:r>
        <w:rPr>
          <w:spacing w:val="-1"/>
        </w:rPr>
        <w:t>本集团的金融资产部分转移满足终止确认条件的，将所转移金融资产整体的账面价值，在终止确认部</w:t>
      </w:r>
      <w:r>
        <w:rPr/>
        <w:t> 分和未终止确认部分之间，按照各自的相对公允价值进行分摊，并将下列两项金额的差额计入当期损益：</w:t>
      </w:r>
    </w:p>
    <w:p>
      <w:pPr>
        <w:pStyle w:val="Heading4"/>
        <w:spacing w:line="240" w:lineRule="auto"/>
        <w:ind w:left="574" w:right="0"/>
        <w:jc w:val="left"/>
      </w:pPr>
      <w:r>
        <w:rPr/>
        <w:t>①终止确认部分的账面价值；</w:t>
      </w:r>
    </w:p>
    <w:p>
      <w:pPr>
        <w:pStyle w:val="Heading4"/>
        <w:spacing w:line="240" w:lineRule="auto" w:before="37"/>
        <w:ind w:left="574" w:right="0"/>
        <w:jc w:val="left"/>
      </w:pPr>
      <w:r>
        <w:rPr/>
        <w:t>②终止确认部分的对价，与原计入其他综合收益的公允价值变动累计额中对应终止确认部分的金额</w:t>
      </w:r>
    </w:p>
    <w:p>
      <w:pPr>
        <w:pStyle w:val="Heading4"/>
        <w:spacing w:line="273" w:lineRule="auto" w:before="37"/>
        <w:ind w:left="574" w:right="0" w:hanging="420"/>
        <w:jc w:val="left"/>
      </w:pPr>
      <w:r>
        <w:rPr/>
        <w:t>（涉及转移的金融资产为可供出售金融资产的情形）之和。 </w:t>
      </w:r>
      <w:r>
        <w:rPr>
          <w:spacing w:val="-1"/>
        </w:rPr>
        <w:t>原计入其他综合收益的公允价值变动累计额中对应终止确认部分的金额，按照金融资产终止确认部分</w:t>
      </w:r>
    </w:p>
    <w:p>
      <w:pPr>
        <w:pStyle w:val="Heading4"/>
        <w:spacing w:line="273" w:lineRule="auto"/>
        <w:ind w:left="574" w:right="0" w:hanging="420"/>
        <w:jc w:val="left"/>
      </w:pPr>
      <w:r>
        <w:rPr/>
        <w:t>和未终止确认部分的相对公允价值，对该累计额进行分摊后确定。 </w:t>
      </w:r>
      <w:r>
        <w:rPr>
          <w:spacing w:val="-1"/>
        </w:rPr>
        <w:t>金融资产转移不满足终止确认条件的，继续确认所转移金融资产整体，并将所收到的对价确认为一项</w:t>
      </w:r>
    </w:p>
    <w:p>
      <w:pPr>
        <w:pStyle w:val="Heading4"/>
        <w:spacing w:line="240" w:lineRule="auto"/>
        <w:ind w:left="154" w:right="0"/>
        <w:jc w:val="left"/>
      </w:pPr>
      <w:r>
        <w:rPr/>
        <w:t>金融负债。</w:t>
      </w:r>
    </w:p>
    <w:p>
      <w:pPr>
        <w:pStyle w:val="Heading4"/>
        <w:spacing w:line="273" w:lineRule="auto" w:before="37"/>
        <w:ind w:left="154" w:right="0" w:firstLine="420"/>
        <w:jc w:val="left"/>
      </w:pPr>
      <w:r>
        <w:rPr>
          <w:spacing w:val="-1"/>
        </w:rPr>
        <w:t>对于继续涉入条件下的金融资产转移，本集团根据继续涉入所转移金融资产的程度确认有关金融资产</w:t>
      </w:r>
      <w:r>
        <w:rPr/>
        <w:t> 和金融负债，以充分反映本集团所保留的权利和承担的义务。</w:t>
      </w:r>
    </w:p>
    <w:p>
      <w:pPr>
        <w:pStyle w:val="Heading4"/>
        <w:spacing w:line="256" w:lineRule="auto"/>
        <w:ind w:left="574" w:right="0"/>
        <w:jc w:val="left"/>
      </w:pPr>
      <w:r>
        <w:rPr/>
        <w:t>（</w:t>
      </w:r>
      <w:r>
        <w:rPr>
          <w:rFonts w:ascii="Times New Roman" w:hAnsi="Times New Roman" w:cs="Times New Roman" w:eastAsia="Times New Roman" w:hint="default"/>
        </w:rPr>
        <w:t>5</w:t>
      </w:r>
      <w:r>
        <w:rPr/>
        <w:t>）金融负债的终止确认 </w:t>
      </w:r>
      <w:r>
        <w:rPr>
          <w:spacing w:val="-1"/>
        </w:rPr>
        <w:t>本集团金融负债的现时义务全部或部分已经解除的，终止确认该金融负债或其一部分。本集团与债权</w:t>
      </w:r>
    </w:p>
    <w:p>
      <w:pPr>
        <w:pStyle w:val="Heading4"/>
        <w:spacing w:line="273" w:lineRule="auto" w:before="22"/>
        <w:ind w:left="154" w:right="0"/>
        <w:jc w:val="left"/>
      </w:pP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pStyle w:val="Heading4"/>
        <w:spacing w:line="256" w:lineRule="auto"/>
        <w:ind w:left="154" w:right="0" w:firstLine="420"/>
        <w:jc w:val="left"/>
      </w:pPr>
      <w:r>
        <w:rPr>
          <w:spacing w:val="-3"/>
        </w:rPr>
        <w:t>金融负债全部或部分终止确认的，将终止确认部分的账面价值与支付的对价</w:t>
      </w:r>
      <w:r>
        <w:rPr>
          <w:rFonts w:ascii="Times New Roman" w:hAnsi="Times New Roman" w:cs="Times New Roman" w:eastAsia="Times New Roman" w:hint="default"/>
          <w:spacing w:val="-3"/>
        </w:rPr>
        <w:t>(</w:t>
      </w:r>
      <w:r>
        <w:rPr>
          <w:spacing w:val="-3"/>
        </w:rPr>
        <w:t>包括转出的非现金资产或</w:t>
      </w:r>
      <w:r>
        <w:rPr/>
        <w:t> 承担的新金融负债</w:t>
      </w:r>
      <w:r>
        <w:rPr>
          <w:rFonts w:ascii="Times New Roman" w:hAnsi="Times New Roman" w:cs="Times New Roman" w:eastAsia="Times New Roman" w:hint="default"/>
        </w:rPr>
        <w:t>)</w:t>
      </w:r>
      <w:r>
        <w:rPr/>
        <w:t>之间的差额，计入当期损益。</w:t>
      </w:r>
    </w:p>
    <w:p>
      <w:pPr>
        <w:pStyle w:val="Heading4"/>
        <w:spacing w:line="256" w:lineRule="auto" w:before="5"/>
        <w:ind w:left="574" w:right="0"/>
        <w:jc w:val="left"/>
      </w:pPr>
      <w:r>
        <w:rPr/>
        <w:t>（</w:t>
      </w:r>
      <w:r>
        <w:rPr>
          <w:rFonts w:ascii="Times New Roman" w:hAnsi="Times New Roman" w:cs="Times New Roman" w:eastAsia="Times New Roman" w:hint="default"/>
        </w:rPr>
        <w:t>6</w:t>
      </w:r>
      <w:r>
        <w:rPr/>
        <w:t>）金融资产和金融负债的抵销 </w:t>
      </w:r>
      <w:r>
        <w:rPr>
          <w:spacing w:val="-1"/>
        </w:rPr>
        <w:t>金融资产和金融负债在资产负债表内分别列示，不相互抵销。但同时满足下列条件的，以相互抵销后</w:t>
      </w:r>
    </w:p>
    <w:p>
      <w:pPr>
        <w:pStyle w:val="Heading4"/>
        <w:spacing w:line="273" w:lineRule="auto" w:before="22"/>
        <w:ind w:left="154" w:right="1023"/>
        <w:jc w:val="left"/>
      </w:pPr>
      <w:r>
        <w:rPr/>
        <w:t>的净额在资产负债表内列示：本集团具有抵销已确认金额的法定权利，且该种法定权利是当前可执行的； </w:t>
      </w:r>
      <w:r>
        <w:rPr>
          <w:spacing w:val="-3"/>
        </w:rPr>
        <w:t>本集团计划以净额结算，或同时变现该金融资产和清偿该金融负债。不满足终止确认条件的金融资产转移，</w:t>
      </w:r>
      <w:r>
        <w:rPr>
          <w:spacing w:val="-92"/>
        </w:rPr>
        <w:t> </w:t>
      </w:r>
      <w:r>
        <w:rPr>
          <w:spacing w:val="-92"/>
        </w:rPr>
      </w:r>
      <w:r>
        <w:rPr/>
        <w:t>转出方不得将已转移的金融资产和相关负债进行抵销。</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1、应收款项" w:id="182"/>
      <w:bookmarkEnd w:id="18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44"/>
        <w:ind w:left="0" w:right="1140"/>
        <w:jc w:val="right"/>
      </w:pPr>
      <w:r>
        <w:rPr/>
        <w:pict>
          <v:shape style="position:absolute;margin-left:56.459999pt;margin-top:-36.568283pt;width:479.2pt;height:8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本集团对单项金额重大的应收款项单独进行减值测试，如有 </w:t>
                        </w:r>
                        <w:r>
                          <w:rPr>
                            <w:rFonts w:ascii="宋体" w:hAnsi="宋体" w:cs="宋体" w:eastAsia="宋体" w:hint="default"/>
                            <w:spacing w:val="-2"/>
                            <w:sz w:val="18"/>
                            <w:szCs w:val="18"/>
                          </w:rPr>
                          <w:t>客观证据表明其已发生减值，确认减值损失，计提坏账准备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单独测试未发生减值的应收款项，包括在具有类似信用风险 特征的应收款项组合中再进行减值测试。</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 按组合计提坏账准备的应收款项：" w:id="184"/>
      <w:bookmarkEnd w:id="184"/>
      <w:r>
        <w:rPr>
          <w:b w:val="0"/>
          <w:bCs w:val="0"/>
        </w:rPr>
      </w:r>
      <w:r>
        <w:rPr/>
        <w:t>（</w:t>
      </w:r>
      <w:r>
        <w:rPr>
          <w:rFonts w:ascii="Times New Roman" w:hAnsi="Times New Roman" w:cs="Times New Roman" w:eastAsia="Times New Roman" w:hint="default"/>
        </w:rPr>
        <w:t>2</w:t>
      </w:r>
      <w:r>
        <w:rPr/>
        <w:t>）</w:t>
      </w:r>
      <w:r>
        <w:rPr>
          <w:spacing w:val="-4"/>
        </w:rPr>
        <w:t> </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6"/>
        <w:gridCol w:w="6097"/>
      </w:tblGrid>
      <w:tr>
        <w:trPr>
          <w:trHeight w:val="342" w:hRule="exact"/>
        </w:trPr>
        <w:tc>
          <w:tcPr>
            <w:tcW w:w="8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4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本集团合并范围内关联方</w:t>
            </w:r>
          </w:p>
        </w:tc>
      </w:tr>
      <w:tr>
        <w:trPr>
          <w:trHeight w:val="34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项目保证金及项目押金等</w:t>
            </w:r>
          </w:p>
        </w:tc>
      </w:tr>
      <w:tr>
        <w:trPr>
          <w:trHeight w:val="34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：账龄组合</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bl>
    <w:p>
      <w:pPr>
        <w:spacing w:line="240" w:lineRule="auto" w:before="11"/>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596"/>
        <w:gridCol w:w="6097"/>
      </w:tblGrid>
      <w:tr>
        <w:trPr>
          <w:trHeight w:val="342" w:hRule="exact"/>
        </w:trPr>
        <w:tc>
          <w:tcPr>
            <w:tcW w:w="8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4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：应收关联方款项</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w:t>
            </w:r>
          </w:p>
        </w:tc>
      </w:tr>
      <w:tr>
        <w:trPr>
          <w:trHeight w:val="342"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2</w:t>
            </w:r>
            <w:r>
              <w:rPr>
                <w:rFonts w:ascii="宋体" w:hAnsi="宋体" w:cs="宋体" w:eastAsia="宋体" w:hint="default"/>
                <w:sz w:val="21"/>
                <w:szCs w:val="21"/>
              </w:rPr>
              <w:t>：保证金及押金</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w:t>
            </w:r>
          </w:p>
        </w:tc>
      </w:tr>
      <w:tr>
        <w:trPr>
          <w:trHeight w:val="343" w:hRule="exact"/>
        </w:trPr>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Times New Roman" w:hAnsi="Times New Roman" w:cs="Times New Roman" w:eastAsia="Times New Roman" w:hint="default"/>
                <w:sz w:val="21"/>
                <w:szCs w:val="21"/>
              </w:rPr>
              <w:t>3</w:t>
            </w:r>
            <w:r>
              <w:rPr>
                <w:rFonts w:ascii="宋体" w:hAnsi="宋体" w:cs="宋体" w:eastAsia="宋体" w:hint="default"/>
                <w:sz w:val="21"/>
                <w:szCs w:val="21"/>
              </w:rPr>
              <w:t>：账龄组合</w:t>
            </w:r>
          </w:p>
        </w:tc>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Heading4"/>
        <w:spacing w:line="260" w:lineRule="exact" w:before="0"/>
        <w:ind w:left="574" w:right="0"/>
        <w:jc w:val="left"/>
      </w:pPr>
      <w:r>
        <w:rPr/>
        <w:t>组合中，采用账龄分析法计提坏账准备的：</w:t>
      </w:r>
    </w:p>
    <w:p>
      <w:pPr>
        <w:pStyle w:val="Heading4"/>
        <w:spacing w:line="240" w:lineRule="auto" w:before="37"/>
        <w:ind w:left="574" w:right="0"/>
        <w:jc w:val="left"/>
      </w:pPr>
      <w:r>
        <w:rPr>
          <w:rFonts w:ascii="Times New Roman" w:hAnsi="Times New Roman" w:cs="Times New Roman" w:eastAsia="Times New Roman" w:hint="default"/>
        </w:rPr>
        <w:t>a.</w:t>
      </w:r>
      <w:r>
        <w:rPr/>
        <w:t>互联网传媒与娱乐</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130"/>
        <w:gridCol w:w="2960"/>
        <w:gridCol w:w="2748"/>
      </w:tblGrid>
      <w:tr>
        <w:trPr>
          <w:trHeight w:val="34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tabs>
                <w:tab w:pos="461" w:val="left" w:leader="none"/>
              </w:tabs>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r>
      <w:tr>
        <w:trPr>
          <w:trHeight w:val="34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5/20</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5/20</w:t>
            </w:r>
          </w:p>
        </w:tc>
      </w:tr>
      <w:tr>
        <w:trPr>
          <w:trHeight w:val="34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30/50</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30/50</w:t>
            </w:r>
          </w:p>
        </w:tc>
      </w:tr>
      <w:tr>
        <w:trPr>
          <w:trHeight w:val="34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w:t>
            </w:r>
          </w:p>
        </w:tc>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100</w:t>
            </w:r>
          </w:p>
        </w:tc>
      </w:tr>
    </w:tbl>
    <w:p>
      <w:pPr>
        <w:pStyle w:val="Heading4"/>
        <w:spacing w:line="276" w:lineRule="exact" w:before="0"/>
        <w:ind w:left="573" w:right="0"/>
        <w:jc w:val="left"/>
      </w:pPr>
      <w:r>
        <w:rPr/>
        <w:t>注</w:t>
      </w:r>
      <w:r>
        <w:rPr>
          <w:rFonts w:ascii="Times New Roman" w:hAnsi="Times New Roman" w:cs="Times New Roman" w:eastAsia="Times New Roman" w:hint="default"/>
        </w:rPr>
        <w:t>1</w:t>
      </w:r>
      <w:r>
        <w:rPr/>
        <w:t>：媒体客户账龄</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5%</w:t>
      </w:r>
      <w:r>
        <w:rPr/>
        <w:t>计提；商业客户</w:t>
      </w:r>
      <w:r>
        <w:rPr>
          <w:rFonts w:ascii="Times New Roman" w:hAnsi="Times New Roman" w:cs="Times New Roman" w:eastAsia="Times New Roman" w:hint="default"/>
        </w:rPr>
        <w:t>1-2</w:t>
      </w:r>
      <w:r>
        <w:rPr/>
        <w:t>年按</w:t>
      </w:r>
      <w:r>
        <w:rPr>
          <w:rFonts w:ascii="Times New Roman" w:hAnsi="Times New Roman" w:cs="Times New Roman" w:eastAsia="Times New Roman" w:hint="default"/>
        </w:rPr>
        <w:t>20%</w:t>
      </w:r>
      <w:r>
        <w:rPr/>
        <w:t>。</w:t>
      </w:r>
    </w:p>
    <w:p>
      <w:pPr>
        <w:pStyle w:val="Heading4"/>
        <w:spacing w:line="240" w:lineRule="auto" w:before="21"/>
        <w:ind w:left="573" w:right="0"/>
        <w:jc w:val="left"/>
      </w:pPr>
      <w:r>
        <w:rPr/>
        <w:t>注</w:t>
      </w:r>
      <w:r>
        <w:rPr>
          <w:rFonts w:ascii="Times New Roman" w:hAnsi="Times New Roman" w:cs="Times New Roman" w:eastAsia="Times New Roman" w:hint="default"/>
        </w:rPr>
        <w:t>2</w:t>
      </w:r>
      <w:r>
        <w:rPr/>
        <w:t>：媒体客户账龄</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30%</w:t>
      </w:r>
      <w:r>
        <w:rPr/>
        <w:t>计提；商业客户</w:t>
      </w:r>
      <w:r>
        <w:rPr>
          <w:rFonts w:ascii="Times New Roman" w:hAnsi="Times New Roman" w:cs="Times New Roman" w:eastAsia="Times New Roman" w:hint="default"/>
        </w:rPr>
        <w:t>2-3</w:t>
      </w:r>
      <w:r>
        <w:rPr/>
        <w:t>年按</w:t>
      </w:r>
      <w:r>
        <w:rPr>
          <w:rFonts w:ascii="Times New Roman" w:hAnsi="Times New Roman" w:cs="Times New Roman" w:eastAsia="Times New Roman" w:hint="default"/>
        </w:rPr>
        <w:t>50%</w:t>
      </w:r>
      <w:r>
        <w:rPr/>
        <w:t>。</w:t>
      </w:r>
    </w:p>
    <w:p>
      <w:pPr>
        <w:pStyle w:val="Heading4"/>
        <w:spacing w:line="240" w:lineRule="auto" w:before="21"/>
        <w:ind w:left="57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0"/>
        </w:rPr>
        <w:t> </w:t>
      </w:r>
      <w:r>
        <w:rPr/>
        <w:t>旅游及其他</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078"/>
        <w:gridCol w:w="2912"/>
        <w:gridCol w:w="2703"/>
      </w:tblGrid>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tabs>
                <w:tab w:pos="461"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center"/>
              <w:rPr>
                <w:rFonts w:ascii="Times New Roman" w:hAnsi="Times New Roman" w:cs="Times New Roman" w:eastAsia="Times New Roman" w:hint="default"/>
                <w:sz w:val="21"/>
                <w:szCs w:val="21"/>
              </w:rPr>
            </w:pPr>
            <w:r>
              <w:rPr>
                <w:rFonts w:ascii="Times New Roman"/>
                <w:sz w:val="21"/>
              </w:rPr>
              <w:t>0.5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center"/>
              <w:rPr>
                <w:rFonts w:ascii="Times New Roman" w:hAnsi="Times New Roman" w:cs="Times New Roman" w:eastAsia="Times New Roman" w:hint="default"/>
                <w:sz w:val="21"/>
                <w:szCs w:val="21"/>
              </w:rPr>
            </w:pPr>
            <w:r>
              <w:rPr>
                <w:rFonts w:ascii="Times New Roman"/>
                <w:sz w:val="21"/>
              </w:rPr>
              <w:t>0.5</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center"/>
              <w:rPr>
                <w:rFonts w:ascii="Times New Roman" w:hAnsi="Times New Roman" w:cs="Times New Roman" w:eastAsia="Times New Roman" w:hint="default"/>
                <w:sz w:val="21"/>
                <w:szCs w:val="21"/>
              </w:rPr>
            </w:pPr>
            <w:r>
              <w:rPr>
                <w:rFonts w:ascii="Times New Roman"/>
                <w:sz w:val="21"/>
              </w:rPr>
              <w:t>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center"/>
              <w:rPr>
                <w:rFonts w:ascii="Times New Roman" w:hAnsi="Times New Roman" w:cs="Times New Roman" w:eastAsia="Times New Roman" w:hint="default"/>
                <w:sz w:val="21"/>
                <w:szCs w:val="21"/>
              </w:rPr>
            </w:pPr>
            <w:r>
              <w:rPr>
                <w:rFonts w:ascii="Times New Roman"/>
                <w:sz w:val="21"/>
              </w:rPr>
              <w:t>5</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10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10</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年至</w:t>
            </w:r>
            <w:r>
              <w:rPr>
                <w:rFonts w:ascii="Times New Roman" w:hAnsi="Times New Roman" w:cs="Times New Roman" w:eastAsia="Times New Roman" w:hint="default"/>
                <w:sz w:val="21"/>
                <w:szCs w:val="21"/>
              </w:rPr>
              <w:t>4</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30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30</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年至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50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0" w:right="0"/>
              <w:jc w:val="center"/>
              <w:rPr>
                <w:rFonts w:ascii="Times New Roman" w:hAnsi="Times New Roman" w:cs="Times New Roman" w:eastAsia="Times New Roman" w:hint="default"/>
                <w:sz w:val="21"/>
                <w:szCs w:val="21"/>
              </w:rPr>
            </w:pPr>
            <w:r>
              <w:rPr>
                <w:rFonts w:ascii="Times New Roman"/>
                <w:sz w:val="21"/>
              </w:rPr>
              <w:t>50</w:t>
            </w:r>
          </w:p>
        </w:tc>
      </w:tr>
      <w:tr>
        <w:trPr>
          <w:trHeight w:val="34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8" w:right="0"/>
              <w:jc w:val="center"/>
              <w:rPr>
                <w:rFonts w:ascii="Times New Roman" w:hAnsi="Times New Roman" w:cs="Times New Roman" w:eastAsia="Times New Roman" w:hint="default"/>
                <w:sz w:val="21"/>
                <w:szCs w:val="21"/>
              </w:rPr>
            </w:pPr>
            <w:r>
              <w:rPr>
                <w:rFonts w:ascii="Times New Roman"/>
                <w:sz w:val="21"/>
              </w:rPr>
              <w:t>100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21" w:right="0"/>
              <w:jc w:val="center"/>
              <w:rPr>
                <w:rFonts w:ascii="Times New Roman" w:hAnsi="Times New Roman" w:cs="Times New Roman" w:eastAsia="Times New Roman" w:hint="default"/>
                <w:sz w:val="21"/>
                <w:szCs w:val="21"/>
              </w:rPr>
            </w:pPr>
            <w:r>
              <w:rPr>
                <w:rFonts w:ascii="Times New Roman"/>
                <w:sz w:val="21"/>
              </w:rPr>
              <w:t>100</w:t>
            </w:r>
          </w:p>
        </w:tc>
      </w:tr>
    </w:tbl>
    <w:p>
      <w:pPr>
        <w:pStyle w:val="Heading4"/>
        <w:spacing w:line="260" w:lineRule="exact" w:before="0"/>
        <w:ind w:left="574" w:right="0"/>
        <w:jc w:val="left"/>
      </w:pPr>
      <w:r>
        <w:rPr/>
        <w:t>组合中，采用其他方法计提坏账准备的：</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486"/>
        <w:gridCol w:w="4206"/>
      </w:tblGrid>
      <w:tr>
        <w:trPr>
          <w:trHeight w:val="34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34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r>
              <w:rPr>
                <w:rFonts w:ascii="宋体" w:hAnsi="宋体" w:cs="宋体" w:eastAsia="宋体" w:hint="default"/>
                <w:sz w:val="21"/>
                <w:szCs w:val="21"/>
              </w:rPr>
              <w:t>：应收关联方款项</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单独减值测试未发生减值，不再计提坏账准备</w:t>
            </w:r>
          </w:p>
        </w:tc>
      </w:tr>
      <w:tr>
        <w:trPr>
          <w:trHeight w:val="343"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r>
              <w:rPr>
                <w:rFonts w:ascii="宋体" w:hAnsi="宋体" w:cs="宋体" w:eastAsia="宋体" w:hint="default"/>
                <w:sz w:val="21"/>
                <w:szCs w:val="21"/>
              </w:rPr>
              <w:t>：保证金及押金</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pacing w:val="-1"/>
                <w:sz w:val="21"/>
                <w:szCs w:val="21"/>
              </w:rPr>
              <w:t>单独减值测试未发生减值，不再计提坏账准备</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的应收款项应进行单项减值测试。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spacing w:line="506" w:lineRule="auto" w:before="35"/>
        <w:ind w:left="573" w:right="0" w:hanging="420"/>
        <w:jc w:val="left"/>
        <w:rPr>
          <w:rFonts w:ascii="宋体" w:hAnsi="宋体" w:cs="宋体" w:eastAsia="宋体" w:hint="default"/>
          <w:sz w:val="21"/>
          <w:szCs w:val="21"/>
        </w:rPr>
      </w:pPr>
      <w:bookmarkStart w:name="（4） 坏账准备的转回"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坏账准备的转回</w:t>
      </w:r>
      <w:r>
        <w:rPr>
          <w:rFonts w:ascii="宋体" w:hAnsi="宋体" w:cs="宋体" w:eastAsia="宋体" w:hint="default"/>
          <w:b/>
          <w:bCs/>
          <w:w w:val="99"/>
          <w:sz w:val="21"/>
          <w:szCs w:val="21"/>
        </w:rPr>
        <w:t> </w:t>
      </w:r>
      <w:r>
        <w:rPr>
          <w:rFonts w:ascii="宋体" w:hAnsi="宋体" w:cs="宋体" w:eastAsia="宋体" w:hint="default"/>
          <w:spacing w:val="-1"/>
          <w:sz w:val="21"/>
          <w:szCs w:val="21"/>
        </w:rPr>
        <w:t>如有客观证据表明该应收款项价值已恢复，且客观上与确认该损失后发生的事项有关，原确认的减值</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154" w:right="0"/>
        <w:jc w:val="left"/>
      </w:pPr>
      <w:r>
        <w:rPr>
          <w:spacing w:val="-1"/>
        </w:rPr>
        <w:t>损失予以转回，计入当期损益。但是，该转回后的账面价值不超过假定不计提减值准备情况下该应收款项</w:t>
      </w:r>
      <w:r>
        <w:rPr>
          <w:spacing w:val="-83"/>
        </w:rPr>
        <w:t> </w:t>
      </w:r>
      <w:r>
        <w:rPr>
          <w:spacing w:val="-83"/>
        </w:rPr>
      </w:r>
      <w:r>
        <w:rPr/>
        <w:t>在转回日的摊余成本。</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Heading4"/>
        <w:spacing w:line="247" w:lineRule="auto" w:before="2"/>
        <w:ind w:left="154" w:right="1131" w:firstLine="420"/>
        <w:jc w:val="both"/>
        <w:rPr>
          <w:rFonts w:ascii="宋体" w:hAnsi="宋体" w:cs="宋体" w:eastAsia="宋体" w:hint="default"/>
          <w:sz w:val="22"/>
          <w:szCs w:val="22"/>
        </w:rPr>
      </w:pPr>
      <w:r>
        <w:rPr/>
        <w:t>（</w:t>
      </w:r>
      <w:r>
        <w:rPr>
          <w:rFonts w:ascii="Times New Roman" w:hAnsi="Times New Roman" w:cs="Times New Roman" w:eastAsia="Times New Roman" w:hint="default"/>
        </w:rPr>
        <w:t>1</w:t>
      </w:r>
      <w:r>
        <w:rPr/>
        <w:t>）</w:t>
      </w:r>
      <w:r>
        <w:rPr>
          <w:spacing w:val="-23"/>
        </w:rPr>
        <w:t> </w:t>
      </w:r>
      <w:r>
        <w:rPr/>
        <w:t>存货分类：本集团存货包括在日常活动中持有以备出售的产成品或商品、处于生产过程中的在</w:t>
      </w:r>
      <w:r>
        <w:rPr/>
        <w:t> 产品、在生产过程或提供劳务过程中耗用的材料和物料等。具体划分为</w:t>
      </w:r>
      <w:r>
        <w:rPr>
          <w:rFonts w:ascii="宋体" w:hAnsi="宋体" w:cs="宋体" w:eastAsia="宋体" w:hint="default"/>
          <w:i/>
          <w:sz w:val="22"/>
          <w:szCs w:val="22"/>
        </w:rPr>
        <w:t>在产品及库存商品等。</w:t>
      </w:r>
      <w:r>
        <w:rPr>
          <w:rFonts w:ascii="宋体" w:hAnsi="宋体" w:cs="宋体" w:eastAsia="宋体" w:hint="default"/>
          <w:sz w:val="22"/>
          <w:szCs w:val="22"/>
        </w:rPr>
      </w:r>
    </w:p>
    <w:p>
      <w:pPr>
        <w:pStyle w:val="Heading4"/>
        <w:spacing w:line="256" w:lineRule="auto" w:before="29"/>
        <w:ind w:left="573" w:right="298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w:t>
      </w:r>
    </w:p>
    <w:p>
      <w:pPr>
        <w:pStyle w:val="Heading4"/>
        <w:spacing w:line="240" w:lineRule="auto" w:before="22"/>
        <w:ind w:left="573" w:right="0"/>
        <w:jc w:val="left"/>
      </w:pPr>
      <w:r>
        <w:rPr/>
        <w:t>①采购存货专门用于单项业务时，按个别计价法确认。</w:t>
      </w:r>
    </w:p>
    <w:p>
      <w:pPr>
        <w:pStyle w:val="Heading4"/>
        <w:spacing w:line="240" w:lineRule="auto" w:before="37"/>
        <w:ind w:left="574" w:right="0"/>
        <w:jc w:val="left"/>
      </w:pPr>
      <w:r>
        <w:rPr/>
        <w:t>②非为单项业务单独采购的存货，按加权平均法确认。</w:t>
      </w:r>
    </w:p>
    <w:p>
      <w:pPr>
        <w:pStyle w:val="Heading4"/>
        <w:spacing w:line="256" w:lineRule="auto" w:before="37"/>
        <w:ind w:left="57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Heading4"/>
        <w:spacing w:line="273" w:lineRule="auto" w:before="22"/>
        <w:ind w:left="154" w:right="1118"/>
        <w:jc w:val="left"/>
      </w:pPr>
      <w:r>
        <w:rPr>
          <w:spacing w:val="-1"/>
        </w:rPr>
        <w:t>以及相关税费后的金额。期末对存货进行全面清查后，按存货的成本与可变现净值孰低提取或调整存货跌</w:t>
      </w:r>
      <w:r>
        <w:rPr>
          <w:spacing w:val="-81"/>
        </w:rPr>
        <w:t> </w:t>
      </w:r>
      <w:r>
        <w:rPr>
          <w:spacing w:val="-81"/>
        </w:rPr>
      </w:r>
      <w:r>
        <w:rPr/>
        <w:t>价准备。</w:t>
      </w:r>
    </w:p>
    <w:p>
      <w:pPr>
        <w:pStyle w:val="Heading4"/>
        <w:spacing w:line="273" w:lineRule="auto"/>
        <w:ind w:left="154" w:right="1110" w:firstLine="420"/>
        <w:jc w:val="both"/>
      </w:pPr>
      <w:r>
        <w:rPr>
          <w:spacing w:val="-1"/>
        </w:rPr>
        <w:t>在确定存货的可变现净值时，以取得的确凿证据为基础，同时考虑持有存货的目的以及资产负债表日</w:t>
      </w:r>
      <w:r>
        <w:rPr/>
        <w:t> </w:t>
      </w:r>
      <w:r>
        <w:rPr>
          <w:spacing w:val="-1"/>
        </w:rPr>
        <w:t>后事项的影响。库存商品和用于出售的材料等直接用于出售的商品存货，在正常生产经营过程中，以该存</w:t>
      </w:r>
      <w:r>
        <w:rPr>
          <w:spacing w:val="-83"/>
        </w:rPr>
        <w:t> </w:t>
      </w:r>
      <w:r>
        <w:rPr>
          <w:spacing w:val="-83"/>
        </w:rPr>
      </w:r>
      <w:r>
        <w:rPr/>
        <w:t>货的估计售价减去估计的销售费用和相关税费后的金额，确定其可变现净值；需要经过加工的材料存货， </w:t>
      </w:r>
      <w:r>
        <w:rPr>
          <w:spacing w:val="-1"/>
        </w:rPr>
        <w:t>在正常生产经营过程中，以所生产的产成品的估计售价减去至完工时估计将要发生的成本、估计的销售费</w:t>
      </w:r>
      <w:r>
        <w:rPr>
          <w:spacing w:val="-81"/>
        </w:rPr>
        <w:t> </w:t>
      </w:r>
      <w:r>
        <w:rPr>
          <w:spacing w:val="-81"/>
        </w:rPr>
      </w:r>
      <w:r>
        <w:rPr>
          <w:spacing w:val="-1"/>
        </w:rPr>
        <w:t>用和相关税费后的金额，确定其可变现净值；为执行销售合同或者劳务合同而持有的存货，其可变现净值</w:t>
      </w:r>
      <w:r>
        <w:rPr>
          <w:spacing w:val="-82"/>
        </w:rPr>
        <w:t> </w:t>
      </w:r>
      <w:r>
        <w:rPr>
          <w:spacing w:val="-82"/>
        </w:rPr>
      </w:r>
      <w:r>
        <w:rPr>
          <w:spacing w:val="-1"/>
        </w:rPr>
        <w:t>以合同价格为基础计算，若持有存货的数量多于销售合同订购数量的，超出部分的存货的可变现净值以一</w:t>
      </w:r>
      <w:r>
        <w:rPr>
          <w:spacing w:val="-81"/>
        </w:rPr>
        <w:t> </w:t>
      </w:r>
      <w:r>
        <w:rPr>
          <w:spacing w:val="-81"/>
        </w:rPr>
      </w:r>
      <w:r>
        <w:rPr/>
        <w:t>般销售价格为基础计算。</w:t>
      </w:r>
    </w:p>
    <w:p>
      <w:pPr>
        <w:pStyle w:val="Heading4"/>
        <w:spacing w:line="273" w:lineRule="auto"/>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Heading4"/>
        <w:spacing w:line="273" w:lineRule="auto"/>
        <w:ind w:left="154"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Heading4"/>
        <w:spacing w:line="273" w:lineRule="auto"/>
        <w:ind w:left="154" w:right="1131" w:firstLine="420"/>
        <w:jc w:val="both"/>
      </w:pPr>
      <w:r>
        <w:rPr>
          <w:spacing w:val="-1"/>
        </w:rPr>
        <w:t>除有明确证据表明资产负债表日市场价格异常外，存货项目的可变现净值以资产负债表日市场价格为</w:t>
      </w:r>
      <w:r>
        <w:rPr/>
        <w:t> 基础确定。</w:t>
      </w:r>
    </w:p>
    <w:p>
      <w:pPr>
        <w:pStyle w:val="Heading4"/>
        <w:spacing w:line="240" w:lineRule="auto"/>
        <w:ind w:left="574" w:right="0"/>
        <w:jc w:val="left"/>
      </w:pPr>
      <w:r>
        <w:rPr/>
        <w:t>资产负债表日市场价格异常的判断依据为：波动超过</w:t>
      </w:r>
      <w:r>
        <w:rPr>
          <w:rFonts w:ascii="Times New Roman" w:hAnsi="Times New Roman" w:cs="Times New Roman" w:eastAsia="Times New Roman" w:hint="default"/>
        </w:rPr>
        <w:t>30%</w:t>
      </w:r>
      <w:r>
        <w:rPr/>
        <w:t>。</w:t>
      </w:r>
    </w:p>
    <w:p>
      <w:pPr>
        <w:pStyle w:val="Heading4"/>
        <w:spacing w:line="240" w:lineRule="auto" w:before="21"/>
        <w:ind w:left="574" w:right="0"/>
        <w:jc w:val="left"/>
      </w:pPr>
      <w:r>
        <w:rPr/>
        <w:t>（</w:t>
      </w:r>
      <w:r>
        <w:rPr>
          <w:rFonts w:ascii="Times New Roman" w:hAnsi="Times New Roman" w:cs="Times New Roman" w:eastAsia="Times New Roman" w:hint="default"/>
        </w:rPr>
        <w:t>4</w:t>
      </w:r>
      <w:r>
        <w:rPr/>
        <w:t>）存货的盘存制度为永续盘存制。</w:t>
      </w:r>
    </w:p>
    <w:p>
      <w:pPr>
        <w:pStyle w:val="Heading4"/>
        <w:spacing w:line="256" w:lineRule="auto" w:before="21"/>
        <w:ind w:left="574" w:right="319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jc w:val="left"/>
      </w:pPr>
      <w:r>
        <w:rPr/>
        <w:t>（</w:t>
      </w:r>
      <w:r>
        <w:rPr>
          <w:rFonts w:ascii="Times New Roman" w:hAnsi="Times New Roman" w:cs="Times New Roman" w:eastAsia="Times New Roman" w:hint="default"/>
        </w:rPr>
        <w:t>1</w:t>
      </w:r>
      <w:r>
        <w:rPr/>
        <w:t>）持有待售类别的确认标准 </w:t>
      </w:r>
      <w:r>
        <w:rPr>
          <w:spacing w:val="-1"/>
        </w:rPr>
        <w:t>本集团主要通过出售（包括具有商业实质的非货币性资产交换，下同）而非持续使用一项非流动资产</w:t>
      </w:r>
    </w:p>
    <w:p>
      <w:pPr>
        <w:pStyle w:val="Heading4"/>
        <w:spacing w:line="273" w:lineRule="auto" w:before="23"/>
        <w:ind w:left="154" w:right="0"/>
        <w:jc w:val="left"/>
      </w:pPr>
      <w:r>
        <w:rPr>
          <w:spacing w:val="-1"/>
        </w:rPr>
        <w:t>或处置组收回其账面价值的，将其划分为持有待售类别。非流动资产或处置组划分为持有待售类别，同时</w:t>
      </w:r>
      <w:r>
        <w:rPr>
          <w:spacing w:val="-83"/>
        </w:rPr>
        <w:t> </w:t>
      </w:r>
      <w:r>
        <w:rPr>
          <w:spacing w:val="-83"/>
        </w:rPr>
      </w:r>
      <w:r>
        <w:rPr/>
        <w:t>满足下列条件：</w:t>
      </w:r>
    </w:p>
    <w:p>
      <w:pPr>
        <w:pStyle w:val="Heading4"/>
        <w:spacing w:line="240" w:lineRule="auto"/>
        <w:ind w:left="574" w:right="0"/>
        <w:jc w:val="left"/>
      </w:pPr>
      <w:r>
        <w:rPr/>
        <w:t>①根据类似交易中出售此类资产或处置组的惯例，在当前状况下即可立即出售；</w:t>
      </w:r>
    </w:p>
    <w:p>
      <w:pPr>
        <w:pStyle w:val="Heading4"/>
        <w:spacing w:line="240" w:lineRule="auto" w:before="37"/>
        <w:ind w:left="573" w:right="0"/>
        <w:jc w:val="left"/>
      </w:pPr>
      <w:r>
        <w:rPr/>
        <w:t>②出售极可能发生，即本集团已经就一项出售计划作出决议且获得确定的购买承诺，预计出售将在一</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年内完成。有关规定要求本集团相关权力机构或者监管部门批准后方可出售的，应当已经获得批准。确定</w:t>
      </w:r>
      <w:r>
        <w:rPr>
          <w:spacing w:val="-83"/>
        </w:rPr>
        <w:t> </w:t>
      </w:r>
      <w:r>
        <w:rPr>
          <w:spacing w:val="-83"/>
        </w:rPr>
      </w:r>
      <w:r>
        <w:rPr>
          <w:spacing w:val="-1"/>
        </w:rPr>
        <w:t>的购买承诺，是指本集团与其他方签订的具有法律约束力的购买协议，该协议包含交易价格、时间和足够</w:t>
      </w:r>
      <w:r>
        <w:rPr>
          <w:spacing w:val="-83"/>
        </w:rPr>
        <w:t> </w:t>
      </w:r>
      <w:r>
        <w:rPr>
          <w:spacing w:val="-83"/>
        </w:rPr>
      </w:r>
      <w:r>
        <w:rPr/>
        <w:t>严厉的违约惩罚等重要条款，使协议出现重大调整或者撤销的可能性极小。</w:t>
      </w:r>
    </w:p>
    <w:p>
      <w:pPr>
        <w:pStyle w:val="Heading4"/>
        <w:spacing w:line="256" w:lineRule="auto"/>
        <w:ind w:right="1024" w:firstLine="420"/>
        <w:jc w:val="left"/>
      </w:pPr>
      <w:r>
        <w:rPr>
          <w:spacing w:val="-3"/>
          <w:w w:val="100"/>
        </w:rPr>
        <w:t>本集团专为转售而取得的非流动资产或处置组，在取得日满足</w:t>
      </w:r>
      <w:r>
        <w:rPr>
          <w:rFonts w:ascii="Times New Roman" w:hAnsi="Times New Roman" w:cs="Times New Roman" w:eastAsia="Times New Roman" w:hint="default"/>
          <w:spacing w:val="-3"/>
          <w:w w:val="100"/>
        </w:rPr>
        <w:t>“</w:t>
      </w:r>
      <w:r>
        <w:rPr>
          <w:spacing w:val="-3"/>
          <w:w w:val="100"/>
        </w:rPr>
        <w:t>预计出售将在一年内完成</w:t>
      </w:r>
      <w:r>
        <w:rPr>
          <w:rFonts w:ascii="Times New Roman" w:hAnsi="Times New Roman" w:cs="Times New Roman" w:eastAsia="Times New Roman" w:hint="default"/>
          <w:spacing w:val="-3"/>
          <w:w w:val="100"/>
        </w:rPr>
        <w:t>”</w:t>
      </w:r>
      <w:r>
        <w:rPr>
          <w:spacing w:val="-3"/>
          <w:w w:val="100"/>
        </w:rPr>
        <w:t>的规定条件，</w:t>
      </w:r>
      <w:r>
        <w:rPr/>
        <w:t> 且短期（通常为</w:t>
      </w:r>
      <w:r>
        <w:rPr>
          <w:rFonts w:ascii="Times New Roman" w:hAnsi="Times New Roman" w:cs="Times New Roman" w:eastAsia="Times New Roman" w:hint="default"/>
        </w:rPr>
        <w:t>3</w:t>
      </w:r>
      <w:r>
        <w:rPr/>
        <w:t>个月）内很可能满足持有待售类别的其他划分条件的，在取得日将其划分为持有待售类</w:t>
      </w:r>
      <w:r>
        <w:rPr>
          <w:spacing w:val="-33"/>
        </w:rPr>
        <w:t> </w:t>
      </w:r>
      <w:r>
        <w:rPr>
          <w:spacing w:val="-33"/>
        </w:rPr>
      </w:r>
      <w:r>
        <w:rPr/>
        <w:t>别。</w:t>
      </w:r>
    </w:p>
    <w:p>
      <w:pPr>
        <w:pStyle w:val="Heading4"/>
        <w:spacing w:line="264" w:lineRule="auto" w:before="22"/>
        <w:ind w:right="1126" w:firstLine="420"/>
        <w:jc w:val="both"/>
      </w:pPr>
      <w:r>
        <w:rPr>
          <w:spacing w:val="-1"/>
        </w:rPr>
        <w:t>处置组，是指在一项交易中作为整体通过出售或其他方式一并处置的一组资产，以及在该交易中转让</w:t>
      </w:r>
      <w:r>
        <w:rPr/>
        <w:t> 的与这些资产直接相关的负债。处置组所属的资产组或资产组组合按照《企业会计准则第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w:t>
      </w:r>
      <w:r>
        <w:rPr>
          <w:spacing w:val="-22"/>
        </w:rPr>
        <w:t> </w:t>
      </w:r>
      <w:r>
        <w:rPr/>
        <w:t>值》分摊了企业合并中取得的商誉的，该处置组应当包含分摊至处置组的商誉。</w:t>
      </w:r>
    </w:p>
    <w:p>
      <w:pPr>
        <w:pStyle w:val="Heading4"/>
        <w:spacing w:line="256" w:lineRule="auto" w:before="16"/>
        <w:ind w:left="573" w:right="0"/>
        <w:jc w:val="left"/>
      </w:pPr>
      <w:r>
        <w:rPr/>
        <w:t>（</w:t>
      </w:r>
      <w:r>
        <w:rPr>
          <w:rFonts w:ascii="Times New Roman" w:hAnsi="Times New Roman" w:cs="Times New Roman" w:eastAsia="Times New Roman" w:hint="default"/>
        </w:rPr>
        <w:t>2</w:t>
      </w:r>
      <w:r>
        <w:rPr/>
        <w:t>）持有待售类别的会计处理方法 </w:t>
      </w:r>
      <w:r>
        <w:rPr>
          <w:spacing w:val="-1"/>
        </w:rPr>
        <w:t>本集团对于被分类为持有待售类别的非流动资产和处置组，以账面价值与公允价值减去处置费用后的</w:t>
      </w:r>
    </w:p>
    <w:p>
      <w:pPr>
        <w:pStyle w:val="Heading4"/>
        <w:spacing w:line="273" w:lineRule="auto" w:before="22"/>
        <w:ind w:right="1131"/>
        <w:jc w:val="both"/>
      </w:pPr>
      <w:r>
        <w:rPr>
          <w:spacing w:val="-1"/>
        </w:rPr>
        <w:t>净额孰低进行初始计量或重新计量。公允价值减去处置费用后的净额低于原账面价值的，其差额确认为资</w:t>
      </w:r>
      <w:r>
        <w:rPr>
          <w:spacing w:val="-81"/>
        </w:rPr>
        <w:t> </w:t>
      </w:r>
      <w:r>
        <w:rPr>
          <w:spacing w:val="-81"/>
        </w:rPr>
      </w:r>
      <w:r>
        <w:rPr>
          <w:spacing w:val="-1"/>
        </w:rPr>
        <w:t>产减值损失计入当期损益，同时计提持有待售资产减值准备；对于持有待售的处置组确认的资产减值损失</w:t>
      </w:r>
      <w:r>
        <w:rPr>
          <w:spacing w:val="-81"/>
        </w:rPr>
        <w:t> </w:t>
      </w:r>
      <w:r>
        <w:rPr>
          <w:spacing w:val="-81"/>
        </w:rPr>
      </w:r>
      <w:r>
        <w:rPr>
          <w:spacing w:val="-1"/>
        </w:rPr>
        <w:t>金额，先抵减处置组中商誉的账面价值，再根据处置组中适用持有待售类别计量规定的各项非流动资产账</w:t>
      </w:r>
      <w:r>
        <w:rPr>
          <w:spacing w:val="-81"/>
        </w:rPr>
        <w:t> </w:t>
      </w:r>
      <w:r>
        <w:rPr>
          <w:spacing w:val="-81"/>
        </w:rPr>
      </w:r>
      <w:r>
        <w:rPr>
          <w:spacing w:val="-1"/>
        </w:rPr>
        <w:t>面价值所占比重，按比例抵减其账面价值。后续资产负债表日持有待售的非流动资产公允价值减去出售费</w:t>
      </w:r>
      <w:r>
        <w:rPr>
          <w:spacing w:val="-81"/>
        </w:rPr>
        <w:t> </w:t>
      </w:r>
      <w:r>
        <w:rPr>
          <w:spacing w:val="-81"/>
        </w:rPr>
      </w:r>
      <w:r>
        <w:rPr>
          <w:spacing w:val="-1"/>
        </w:rPr>
        <w:t>用后的净额增加的，以前减记的金额予以恢复，并在划分为持有待售类别后确认的资产减值损失金额内转</w:t>
      </w:r>
      <w:r>
        <w:rPr>
          <w:spacing w:val="-81"/>
        </w:rPr>
        <w:t> </w:t>
      </w:r>
      <w:r>
        <w:rPr>
          <w:spacing w:val="-81"/>
        </w:rPr>
      </w:r>
      <w:r>
        <w:rPr>
          <w:spacing w:val="-1"/>
        </w:rPr>
        <w:t>回，转回金额计入当期损益。划分为持有待售类别前确认的资产减值损失不予转回。后续资产负债表日持</w:t>
      </w:r>
      <w:r>
        <w:rPr>
          <w:spacing w:val="-83"/>
        </w:rPr>
        <w:t> </w:t>
      </w:r>
      <w:r>
        <w:rPr>
          <w:spacing w:val="-83"/>
        </w:rPr>
      </w:r>
      <w:r>
        <w:rPr>
          <w:spacing w:val="-1"/>
        </w:rPr>
        <w:t>有待售的处置组公允价值减去出售费用后的净额增加的，以前减记的金额予以恢复，并在划分为持有待售</w:t>
      </w:r>
      <w:r>
        <w:rPr>
          <w:spacing w:val="-81"/>
        </w:rPr>
        <w:t> </w:t>
      </w:r>
      <w:r>
        <w:rPr>
          <w:spacing w:val="-81"/>
        </w:rPr>
      </w:r>
      <w:r>
        <w:rPr>
          <w:spacing w:val="3"/>
        </w:rPr>
        <w:t>类别后适用持有待售类别计量规定的非流动资产确认的资产减值损失金额内转回，转回金额计入当期损</w:t>
      </w:r>
      <w:r>
        <w:rPr>
          <w:spacing w:val="-82"/>
        </w:rPr>
        <w:t> </w:t>
      </w:r>
      <w:r>
        <w:rPr>
          <w:spacing w:val="-82"/>
        </w:rPr>
      </w:r>
      <w:r>
        <w:rPr>
          <w:spacing w:val="-1"/>
        </w:rPr>
        <w:t>益。已抵减的商誉账面价值，以及适用持有待售类别计量规定的非流动资产在划分为持有待售类别前确认</w:t>
      </w:r>
      <w:r>
        <w:rPr>
          <w:spacing w:val="-81"/>
        </w:rPr>
        <w:t> </w:t>
      </w:r>
      <w:r>
        <w:rPr>
          <w:spacing w:val="-81"/>
        </w:rPr>
      </w:r>
      <w:r>
        <w:rPr>
          <w:spacing w:val="-1"/>
        </w:rPr>
        <w:t>的资产减值损失不予转回。持有待售的处置组确认的资产减值损失后续转回金额，根据处置组中除商誉外</w:t>
      </w:r>
      <w:r>
        <w:rPr>
          <w:spacing w:val="-81"/>
        </w:rPr>
        <w:t> </w:t>
      </w:r>
      <w:r>
        <w:rPr>
          <w:spacing w:val="-81"/>
        </w:rPr>
      </w:r>
      <w:r>
        <w:rPr>
          <w:spacing w:val="-1"/>
        </w:rPr>
        <w:t>适用持有待售类别计量规定的各项非流动资产账面价值所占比重，按比例增加其账面价值。持有待售的非</w:t>
      </w:r>
      <w:r>
        <w:rPr>
          <w:spacing w:val="-81"/>
        </w:rPr>
        <w:t> </w:t>
      </w:r>
      <w:r>
        <w:rPr>
          <w:spacing w:val="-81"/>
        </w:rPr>
      </w:r>
      <w:r>
        <w:rPr>
          <w:spacing w:val="-1"/>
        </w:rPr>
        <w:t>流动资产或处置组中的非流动资产不计提折旧或摊销，持有待售的处置组中负债的利息和其他费用继续予</w:t>
      </w:r>
      <w:r>
        <w:rPr>
          <w:spacing w:val="-81"/>
        </w:rPr>
        <w:t> </w:t>
      </w:r>
      <w:r>
        <w:rPr>
          <w:spacing w:val="-81"/>
        </w:rPr>
      </w:r>
      <w:r>
        <w:rPr/>
        <w:t>以确认。</w:t>
      </w:r>
    </w:p>
    <w:p>
      <w:pPr>
        <w:pStyle w:val="Heading4"/>
        <w:spacing w:line="268" w:lineRule="auto"/>
        <w:ind w:right="1131" w:firstLine="420"/>
        <w:jc w:val="both"/>
      </w:pPr>
      <w:r>
        <w:rPr>
          <w:spacing w:val="-1"/>
        </w:rPr>
        <w:t>递延所得税资产、《企业会计准则第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金融工具确认和计量》规范的金融资产、以公允价值计</w:t>
      </w:r>
      <w:r>
        <w:rPr/>
        <w:t> </w:t>
      </w:r>
      <w:r>
        <w:rPr>
          <w:spacing w:val="-1"/>
        </w:rPr>
        <w:t>量的投资性房地产和生物资产、保险合同中产生的合同权利、从职工福利中所产生的资产不适用于持有待</w:t>
      </w:r>
      <w:r>
        <w:rPr>
          <w:spacing w:val="-81"/>
        </w:rPr>
        <w:t> </w:t>
      </w:r>
      <w:r>
        <w:rPr>
          <w:spacing w:val="-81"/>
        </w:rPr>
      </w:r>
      <w:r>
        <w:rPr>
          <w:spacing w:val="-1"/>
        </w:rPr>
        <w:t>售类别的计量方法，而是根据相关准则或本集团制定的相应会计政策进行计量。处置组包含适用持有待售</w:t>
      </w:r>
      <w:r>
        <w:rPr>
          <w:spacing w:val="-81"/>
        </w:rPr>
        <w:t> </w:t>
      </w:r>
      <w:r>
        <w:rPr>
          <w:spacing w:val="-81"/>
        </w:rPr>
      </w:r>
      <w:r>
        <w:rPr>
          <w:spacing w:val="-1"/>
        </w:rPr>
        <w:t>类别的计量方法的非流动资产的，持有待售类别的计量方法适用于整个处置组。处置组中负债的计量适用</w:t>
      </w:r>
      <w:r>
        <w:rPr>
          <w:spacing w:val="-81"/>
        </w:rPr>
        <w:t> </w:t>
      </w:r>
      <w:r>
        <w:rPr>
          <w:spacing w:val="-81"/>
        </w:rPr>
      </w:r>
      <w:r>
        <w:rPr/>
        <w:t>相关会计准则。</w:t>
      </w:r>
    </w:p>
    <w:p>
      <w:pPr>
        <w:pStyle w:val="Heading4"/>
        <w:spacing w:line="273" w:lineRule="auto" w:before="12"/>
        <w:ind w:right="1110" w:firstLine="420"/>
        <w:jc w:val="both"/>
      </w:pPr>
      <w:r>
        <w:rPr>
          <w:spacing w:val="3"/>
        </w:rPr>
        <w:t>非流动资产或处置组因不再满足持有待售类别的划分条件而不再继续划分为持有待售类别或非流动</w:t>
      </w:r>
      <w:r>
        <w:rPr/>
        <w:t> </w:t>
      </w:r>
      <w:r>
        <w:rPr>
          <w:spacing w:val="-1"/>
        </w:rPr>
        <w:t>资产从持有待售的处置组中移除时，按照以下两者孰低计量：①划分为持有待售类别前的账面价值，按照</w:t>
      </w:r>
      <w:r>
        <w:rPr>
          <w:spacing w:val="-83"/>
        </w:rPr>
        <w:t> </w:t>
      </w:r>
      <w:r>
        <w:rPr>
          <w:spacing w:val="-83"/>
        </w:rPr>
      </w:r>
      <w:r>
        <w:rPr/>
        <w:t>假定不划分为持有待售类别情况下本应确认的折旧、摊销或减值等进行调整后的金额；；②可收回金额。</w:t>
      </w:r>
    </w:p>
    <w:p>
      <w:pPr>
        <w:spacing w:line="590" w:lineRule="atLeast" w:before="9"/>
        <w:ind w:left="574" w:right="4242" w:hanging="420"/>
        <w:jc w:val="left"/>
        <w:rPr>
          <w:rFonts w:ascii="宋体" w:hAnsi="宋体" w:cs="宋体" w:eastAsia="宋体" w:hint="default"/>
          <w:sz w:val="21"/>
          <w:szCs w:val="21"/>
        </w:rPr>
      </w:pPr>
      <w:bookmarkStart w:name="14、长期股权投资" w:id="189"/>
      <w:bookmarkEnd w:id="18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长期股权投资包括对子公司、合营企业和联营企业的权益性投资。</w:t>
      </w:r>
    </w:p>
    <w:p>
      <w:pPr>
        <w:pStyle w:val="Heading4"/>
        <w:spacing w:line="256" w:lineRule="auto" w:before="37"/>
        <w:ind w:left="573" w:right="5083"/>
        <w:jc w:val="left"/>
      </w:pPr>
      <w:r>
        <w:rPr/>
        <w:t>（</w:t>
      </w:r>
      <w:r>
        <w:rPr>
          <w:rFonts w:ascii="Times New Roman" w:hAnsi="Times New Roman" w:cs="Times New Roman" w:eastAsia="Times New Roman" w:hint="default"/>
        </w:rPr>
        <w:t>1</w:t>
      </w:r>
      <w:r>
        <w:rPr/>
        <w:t>）</w:t>
      </w:r>
      <w:r>
        <w:rPr>
          <w:spacing w:val="-21"/>
        </w:rPr>
        <w:t> </w:t>
      </w:r>
      <w:r>
        <w:rPr/>
        <w:t>初始计量</w:t>
      </w:r>
      <w:r>
        <w:rPr/>
        <w:t> 本集团分别下列两种情况对长期股权投资进行初始计量：</w:t>
      </w:r>
    </w:p>
    <w:p>
      <w:pPr>
        <w:pStyle w:val="Heading4"/>
        <w:spacing w:line="240" w:lineRule="auto" w:before="22"/>
        <w:ind w:left="573" w:right="0"/>
        <w:jc w:val="left"/>
      </w:pPr>
      <w:r>
        <w:rPr/>
        <w:t>①企业合并形成的长期股权投资，按照下列规定确定其初始投资成本：</w:t>
      </w:r>
    </w:p>
    <w:p>
      <w:pPr>
        <w:pStyle w:val="Heading4"/>
        <w:spacing w:line="268" w:lineRule="auto" w:before="37"/>
        <w:ind w:right="0" w:firstLine="420"/>
        <w:jc w:val="left"/>
      </w:pPr>
      <w:r>
        <w:rPr>
          <w:rFonts w:ascii="Times New Roman" w:hAnsi="Times New Roman" w:cs="Times New Roman" w:eastAsia="Times New Roman" w:hint="default"/>
          <w:spacing w:val="-2"/>
        </w:rPr>
        <w:t>A</w:t>
      </w:r>
      <w:r>
        <w:rPr>
          <w:spacing w:val="-2"/>
        </w:rPr>
        <w:t>、同一控制下的企业合并中，合并方以支付现金、转让非现金资产或承担债务方式作为合并对价的，</w:t>
      </w:r>
      <w:r>
        <w:rPr/>
        <w:t> </w:t>
      </w:r>
      <w:r>
        <w:rPr>
          <w:spacing w:val="3"/>
        </w:rPr>
        <w:t>在合并日按照被合并方所有者权益在最终控制方合并财务报表中的账面价值的份额作为长期股权投资的</w:t>
      </w:r>
      <w:r>
        <w:rPr>
          <w:spacing w:val="-79"/>
        </w:rPr>
        <w:t> </w:t>
      </w:r>
      <w:r>
        <w:rPr>
          <w:spacing w:val="-79"/>
        </w:rPr>
      </w:r>
      <w:r>
        <w:rPr/>
        <w:t>初始投资成本。长期股权投资初始投资成本与支付的现金、转让的非现金资产以及所承担债务账面价值之</w:t>
      </w:r>
      <w:r>
        <w:rPr/>
        <w:t> 间的差额，调整资本公积；资本公积不足冲减的，调整留存收益。为进行企业合并发生的各项直接相关费 用，包括为进行企业合并而支付的审计费用、评估费用、法律服务费用等，于发生时计入当期损益。</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0" w:firstLine="420"/>
        <w:jc w:val="both"/>
      </w:pPr>
      <w:r>
        <w:rPr>
          <w:spacing w:val="-1"/>
        </w:rPr>
        <w:t>合并方以发行权益性证券作为合并对价的，在合并日按照被合并方所有者权益在最终控制方合并财务</w:t>
      </w:r>
      <w:r>
        <w:rPr/>
        <w:t> </w:t>
      </w:r>
      <w:r>
        <w:rPr>
          <w:spacing w:val="-1"/>
        </w:rPr>
        <w:t>报表中的账面价值的份额作为长期股权投资的初始投资成本。按照发行股份的面值总额作为股本，长期股</w:t>
      </w:r>
      <w:r>
        <w:rPr>
          <w:spacing w:val="-80"/>
        </w:rPr>
        <w:t> </w:t>
      </w:r>
      <w:r>
        <w:rPr>
          <w:spacing w:val="-80"/>
        </w:rPr>
      </w:r>
      <w:r>
        <w:rPr>
          <w:spacing w:val="-1"/>
        </w:rPr>
        <w:t>权投资初始投资成本与所发行股份面值总额之间的差额，调整资本公积；资本公积不足冲减的，调整留存</w:t>
      </w:r>
      <w:r>
        <w:rPr>
          <w:spacing w:val="-83"/>
        </w:rPr>
        <w:t> </w:t>
      </w:r>
      <w:r>
        <w:rPr>
          <w:spacing w:val="-83"/>
        </w:rPr>
      </w:r>
      <w:r>
        <w:rPr>
          <w:spacing w:val="-1"/>
        </w:rPr>
        <w:t>收益。合并中发行权益性证券发生的手续费、佣金等费用，抵减权益性证券溢价收入，溢价收入不足冲减</w:t>
      </w:r>
      <w:r>
        <w:rPr>
          <w:spacing w:val="-86"/>
        </w:rPr>
        <w:t> </w:t>
      </w:r>
      <w:r>
        <w:rPr>
          <w:spacing w:val="-86"/>
        </w:rPr>
      </w:r>
      <w:r>
        <w:rPr/>
        <w:t>的，冲减留存收益。</w:t>
      </w:r>
    </w:p>
    <w:p>
      <w:pPr>
        <w:pStyle w:val="Heading4"/>
        <w:spacing w:line="256" w:lineRule="auto"/>
        <w:ind w:left="573" w:right="0"/>
        <w:jc w:val="left"/>
      </w:pPr>
      <w:r>
        <w:rPr>
          <w:rFonts w:ascii="Times New Roman" w:hAnsi="Times New Roman" w:cs="Times New Roman" w:eastAsia="Times New Roman" w:hint="default"/>
        </w:rPr>
        <w:t>B</w:t>
      </w:r>
      <w:r>
        <w:rPr/>
        <w:t>、非同一控制下的企业合并中，本集团区别下列情况确定合并成本： </w:t>
      </w:r>
      <w:r>
        <w:rPr>
          <w:rFonts w:ascii="Times New Roman" w:hAnsi="Times New Roman" w:cs="Times New Roman" w:eastAsia="Times New Roman" w:hint="default"/>
        </w:rPr>
        <w:t>a</w:t>
      </w:r>
      <w:r>
        <w:rPr/>
        <w:t>）一次交换交易实现的企业合并，合并成本为在购买日为取得对被购买方的控制权而付出的资产、</w:t>
      </w:r>
    </w:p>
    <w:p>
      <w:pPr>
        <w:pStyle w:val="Heading4"/>
        <w:spacing w:line="240" w:lineRule="auto" w:before="5"/>
        <w:ind w:right="0"/>
        <w:jc w:val="left"/>
      </w:pPr>
      <w:r>
        <w:rPr/>
        <w:t>发生或承担的负债以及发行的权益性证券的公允价值；</w:t>
      </w:r>
    </w:p>
    <w:p>
      <w:pPr>
        <w:pStyle w:val="Heading4"/>
        <w:spacing w:line="256" w:lineRule="auto" w:before="37"/>
        <w:ind w:right="1141" w:firstLine="420"/>
        <w:jc w:val="both"/>
      </w:pPr>
      <w:r>
        <w:rPr>
          <w:rFonts w:ascii="Times New Roman" w:hAnsi="Times New Roman" w:cs="Times New Roman" w:eastAsia="Times New Roman" w:hint="default"/>
        </w:rPr>
        <w:t>b</w:t>
      </w:r>
      <w:r>
        <w:rPr/>
        <w:t>）通过多次交换交易分步实现的企业合并，以购买日之前所持被购买方的股权投资的账面价值与购 买日新增投资成本之和，作为该项投资的初始投资成本；</w:t>
      </w:r>
    </w:p>
    <w:p>
      <w:pPr>
        <w:pStyle w:val="Heading4"/>
        <w:spacing w:line="264" w:lineRule="auto" w:before="22"/>
        <w:ind w:right="1131" w:firstLine="420"/>
        <w:jc w:val="both"/>
      </w:pPr>
      <w:r>
        <w:rPr>
          <w:rFonts w:ascii="Times New Roman" w:hAnsi="Times New Roman" w:cs="Times New Roman" w:eastAsia="Times New Roman" w:hint="default"/>
        </w:rPr>
        <w:t>c</w:t>
      </w:r>
      <w:r>
        <w:rPr/>
        <w:t>）为企业合并发生的审计、法律服务、评估咨询等中介费用以及其他相关管理费用，于发生时计入 </w:t>
      </w:r>
      <w:r>
        <w:rPr>
          <w:spacing w:val="-1"/>
        </w:rPr>
        <w:t>当期损益；作为合并对价发行的权益性证券或债务性证券的交易费用，计入权益性证券或债务性证券的初</w:t>
      </w:r>
      <w:r>
        <w:rPr>
          <w:spacing w:val="-81"/>
        </w:rPr>
        <w:t> </w:t>
      </w:r>
      <w:r>
        <w:rPr>
          <w:spacing w:val="-81"/>
        </w:rPr>
      </w:r>
      <w:r>
        <w:rPr/>
        <w:t>始确认金额；</w:t>
      </w:r>
    </w:p>
    <w:p>
      <w:pPr>
        <w:pStyle w:val="Heading4"/>
        <w:spacing w:line="256" w:lineRule="auto" w:before="16"/>
        <w:ind w:right="1141" w:firstLine="420"/>
        <w:jc w:val="both"/>
      </w:pPr>
      <w:r>
        <w:rPr>
          <w:rFonts w:ascii="Times New Roman" w:hAnsi="Times New Roman" w:cs="Times New Roman" w:eastAsia="Times New Roman" w:hint="default"/>
        </w:rPr>
        <w:t>d</w:t>
      </w:r>
      <w:r>
        <w:rPr/>
        <w:t>）在合并合同或协议中对可能影响合并成本的未来事项作出约定的，购买日如果估计未来事项很可 能发生并且对合并成本的影响金额能够可靠计量的，将其计入合并成本。</w:t>
      </w:r>
    </w:p>
    <w:p>
      <w:pPr>
        <w:pStyle w:val="Heading4"/>
        <w:spacing w:line="273" w:lineRule="auto" w:before="22"/>
        <w:ind w:right="1131" w:firstLine="420"/>
        <w:jc w:val="both"/>
      </w:pPr>
      <w:r>
        <w:rPr>
          <w:spacing w:val="-1"/>
        </w:rPr>
        <w:t>②除企业合并形成的长期股权投资以外，其他方式取得的长期股权投资，按照下列规定确定其初始投</w:t>
      </w:r>
      <w:r>
        <w:rPr/>
        <w:t> 资成本：</w:t>
      </w:r>
    </w:p>
    <w:p>
      <w:pPr>
        <w:pStyle w:val="Heading4"/>
        <w:spacing w:line="256" w:lineRule="auto"/>
        <w:ind w:right="1134" w:firstLine="420"/>
        <w:jc w:val="both"/>
      </w:pPr>
      <w:r>
        <w:rPr>
          <w:rFonts w:ascii="Times New Roman" w:hAnsi="Times New Roman" w:cs="Times New Roman" w:eastAsia="Times New Roman" w:hint="default"/>
        </w:rPr>
        <w:t>A</w:t>
      </w:r>
      <w:r>
        <w:rPr/>
        <w:t>、以支付现金取得的长期股权投资，按照实际支付的购买价款作为初始投资成本。初始投资成本包 括与取得长期股权投资直接相关的费用、税金及其他必要支出。</w:t>
      </w:r>
    </w:p>
    <w:p>
      <w:pPr>
        <w:pStyle w:val="Heading4"/>
        <w:spacing w:line="264" w:lineRule="auto" w:before="22"/>
        <w:ind w:right="1132" w:firstLine="420"/>
        <w:jc w:val="both"/>
      </w:pPr>
      <w:r>
        <w:rPr>
          <w:rFonts w:ascii="Times New Roman" w:hAnsi="Times New Roman" w:cs="Times New Roman" w:eastAsia="Times New Roman" w:hint="default"/>
        </w:rPr>
        <w:t>B</w:t>
      </w:r>
      <w:r>
        <w:rPr/>
        <w:t>、以发行权益性证券取得的长期股权投资，按照发行权益性证券的公允价值作为初始投资成本，但 </w:t>
      </w:r>
      <w:r>
        <w:rPr>
          <w:spacing w:val="-1"/>
        </w:rPr>
        <w:t>不包括应自被投资单位收取的已宣告但尚未发放的现金股利或利润。发行或取得自身权益工具时发生的交</w:t>
      </w:r>
      <w:r>
        <w:rPr>
          <w:spacing w:val="-81"/>
        </w:rPr>
        <w:t> </w:t>
      </w:r>
      <w:r>
        <w:rPr>
          <w:spacing w:val="-81"/>
        </w:rPr>
      </w:r>
      <w:r>
        <w:rPr/>
        <w:t>易费用，可直接归属于权益性交易的，从权益中扣减。</w:t>
      </w:r>
    </w:p>
    <w:p>
      <w:pPr>
        <w:pStyle w:val="Heading4"/>
        <w:spacing w:line="256" w:lineRule="auto" w:before="16"/>
        <w:ind w:right="1127" w:firstLine="420"/>
        <w:jc w:val="both"/>
      </w:pPr>
      <w:r>
        <w:rPr>
          <w:rFonts w:ascii="Times New Roman" w:hAnsi="Times New Roman" w:cs="Times New Roman" w:eastAsia="Times New Roman" w:hint="default"/>
        </w:rPr>
        <w:t>C</w:t>
      </w:r>
      <w:r>
        <w:rPr/>
        <w:t>、通过非货币性资产交换取得的长期股权投资，其初始投资成本按照《企业会计准则第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w:t>
      </w:r>
      <w:r>
        <w:rPr>
          <w:spacing w:val="2"/>
        </w:rPr>
        <w:t> </w:t>
      </w:r>
      <w:r>
        <w:rPr/>
        <w:t>性资产交换》确定。</w:t>
      </w:r>
    </w:p>
    <w:p>
      <w:pPr>
        <w:pStyle w:val="Heading4"/>
        <w:spacing w:line="240" w:lineRule="auto" w:before="22"/>
        <w:ind w:left="573" w:right="0"/>
        <w:jc w:val="left"/>
      </w:pPr>
      <w:r>
        <w:rPr>
          <w:rFonts w:ascii="Times New Roman" w:hAnsi="Times New Roman" w:cs="Times New Roman" w:eastAsia="Times New Roman" w:hint="default"/>
          <w:spacing w:val="-5"/>
        </w:rPr>
        <w:t>D</w:t>
      </w:r>
      <w:r>
        <w:rPr>
          <w:spacing w:val="-5"/>
        </w:rPr>
        <w:t>、通过债务重组取得的长期股权投资，其初始投资成本按照《企业会计准则第</w:t>
      </w:r>
      <w:r>
        <w:rPr>
          <w:rFonts w:ascii="Times New Roman" w:hAnsi="Times New Roman" w:cs="Times New Roman" w:eastAsia="Times New Roman" w:hint="default"/>
          <w:spacing w:val="-5"/>
        </w:rPr>
        <w:t>12</w:t>
      </w:r>
      <w:r>
        <w:rPr>
          <w:spacing w:val="-5"/>
        </w:rPr>
        <w:t>号</w:t>
      </w:r>
      <w:r>
        <w:rPr>
          <w:rFonts w:ascii="Times New Roman" w:hAnsi="Times New Roman" w:cs="Times New Roman" w:eastAsia="Times New Roman" w:hint="default"/>
          <w:spacing w:val="-5"/>
        </w:rPr>
        <w:t>--</w:t>
      </w:r>
      <w:r>
        <w:rPr>
          <w:spacing w:val="-5"/>
        </w:rPr>
        <w:t>债务重组》确定。</w:t>
      </w:r>
    </w:p>
    <w:p>
      <w:pPr>
        <w:pStyle w:val="Heading4"/>
        <w:spacing w:line="273" w:lineRule="auto" w:before="21"/>
        <w:ind w:right="1131" w:firstLine="420"/>
        <w:jc w:val="both"/>
      </w:pPr>
      <w:r>
        <w:rPr>
          <w:spacing w:val="-1"/>
        </w:rPr>
        <w:t>③无论是以何种方式取得长期股权投资，取得投资时，对于支付的对价中包含的应享有被投资单位已</w:t>
      </w:r>
      <w:r>
        <w:rPr/>
        <w:t> </w:t>
      </w:r>
      <w:r>
        <w:rPr>
          <w:spacing w:val="3"/>
        </w:rPr>
        <w:t>经宣告但尚未发放的现金股利或利润都作为应收项目单独核算，不构成取得长期股权投资的初始投资成</w:t>
      </w:r>
      <w:r>
        <w:rPr>
          <w:spacing w:val="-82"/>
        </w:rPr>
        <w:t> </w:t>
      </w:r>
      <w:r>
        <w:rPr>
          <w:spacing w:val="-82"/>
        </w:rPr>
      </w:r>
      <w:r>
        <w:rPr/>
        <w:t>本。</w:t>
      </w:r>
    </w:p>
    <w:p>
      <w:pPr>
        <w:pStyle w:val="Heading4"/>
        <w:spacing w:line="256" w:lineRule="auto"/>
        <w:ind w:left="573" w:right="0"/>
        <w:jc w:val="left"/>
      </w:pPr>
      <w:r>
        <w:rPr/>
        <w:t>（</w:t>
      </w:r>
      <w:r>
        <w:rPr>
          <w:rFonts w:ascii="Times New Roman" w:hAnsi="Times New Roman" w:cs="Times New Roman" w:eastAsia="Times New Roman" w:hint="default"/>
        </w:rPr>
        <w:t>2</w:t>
      </w:r>
      <w:r>
        <w:rPr/>
        <w:t>）</w:t>
      </w:r>
      <w:r>
        <w:rPr>
          <w:spacing w:val="-21"/>
        </w:rPr>
        <w:t> </w:t>
      </w:r>
      <w:r>
        <w:rPr/>
        <w:t>后续计量</w:t>
      </w:r>
      <w:r>
        <w:rPr/>
        <w:t> </w:t>
      </w:r>
      <w:r>
        <w:rPr>
          <w:spacing w:val="-1"/>
        </w:rPr>
        <w:t>能够对被投资单位实施控制的长期股权投资，在个别财务报表中采用成本法核算。对被投资单位具有</w:t>
      </w:r>
    </w:p>
    <w:p>
      <w:pPr>
        <w:pStyle w:val="Heading4"/>
        <w:spacing w:line="240" w:lineRule="auto" w:before="22"/>
        <w:ind w:right="0"/>
        <w:jc w:val="left"/>
      </w:pPr>
      <w:r>
        <w:rPr/>
        <w:t>共同控制或重大影响的长期股权投资，采用权益法核算。</w:t>
      </w:r>
    </w:p>
    <w:p>
      <w:pPr>
        <w:pStyle w:val="Heading4"/>
        <w:spacing w:line="273" w:lineRule="auto" w:before="37"/>
        <w:ind w:left="154" w:right="1137" w:firstLine="420"/>
        <w:jc w:val="both"/>
      </w:pPr>
      <w:r>
        <w:rPr>
          <w:spacing w:val="3"/>
        </w:rPr>
        <w:t>①采用成本法核算的长期股权投资按照初始投资成本计价。追加或收回投资调整长期股权投资的成</w:t>
      </w:r>
      <w:r>
        <w:rPr/>
        <w:t> 本。被投资单位宣告分派的现金股利或利润，确认为当期投资收益。</w:t>
      </w:r>
    </w:p>
    <w:p>
      <w:pPr>
        <w:pStyle w:val="Heading4"/>
        <w:spacing w:line="273" w:lineRule="auto"/>
        <w:ind w:right="1131" w:firstLine="420"/>
        <w:jc w:val="both"/>
      </w:pPr>
      <w:r>
        <w:rPr>
          <w:spacing w:val="-1"/>
        </w:rPr>
        <w:t>②采用权益法核算的长期股权投资，其初始投资成本大于投资时应享有被投资单位可辨认净资产公允</w:t>
      </w:r>
      <w:r>
        <w:rPr/>
        <w:t> </w:t>
      </w:r>
      <w:r>
        <w:rPr>
          <w:spacing w:val="-1"/>
        </w:rPr>
        <w:t>价值份额的，不调整长期股权投资的初始投资成本；长期股权投资的初始投资成本小于投资时应享有被投</w:t>
      </w:r>
      <w:r>
        <w:rPr>
          <w:spacing w:val="-81"/>
        </w:rPr>
        <w:t> </w:t>
      </w:r>
      <w:r>
        <w:rPr>
          <w:spacing w:val="-81"/>
        </w:rPr>
      </w:r>
      <w:r>
        <w:rPr/>
        <w:t>资单位可辨认净资产公允价值份额的，其差额计入当期损益，同时调整长期股权投资的成本。</w:t>
      </w:r>
    </w:p>
    <w:p>
      <w:pPr>
        <w:pStyle w:val="Heading4"/>
        <w:spacing w:line="273" w:lineRule="auto"/>
        <w:ind w:right="1130" w:firstLine="420"/>
        <w:jc w:val="both"/>
      </w:pPr>
      <w:r>
        <w:rPr>
          <w:spacing w:val="-1"/>
        </w:rPr>
        <w:t>取得长期股权投资后，按照应享有或应分担的被投资单位实现的净损益和其他综合收益的份额，分别</w:t>
      </w:r>
      <w:r>
        <w:rPr/>
        <w:t> </w:t>
      </w:r>
      <w:r>
        <w:rPr>
          <w:spacing w:val="-1"/>
        </w:rPr>
        <w:t>确认投资收益和其他综合收益，同时调整长期股权投资的账面价值；按照被投资单位宣告分派的利润或现</w:t>
      </w:r>
      <w:r>
        <w:rPr>
          <w:spacing w:val="-81"/>
        </w:rPr>
        <w:t> </w:t>
      </w:r>
      <w:r>
        <w:rPr>
          <w:spacing w:val="-81"/>
        </w:rPr>
      </w:r>
      <w:r>
        <w:rPr>
          <w:spacing w:val="-1"/>
        </w:rPr>
        <w:t>金股利计算应享有的部分，相应减少长期股权投资的账面价值；对于被投资单位除净损益、其他综合收益</w:t>
      </w:r>
      <w:r>
        <w:rPr>
          <w:spacing w:val="-83"/>
        </w:rPr>
        <w:t> </w:t>
      </w:r>
      <w:r>
        <w:rPr>
          <w:spacing w:val="-83"/>
        </w:rPr>
      </w:r>
      <w:r>
        <w:rPr>
          <w:spacing w:val="-1"/>
        </w:rPr>
        <w:t>和利润分配以外所有者权益的其他变动，调整长期股权投资的账面价值并计入所有者权益。在确认应享有</w:t>
      </w:r>
      <w:r>
        <w:rPr>
          <w:spacing w:val="-81"/>
        </w:rPr>
        <w:t> </w:t>
      </w:r>
      <w:r>
        <w:rPr>
          <w:spacing w:val="-81"/>
        </w:rPr>
      </w:r>
      <w:r>
        <w:rPr>
          <w:spacing w:val="-1"/>
        </w:rPr>
        <w:t>被投资单位净损益的份额时，以取得投资时被投资单位可辨认净资产的公允价值为基础，对被投资单位的</w:t>
      </w:r>
      <w:r>
        <w:rPr>
          <w:spacing w:val="-81"/>
        </w:rPr>
        <w:t> </w:t>
      </w:r>
      <w:r>
        <w:rPr>
          <w:spacing w:val="-81"/>
        </w:rPr>
      </w:r>
      <w:r>
        <w:rPr>
          <w:spacing w:val="-1"/>
        </w:rPr>
        <w:t>净利润进行调整后确认。被投资单位采用的会计政策及会计期间与本集团不一致的，按照本集团的会计政</w:t>
      </w:r>
      <w:r>
        <w:rPr>
          <w:spacing w:val="-81"/>
        </w:rPr>
        <w:t> </w:t>
      </w:r>
      <w:r>
        <w:rPr>
          <w:spacing w:val="-81"/>
        </w:rPr>
      </w:r>
      <w:r>
        <w:rPr>
          <w:spacing w:val="-1"/>
        </w:rPr>
        <w:t>策及会计期间对被投资单位的财务报表进行调整，并据以确认投资收益和其他综合收益等。确认被投资单</w:t>
      </w:r>
      <w:r>
        <w:rPr>
          <w:spacing w:val="-81"/>
        </w:rPr>
        <w:t> </w:t>
      </w:r>
      <w:r>
        <w:rPr>
          <w:spacing w:val="-81"/>
        </w:rPr>
      </w:r>
      <w:r>
        <w:rPr>
          <w:spacing w:val="-1"/>
        </w:rPr>
        <w:t>位发生的净亏损，以长期股权投资的账面价值以及其他实质上构成对被投资单位净投资的长期权益减记至</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154" w:right="0"/>
        <w:jc w:val="left"/>
      </w:pPr>
      <w:r>
        <w:rPr>
          <w:spacing w:val="-1"/>
        </w:rPr>
        <w:t>零为限，本集团负有承担额外损失义务的除外。被投资单位以后实现净利润的，本集团在其收益分享额弥</w:t>
      </w:r>
      <w:r>
        <w:rPr>
          <w:spacing w:val="-83"/>
        </w:rPr>
        <w:t> </w:t>
      </w:r>
      <w:r>
        <w:rPr>
          <w:spacing w:val="-83"/>
        </w:rPr>
      </w:r>
      <w:r>
        <w:rPr/>
        <w:t>补未确认的亏损分担额后，恢复确认收益分享额。</w:t>
      </w:r>
    </w:p>
    <w:p>
      <w:pPr>
        <w:pStyle w:val="Heading4"/>
        <w:spacing w:line="273" w:lineRule="auto"/>
        <w:ind w:left="154" w:right="1131" w:firstLine="420"/>
        <w:jc w:val="both"/>
      </w:pPr>
      <w:r>
        <w:rPr>
          <w:spacing w:val="-1"/>
        </w:rPr>
        <w:t>计算确认应享有或应分担被投资单位的净损益时，与联营企业、合营企业之间发生的未实现内部交易</w:t>
      </w:r>
      <w:r>
        <w:rPr/>
        <w:t> </w:t>
      </w:r>
      <w:r>
        <w:rPr>
          <w:spacing w:val="-1"/>
        </w:rPr>
        <w:t>损益按照应享有的比例计算归属于本集团的部分，予以抵销，在此基础上确认投资收益。本集团与被投资</w:t>
      </w:r>
      <w:r>
        <w:rPr>
          <w:spacing w:val="-83"/>
        </w:rPr>
        <w:t> </w:t>
      </w:r>
      <w:r>
        <w:rPr>
          <w:spacing w:val="-83"/>
        </w:rPr>
      </w:r>
      <w:r>
        <w:rPr/>
        <w:t>单位发生的未实现内部交易损失属于资产减值损失的，予以全额确认。</w:t>
      </w:r>
    </w:p>
    <w:p>
      <w:pPr>
        <w:pStyle w:val="Heading4"/>
        <w:spacing w:line="273" w:lineRule="auto"/>
        <w:ind w:right="1131" w:firstLine="420"/>
        <w:jc w:val="both"/>
      </w:pPr>
      <w:r>
        <w:rPr>
          <w:spacing w:val="-1"/>
        </w:rPr>
        <w:t>③本集团处置长期股权投资，其账面价值与实际取得价款的差额，计入当期损益。采用权益法核算的</w:t>
      </w:r>
      <w:r>
        <w:rPr/>
        <w:t> </w:t>
      </w:r>
      <w:r>
        <w:rPr>
          <w:spacing w:val="-1"/>
        </w:rPr>
        <w:t>长期股权投资，在处置该项投资时，采用与被投资单位直接处置相关资产或负债相同的基础，按相应比例</w:t>
      </w:r>
      <w:r>
        <w:rPr>
          <w:spacing w:val="-83"/>
        </w:rPr>
        <w:t> </w:t>
      </w:r>
      <w:r>
        <w:rPr>
          <w:spacing w:val="-83"/>
        </w:rPr>
      </w:r>
      <w:r>
        <w:rPr/>
        <w:t>对原计入其他综合收益的部分进行会计处理。</w:t>
      </w:r>
    </w:p>
    <w:p>
      <w:pPr>
        <w:pStyle w:val="Heading4"/>
        <w:spacing w:line="273" w:lineRule="auto"/>
        <w:ind w:left="154" w:right="1131" w:firstLine="420"/>
        <w:jc w:val="both"/>
      </w:pPr>
      <w:r>
        <w:rPr>
          <w:spacing w:val="-1"/>
        </w:rPr>
        <w:t>④本集团因其他投资方对其子公司增资而导致本集团持股比例下降，从而丧失控制权但能实施共同控</w:t>
      </w:r>
      <w:r>
        <w:rPr/>
        <w:t> </w:t>
      </w:r>
      <w:r>
        <w:rPr>
          <w:spacing w:val="-1"/>
        </w:rPr>
        <w:t>制或施加重大影响的，在个别财务报表中，对该项长期股权投资从成本法转为权益法核算。首先，按照新</w:t>
      </w:r>
      <w:r>
        <w:rPr>
          <w:spacing w:val="-86"/>
        </w:rPr>
        <w:t> </w:t>
      </w:r>
      <w:r>
        <w:rPr>
          <w:spacing w:val="-86"/>
        </w:rPr>
      </w:r>
      <w:r>
        <w:rPr>
          <w:spacing w:val="-1"/>
        </w:rPr>
        <w:t>的持股比例确认本投资方应享有的原子公司因增资扩股而增加净资产的份额，与应结转持股比例下降部分</w:t>
      </w:r>
      <w:r>
        <w:rPr>
          <w:spacing w:val="-81"/>
        </w:rPr>
        <w:t> </w:t>
      </w:r>
      <w:r>
        <w:rPr>
          <w:spacing w:val="-81"/>
        </w:rPr>
      </w:r>
      <w:r>
        <w:rPr>
          <w:spacing w:val="-1"/>
        </w:rPr>
        <w:t>所对应的长期股权投资原账面价值之间的差额计入当期损益；然后，按照新的持股比例视同自取得投资时</w:t>
      </w:r>
      <w:r>
        <w:rPr>
          <w:spacing w:val="-81"/>
        </w:rPr>
        <w:t> </w:t>
      </w:r>
      <w:r>
        <w:rPr>
          <w:spacing w:val="-81"/>
        </w:rPr>
      </w:r>
      <w:r>
        <w:rPr/>
        <w:t>即采用权益法核算进行调整。</w:t>
      </w:r>
    </w:p>
    <w:p>
      <w:pPr>
        <w:pStyle w:val="Heading4"/>
        <w:spacing w:line="256" w:lineRule="auto"/>
        <w:ind w:left="589" w:right="1121"/>
        <w:jc w:val="left"/>
      </w:pPr>
      <w:r>
        <w:rPr/>
        <w:t>（</w:t>
      </w:r>
      <w:r>
        <w:rPr>
          <w:rFonts w:ascii="Times New Roman" w:hAnsi="Times New Roman" w:cs="Times New Roman" w:eastAsia="Times New Roman" w:hint="default"/>
        </w:rPr>
        <w:t>3</w:t>
      </w:r>
      <w:r>
        <w:rPr/>
        <w:t>）确定对被投资单位具有共同控制、重大影响的依据 </w:t>
      </w:r>
      <w:r>
        <w:rPr>
          <w:spacing w:val="-1"/>
        </w:rPr>
        <w:t>共同控制，是指按照相关约定对某项安排所共有的控制，并且该安排的相关活动必须经过分享控制权</w:t>
      </w:r>
    </w:p>
    <w:p>
      <w:pPr>
        <w:pStyle w:val="Heading4"/>
        <w:spacing w:line="273" w:lineRule="auto" w:before="22"/>
        <w:ind w:left="154" w:right="1132"/>
        <w:jc w:val="both"/>
      </w:pPr>
      <w:r>
        <w:rPr>
          <w:spacing w:val="-1"/>
        </w:rPr>
        <w:t>的参与方一致同意后才能决策。相关活动，是指对某项安排的回报产生重大影响的活动。重大影响，是指</w:t>
      </w:r>
      <w:r>
        <w:rPr>
          <w:spacing w:val="-86"/>
        </w:rPr>
        <w:t> </w:t>
      </w:r>
      <w:r>
        <w:rPr>
          <w:spacing w:val="-86"/>
        </w:rPr>
      </w:r>
      <w:r>
        <w:rPr>
          <w:spacing w:val="-1"/>
        </w:rPr>
        <w:t>投资方对被投资单位的财务和经营政策有参与决策的权力，但并不能够控制或者与其他方一起共同控制这</w:t>
      </w:r>
      <w:r>
        <w:rPr>
          <w:spacing w:val="-81"/>
        </w:rPr>
        <w:t> </w:t>
      </w:r>
      <w:r>
        <w:rPr>
          <w:spacing w:val="-81"/>
        </w:rPr>
      </w:r>
      <w:r>
        <w:rPr/>
        <w:t>些政策的制定。</w:t>
      </w:r>
    </w:p>
    <w:p>
      <w:pPr>
        <w:pStyle w:val="Heading4"/>
        <w:spacing w:line="256" w:lineRule="auto"/>
        <w:ind w:left="589" w:right="1521"/>
        <w:jc w:val="left"/>
      </w:pPr>
      <w:r>
        <w:rPr/>
        <w:t>（</w:t>
      </w:r>
      <w:r>
        <w:rPr>
          <w:rFonts w:ascii="Times New Roman" w:hAnsi="Times New Roman" w:cs="Times New Roman" w:eastAsia="Times New Roman" w:hint="default"/>
        </w:rPr>
        <w:t>4</w:t>
      </w:r>
      <w:r>
        <w:rPr/>
        <w:t>）减值测试方法及减值准备计提方法 长期股权投资的减值测试方法及减值准备计提方法按照本集团制定的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15、固定资产" w:id="190"/>
      <w:bookmarkEnd w:id="190"/>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固定资产是指为生产商品、提供劳务、出租或经营管理而持有的，使用寿命超过一个会计年度的有形资产。</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12.13</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19.4</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11.25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bl>
    <w:p>
      <w:pPr>
        <w:pStyle w:val="Heading4"/>
        <w:spacing w:line="276" w:lineRule="exact" w:before="0"/>
        <w:ind w:left="574" w:right="0"/>
        <w:jc w:val="left"/>
      </w:pPr>
      <w:r>
        <w:rPr/>
        <w:t>（</w:t>
      </w:r>
      <w:r>
        <w:rPr>
          <w:rFonts w:ascii="Times New Roman" w:hAnsi="Times New Roman" w:cs="Times New Roman" w:eastAsia="Times New Roman" w:hint="default"/>
        </w:rPr>
        <w:t>3</w:t>
      </w:r>
      <w:r>
        <w:rPr/>
        <w:t>）其他说明</w:t>
      </w:r>
    </w:p>
    <w:p>
      <w:pPr>
        <w:pStyle w:val="Heading4"/>
        <w:spacing w:line="271" w:lineRule="auto" w:before="21"/>
        <w:ind w:left="154" w:right="1109" w:firstLine="420"/>
        <w:jc w:val="both"/>
      </w:pPr>
      <w:r>
        <w:rPr/>
        <w:t>与固定资产有关的后续支出，如果与该固定资产有关的经济利益很可能流入且其成本能可靠地计量， </w:t>
      </w:r>
      <w:r>
        <w:rPr>
          <w:spacing w:val="-1"/>
        </w:rPr>
        <w:t>则计入固定资产成本，并终止确认被替换部分的账面价值。除此以外的其他后续支出，在发生时计入当期</w:t>
      </w:r>
      <w:r>
        <w:rPr>
          <w:spacing w:val="-83"/>
        </w:rPr>
        <w:t> </w:t>
      </w:r>
      <w:r>
        <w:rPr>
          <w:spacing w:val="-83"/>
        </w:rPr>
      </w:r>
      <w:r>
        <w:rPr/>
        <w:t>损益。</w:t>
      </w:r>
    </w:p>
    <w:p>
      <w:pPr>
        <w:pStyle w:val="Heading4"/>
        <w:spacing w:line="273" w:lineRule="auto" w:before="10"/>
        <w:ind w:left="573" w:right="0"/>
        <w:jc w:val="left"/>
      </w:pPr>
      <w:r>
        <w:rPr/>
        <w:t>固定资产出售、转让、报废或毁损的处置收入扣除其账面价值和相关税费后的差额计入当期损益。 </w:t>
      </w:r>
      <w:r>
        <w:rPr>
          <w:spacing w:val="-1"/>
        </w:rPr>
        <w:t>本集团至少于年度终了对固定资产的使用寿命、预计净残值和折旧方法进行复核，如发生改变则作为</w:t>
      </w:r>
    </w:p>
    <w:p>
      <w:pPr>
        <w:pStyle w:val="Heading4"/>
        <w:spacing w:line="240" w:lineRule="auto"/>
        <w:ind w:right="0"/>
        <w:jc w:val="left"/>
      </w:pPr>
      <w:r>
        <w:rPr/>
        <w:t>会计估计变更处理。</w:t>
      </w:r>
    </w:p>
    <w:p>
      <w:pPr>
        <w:pStyle w:val="Heading4"/>
        <w:spacing w:line="240" w:lineRule="auto" w:before="37"/>
        <w:ind w:left="573" w:right="0"/>
        <w:jc w:val="left"/>
      </w:pPr>
      <w:r>
        <w:rPr/>
        <w:t>（</w:t>
      </w:r>
      <w:r>
        <w:rPr>
          <w:rFonts w:ascii="Times New Roman" w:hAnsi="Times New Roman" w:cs="Times New Roman" w:eastAsia="Times New Roman" w:hint="default"/>
        </w:rPr>
        <w:t>4</w:t>
      </w:r>
      <w:r>
        <w:rPr/>
        <w:t>）固定资产的减值，按照本集团制定的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6、在建工程" w:id="193"/>
      <w:bookmarkEnd w:id="193"/>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Heading4"/>
        <w:spacing w:line="256" w:lineRule="auto" w:before="3"/>
        <w:ind w:left="154" w:right="0" w:firstLine="420"/>
        <w:jc w:val="left"/>
      </w:pPr>
      <w:r>
        <w:rPr/>
        <w:t>（</w:t>
      </w:r>
      <w:r>
        <w:rPr>
          <w:rFonts w:ascii="Times New Roman" w:hAnsi="Times New Roman" w:cs="Times New Roman" w:eastAsia="Times New Roman" w:hint="default"/>
        </w:rPr>
        <w:t>1</w:t>
      </w:r>
      <w:r>
        <w:rPr/>
        <w:t>）在建工程的计价：按实际发生的支出确定工程成本。在建工程成本还包括应当资本化的借款费 用和汇兑损益。</w:t>
      </w:r>
    </w:p>
    <w:p>
      <w:pPr>
        <w:pStyle w:val="Heading4"/>
        <w:spacing w:line="264" w:lineRule="auto" w:before="22"/>
        <w:ind w:right="1133" w:firstLine="420"/>
        <w:jc w:val="both"/>
      </w:pPr>
      <w:r>
        <w:rPr/>
        <w:t>（</w:t>
      </w:r>
      <w:r>
        <w:rPr>
          <w:rFonts w:ascii="Times New Roman" w:hAnsi="Times New Roman" w:cs="Times New Roman" w:eastAsia="Times New Roman" w:hint="default"/>
        </w:rPr>
        <w:t>2</w:t>
      </w:r>
      <w:r>
        <w:rPr/>
        <w:t>）本集团在在建工程达到预定可使用状态时，将在建工程转入固定资产。所建造的已达到预定可 </w:t>
      </w:r>
      <w:r>
        <w:rPr>
          <w:spacing w:val="-1"/>
        </w:rPr>
        <w:t>使用状态、但尚未办理竣工决算的固定资产，按照估计价值确认为固定资产，并计提折旧；待办理了竣工</w:t>
      </w:r>
      <w:r>
        <w:rPr>
          <w:spacing w:val="-86"/>
        </w:rPr>
        <w:t> </w:t>
      </w:r>
      <w:r>
        <w:rPr>
          <w:spacing w:val="-86"/>
        </w:rPr>
      </w:r>
      <w:r>
        <w:rPr/>
        <w:t>决算手续后，再按实际成本调整原来的暂估价值，但不调整原已计提的折旧额。</w:t>
      </w:r>
    </w:p>
    <w:p>
      <w:pPr>
        <w:pStyle w:val="Heading4"/>
        <w:spacing w:line="240" w:lineRule="auto" w:before="16"/>
        <w:ind w:left="573" w:right="0"/>
        <w:jc w:val="left"/>
      </w:pPr>
      <w:r>
        <w:rPr/>
        <w:t>（</w:t>
      </w:r>
      <w:r>
        <w:rPr>
          <w:rFonts w:ascii="Times New Roman" w:hAnsi="Times New Roman" w:cs="Times New Roman" w:eastAsia="Times New Roman" w:hint="default"/>
        </w:rPr>
        <w:t>3</w:t>
      </w:r>
      <w:r>
        <w:rPr/>
        <w:t>）在建工程的减值，按照本集团制定的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17、借款费用" w:id="194"/>
      <w:bookmarkEnd w:id="194"/>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jc w:val="left"/>
      </w:pPr>
      <w:r>
        <w:rPr/>
        <w:t>（</w:t>
      </w:r>
      <w:r>
        <w:rPr>
          <w:rFonts w:ascii="Times New Roman" w:hAnsi="Times New Roman" w:cs="Times New Roman" w:eastAsia="Times New Roman" w:hint="default"/>
        </w:rPr>
        <w:t>1</w:t>
      </w:r>
      <w:r>
        <w:rPr/>
        <w:t>）借款费用资本化的确认原则和资本化期间 </w:t>
      </w:r>
      <w:r>
        <w:rPr>
          <w:spacing w:val="-1"/>
        </w:rPr>
        <w:t>本集团发生的借款费用，可直接归属于符合资本化条件的资产的购建或生产的，在同时满足下列条件</w:t>
      </w:r>
    </w:p>
    <w:p>
      <w:pPr>
        <w:pStyle w:val="Heading4"/>
        <w:spacing w:line="240" w:lineRule="auto" w:before="22"/>
        <w:ind w:left="154" w:right="0"/>
        <w:jc w:val="left"/>
      </w:pPr>
      <w:r>
        <w:rPr/>
        <w:t>时予以资本化，计入相关资产成本：</w:t>
      </w:r>
    </w:p>
    <w:p>
      <w:pPr>
        <w:pStyle w:val="Heading4"/>
        <w:spacing w:line="240" w:lineRule="auto" w:before="37"/>
        <w:ind w:left="574" w:right="0"/>
        <w:jc w:val="left"/>
      </w:pPr>
      <w:r>
        <w:rPr/>
        <w:t>①</w:t>
      </w:r>
      <w:r>
        <w:rPr>
          <w:spacing w:val="-21"/>
        </w:rPr>
        <w:t> </w:t>
      </w:r>
      <w:r>
        <w:rPr/>
        <w:t>资产支出已经发生；</w:t>
      </w:r>
    </w:p>
    <w:p>
      <w:pPr>
        <w:pStyle w:val="Heading4"/>
        <w:spacing w:line="240" w:lineRule="auto" w:before="37"/>
        <w:ind w:left="573" w:right="0"/>
        <w:jc w:val="left"/>
      </w:pPr>
      <w:r>
        <w:rPr/>
        <w:t>②</w:t>
      </w:r>
      <w:r>
        <w:rPr>
          <w:spacing w:val="-21"/>
        </w:rPr>
        <w:t> </w:t>
      </w:r>
      <w:r>
        <w:rPr/>
        <w:t>借款费用已经发生；</w:t>
      </w:r>
    </w:p>
    <w:p>
      <w:pPr>
        <w:pStyle w:val="Heading4"/>
        <w:spacing w:line="273" w:lineRule="auto" w:before="37"/>
        <w:ind w:left="574" w:right="1197"/>
        <w:jc w:val="left"/>
      </w:pPr>
      <w:r>
        <w:rPr/>
        <w:t>③</w:t>
      </w:r>
      <w:r>
        <w:rPr>
          <w:spacing w:val="-21"/>
        </w:rPr>
        <w:t> </w:t>
      </w:r>
      <w:r>
        <w:rPr/>
        <w:t>为使资产达到预定可使用或者可销售状态所必要的购建或者生产活动已经开始。</w:t>
      </w:r>
      <w:r>
        <w:rPr/>
        <w:t> 不符合资本化条件的借款费用，在发生时根据其发生额确认为费用，计入当期的损益。 符合资本化条件的资产在购建或者生产过程中发生非正常中断、且中断时间连续超过</w:t>
      </w:r>
      <w:r>
        <w:rPr>
          <w:rFonts w:ascii="Times New Roman" w:hAnsi="Times New Roman" w:cs="Times New Roman" w:eastAsia="Times New Roman" w:hint="default"/>
        </w:rPr>
        <w:t>3</w:t>
      </w:r>
      <w:r>
        <w:rPr/>
        <w:t>个月的，暂停</w:t>
      </w:r>
    </w:p>
    <w:p>
      <w:pPr>
        <w:pStyle w:val="Heading4"/>
        <w:spacing w:line="273" w:lineRule="auto" w:before="0"/>
        <w:ind w:left="154" w:right="1131"/>
        <w:jc w:val="both"/>
      </w:pPr>
      <w:r>
        <w:rPr>
          <w:spacing w:val="-1"/>
        </w:rPr>
        <w:t>借款费用的资本化。在中断期间发生的借款费用确认为费用，计入当期损益，直至资产的购建或者生产活</w:t>
      </w:r>
      <w:r>
        <w:rPr>
          <w:spacing w:val="-83"/>
        </w:rPr>
        <w:t> </w:t>
      </w:r>
      <w:r>
        <w:rPr>
          <w:spacing w:val="-83"/>
        </w:rPr>
      </w:r>
      <w:r>
        <w:rPr>
          <w:spacing w:val="-1"/>
        </w:rPr>
        <w:t>动重新开始。如果中断是所购建或者生产的符合资本化条件的资产达到预定可使用或者可销售状态必要的</w:t>
      </w:r>
      <w:r>
        <w:rPr>
          <w:spacing w:val="-81"/>
        </w:rPr>
        <w:t> </w:t>
      </w:r>
      <w:r>
        <w:rPr>
          <w:spacing w:val="-81"/>
        </w:rPr>
      </w:r>
      <w:r>
        <w:rPr/>
        <w:t>程序，借款费用的资本化继续进行。</w:t>
      </w:r>
    </w:p>
    <w:p>
      <w:pPr>
        <w:pStyle w:val="Heading4"/>
        <w:spacing w:line="273" w:lineRule="auto"/>
        <w:ind w:left="154" w:right="0" w:firstLine="420"/>
        <w:jc w:val="left"/>
      </w:pPr>
      <w:r>
        <w:rPr>
          <w:spacing w:val="-1"/>
        </w:rPr>
        <w:t>购建或者生产符合资本化条件的资产达到预定可使用或者可销售状态时，借款费用停止资本化。以后</w:t>
      </w:r>
      <w:r>
        <w:rPr/>
        <w:t> 发生的借款费用于发生当期确认为费用。</w:t>
      </w:r>
    </w:p>
    <w:p>
      <w:pPr>
        <w:pStyle w:val="Heading4"/>
        <w:spacing w:line="273" w:lineRule="auto"/>
        <w:ind w:left="154" w:right="1302" w:firstLine="420"/>
        <w:jc w:val="left"/>
      </w:pPr>
      <w:r>
        <w:rPr/>
        <w:t>符合资本化条件的资产指需要经过相当长时间的购建或者生产活动才能达到预定可使用或可销售状 态的固定资产、投资性房地产和存货等资产。</w:t>
      </w:r>
    </w:p>
    <w:p>
      <w:pPr>
        <w:pStyle w:val="Heading4"/>
        <w:spacing w:line="256" w:lineRule="auto"/>
        <w:ind w:left="574" w:right="0"/>
        <w:jc w:val="left"/>
      </w:pPr>
      <w:r>
        <w:rPr/>
        <w:t>（</w:t>
      </w:r>
      <w:r>
        <w:rPr>
          <w:rFonts w:ascii="Times New Roman" w:hAnsi="Times New Roman" w:cs="Times New Roman" w:eastAsia="Times New Roman" w:hint="default"/>
        </w:rPr>
        <w:t>2</w:t>
      </w:r>
      <w:r>
        <w:rPr/>
        <w:t>）借款费用资本化金额的计算方法 </w:t>
      </w:r>
      <w:r>
        <w:rPr>
          <w:spacing w:val="-1"/>
        </w:rPr>
        <w:t>为购建或者生产符合资本化条件的资产而借入专门借款的，以专门借款当期实际发生的利息费用，减</w:t>
      </w:r>
    </w:p>
    <w:p>
      <w:pPr>
        <w:pStyle w:val="Heading4"/>
        <w:spacing w:line="273" w:lineRule="auto" w:before="22"/>
        <w:ind w:left="573" w:right="0" w:hanging="420"/>
        <w:jc w:val="left"/>
      </w:pPr>
      <w:r>
        <w:rPr/>
        <w:t>去将尚未动用的借款资金存入银行取得的利息收入或进行暂时性投资取得的投资收益后的金额确定。 </w:t>
      </w:r>
      <w:r>
        <w:rPr>
          <w:spacing w:val="-1"/>
        </w:rPr>
        <w:t>为购建或者生产符合资本化条件的资产而占用了一般借款的，根据累计资产支出超过专门借款部分的</w:t>
      </w:r>
    </w:p>
    <w:p>
      <w:pPr>
        <w:pStyle w:val="Heading4"/>
        <w:spacing w:line="273" w:lineRule="auto"/>
        <w:ind w:right="1131"/>
        <w:jc w:val="both"/>
      </w:pPr>
      <w:r>
        <w:rPr>
          <w:spacing w:val="-1"/>
        </w:rPr>
        <w:t>资产支出加权平均数乘以所占用一般借款的资本化率，计算确定一般借款应予资本化的利息金额。资本化</w:t>
      </w:r>
      <w:r>
        <w:rPr>
          <w:spacing w:val="-81"/>
        </w:rPr>
        <w:t> </w:t>
      </w:r>
      <w:r>
        <w:rPr>
          <w:spacing w:val="-81"/>
        </w:rPr>
      </w:r>
      <w:r>
        <w:rPr/>
        <w:t>率根据一般借款加权平均利率计算确定。</w:t>
      </w:r>
    </w:p>
    <w:p>
      <w:pPr>
        <w:pStyle w:val="Heading4"/>
        <w:spacing w:line="240" w:lineRule="auto"/>
        <w:ind w:left="573" w:right="0"/>
        <w:jc w:val="left"/>
      </w:pPr>
      <w:r>
        <w:rPr/>
        <w:t>资本化期间内，外币专门借款的汇兑差额全部予以资本化；外币一般借款的汇兑差额计入当期损益。</w:t>
      </w:r>
    </w:p>
    <w:p>
      <w:pPr>
        <w:spacing w:line="240" w:lineRule="auto" w:before="11"/>
        <w:rPr>
          <w:rFonts w:ascii="宋体" w:hAnsi="宋体" w:cs="宋体" w:eastAsia="宋体" w:hint="default"/>
          <w:sz w:val="25"/>
          <w:szCs w:val="25"/>
        </w:rPr>
      </w:pPr>
    </w:p>
    <w:p>
      <w:pPr>
        <w:pStyle w:val="Heading3"/>
        <w:spacing w:line="240" w:lineRule="auto"/>
        <w:ind w:left="154" w:right="0"/>
        <w:jc w:val="left"/>
        <w:rPr>
          <w:b w:val="0"/>
          <w:bCs w:val="0"/>
        </w:rPr>
      </w:pPr>
      <w:bookmarkStart w:name="18、无形资产" w:id="195"/>
      <w:bookmarkEnd w:id="195"/>
      <w:r>
        <w:rPr>
          <w:b w:val="0"/>
          <w:bCs w:val="0"/>
        </w:rPr>
      </w:r>
      <w:r>
        <w:rPr>
          <w:rFonts w:ascii="Times New Roman" w:hAnsi="Times New Roman" w:cs="Times New Roman" w:eastAsia="Times New Roman" w:hint="default"/>
        </w:rPr>
        <w:t>18</w:t>
      </w:r>
      <w:r>
        <w:rPr/>
        <w:t>、无形资产</w:t>
      </w:r>
      <w:r>
        <w:rPr>
          <w:b w:val="0"/>
          <w:bCs w:val="0"/>
        </w:rPr>
      </w:r>
    </w:p>
    <w:p>
      <w:pPr>
        <w:spacing w:line="590" w:lineRule="atLeast" w:before="23"/>
        <w:ind w:left="573" w:right="5503" w:hanging="420"/>
        <w:jc w:val="left"/>
        <w:rPr>
          <w:rFonts w:ascii="宋体" w:hAnsi="宋体" w:cs="宋体" w:eastAsia="宋体" w:hint="default"/>
          <w:sz w:val="21"/>
          <w:szCs w:val="21"/>
        </w:rPr>
      </w:pPr>
      <w:bookmarkStart w:name="（1） 无形资产的确认"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无形资产的确认</w:t>
      </w:r>
      <w:r>
        <w:rPr>
          <w:rFonts w:ascii="宋体" w:hAnsi="宋体" w:cs="宋体" w:eastAsia="宋体" w:hint="default"/>
          <w:b/>
          <w:bCs/>
          <w:w w:val="99"/>
          <w:sz w:val="21"/>
          <w:szCs w:val="21"/>
        </w:rPr>
        <w:t> </w:t>
      </w:r>
      <w:r>
        <w:rPr>
          <w:rFonts w:ascii="宋体" w:hAnsi="宋体" w:cs="宋体" w:eastAsia="宋体" w:hint="default"/>
          <w:sz w:val="21"/>
          <w:szCs w:val="21"/>
        </w:rPr>
        <w:t>本集团在同时满足下列条件时，予以确认无形资产：</w:t>
      </w:r>
    </w:p>
    <w:p>
      <w:pPr>
        <w:pStyle w:val="Heading4"/>
        <w:spacing w:line="240" w:lineRule="auto" w:before="37"/>
        <w:ind w:left="574" w:right="0"/>
        <w:jc w:val="left"/>
      </w:pPr>
      <w:r>
        <w:rPr/>
        <w:t>①与该无形资产有关的经济利益很可能流入企业；</w:t>
      </w:r>
    </w:p>
    <w:p>
      <w:pPr>
        <w:pStyle w:val="Heading4"/>
        <w:spacing w:line="240" w:lineRule="auto" w:before="37"/>
        <w:ind w:left="574" w:right="0"/>
        <w:jc w:val="left"/>
      </w:pPr>
      <w:r>
        <w:rPr/>
        <w:t>②该无形资产的成本能够可靠地计量。</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64" w:lineRule="auto" w:before="0"/>
        <w:ind w:right="1131" w:firstLine="420"/>
        <w:jc w:val="both"/>
      </w:pPr>
      <w:r>
        <w:rPr>
          <w:spacing w:val="-1"/>
        </w:rPr>
        <w:t>本集团内部研究开发项目支出根据其性质以及研发活动最终形成无形资产是否具有较大不确定性，被</w:t>
      </w:r>
      <w:r>
        <w:rPr/>
        <w:t> </w:t>
      </w:r>
      <w:r>
        <w:rPr>
          <w:spacing w:val="-1"/>
        </w:rPr>
        <w:t>分为研究阶段支出和开发阶段支出。内部研究开发项目研究阶段的支出，于发生时计入当期损益。内部研</w:t>
      </w:r>
      <w:r>
        <w:rPr>
          <w:spacing w:val="-83"/>
        </w:rPr>
        <w:t> </w:t>
      </w:r>
      <w:r>
        <w:rPr>
          <w:spacing w:val="-83"/>
        </w:rPr>
      </w:r>
      <w:r>
        <w:rPr/>
        <w:t>究开发项目开发阶段的支出，同时满足下列条件的，确认为无形资产：（</w:t>
      </w:r>
      <w:r>
        <w:rPr>
          <w:rFonts w:ascii="Times New Roman" w:hAnsi="Times New Roman" w:cs="Times New Roman" w:eastAsia="Times New Roman" w:hint="default"/>
        </w:rPr>
        <w:t>1</w:t>
      </w:r>
      <w:r>
        <w:rPr/>
        <w:t>）完成该无形资产以使其能够</w:t>
      </w:r>
      <w:r>
        <w:rPr>
          <w:spacing w:val="-26"/>
        </w:rPr>
        <w:t> </w:t>
      </w:r>
      <w:r>
        <w:rPr>
          <w:spacing w:val="-26"/>
        </w:rPr>
      </w:r>
      <w:r>
        <w:rPr>
          <w:spacing w:val="-1"/>
        </w:rPr>
        <w:t>使用或出售在技术上具有可行性；（</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）无形资产产生经</w:t>
      </w:r>
      <w:r>
        <w:rPr>
          <w:spacing w:val="-86"/>
        </w:rPr>
        <w:t> </w:t>
      </w:r>
      <w:r>
        <w:rPr>
          <w:spacing w:val="-86"/>
        </w:rPr>
      </w:r>
      <w:r>
        <w:rPr>
          <w:spacing w:val="-1"/>
        </w:rPr>
        <w:t>济利益的方式，包括能够证明运用该无形资产生产的产品存在市场或无形资产自身存在市场，无形资产将</w:t>
      </w:r>
      <w:r>
        <w:rPr>
          <w:spacing w:val="-81"/>
        </w:rPr>
        <w:t> </w:t>
      </w:r>
      <w:r>
        <w:rPr>
          <w:spacing w:val="-81"/>
        </w:rPr>
      </w:r>
      <w:r>
        <w:rPr/>
        <w:t>在内部使用的，能证明其有用性；（</w:t>
      </w:r>
      <w:r>
        <w:rPr>
          <w:rFonts w:ascii="Times New Roman" w:hAnsi="Times New Roman" w:cs="Times New Roman" w:eastAsia="Times New Roman" w:hint="default"/>
        </w:rPr>
        <w:t>4</w:t>
      </w:r>
      <w:r>
        <w:rPr/>
        <w:t>）有足够的技术、财务资源和其他资源支持，以完成该无形资产的</w:t>
      </w:r>
      <w:r>
        <w:rPr>
          <w:spacing w:val="-31"/>
        </w:rPr>
        <w:t> </w:t>
      </w:r>
      <w:r>
        <w:rPr>
          <w:spacing w:val="-31"/>
        </w:rPr>
      </w:r>
      <w:r>
        <w:rPr/>
        <w:t>开发，并有能力使用或出售该无形资产；（</w:t>
      </w:r>
      <w:r>
        <w:rPr>
          <w:rFonts w:ascii="Times New Roman" w:hAnsi="Times New Roman" w:cs="Times New Roman" w:eastAsia="Times New Roman" w:hint="default"/>
        </w:rPr>
        <w:t>5</w:t>
      </w:r>
      <w:r>
        <w:rPr/>
        <w:t>）归属于该无形资产开发阶段的支出能够可靠地计量。</w:t>
      </w:r>
    </w:p>
    <w:p>
      <w:pPr>
        <w:pStyle w:val="Heading4"/>
        <w:spacing w:line="273" w:lineRule="auto" w:before="0"/>
        <w:ind w:left="573" w:right="0"/>
        <w:jc w:val="left"/>
      </w:pPr>
      <w:r>
        <w:rPr/>
        <w:t>本集团划分内部研究开发项目研究阶段支出和开发阶段支出的具体标准：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Heading4"/>
        <w:spacing w:line="273" w:lineRule="auto"/>
        <w:ind w:left="574" w:right="0" w:hanging="420"/>
        <w:jc w:val="left"/>
      </w:pPr>
      <w:r>
        <w:rPr/>
        <w:t>的或具有实质性改进的材料、装置、产品等活动的阶段。 </w:t>
      </w:r>
      <w:r>
        <w:rPr>
          <w:spacing w:val="-1"/>
        </w:rPr>
        <w:t>不满足上述条件的开发阶段的支出，于发生时计入当期损益。以前期间已计入损益的开发支出不在以</w:t>
      </w:r>
    </w:p>
    <w:p>
      <w:pPr>
        <w:pStyle w:val="Heading4"/>
        <w:spacing w:line="273" w:lineRule="auto"/>
        <w:ind w:left="154" w:right="0"/>
        <w:jc w:val="left"/>
      </w:pP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3） 无形资产的计量" w:id="198"/>
      <w:bookmarkEnd w:id="198"/>
      <w:r>
        <w:rPr>
          <w:b w:val="0"/>
          <w:bCs w:val="0"/>
        </w:rPr>
      </w:r>
      <w:r>
        <w:rPr/>
        <w:t>（</w:t>
      </w:r>
      <w:r>
        <w:rPr>
          <w:rFonts w:ascii="Times New Roman" w:hAnsi="Times New Roman" w:cs="Times New Roman" w:eastAsia="Times New Roman" w:hint="default"/>
        </w:rPr>
        <w:t>3</w:t>
      </w:r>
      <w:r>
        <w:rPr/>
        <w:t>）</w:t>
      </w:r>
      <w:r>
        <w:rPr>
          <w:spacing w:val="-3"/>
        </w:rPr>
        <w:t> </w:t>
      </w:r>
      <w:r>
        <w:rPr/>
        <w:t>无形资产的计量</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4" w:right="0"/>
        <w:jc w:val="left"/>
      </w:pPr>
      <w:r>
        <w:rPr/>
        <w:t>①本集团无形资产按照成本进行初始计量。</w:t>
      </w:r>
    </w:p>
    <w:p>
      <w:pPr>
        <w:pStyle w:val="Heading4"/>
        <w:spacing w:line="240" w:lineRule="auto" w:before="37"/>
        <w:ind w:left="574" w:right="0"/>
        <w:jc w:val="left"/>
      </w:pPr>
      <w:r>
        <w:rPr/>
        <w:t>②无形资产的后续计量</w:t>
      </w:r>
    </w:p>
    <w:p>
      <w:pPr>
        <w:pStyle w:val="Heading4"/>
        <w:spacing w:line="256" w:lineRule="auto" w:before="37"/>
        <w:ind w:left="154" w:right="1168" w:firstLine="420"/>
        <w:jc w:val="both"/>
      </w:pPr>
      <w:r>
        <w:rPr>
          <w:rFonts w:ascii="Times New Roman" w:hAnsi="Times New Roman" w:cs="Times New Roman" w:eastAsia="Times New Roman" w:hint="default"/>
        </w:rPr>
        <w:t>A</w:t>
      </w:r>
      <w:r>
        <w:rPr/>
        <w:t>、对于使用寿命有限的无形资产在取得时判定其使用寿命并在以后期间在使用寿命内采用直线法， 摊销金额按受益项目计入相关成本、费用核算。使用寿命不确定的无形资产不摊销。</w:t>
      </w:r>
    </w:p>
    <w:p>
      <w:pPr>
        <w:pStyle w:val="Heading4"/>
        <w:spacing w:line="273" w:lineRule="auto" w:before="22"/>
        <w:ind w:left="154" w:right="1109"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pStyle w:val="Heading4"/>
        <w:spacing w:line="240" w:lineRule="auto"/>
        <w:ind w:left="574" w:right="0"/>
        <w:jc w:val="left"/>
      </w:pPr>
      <w:r>
        <w:rPr/>
        <w:t>本集团无形资产摊销年限：</w:t>
      </w:r>
    </w:p>
    <w:p>
      <w:pPr>
        <w:spacing w:line="240" w:lineRule="auto" w:before="13"/>
        <w:rPr>
          <w:rFonts w:ascii="宋体" w:hAnsi="宋体" w:cs="宋体" w:eastAsia="宋体" w:hint="default"/>
          <w:sz w:val="3"/>
          <w:szCs w:val="3"/>
        </w:rPr>
      </w:pPr>
    </w:p>
    <w:tbl>
      <w:tblPr>
        <w:tblW w:w="0" w:type="auto"/>
        <w:jc w:val="left"/>
        <w:tblInd w:w="257" w:type="dxa"/>
        <w:tblLayout w:type="fixed"/>
        <w:tblCellMar>
          <w:top w:w="0" w:type="dxa"/>
          <w:left w:w="0" w:type="dxa"/>
          <w:bottom w:w="0" w:type="dxa"/>
          <w:right w:w="0" w:type="dxa"/>
        </w:tblCellMar>
        <w:tblLook w:val="01E0"/>
      </w:tblPr>
      <w:tblGrid>
        <w:gridCol w:w="4242"/>
        <w:gridCol w:w="4242"/>
      </w:tblGrid>
      <w:tr>
        <w:trPr>
          <w:trHeight w:val="342"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342"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2-10</w:t>
            </w:r>
          </w:p>
        </w:tc>
      </w:tr>
      <w:tr>
        <w:trPr>
          <w:trHeight w:val="342" w:hRule="exact"/>
        </w:trPr>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商标使用权</w:t>
            </w:r>
          </w:p>
        </w:tc>
        <w:tc>
          <w:tcPr>
            <w:tcW w:w="4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8-10</w:t>
            </w:r>
          </w:p>
        </w:tc>
      </w:tr>
    </w:tbl>
    <w:p>
      <w:pPr>
        <w:pStyle w:val="Heading4"/>
        <w:spacing w:line="276" w:lineRule="exact" w:before="0"/>
        <w:ind w:left="574" w:right="0"/>
        <w:jc w:val="left"/>
      </w:pPr>
      <w:r>
        <w:rPr>
          <w:rFonts w:ascii="Times New Roman" w:hAnsi="Times New Roman" w:cs="Times New Roman" w:eastAsia="Times New Roman" w:hint="default"/>
        </w:rPr>
        <w:t>B</w:t>
      </w:r>
      <w:r>
        <w:rPr/>
        <w:t>、无形资产的减值，按照本集团制定的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590" w:lineRule="atLeast" w:before="23"/>
        <w:ind w:left="574" w:right="5922" w:hanging="420"/>
        <w:jc w:val="left"/>
        <w:rPr>
          <w:rFonts w:ascii="宋体" w:hAnsi="宋体" w:cs="宋体" w:eastAsia="宋体" w:hint="default"/>
          <w:sz w:val="21"/>
          <w:szCs w:val="21"/>
        </w:rPr>
      </w:pPr>
      <w:bookmarkStart w:name="19、 长期资产减值" w:id="199"/>
      <w:bookmarkEnd w:id="19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当存在下列迹象的，表明资产可能发生了减值：</w:t>
      </w:r>
    </w:p>
    <w:p>
      <w:pPr>
        <w:pStyle w:val="Heading4"/>
        <w:spacing w:line="240" w:lineRule="auto" w:before="37"/>
        <w:ind w:left="574"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Heading4"/>
        <w:spacing w:line="256" w:lineRule="auto" w:before="21"/>
        <w:ind w:left="154" w:right="1197" w:firstLine="420"/>
        <w:jc w:val="left"/>
      </w:pPr>
      <w:r>
        <w:rPr/>
        <w:t>（</w:t>
      </w:r>
      <w:r>
        <w:rPr>
          <w:rFonts w:ascii="Times New Roman" w:hAnsi="Times New Roman" w:cs="Times New Roman" w:eastAsia="Times New Roman" w:hint="default"/>
        </w:rPr>
        <w:t>2</w:t>
      </w:r>
      <w:r>
        <w:rPr/>
        <w:t>）本集团经营所处的经济、技术或法律等环境以及资产所处的市场在当期或将在近期发生重大变 化，从而对本集团产生不利影响。</w:t>
      </w:r>
    </w:p>
    <w:p>
      <w:pPr>
        <w:pStyle w:val="Heading4"/>
        <w:spacing w:line="256" w:lineRule="auto" w:before="21"/>
        <w:ind w:right="1198" w:firstLine="420"/>
        <w:jc w:val="left"/>
      </w:pPr>
      <w:r>
        <w:rPr/>
        <w:t>（</w:t>
      </w:r>
      <w:r>
        <w:rPr>
          <w:rFonts w:ascii="Times New Roman" w:hAnsi="Times New Roman" w:cs="Times New Roman" w:eastAsia="Times New Roman" w:hint="default"/>
        </w:rPr>
        <w:t>3</w:t>
      </w:r>
      <w:r>
        <w:rPr/>
        <w:t>）市场利率或者其他市场投资回报率在当期已经提高，从而影响企业用来计算资产预计未来现金 流量现值的折现率，导致资产可收回金额大幅度降低。</w:t>
      </w:r>
    </w:p>
    <w:p>
      <w:pPr>
        <w:pStyle w:val="Heading4"/>
        <w:spacing w:line="240" w:lineRule="auto" w:before="23"/>
        <w:ind w:left="574" w:right="0"/>
        <w:jc w:val="left"/>
      </w:pPr>
      <w:r>
        <w:rPr/>
        <w:t>（</w:t>
      </w:r>
      <w:r>
        <w:rPr>
          <w:rFonts w:ascii="Times New Roman" w:hAnsi="Times New Roman" w:cs="Times New Roman" w:eastAsia="Times New Roman" w:hint="default"/>
        </w:rPr>
        <w:t>4</w:t>
      </w:r>
      <w:r>
        <w:rPr/>
        <w:t>）有证据表明资产已经陈旧过时或其实体已经损坏。</w:t>
      </w:r>
    </w:p>
    <w:p>
      <w:pPr>
        <w:pStyle w:val="Heading4"/>
        <w:spacing w:line="240" w:lineRule="auto" w:before="21"/>
        <w:ind w:left="574" w:right="0"/>
        <w:jc w:val="left"/>
      </w:pPr>
      <w:r>
        <w:rPr/>
        <w:t>（</w:t>
      </w:r>
      <w:r>
        <w:rPr>
          <w:rFonts w:ascii="Times New Roman" w:hAnsi="Times New Roman" w:cs="Times New Roman" w:eastAsia="Times New Roman" w:hint="default"/>
        </w:rPr>
        <w:t>5</w:t>
      </w:r>
      <w:r>
        <w:rPr/>
        <w:t>）资产已经或者将被闲置、终止使用或者计划提前处置。</w:t>
      </w:r>
    </w:p>
    <w:p>
      <w:pPr>
        <w:pStyle w:val="Heading4"/>
        <w:spacing w:line="256" w:lineRule="auto" w:before="21"/>
        <w:ind w:left="154" w:right="1197" w:firstLine="420"/>
        <w:jc w:val="left"/>
      </w:pPr>
      <w:r>
        <w:rPr/>
        <w:t>（</w:t>
      </w:r>
      <w:r>
        <w:rPr>
          <w:rFonts w:ascii="Times New Roman" w:hAnsi="Times New Roman" w:cs="Times New Roman" w:eastAsia="Times New Roman" w:hint="default"/>
        </w:rPr>
        <w:t>6</w:t>
      </w:r>
      <w:r>
        <w:rPr/>
        <w:t>）本集团内部报告的证据表明资产的经济绩效已经低于或者将低于预期，如资产所创造的净现金 流量或者实现的营业利润（或者损失）远远低于预计金额等。</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3" w:right="0"/>
        <w:jc w:val="left"/>
      </w:pPr>
      <w:r>
        <w:rPr/>
        <w:t>（</w:t>
      </w:r>
      <w:r>
        <w:rPr>
          <w:rFonts w:ascii="Times New Roman" w:hAnsi="Times New Roman" w:cs="Times New Roman" w:eastAsia="Times New Roman" w:hint="default"/>
        </w:rPr>
        <w:t>7</w:t>
      </w:r>
      <w:r>
        <w:rPr/>
        <w:t>）其他表明资产可能已经发生减值的迹象。 </w:t>
      </w:r>
      <w:r>
        <w:rPr>
          <w:spacing w:val="-1"/>
        </w:rPr>
        <w:t>本集团在资产负债表日对长期股权投资、固定资产、工程物资、在建工程、无形资产（使用寿命不确</w:t>
      </w:r>
    </w:p>
    <w:p>
      <w:pPr>
        <w:pStyle w:val="Heading4"/>
        <w:spacing w:line="261" w:lineRule="auto" w:before="22"/>
        <w:ind w:right="1131"/>
        <w:jc w:val="left"/>
      </w:pPr>
      <w:r>
        <w:rPr/>
        <w:t>定的除外）等适用《企业会计准则第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 </w:t>
      </w:r>
      <w:r>
        <w:rPr>
          <w:spacing w:val="-2"/>
        </w:rPr>
        <w:t>行减值测试</w:t>
      </w:r>
      <w:r>
        <w:rPr>
          <w:rFonts w:ascii="Times New Roman" w:hAnsi="Times New Roman" w:cs="Times New Roman" w:eastAsia="Times New Roman" w:hint="default"/>
          <w:spacing w:val="-2"/>
        </w:rPr>
        <w:t>-</w:t>
      </w:r>
      <w:r>
        <w:rPr>
          <w:spacing w:val="-2"/>
        </w:rPr>
        <w:t>估计其可收回金额。可收回金额以资产的公允价值减去处置费用后的净额与资产预计未来现金</w:t>
      </w:r>
      <w:r>
        <w:rPr/>
        <w:t> </w:t>
      </w:r>
      <w:r>
        <w:rPr>
          <w:spacing w:val="-1"/>
        </w:rPr>
        <w:t>流量的现值两者之间较高者确定。资产的可收回金额低于其账面价值的，将资产的账面价值减记至可收回</w:t>
      </w:r>
      <w:r>
        <w:rPr>
          <w:spacing w:val="-81"/>
        </w:rPr>
        <w:t> </w:t>
      </w:r>
      <w:r>
        <w:rPr>
          <w:spacing w:val="-81"/>
        </w:rPr>
      </w:r>
      <w:r>
        <w:rPr/>
        <w:t>金额，减记的金额确认为资产减值损失，计入当期损益，同时计提相应的资产减值准备。</w:t>
      </w:r>
    </w:p>
    <w:p>
      <w:pPr>
        <w:pStyle w:val="Heading4"/>
        <w:spacing w:line="273" w:lineRule="auto" w:before="18"/>
        <w:ind w:right="1131" w:firstLine="420"/>
        <w:jc w:val="both"/>
      </w:pPr>
      <w:r>
        <w:rPr>
          <w:spacing w:val="-1"/>
        </w:rPr>
        <w:t>有迹象表明一项资产可能发生减值的，本集团通常以单项资产为基础估计其可收回金额。当难以对单</w:t>
      </w:r>
      <w:r>
        <w:rPr/>
        <w:t> 项资产的可收回金额进行估计的，以该资产所属的资产组为基础确定资产组的可收回金额。</w:t>
      </w:r>
    </w:p>
    <w:p>
      <w:pPr>
        <w:pStyle w:val="Heading4"/>
        <w:spacing w:line="273" w:lineRule="auto"/>
        <w:ind w:right="1131" w:firstLine="420"/>
        <w:jc w:val="both"/>
      </w:pPr>
      <w:r>
        <w:rPr>
          <w:spacing w:val="-1"/>
        </w:rPr>
        <w:t>资产组是本集团可以认定的最小资产组合，其产生的现金流入基本上独立于其他资产或者资产组。资</w:t>
      </w:r>
      <w:r>
        <w:rPr/>
        <w:t> </w:t>
      </w:r>
      <w:r>
        <w:rPr>
          <w:spacing w:val="-1"/>
        </w:rPr>
        <w:t>产组由创造现金流入相关的资产组成。资产组的认定，以资产组产生的主要现金流入是否独立于其他资产</w:t>
      </w:r>
      <w:r>
        <w:rPr>
          <w:spacing w:val="-81"/>
        </w:rPr>
        <w:t> </w:t>
      </w:r>
      <w:r>
        <w:rPr>
          <w:spacing w:val="-81"/>
        </w:rPr>
      </w:r>
      <w:r>
        <w:rPr/>
        <w:t>或者资产组的现金流入为依据。</w:t>
      </w:r>
    </w:p>
    <w:p>
      <w:pPr>
        <w:pStyle w:val="Heading4"/>
        <w:spacing w:line="273" w:lineRule="auto"/>
        <w:ind w:left="154" w:right="1131" w:firstLine="420"/>
        <w:jc w:val="both"/>
      </w:pPr>
      <w:r>
        <w:rPr>
          <w:spacing w:val="-1"/>
        </w:rPr>
        <w:t>本集团对因企业合并所形成的商誉和使用寿命不确定的无形资产，无论是否存在减值迹象，每年都进</w:t>
      </w:r>
      <w:r>
        <w:rPr/>
        <w:t> 行减值测试。商誉的减值测试结合与其相关的资产组或者资产组组合进行。</w:t>
      </w:r>
    </w:p>
    <w:p>
      <w:pPr>
        <w:pStyle w:val="Heading4"/>
        <w:spacing w:line="240" w:lineRule="auto"/>
        <w:ind w:left="573" w:right="0"/>
        <w:jc w:val="left"/>
      </w:pPr>
      <w:r>
        <w:rPr/>
        <w:t>资产减值损失一经确认，在以后会计期间不予转回。</w:t>
      </w:r>
    </w:p>
    <w:p>
      <w:pPr>
        <w:pStyle w:val="Heading4"/>
        <w:spacing w:line="590" w:lineRule="atLeast" w:before="39"/>
        <w:ind w:left="589" w:right="1287" w:hanging="436"/>
        <w:jc w:val="left"/>
      </w:pPr>
      <w:bookmarkStart w:name="20、长期待摊费用" w:id="200"/>
      <w:bookmarkEnd w:id="200"/>
      <w:r>
        <w:rPr/>
      </w: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w w:val="99"/>
        </w:rPr>
        <w:t> </w:t>
      </w:r>
      <w:r>
        <w:rPr/>
        <w:t>本集团将已经发生的但应由本年和以后各期负担的摊销期限在一年以上的经营租赁方式租入的固定</w:t>
      </w:r>
    </w:p>
    <w:p>
      <w:pPr>
        <w:pStyle w:val="Heading4"/>
        <w:spacing w:line="240" w:lineRule="auto" w:before="37"/>
        <w:ind w:left="154" w:right="0"/>
        <w:jc w:val="left"/>
      </w:pPr>
      <w:r>
        <w:rPr/>
        <w:t>资产改良支出等各项费用确认为长期待摊费用，并按项目受益期采用直线法平均摊销。</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1、 商誉" w:id="201"/>
      <w:bookmarkEnd w:id="201"/>
      <w:r>
        <w:rPr>
          <w:b w:val="0"/>
          <w:bCs w:val="0"/>
        </w:rPr>
      </w:r>
      <w:r>
        <w:rPr>
          <w:rFonts w:ascii="Times New Roman" w:hAnsi="Times New Roman" w:cs="Times New Roman" w:eastAsia="Times New Roman" w:hint="default"/>
        </w:rPr>
        <w:t>21</w:t>
      </w:r>
      <w:r>
        <w:rPr/>
        <w:t>、</w:t>
      </w:r>
      <w:r>
        <w:rPr>
          <w:spacing w:val="-1"/>
        </w:rPr>
        <w:t> </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73" w:lineRule="auto" w:before="0"/>
        <w:ind w:left="154" w:right="1131" w:firstLine="435"/>
        <w:jc w:val="both"/>
      </w:pPr>
      <w:r>
        <w:rPr>
          <w:spacing w:val="-1"/>
        </w:rPr>
        <w:t>因非同一控制下企业合并形成的商誉，其初始成本是合并成本大于合并中取得的被购买方可辨认净资</w:t>
      </w:r>
      <w:r>
        <w:rPr/>
        <w:t> 产公允价值份额的差额。</w:t>
      </w:r>
    </w:p>
    <w:p>
      <w:pPr>
        <w:pStyle w:val="Heading4"/>
        <w:spacing w:line="273" w:lineRule="auto"/>
        <w:ind w:left="589" w:right="1121"/>
        <w:jc w:val="left"/>
      </w:pPr>
      <w:r>
        <w:rPr/>
        <w:t>商誉在其相关资产组或资产组组合处置时予以转出，计入当期损益。 本集团对商誉不摊销，商誉至少在每年年度终了进行减值测试。 </w:t>
      </w:r>
      <w:r>
        <w:rPr>
          <w:spacing w:val="-1"/>
        </w:rPr>
        <w:t>本集团进行商誉减值测试，对于因企业合并形成的商誉的账面价值，自购买日起按照合理的方法分摊</w:t>
      </w:r>
    </w:p>
    <w:p>
      <w:pPr>
        <w:pStyle w:val="Heading4"/>
        <w:spacing w:line="273" w:lineRule="auto"/>
        <w:ind w:left="154"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Heading4"/>
        <w:spacing w:line="273" w:lineRule="auto"/>
        <w:ind w:left="154" w:right="1131" w:firstLine="435"/>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2、职工薪酬" w:id="202"/>
      <w:bookmarkEnd w:id="202"/>
      <w:r>
        <w:rPr>
          <w:b w:val="0"/>
          <w:bCs w:val="0"/>
        </w:rPr>
      </w:r>
      <w:r>
        <w:rPr>
          <w:rFonts w:ascii="Times New Roman" w:hAnsi="Times New Roman" w:cs="Times New Roman" w:eastAsia="Times New Roman" w:hint="default"/>
        </w:rPr>
        <w:t>22</w:t>
      </w:r>
      <w:r>
        <w:rPr/>
        <w:t>、职工薪酬</w:t>
      </w:r>
      <w:r>
        <w:rPr>
          <w:b w:val="0"/>
          <w:bCs w:val="0"/>
        </w:rPr>
      </w:r>
    </w:p>
    <w:p>
      <w:pPr>
        <w:spacing w:line="590" w:lineRule="atLeast" w:before="23"/>
        <w:ind w:left="574" w:right="0" w:hanging="420"/>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本集团在职工为其提供服务的会计期间，将实际发生的短期薪酬确认为负债，并计入当期损益，其他</w:t>
      </w:r>
    </w:p>
    <w:p>
      <w:pPr>
        <w:pStyle w:val="Heading4"/>
        <w:spacing w:line="240" w:lineRule="auto" w:before="37"/>
        <w:ind w:left="154" w:right="0"/>
        <w:jc w:val="left"/>
      </w:pPr>
      <w:r>
        <w:rPr/>
        <w:t>会计准则要求或允许计入资产成本的除外。</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1131" w:firstLine="420"/>
        <w:jc w:val="both"/>
      </w:pPr>
      <w:r>
        <w:rPr>
          <w:spacing w:val="-1"/>
        </w:rPr>
        <w:t>本集团将离职后福利计划分类为设定提存计划和设定受益计划。离职后福利计划，是指本集团与职工</w:t>
      </w:r>
      <w:r>
        <w:rPr/>
        <w:t> </w:t>
      </w:r>
      <w:r>
        <w:rPr>
          <w:spacing w:val="-1"/>
        </w:rPr>
        <w:t>就离职后福利达成的协议，或者本集团为向职工提供离职后福利制定的规章或办法等。其中，设定提存计</w:t>
      </w:r>
      <w:r>
        <w:rPr>
          <w:spacing w:val="-83"/>
        </w:rPr>
        <w:t> </w:t>
      </w:r>
      <w:r>
        <w:rPr>
          <w:spacing w:val="-83"/>
        </w:rPr>
      </w:r>
      <w:r>
        <w:rPr>
          <w:spacing w:val="-1"/>
        </w:rPr>
        <w:t>划，是指向独立的基金缴存固定费用后，本集团不再承担进一步支付义务的离职后福利计划；设定受益计</w:t>
      </w:r>
      <w:r>
        <w:rPr>
          <w:spacing w:val="-83"/>
        </w:rPr>
        <w:t> </w:t>
      </w:r>
      <w:r>
        <w:rPr>
          <w:spacing w:val="-83"/>
        </w:rPr>
      </w:r>
      <w:r>
        <w:rPr/>
        <w:t>划，是指除设定提存计划以外的离职后福利计划。</w:t>
      </w:r>
    </w:p>
    <w:p>
      <w:pPr>
        <w:pStyle w:val="Heading4"/>
        <w:spacing w:line="256" w:lineRule="auto"/>
        <w:ind w:left="574" w:right="0"/>
        <w:jc w:val="left"/>
      </w:pPr>
      <w:r>
        <w:rPr>
          <w:rFonts w:ascii="Times New Roman" w:hAnsi="Times New Roman" w:cs="Times New Roman" w:eastAsia="Times New Roman" w:hint="default"/>
        </w:rPr>
        <w:t>A</w:t>
      </w:r>
      <w:r>
        <w:rPr/>
        <w:t>、设定提存计划 </w:t>
      </w:r>
      <w:r>
        <w:rPr>
          <w:spacing w:val="-1"/>
        </w:rPr>
        <w:t>本集团在职工为其提供服务的会计期间，将根据设定提存计划计算的应缴存金额确认为负债，并计入</w:t>
      </w:r>
    </w:p>
    <w:p>
      <w:pPr>
        <w:pStyle w:val="Heading4"/>
        <w:spacing w:line="240" w:lineRule="auto" w:before="22"/>
        <w:ind w:left="154" w:right="0"/>
        <w:jc w:val="left"/>
      </w:pPr>
      <w:r>
        <w:rPr/>
        <w:t>当期损益或相关资产成本。</w:t>
      </w:r>
    </w:p>
    <w:p>
      <w:pPr>
        <w:pStyle w:val="Heading4"/>
        <w:spacing w:line="256" w:lineRule="auto" w:before="37"/>
        <w:ind w:left="574" w:right="3192"/>
        <w:jc w:val="left"/>
      </w:pPr>
      <w:r>
        <w:rPr>
          <w:rFonts w:ascii="Times New Roman" w:hAnsi="Times New Roman" w:cs="Times New Roman" w:eastAsia="Times New Roman" w:hint="default"/>
        </w:rPr>
        <w:t>B</w:t>
      </w:r>
      <w:r>
        <w:rPr/>
        <w:t>、设定受益计划 本集团尚未运作设定受益计划或符合设定受益计划条件的其他长期职工福利。</w:t>
      </w:r>
    </w:p>
    <w:p>
      <w:pPr>
        <w:spacing w:line="590" w:lineRule="atLeast" w:before="24"/>
        <w:ind w:left="489" w:right="1177" w:hanging="336"/>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本集团向职工提供辞退福利的，在下列两者孰早日确认辞退福利产生的职工薪酬负债，并计入当期损</w:t>
      </w:r>
    </w:p>
    <w:p>
      <w:pPr>
        <w:pStyle w:val="Heading4"/>
        <w:spacing w:line="273" w:lineRule="auto" w:before="37"/>
        <w:ind w:right="0"/>
        <w:jc w:val="left"/>
      </w:pPr>
      <w:r>
        <w:rPr>
          <w:spacing w:val="-1"/>
        </w:rPr>
        <w:t>益：本集团不能单方面撤回因解除劳动关系计划或裁减建议所提供的辞退福利时；本集团确认与涉及支付</w:t>
      </w:r>
      <w:r>
        <w:rPr>
          <w:spacing w:val="-81"/>
        </w:rPr>
        <w:t> </w:t>
      </w:r>
      <w:r>
        <w:rPr>
          <w:spacing w:val="-81"/>
        </w:rPr>
      </w:r>
      <w:r>
        <w:rPr/>
        <w:t>辞退福利的重组相关的成本或费用时。</w:t>
      </w:r>
    </w:p>
    <w:p>
      <w:pPr>
        <w:spacing w:line="590" w:lineRule="atLeast" w:before="9"/>
        <w:ind w:left="573" w:right="0" w:hanging="420"/>
        <w:jc w:val="left"/>
        <w:rPr>
          <w:rFonts w:ascii="宋体" w:hAnsi="宋体" w:cs="宋体" w:eastAsia="宋体" w:hint="default"/>
          <w:sz w:val="21"/>
          <w:szCs w:val="21"/>
        </w:rPr>
      </w:pPr>
      <w:bookmarkStart w:name="（4）其他长期职工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本集团向职工提供的其他长期职工福利，符合设定提存计划条件的，按照上述设定提存计划的会计政</w:t>
      </w:r>
    </w:p>
    <w:p>
      <w:pPr>
        <w:pStyle w:val="Heading4"/>
        <w:spacing w:line="273" w:lineRule="auto" w:before="37"/>
        <w:ind w:right="1118"/>
        <w:jc w:val="left"/>
      </w:pPr>
      <w:r>
        <w:rPr>
          <w:spacing w:val="-1"/>
        </w:rPr>
        <w:t>策进行处理；除此以外的，按照上述设定受益计划的会计政策确认和计量其他长期职工福利净负债或净资</w:t>
      </w:r>
      <w:r>
        <w:rPr>
          <w:spacing w:val="-81"/>
        </w:rPr>
        <w:t> </w:t>
      </w:r>
      <w:r>
        <w:rPr>
          <w:spacing w:val="-81"/>
        </w:rPr>
      </w:r>
      <w:r>
        <w:rPr/>
        <w:t>产。</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3、收入" w:id="207"/>
      <w:bookmarkEnd w:id="207"/>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Heading4"/>
        <w:spacing w:line="273" w:lineRule="auto" w:before="0"/>
        <w:ind w:left="154" w:right="0" w:firstLine="420"/>
        <w:jc w:val="left"/>
      </w:pPr>
      <w:r>
        <w:rPr>
          <w:spacing w:val="-1"/>
        </w:rPr>
        <w:t>收入的金额按照本集团在日常经营活动中销售商品和提供劳务时，已收或应收合同或协议价款的公允</w:t>
      </w:r>
      <w:r>
        <w:rPr/>
        <w:t> 价值确定。收入按扣除销售折让及销售退回的净额列示。</w:t>
      </w:r>
    </w:p>
    <w:p>
      <w:pPr>
        <w:pStyle w:val="Heading4"/>
        <w:spacing w:line="256" w:lineRule="auto"/>
        <w:ind w:left="574" w:right="109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在已将商品所有权上的主要风险和报酬转移给买方，既没有保留通常与所有权相联系的继续管理权，</w:t>
      </w:r>
    </w:p>
    <w:p>
      <w:pPr>
        <w:pStyle w:val="Heading4"/>
        <w:spacing w:line="273" w:lineRule="auto" w:before="22"/>
        <w:ind w:left="154" w:right="1023"/>
        <w:jc w:val="left"/>
      </w:pPr>
      <w:r>
        <w:rPr/>
        <w:t>也没有对已售商品实施有效控制，收入的金额能够可靠地计量，相关的经济利益很可能流入企业，相关的 </w:t>
      </w:r>
      <w:r>
        <w:rPr>
          <w:spacing w:val="-3"/>
        </w:rPr>
        <w:t>已发生或将发生的成本能够可靠地计量时，确认商品销售收入的实现。本集团销售商品收入具体时点如下：</w:t>
      </w:r>
    </w:p>
    <w:p>
      <w:pPr>
        <w:pStyle w:val="Heading4"/>
        <w:spacing w:line="273" w:lineRule="auto"/>
        <w:ind w:left="574" w:right="0"/>
        <w:jc w:val="left"/>
      </w:pPr>
      <w:r>
        <w:rPr/>
        <w:t>系统集成收入 </w:t>
      </w:r>
      <w:r>
        <w:rPr>
          <w:spacing w:val="-1"/>
        </w:rPr>
        <w:t>系统集成主要是指机电一体化、动态仿真、机械结构以及多媒体产品的技术开发及系统集成项目。公</w:t>
      </w:r>
    </w:p>
    <w:p>
      <w:pPr>
        <w:pStyle w:val="Heading4"/>
        <w:spacing w:line="273" w:lineRule="auto"/>
        <w:ind w:left="154" w:right="0"/>
        <w:jc w:val="left"/>
      </w:pPr>
      <w:r>
        <w:rPr>
          <w:spacing w:val="-1"/>
        </w:rPr>
        <w:t>司直接采购或自制硬件、软件、特技系统、影片系统等并进行安装、调试和销售。对系统集成收入本公司</w:t>
      </w:r>
      <w:r>
        <w:rPr>
          <w:spacing w:val="-82"/>
        </w:rPr>
        <w:t> </w:t>
      </w:r>
      <w:r>
        <w:rPr>
          <w:spacing w:val="-82"/>
        </w:rPr>
      </w:r>
      <w:r>
        <w:rPr/>
        <w:t>在将产品交付给客户，完成安装调试，取得客户验收单时确认收入。</w:t>
      </w:r>
    </w:p>
    <w:p>
      <w:pPr>
        <w:pStyle w:val="Heading4"/>
        <w:spacing w:line="256" w:lineRule="auto"/>
        <w:ind w:left="57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w:t>
      </w:r>
    </w:p>
    <w:p>
      <w:pPr>
        <w:pStyle w:val="Heading4"/>
        <w:spacing w:line="273" w:lineRule="auto" w:before="23"/>
        <w:ind w:left="574" w:right="0" w:hanging="420"/>
        <w:jc w:val="left"/>
      </w:pPr>
      <w:r>
        <w:rPr/>
        <w:t>入。劳务交易的完工进度按已经提供的劳务占应提供劳务总量的比例确定。 </w:t>
      </w:r>
      <w:r>
        <w:rPr>
          <w:spacing w:val="-1"/>
        </w:rPr>
        <w:t>提供劳务交易的结果能够可靠估计是指同时满足：①收入的金额能够可靠地计量；②相关的经济利益</w:t>
      </w:r>
    </w:p>
    <w:p>
      <w:pPr>
        <w:pStyle w:val="Heading4"/>
        <w:spacing w:line="273" w:lineRule="auto"/>
        <w:ind w:left="574" w:right="1092" w:hanging="420"/>
        <w:jc w:val="left"/>
      </w:pPr>
      <w:r>
        <w:rPr/>
        <w:t>很可能流入企业；③交易的完工程度能够可靠地确定；④交易中已发生和将发生的成本能够可靠地计量。 </w:t>
      </w:r>
      <w:r>
        <w:rPr>
          <w:spacing w:val="-1"/>
        </w:rPr>
        <w:t>如果提供劳务交易的结果不能够可靠估计，则按已经发生并预计能够得到补偿的劳务成本金额确认提</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供的劳务收入，并将已发生的劳务成本作为当期费用。已经发生的劳务成本如预计不能得到补偿的，则不</w:t>
      </w:r>
      <w:r>
        <w:rPr>
          <w:spacing w:val="-83"/>
        </w:rPr>
        <w:t> </w:t>
      </w:r>
      <w:r>
        <w:rPr>
          <w:spacing w:val="-83"/>
        </w:rPr>
      </w:r>
      <w:r>
        <w:rPr/>
        <w:t>确认收入。</w:t>
      </w:r>
    </w:p>
    <w:p>
      <w:pPr>
        <w:pStyle w:val="Heading4"/>
        <w:spacing w:line="273" w:lineRule="auto"/>
        <w:ind w:right="1131" w:firstLine="420"/>
        <w:jc w:val="both"/>
      </w:pPr>
      <w:r>
        <w:rPr>
          <w:spacing w:val="-1"/>
        </w:rPr>
        <w:t>公司的劳务收入主要设计费收入，由于公司目前设计工作时间周期短，收入确认时点为按照合同的约</w:t>
      </w:r>
      <w:r>
        <w:rPr/>
        <w:t> 定提供设计方案，该方案经买方验收并收到价款或取得收取款项的证据时。</w:t>
      </w:r>
    </w:p>
    <w:p>
      <w:pPr>
        <w:pStyle w:val="Heading4"/>
        <w:spacing w:line="256" w:lineRule="auto" w:before="8"/>
        <w:ind w:left="573" w:right="0"/>
        <w:jc w:val="left"/>
      </w:pPr>
      <w:r>
        <w:rPr/>
        <w:t>（</w:t>
      </w:r>
      <w:r>
        <w:rPr>
          <w:rFonts w:ascii="Times New Roman" w:hAnsi="Times New Roman" w:cs="Times New Roman" w:eastAsia="Times New Roman" w:hint="default"/>
        </w:rPr>
        <w:t>3</w:t>
      </w:r>
      <w:r>
        <w:rPr/>
        <w:t>）让渡资产使用权及其增值服务收入 </w:t>
      </w:r>
      <w:r>
        <w:rPr>
          <w:spacing w:val="-1"/>
        </w:rPr>
        <w:t>在让渡资产使用权及增值服务收入的金额能够可靠计量，相关的经济利益很可能流入企业时，确认让</w:t>
      </w:r>
    </w:p>
    <w:p>
      <w:pPr>
        <w:pStyle w:val="Heading4"/>
        <w:spacing w:line="273" w:lineRule="auto" w:before="22"/>
        <w:ind w:right="1110"/>
        <w:jc w:val="both"/>
      </w:pPr>
      <w:r>
        <w:rPr>
          <w:spacing w:val="-1"/>
        </w:rPr>
        <w:t>渡资产使用权及增值服务收入的实现。让渡资产使用权及增值服务收入按照有关合同或协议约定的收费时</w:t>
      </w:r>
      <w:r>
        <w:rPr>
          <w:spacing w:val="-80"/>
        </w:rPr>
        <w:t> </w:t>
      </w:r>
      <w:r>
        <w:rPr>
          <w:spacing w:val="-80"/>
        </w:rPr>
      </w:r>
      <w:r>
        <w:rPr>
          <w:spacing w:val="-1"/>
        </w:rPr>
        <w:t>间和方法计算确定。如果合同或协议规定一次性收取使用费，且不提供后续服务的，视同销售该项资产一</w:t>
      </w:r>
      <w:r>
        <w:rPr>
          <w:spacing w:val="-83"/>
        </w:rPr>
        <w:t> </w:t>
      </w:r>
      <w:r>
        <w:rPr>
          <w:spacing w:val="-83"/>
        </w:rPr>
      </w:r>
      <w:r>
        <w:rPr/>
        <w:t>次性确认收入；按时间比例为基础确定的让渡资产使用权及增值服务收入在协议有效期内按直线法确认。 </w:t>
      </w:r>
      <w:r>
        <w:rPr>
          <w:spacing w:val="-1"/>
        </w:rPr>
        <w:t>如果有关合同或协议包含若干可单独分辨的组成部分，则先将合同或协议总金额按某种合理的方法分配至</w:t>
      </w:r>
      <w:r>
        <w:rPr>
          <w:spacing w:val="-81"/>
        </w:rPr>
        <w:t> </w:t>
      </w:r>
      <w:r>
        <w:rPr>
          <w:spacing w:val="-81"/>
        </w:rPr>
      </w:r>
      <w:r>
        <w:rPr/>
        <w:t>每个组成部分。当每个组成部分满足上述收入确认条件时，确认其对应的收入金额。</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4、 政府补助" w:id="208"/>
      <w:bookmarkEnd w:id="208"/>
      <w:r>
        <w:rPr>
          <w:b w:val="0"/>
          <w:bCs w:val="0"/>
        </w:rPr>
      </w:r>
      <w:r>
        <w:rPr>
          <w:rFonts w:ascii="Times New Roman" w:hAnsi="Times New Roman" w:cs="Times New Roman" w:eastAsia="Times New Roman" w:hint="default"/>
        </w:rPr>
        <w:t>24</w:t>
      </w:r>
      <w:r>
        <w:rPr/>
        <w:t>、</w:t>
      </w:r>
      <w:r>
        <w:rPr>
          <w:spacing w:val="-3"/>
        </w:rPr>
        <w:t> </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1130" w:firstLine="420"/>
        <w:jc w:val="both"/>
      </w:pPr>
      <w:r>
        <w:rPr>
          <w:spacing w:val="-1"/>
        </w:rPr>
        <w:t>本集团的政府补助分为与资产相关的政府补助和与收益相关的政府补助。与资产相关的政府补助，是</w:t>
      </w:r>
      <w:r>
        <w:rPr/>
        <w:t> </w:t>
      </w:r>
      <w:r>
        <w:rPr>
          <w:spacing w:val="-1"/>
        </w:rPr>
        <w:t>指本集团取得的、用于购建或以其他方式形成长期资产的政府补助。与收益相关的政府补助，是指除与资</w:t>
      </w:r>
      <w:r>
        <w:rPr>
          <w:spacing w:val="-83"/>
        </w:rPr>
        <w:t> </w:t>
      </w:r>
      <w:r>
        <w:rPr>
          <w:spacing w:val="-83"/>
        </w:rPr>
      </w:r>
      <w:r>
        <w:rPr>
          <w:spacing w:val="-1"/>
        </w:rPr>
        <w:t>产相关的政府补助之外的政府补助。如果政府补助文件未明确确定补助对象，以取得该补助必须具备的基</w:t>
      </w:r>
      <w:r>
        <w:rPr>
          <w:spacing w:val="-81"/>
        </w:rPr>
        <w:t> </w:t>
      </w:r>
      <w:r>
        <w:rPr>
          <w:spacing w:val="-81"/>
        </w:rPr>
      </w:r>
      <w:r>
        <w:rPr>
          <w:spacing w:val="-1"/>
        </w:rPr>
        <w:t>本条件为基础进行判断，以购建或其他方式形成长期资产为基本条件的作为与资产相关的政府补助，除此</w:t>
      </w:r>
      <w:r>
        <w:rPr>
          <w:spacing w:val="-81"/>
        </w:rPr>
        <w:t> </w:t>
      </w:r>
      <w:r>
        <w:rPr>
          <w:spacing w:val="-81"/>
        </w:rPr>
      </w:r>
      <w:r>
        <w:rPr/>
        <w:t>之外的划分为与收益相关的政府补助。</w:t>
      </w:r>
    </w:p>
    <w:p>
      <w:pPr>
        <w:pStyle w:val="Heading4"/>
        <w:spacing w:line="256" w:lineRule="auto"/>
        <w:ind w:left="574" w:right="6342"/>
        <w:jc w:val="left"/>
      </w:pPr>
      <w:r>
        <w:rPr/>
        <w:t>（</w:t>
      </w:r>
      <w:r>
        <w:rPr>
          <w:rFonts w:ascii="Times New Roman" w:hAnsi="Times New Roman" w:cs="Times New Roman" w:eastAsia="Times New Roman" w:hint="default"/>
        </w:rPr>
        <w:t>1</w:t>
      </w:r>
      <w:r>
        <w:rPr/>
        <w:t>）政府补助的确认 政府补助同时满足下列条件时，予以确认：</w:t>
      </w:r>
    </w:p>
    <w:p>
      <w:pPr>
        <w:pStyle w:val="Heading4"/>
        <w:spacing w:line="240" w:lineRule="auto" w:before="22"/>
        <w:ind w:left="574" w:right="0"/>
        <w:jc w:val="left"/>
      </w:pPr>
      <w:r>
        <w:rPr/>
        <w:t>①能够满足政府补助所附条件；</w:t>
      </w:r>
    </w:p>
    <w:p>
      <w:pPr>
        <w:pStyle w:val="Heading4"/>
        <w:spacing w:line="240" w:lineRule="auto" w:before="37"/>
        <w:ind w:left="574" w:right="0"/>
        <w:jc w:val="left"/>
      </w:pPr>
      <w:r>
        <w:rPr/>
        <w:t>②能够收到政府补助。</w:t>
      </w:r>
    </w:p>
    <w:p>
      <w:pPr>
        <w:pStyle w:val="Heading4"/>
        <w:spacing w:line="240" w:lineRule="auto" w:before="37"/>
        <w:ind w:left="574" w:right="0"/>
        <w:jc w:val="left"/>
      </w:pPr>
      <w:r>
        <w:rPr/>
        <w:t>（</w:t>
      </w:r>
      <w:r>
        <w:rPr>
          <w:rFonts w:ascii="Times New Roman" w:hAnsi="Times New Roman" w:cs="Times New Roman" w:eastAsia="Times New Roman" w:hint="default"/>
        </w:rPr>
        <w:t>2</w:t>
      </w:r>
      <w:r>
        <w:rPr/>
        <w:t>）政府补助的计量：</w:t>
      </w:r>
    </w:p>
    <w:p>
      <w:pPr>
        <w:pStyle w:val="Heading4"/>
        <w:spacing w:line="273" w:lineRule="auto" w:before="21"/>
        <w:ind w:left="154" w:right="1130" w:firstLine="420"/>
        <w:jc w:val="both"/>
      </w:pPr>
      <w:r>
        <w:rPr/>
        <w:t>①</w:t>
      </w:r>
      <w:r>
        <w:rPr>
          <w:spacing w:val="50"/>
        </w:rPr>
        <w:t> </w:t>
      </w:r>
      <w:r>
        <w:rPr/>
        <w:t>政府补助为货币性资产的，按照收到或应收的金额计量。政府补助为非货币性资产的，按照公允</w:t>
      </w:r>
      <w:r>
        <w:rPr>
          <w:spacing w:val="2"/>
        </w:rPr>
        <w:t> </w:t>
      </w:r>
      <w:r>
        <w:rPr/>
        <w:t>价值计量；公允价值不能可靠取得的，按照名义金额计量。</w:t>
      </w:r>
    </w:p>
    <w:p>
      <w:pPr>
        <w:pStyle w:val="Heading4"/>
        <w:spacing w:line="273" w:lineRule="auto"/>
        <w:ind w:left="154" w:right="1130" w:firstLine="420"/>
        <w:jc w:val="both"/>
      </w:pPr>
      <w:r>
        <w:rPr/>
        <w:t>②</w:t>
      </w:r>
      <w:r>
        <w:rPr>
          <w:spacing w:val="50"/>
        </w:rPr>
        <w:t> </w:t>
      </w:r>
      <w:r>
        <w:rPr/>
        <w:t>与资产相关的政府补助，取得时确认为递延收益，自相关资产达到预定可使用状态时，在该资产</w:t>
      </w:r>
      <w:r>
        <w:rPr>
          <w:spacing w:val="2"/>
        </w:rPr>
        <w:t> </w:t>
      </w:r>
      <w:r>
        <w:rPr>
          <w:spacing w:val="-1"/>
        </w:rPr>
        <w:t>使用寿命内按照合理、系统的方法分期计入损益。相关资产在使用寿命结束前被出售、转让、报废或发生</w:t>
      </w:r>
      <w:r>
        <w:rPr>
          <w:spacing w:val="-86"/>
        </w:rPr>
        <w:t> </w:t>
      </w:r>
      <w:r>
        <w:rPr>
          <w:spacing w:val="-86"/>
        </w:rPr>
      </w:r>
      <w:r>
        <w:rPr/>
        <w:t>毁损的，将尚未分配的相关递延收益余额转入资产处置当期的损益。</w:t>
      </w:r>
    </w:p>
    <w:p>
      <w:pPr>
        <w:pStyle w:val="Heading4"/>
        <w:spacing w:line="273" w:lineRule="auto"/>
        <w:ind w:left="154" w:right="1131" w:firstLine="420"/>
        <w:jc w:val="both"/>
      </w:pPr>
      <w:r>
        <w:rPr>
          <w:spacing w:val="-1"/>
        </w:rPr>
        <w:t>与收益相关的政府补助，用于补偿以后期间的相关成本费用或损失的，取得时确认为递延收益，在确</w:t>
      </w:r>
      <w:r>
        <w:rPr/>
        <w:t> </w:t>
      </w:r>
      <w:r>
        <w:rPr>
          <w:spacing w:val="-1"/>
        </w:rPr>
        <w:t>认相关成本费用或损失的期间计入当期损益；用于补偿已发生的相关成本费用或损失的，取得时直接计入</w:t>
      </w:r>
      <w:r>
        <w:rPr>
          <w:spacing w:val="-81"/>
        </w:rPr>
        <w:t> </w:t>
      </w:r>
      <w:r>
        <w:rPr>
          <w:spacing w:val="-81"/>
        </w:rPr>
      </w:r>
      <w:r>
        <w:rPr/>
        <w:t>当期损益。</w:t>
      </w:r>
    </w:p>
    <w:p>
      <w:pPr>
        <w:pStyle w:val="Heading4"/>
        <w:spacing w:line="240" w:lineRule="auto"/>
        <w:ind w:left="574" w:right="0"/>
        <w:jc w:val="left"/>
      </w:pPr>
      <w:r>
        <w:rPr/>
        <w:t>与日常活动相关的政府补助，计入其他收益；与日常活动无关的政府补助，计入营业外收支。</w:t>
      </w:r>
    </w:p>
    <w:p>
      <w:pPr>
        <w:pStyle w:val="Heading4"/>
        <w:spacing w:line="240" w:lineRule="auto" w:before="37"/>
        <w:ind w:left="574" w:right="0"/>
        <w:jc w:val="left"/>
      </w:pPr>
      <w:r>
        <w:rPr/>
        <w:t>③</w:t>
      </w:r>
      <w:r>
        <w:rPr>
          <w:spacing w:val="-21"/>
        </w:rPr>
        <w:t> </w:t>
      </w:r>
      <w:r>
        <w:rPr/>
        <w:t>取得政策性优惠贷款贴息，区分以下两种取得方式进行会计处理：</w:t>
      </w:r>
    </w:p>
    <w:p>
      <w:pPr>
        <w:pStyle w:val="Heading4"/>
        <w:spacing w:line="256" w:lineRule="auto" w:before="37"/>
        <w:ind w:left="154" w:right="1136" w:firstLine="420"/>
        <w:jc w:val="both"/>
      </w:pPr>
      <w:r>
        <w:rPr>
          <w:rFonts w:ascii="Times New Roman" w:hAnsi="Times New Roman" w:cs="Times New Roman" w:eastAsia="Times New Roman" w:hint="default"/>
        </w:rPr>
        <w:t>A</w:t>
      </w:r>
      <w:r>
        <w:rPr/>
        <w:t>、财政将贴息资金拨付给贷款银行，由贷款银行以政策性优惠利率向本集团提供贷款的，以实际收 到的借款金额作为借款的入账价值，按照借款本金和该政策性优惠利率计算相关借款费用。</w:t>
      </w:r>
    </w:p>
    <w:p>
      <w:pPr>
        <w:pStyle w:val="Heading4"/>
        <w:spacing w:line="240" w:lineRule="auto" w:before="22"/>
        <w:ind w:left="574" w:right="0"/>
        <w:jc w:val="left"/>
      </w:pPr>
      <w:r>
        <w:rPr>
          <w:rFonts w:ascii="Times New Roman" w:hAnsi="Times New Roman" w:cs="Times New Roman" w:eastAsia="Times New Roman" w:hint="default"/>
        </w:rPr>
        <w:t>B</w:t>
      </w:r>
      <w:r>
        <w:rPr/>
        <w:t>、财政将贴息资金直接拨付给本集团的，将对应的贴息冲减相关借款费用。</w:t>
      </w:r>
    </w:p>
    <w:p>
      <w:pPr>
        <w:pStyle w:val="Heading4"/>
        <w:spacing w:line="264" w:lineRule="auto" w:before="21"/>
        <w:ind w:left="574" w:right="2830"/>
        <w:jc w:val="left"/>
      </w:pPr>
      <w:r>
        <w:rPr/>
        <w:t>④</w:t>
      </w:r>
      <w:r>
        <w:rPr>
          <w:spacing w:val="-21"/>
        </w:rPr>
        <w:t> </w:t>
      </w:r>
      <w:r>
        <w:rPr/>
        <w:t>已确认的政府补助需要返还的，分别下列情况处理：</w:t>
      </w:r>
      <w:r>
        <w:rPr/>
        <w:t> </w:t>
      </w:r>
      <w:r>
        <w:rPr>
          <w:rFonts w:ascii="Times New Roman" w:hAnsi="Times New Roman" w:cs="Times New Roman" w:eastAsia="Times New Roman" w:hint="default"/>
        </w:rPr>
        <w:t>A</w:t>
      </w:r>
      <w:r>
        <w:rPr/>
        <w:t>、存在相关递延收益的，冲减相关递延收益账面余额，超出部分计入当期损益。 </w:t>
      </w:r>
      <w:r>
        <w:rPr>
          <w:rFonts w:ascii="Times New Roman" w:hAnsi="Times New Roman" w:cs="Times New Roman" w:eastAsia="Times New Roman" w:hint="default"/>
        </w:rPr>
        <w:t>B</w:t>
      </w:r>
      <w:r>
        <w:rPr/>
        <w:t>、属于其他情况的，直接计入当期损益。</w:t>
      </w:r>
    </w:p>
    <w:p>
      <w:pPr>
        <w:spacing w:line="240" w:lineRule="auto" w:before="12"/>
        <w:rPr>
          <w:rFonts w:ascii="宋体" w:hAnsi="宋体" w:cs="宋体" w:eastAsia="宋体" w:hint="default"/>
          <w:sz w:val="22"/>
          <w:szCs w:val="22"/>
        </w:rPr>
      </w:pPr>
    </w:p>
    <w:p>
      <w:pPr>
        <w:spacing w:line="506" w:lineRule="auto" w:before="0"/>
        <w:ind w:left="573" w:right="5503" w:hanging="420"/>
        <w:jc w:val="left"/>
        <w:rPr>
          <w:rFonts w:ascii="宋体" w:hAnsi="宋体" w:cs="宋体" w:eastAsia="宋体" w:hint="default"/>
          <w:sz w:val="21"/>
          <w:szCs w:val="21"/>
        </w:rPr>
      </w:pPr>
      <w:bookmarkStart w:name="25、递延所得税资产/递延所得税负债" w:id="209"/>
      <w:bookmarkEnd w:id="20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本集团采用资产负债表债务法进行所得税会计处理。</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573" w:right="0"/>
        <w:jc w:val="left"/>
      </w:pPr>
      <w:r>
        <w:rPr/>
        <w:t>（</w:t>
      </w:r>
      <w:r>
        <w:rPr>
          <w:rFonts w:ascii="Times New Roman" w:hAnsi="Times New Roman" w:cs="Times New Roman" w:eastAsia="Times New Roman" w:hint="default"/>
        </w:rPr>
        <w:t>1</w:t>
      </w:r>
      <w:r>
        <w:rPr/>
        <w:t>）递延所得税资产</w:t>
      </w:r>
    </w:p>
    <w:p>
      <w:pPr>
        <w:pStyle w:val="Heading4"/>
        <w:spacing w:line="273" w:lineRule="auto" w:before="21"/>
        <w:ind w:right="1131" w:firstLine="420"/>
        <w:jc w:val="both"/>
      </w:pPr>
      <w:r>
        <w:rPr>
          <w:spacing w:val="-1"/>
        </w:rPr>
        <w:t>①资产、负债的账面价值与其计税基础存在可抵扣暂时性差异的，以未来期间很可能取得的用以抵扣</w:t>
      </w:r>
      <w:r>
        <w:rPr/>
        <w:t> </w:t>
      </w:r>
      <w:r>
        <w:rPr>
          <w:spacing w:val="-1"/>
        </w:rPr>
        <w:t>可抵扣暂时性差异的应纳税所得额为限，按照预期收回该资产或清偿该负债期间的适用税率，计算确认由</w:t>
      </w:r>
      <w:r>
        <w:rPr>
          <w:spacing w:val="-81"/>
        </w:rPr>
        <w:t> </w:t>
      </w:r>
      <w:r>
        <w:rPr>
          <w:spacing w:val="-81"/>
        </w:rPr>
      </w:r>
      <w:r>
        <w:rPr/>
        <w:t>可抵扣暂时性差异产生的递延所得税资产。</w:t>
      </w:r>
    </w:p>
    <w:p>
      <w:pPr>
        <w:pStyle w:val="Heading4"/>
        <w:spacing w:line="273" w:lineRule="auto" w:before="8"/>
        <w:ind w:right="1132" w:firstLine="420"/>
        <w:jc w:val="both"/>
      </w:pPr>
      <w:r>
        <w:rPr>
          <w:spacing w:val="-1"/>
        </w:rPr>
        <w:t>②资产负债表日，有确凿证据表明未来期间很可能获得足够的应纳税所得额用来抵扣可抵扣暂时性差</w:t>
      </w:r>
      <w:r>
        <w:rPr/>
        <w:t> 异的，确认以前期间未确认的递延所得税资产。</w:t>
      </w:r>
    </w:p>
    <w:p>
      <w:pPr>
        <w:pStyle w:val="Heading4"/>
        <w:spacing w:line="273" w:lineRule="auto"/>
        <w:ind w:right="1131" w:firstLine="420"/>
        <w:jc w:val="both"/>
      </w:pPr>
      <w:r>
        <w:rPr>
          <w:spacing w:val="-1"/>
        </w:rPr>
        <w:t>③资产负债表日，对递延所得税资产的账面价值进行复核。如果未来期间很可能无法获得足够的应纳</w:t>
      </w:r>
      <w:r>
        <w:rPr/>
        <w:t> </w:t>
      </w:r>
      <w:r>
        <w:rPr>
          <w:spacing w:val="-1"/>
        </w:rPr>
        <w:t>税所得额用以抵扣递延所得税资产的利益，减记递延所得税资产的账面价值。在很可能获得足够的应纳税</w:t>
      </w:r>
      <w:r>
        <w:rPr>
          <w:spacing w:val="-81"/>
        </w:rPr>
        <w:t> </w:t>
      </w:r>
      <w:r>
        <w:rPr>
          <w:spacing w:val="-81"/>
        </w:rPr>
      </w:r>
      <w:r>
        <w:rPr/>
        <w:t>所得额时，转回减记的金额。</w:t>
      </w:r>
    </w:p>
    <w:p>
      <w:pPr>
        <w:pStyle w:val="Heading4"/>
        <w:spacing w:line="256" w:lineRule="auto"/>
        <w:ind w:left="573" w:right="0"/>
        <w:jc w:val="left"/>
      </w:pPr>
      <w:r>
        <w:rPr/>
        <w:t>（</w:t>
      </w:r>
      <w:r>
        <w:rPr>
          <w:rFonts w:ascii="Times New Roman" w:hAnsi="Times New Roman" w:cs="Times New Roman" w:eastAsia="Times New Roman" w:hint="default"/>
        </w:rPr>
        <w:t>2</w:t>
      </w:r>
      <w:r>
        <w:rPr/>
        <w:t>）递延所得税负债 </w:t>
      </w:r>
      <w:r>
        <w:rPr>
          <w:spacing w:val="-1"/>
        </w:rPr>
        <w:t>资产、负债的账面价值与其计税基础存在应纳税暂时性差异的，按照预期收回该资产或清偿该负债期</w:t>
      </w:r>
    </w:p>
    <w:p>
      <w:pPr>
        <w:pStyle w:val="Heading4"/>
        <w:spacing w:line="240" w:lineRule="auto" w:before="22"/>
        <w:ind w:right="0"/>
        <w:jc w:val="left"/>
      </w:pPr>
      <w:r>
        <w:rPr/>
        <w:t>间的适用税率，确认由应纳税暂时性差异产生的递延所得税负债。</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6、租赁" w:id="210"/>
      <w:bookmarkEnd w:id="210"/>
      <w:r>
        <w:rPr>
          <w:b w:val="0"/>
          <w:bCs w:val="0"/>
        </w:rPr>
      </w:r>
      <w:r>
        <w:rPr>
          <w:rFonts w:ascii="Times New Roman" w:hAnsi="Times New Roman" w:cs="Times New Roman" w:eastAsia="Times New Roman" w:hint="default"/>
        </w:rPr>
        <w:t>26</w:t>
      </w:r>
      <w:r>
        <w:rPr/>
        <w:t>、租赁</w:t>
      </w:r>
      <w:r>
        <w:rPr>
          <w:b w:val="0"/>
          <w:bCs w:val="0"/>
        </w:rPr>
      </w:r>
    </w:p>
    <w:p>
      <w:pPr>
        <w:spacing w:line="590" w:lineRule="atLeast" w:before="23"/>
        <w:ind w:left="574" w:right="0" w:hanging="420"/>
        <w:jc w:val="left"/>
        <w:rPr>
          <w:rFonts w:ascii="宋体" w:hAnsi="宋体" w:cs="宋体" w:eastAsia="宋体" w:hint="default"/>
          <w:sz w:val="21"/>
          <w:szCs w:val="21"/>
        </w:rPr>
      </w:pPr>
      <w:bookmarkStart w:name="（1）经营租赁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本集团作为承租人，对于经营租赁的租金，在租赁期内各个期间按照直线法计入相关资产成本或当期</w:t>
      </w:r>
    </w:p>
    <w:p>
      <w:pPr>
        <w:pStyle w:val="Heading4"/>
        <w:spacing w:line="273" w:lineRule="auto" w:before="37"/>
        <w:ind w:left="573" w:right="0" w:hanging="420"/>
        <w:jc w:val="left"/>
      </w:pPr>
      <w:r>
        <w:rPr/>
        <w:t>损益；发生的初始直接费用，计入当期损益；或有租金在实际发生时计入当期损益。 </w:t>
      </w:r>
      <w:r>
        <w:rPr>
          <w:spacing w:val="-1"/>
        </w:rPr>
        <w:t>本集团作为出租人，按资产的性质将用作经营租赁的资产包括在资产负债表中的相关项目内；对于经</w:t>
      </w:r>
    </w:p>
    <w:p>
      <w:pPr>
        <w:pStyle w:val="Heading4"/>
        <w:spacing w:line="273" w:lineRule="auto"/>
        <w:ind w:right="1110"/>
        <w:jc w:val="both"/>
      </w:pPr>
      <w:r>
        <w:rPr/>
        <w:t>营租赁的租金，在租赁期内各个期间按照直线法确认为当期损益；发生的初始直接费用，计入当期损益； </w:t>
      </w:r>
      <w:r>
        <w:rPr>
          <w:spacing w:val="-1"/>
        </w:rPr>
        <w:t>对于经营租赁资产中的固定资产，采用类似资产的折旧政策计提折旧；对于其他经营租赁资产，采用系统</w:t>
      </w:r>
      <w:r>
        <w:rPr>
          <w:spacing w:val="-83"/>
        </w:rPr>
        <w:t> </w:t>
      </w:r>
      <w:r>
        <w:rPr>
          <w:spacing w:val="-83"/>
        </w:rPr>
      </w:r>
      <w:r>
        <w:rPr/>
        <w:t>合理的方法进行摊销；或有租金在实际发生时计入当期损益。</w:t>
      </w:r>
    </w:p>
    <w:p>
      <w:pPr>
        <w:spacing w:line="590" w:lineRule="atLeast" w:before="9"/>
        <w:ind w:left="573" w:right="0" w:hanging="420"/>
        <w:jc w:val="left"/>
        <w:rPr>
          <w:rFonts w:ascii="宋体" w:hAnsi="宋体" w:cs="宋体" w:eastAsia="宋体" w:hint="default"/>
          <w:sz w:val="21"/>
          <w:szCs w:val="21"/>
        </w:rPr>
      </w:pPr>
      <w:bookmarkStart w:name="（2）融资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本集团作为承租人，在租赁期开始日将租赁开始日租赁资产公允价值与最低租赁付款额现值两者中较</w:t>
      </w:r>
    </w:p>
    <w:p>
      <w:pPr>
        <w:pStyle w:val="Heading4"/>
        <w:spacing w:line="273" w:lineRule="auto" w:before="37"/>
        <w:ind w:right="1131"/>
        <w:jc w:val="both"/>
      </w:pPr>
      <w:r>
        <w:rPr>
          <w:spacing w:val="-1"/>
        </w:rPr>
        <w:t>低者作为租入资产的入账价值，将最低租赁付款额作为长期应付款的入账价值，其差额作为未确认融资费</w:t>
      </w:r>
      <w:r>
        <w:rPr>
          <w:spacing w:val="-81"/>
        </w:rPr>
        <w:t> </w:t>
      </w:r>
      <w:r>
        <w:rPr>
          <w:spacing w:val="-81"/>
        </w:rPr>
      </w:r>
      <w:r>
        <w:rPr>
          <w:spacing w:val="-1"/>
        </w:rPr>
        <w:t>用；在租赁谈判和签订租赁合同过程中发生的，可归属于租赁项目的手续费、律师费、差旅费、印花税等</w:t>
      </w:r>
      <w:r>
        <w:rPr>
          <w:spacing w:val="-83"/>
        </w:rPr>
        <w:t> </w:t>
      </w:r>
      <w:r>
        <w:rPr>
          <w:spacing w:val="-83"/>
        </w:rPr>
      </w:r>
      <w:r>
        <w:rPr>
          <w:spacing w:val="-1"/>
        </w:rPr>
        <w:t>初始直接费用，计入租入资产价值；未确认融资费用在租赁期内各个期间进行分摊，采用实际利率法计算</w:t>
      </w:r>
      <w:r>
        <w:rPr>
          <w:spacing w:val="-83"/>
        </w:rPr>
        <w:t> </w:t>
      </w:r>
      <w:r>
        <w:rPr>
          <w:spacing w:val="-83"/>
        </w:rPr>
      </w:r>
      <w:r>
        <w:rPr/>
        <w:t>确认当期的融资费用；或有租金在实际发生时计入当期损益。</w:t>
      </w:r>
    </w:p>
    <w:p>
      <w:pPr>
        <w:pStyle w:val="Heading4"/>
        <w:spacing w:line="273" w:lineRule="auto"/>
        <w:ind w:right="1024" w:firstLine="420"/>
        <w:jc w:val="left"/>
      </w:pPr>
      <w:r>
        <w:rPr/>
        <w:t>在计算最低租赁付款额的现值时，能够取得出租人租赁内含利率的，采用租赁内含利率作为折现率； </w:t>
      </w:r>
      <w:r>
        <w:rPr>
          <w:spacing w:val="-3"/>
        </w:rPr>
        <w:t>否则，采用租赁合同规定的利率作为折现率。无法取得出租人的租赁内含利率且租赁合同没有规定利率的，</w:t>
      </w:r>
      <w:r>
        <w:rPr>
          <w:spacing w:val="-92"/>
        </w:rPr>
        <w:t> </w:t>
      </w:r>
      <w:r>
        <w:rPr>
          <w:spacing w:val="-92"/>
        </w:rPr>
      </w:r>
      <w:r>
        <w:rPr/>
        <w:t>采用同期银行贷款利率作为折现率。</w:t>
      </w:r>
    </w:p>
    <w:p>
      <w:pPr>
        <w:pStyle w:val="Heading4"/>
        <w:spacing w:line="273" w:lineRule="auto"/>
        <w:ind w:right="1131" w:firstLine="420"/>
        <w:jc w:val="both"/>
      </w:pPr>
      <w:r>
        <w:rPr>
          <w:spacing w:val="-1"/>
        </w:rPr>
        <w:t>本集团采用与自有固定资产相一致的折旧政策计提租赁资产折旧。能够合理确定租赁期届满时取得租</w:t>
      </w:r>
      <w:r>
        <w:rPr/>
        <w:t> </w:t>
      </w:r>
      <w:r>
        <w:rPr>
          <w:spacing w:val="-1"/>
        </w:rPr>
        <w:t>赁资产所有权的，在租赁资产使用寿命内计提折旧。无法合理确定租赁期届满时能够取得租赁资产所有权</w:t>
      </w:r>
      <w:r>
        <w:rPr>
          <w:spacing w:val="-81"/>
        </w:rPr>
        <w:t> </w:t>
      </w:r>
      <w:r>
        <w:rPr>
          <w:spacing w:val="-81"/>
        </w:rPr>
      </w:r>
      <w:r>
        <w:rPr/>
        <w:t>的，在租赁期与租赁资产使用寿命两者中较短的期间内计提折旧。</w:t>
      </w:r>
    </w:p>
    <w:p>
      <w:pPr>
        <w:pStyle w:val="Heading4"/>
        <w:spacing w:line="273" w:lineRule="auto"/>
        <w:ind w:right="1131" w:firstLine="420"/>
        <w:jc w:val="both"/>
      </w:pPr>
      <w:r>
        <w:rPr>
          <w:spacing w:val="-1"/>
        </w:rPr>
        <w:t>本集团作为出租人，在租赁期开始日将租赁开始日最低租赁收款额与初始直接费用之和作为应收融资</w:t>
      </w:r>
      <w:r>
        <w:rPr/>
        <w:t> </w:t>
      </w:r>
      <w:r>
        <w:rPr>
          <w:spacing w:val="-1"/>
        </w:rPr>
        <w:t>租赁款的入账价值，同时记录未担保余值；将最低租赁收款额、初始直接费用及未担保余值之和与其现值</w:t>
      </w:r>
      <w:r>
        <w:rPr>
          <w:spacing w:val="-83"/>
        </w:rPr>
        <w:t> </w:t>
      </w:r>
      <w:r>
        <w:rPr>
          <w:spacing w:val="-83"/>
        </w:rPr>
      </w:r>
      <w:r>
        <w:rPr>
          <w:spacing w:val="-1"/>
        </w:rPr>
        <w:t>之和的差额确认为未实现融资收益；未实现融资收益在租赁期内各个期间进行分配；采用实际利率法计算</w:t>
      </w:r>
      <w:r>
        <w:rPr>
          <w:spacing w:val="-81"/>
        </w:rPr>
        <w:t> </w:t>
      </w:r>
      <w:r>
        <w:rPr>
          <w:spacing w:val="-81"/>
        </w:rPr>
      </w:r>
      <w:r>
        <w:rPr/>
        <w:t>确认当期的融资收入；或有租金在实际发生时计入当期损益。</w:t>
      </w:r>
    </w:p>
    <w:p>
      <w:pPr>
        <w:spacing w:line="240" w:lineRule="auto" w:before="8"/>
        <w:rPr>
          <w:rFonts w:ascii="宋体" w:hAnsi="宋体" w:cs="宋体" w:eastAsia="宋体" w:hint="default"/>
          <w:sz w:val="23"/>
          <w:szCs w:val="23"/>
        </w:rPr>
      </w:pPr>
    </w:p>
    <w:p>
      <w:pPr>
        <w:pStyle w:val="Heading4"/>
        <w:spacing w:line="506" w:lineRule="auto" w:before="0"/>
        <w:ind w:left="574" w:right="0" w:hanging="420"/>
        <w:jc w:val="left"/>
      </w:pPr>
      <w:bookmarkStart w:name="27、 公允价值计量" w:id="213"/>
      <w:bookmarkEnd w:id="213"/>
      <w:r>
        <w:rPr/>
      </w:r>
      <w:r>
        <w:rPr>
          <w:rFonts w:ascii="Times New Roman" w:hAnsi="Times New Roman" w:cs="Times New Roman" w:eastAsia="Times New Roman" w:hint="default"/>
          <w:b/>
          <w:bCs/>
        </w:rPr>
        <w:t>27</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公允价值计量</w:t>
      </w:r>
      <w:r>
        <w:rPr>
          <w:rFonts w:ascii="宋体" w:hAnsi="宋体" w:cs="宋体" w:eastAsia="宋体" w:hint="default"/>
          <w:b/>
          <w:bCs/>
          <w:w w:val="99"/>
        </w:rPr>
        <w:t> </w:t>
      </w:r>
      <w:r>
        <w:rPr>
          <w:spacing w:val="-1"/>
        </w:rPr>
        <w:t>公允价值，是指市场参与者在计量日发生的有序交易中，出售一项资产所能收到或者转移一项负债所</w:t>
      </w:r>
    </w:p>
    <w:p>
      <w:pPr>
        <w:spacing w:after="0" w:line="50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需支付的价格。本集团以公允价值计量相关资产或负债，考虑该资产或负债的特征；假定市场参与者在计</w:t>
      </w:r>
      <w:r>
        <w:rPr>
          <w:spacing w:val="-83"/>
        </w:rPr>
        <w:t> </w:t>
      </w:r>
      <w:r>
        <w:rPr>
          <w:spacing w:val="-83"/>
        </w:rPr>
      </w:r>
      <w:r>
        <w:rPr>
          <w:spacing w:val="-1"/>
        </w:rPr>
        <w:t>量日出售资产或者转移负债的交易，是在当前市场条件下的有序交易；假定出售资产或者转移负债的有序</w:t>
      </w:r>
      <w:r>
        <w:rPr>
          <w:spacing w:val="-81"/>
        </w:rPr>
        <w:t> </w:t>
      </w:r>
      <w:r>
        <w:rPr>
          <w:spacing w:val="-81"/>
        </w:rPr>
      </w:r>
      <w:r>
        <w:rPr>
          <w:spacing w:val="-1"/>
        </w:rPr>
        <w:t>交易在相关资产或负债的主要市场进行；不存在主要市场的，假定该交易在相关资产或负债的最有利市场</w:t>
      </w:r>
      <w:r>
        <w:rPr>
          <w:spacing w:val="-81"/>
        </w:rPr>
        <w:t> </w:t>
      </w:r>
      <w:r>
        <w:rPr>
          <w:spacing w:val="-81"/>
        </w:rPr>
      </w:r>
      <w:r>
        <w:rPr/>
        <w:t>进行。本集团采用市场参与者在对该资产或负债定价时为实现其经济利益最大化所使用的假设。</w:t>
      </w:r>
    </w:p>
    <w:p>
      <w:pPr>
        <w:pStyle w:val="Heading4"/>
        <w:spacing w:line="273" w:lineRule="auto" w:before="8"/>
        <w:ind w:right="1110" w:firstLine="420"/>
        <w:jc w:val="both"/>
      </w:pPr>
      <w:r>
        <w:rPr/>
        <w:t>本集团根据交易性质和相关资产或负债的特征等，判断初始确认时的公允价值是否与其交易价格相 等；交易价格与公允价值不相等的，将相关利得或损失计入当期损益，但相关会计准则另有规定的除外。</w:t>
      </w:r>
    </w:p>
    <w:p>
      <w:pPr>
        <w:pStyle w:val="Heading4"/>
        <w:spacing w:line="273" w:lineRule="auto"/>
        <w:ind w:left="154" w:right="1132" w:firstLine="420"/>
        <w:jc w:val="both"/>
      </w:pPr>
      <w:r>
        <w:rPr>
          <w:spacing w:val="-1"/>
        </w:rPr>
        <w:t>本集团采用在当前情况下适用并且有足够可利用数据和其他信息支持的估值技术，使用的估值技术主</w:t>
      </w:r>
      <w:r>
        <w:rPr/>
        <w:t> </w:t>
      </w:r>
      <w:r>
        <w:rPr>
          <w:spacing w:val="-1"/>
        </w:rPr>
        <w:t>要包括市场法、收益法和成本法。在估值技术的应用中，优先使用相关可观察输入值，只有在相关可观察</w:t>
      </w:r>
      <w:r>
        <w:rPr>
          <w:spacing w:val="-86"/>
        </w:rPr>
        <w:t> </w:t>
      </w:r>
      <w:r>
        <w:rPr>
          <w:spacing w:val="-86"/>
        </w:rPr>
      </w:r>
      <w:r>
        <w:rPr/>
        <w:t>输入值无法取得或取得不切实可行的情况下，才可以使用不可观察输入值。</w:t>
      </w:r>
    </w:p>
    <w:p>
      <w:pPr>
        <w:pStyle w:val="Heading4"/>
        <w:spacing w:line="273" w:lineRule="auto"/>
        <w:ind w:left="154" w:right="1110" w:firstLine="420"/>
        <w:jc w:val="both"/>
      </w:pPr>
      <w:r>
        <w:rPr>
          <w:spacing w:val="-1"/>
        </w:rPr>
        <w:t>本集团公允价值计量所使用的输入值划分为三个层次，并首先使用第一层次输入值，其次使用第二层</w:t>
      </w:r>
      <w:r>
        <w:rPr/>
        <w:t> </w:t>
      </w:r>
      <w:r>
        <w:rPr>
          <w:spacing w:val="-1"/>
        </w:rPr>
        <w:t>次输入值，最后使用第三层次输入值。第一层次输入值是在计量日能够取得的相同资产或负债在活跃市场</w:t>
      </w:r>
      <w:r>
        <w:rPr>
          <w:spacing w:val="-81"/>
        </w:rPr>
        <w:t> </w:t>
      </w:r>
      <w:r>
        <w:rPr>
          <w:spacing w:val="-81"/>
        </w:rPr>
      </w:r>
      <w:r>
        <w:rPr/>
        <w:t>上未经调整的报价；第二层次输入值是除第一层次输入值外相关资产或负债直接或间接可观察的输入值； 第三层次输入值是相关资产或负债的不可观察输入值。</w:t>
      </w:r>
    </w:p>
    <w:p>
      <w:pPr>
        <w:pStyle w:val="Heading4"/>
        <w:spacing w:line="273" w:lineRule="auto"/>
        <w:ind w:left="154" w:right="1130" w:firstLine="420"/>
        <w:jc w:val="both"/>
      </w:pPr>
      <w:r>
        <w:rPr>
          <w:spacing w:val="-1"/>
        </w:rPr>
        <w:t>本集团以公允价值计量非金融资产，考虑市场参与者将该资产用于最佳用途产生经济利益的能力，或</w:t>
      </w:r>
      <w:r>
        <w:rPr/>
        <w:t> </w:t>
      </w:r>
      <w:r>
        <w:rPr>
          <w:spacing w:val="-1"/>
        </w:rPr>
        <w:t>者将该资产出售给能够用于最佳用途的其他市场参与者产生经济利益的能力。以公允价值计量负债，假定</w:t>
      </w:r>
      <w:r>
        <w:rPr>
          <w:spacing w:val="-81"/>
        </w:rPr>
        <w:t> </w:t>
      </w:r>
      <w:r>
        <w:rPr>
          <w:spacing w:val="-81"/>
        </w:rPr>
      </w:r>
      <w:r>
        <w:rPr>
          <w:spacing w:val="-1"/>
        </w:rPr>
        <w:t>在计量日将该负债转移给其他市场参与者，而且该负债在转移后继续存在，并由作为受让方的市场参与者</w:t>
      </w:r>
      <w:r>
        <w:rPr>
          <w:spacing w:val="-80"/>
        </w:rPr>
        <w:t> </w:t>
      </w:r>
      <w:r>
        <w:rPr>
          <w:spacing w:val="-80"/>
        </w:rPr>
      </w:r>
      <w:r>
        <w:rPr>
          <w:spacing w:val="-1"/>
        </w:rPr>
        <w:t>履行义务。以公允价值计量自身权益工具，假定在计量日将该自身权益工具转移给其他市场参与者，而且</w:t>
      </w:r>
      <w:r>
        <w:rPr>
          <w:spacing w:val="-83"/>
        </w:rPr>
        <w:t> </w:t>
      </w:r>
      <w:r>
        <w:rPr>
          <w:spacing w:val="-83"/>
        </w:rPr>
      </w:r>
      <w:r>
        <w:rPr>
          <w:spacing w:val="-1"/>
        </w:rPr>
        <w:t>该自身权益工具在转移后继续存在，并由作为受让方的市场参与者取得与该工具相关的权利、承担相应的</w:t>
      </w:r>
      <w:r>
        <w:rPr>
          <w:spacing w:val="-81"/>
        </w:rPr>
        <w:t> </w:t>
      </w:r>
      <w:r>
        <w:rPr>
          <w:spacing w:val="-81"/>
        </w:rPr>
      </w:r>
      <w:r>
        <w:rPr/>
        <w:t>义务。</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8、 终止经营" w:id="214"/>
      <w:bookmarkEnd w:id="214"/>
      <w:r>
        <w:rPr>
          <w:b w:val="0"/>
          <w:bCs w:val="0"/>
        </w:rPr>
      </w:r>
      <w:r>
        <w:rPr>
          <w:rFonts w:ascii="Times New Roman" w:hAnsi="Times New Roman" w:cs="Times New Roman" w:eastAsia="Times New Roman" w:hint="default"/>
        </w:rPr>
        <w:t>28</w:t>
      </w:r>
      <w:r>
        <w:rPr/>
        <w:t>、</w:t>
      </w:r>
      <w:r>
        <w:rPr>
          <w:spacing w:val="-3"/>
        </w:rPr>
        <w:t> </w:t>
      </w:r>
      <w:r>
        <w:rPr/>
        <w:t>终止经营</w:t>
      </w:r>
      <w:r>
        <w:rPr>
          <w:b w:val="0"/>
          <w:bCs w:val="0"/>
        </w:rPr>
      </w:r>
    </w:p>
    <w:p>
      <w:pPr>
        <w:spacing w:line="240" w:lineRule="auto" w:before="8"/>
        <w:rPr>
          <w:rFonts w:ascii="宋体" w:hAnsi="宋体" w:cs="宋体" w:eastAsia="宋体" w:hint="default"/>
          <w:b/>
          <w:bCs/>
          <w:sz w:val="24"/>
          <w:szCs w:val="24"/>
        </w:rPr>
      </w:pPr>
    </w:p>
    <w:p>
      <w:pPr>
        <w:pStyle w:val="Heading4"/>
        <w:spacing w:line="273" w:lineRule="auto" w:before="0"/>
        <w:ind w:left="154" w:right="1131" w:firstLine="420"/>
        <w:jc w:val="both"/>
      </w:pPr>
      <w:r>
        <w:rPr>
          <w:spacing w:val="-1"/>
        </w:rPr>
        <w:t>终止经营，是指满足下列条件之一的、能够单独区分的组成部分，且该组成部分已经处置或划分为持</w:t>
      </w:r>
      <w:r>
        <w:rPr/>
        <w:t> 有待售类别：</w:t>
      </w:r>
    </w:p>
    <w:p>
      <w:pPr>
        <w:pStyle w:val="Heading4"/>
        <w:spacing w:line="240" w:lineRule="auto"/>
        <w:ind w:left="57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Heading4"/>
        <w:spacing w:line="256" w:lineRule="auto" w:before="21"/>
        <w:ind w:left="154" w:right="1141" w:firstLine="420"/>
        <w:jc w:val="both"/>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pStyle w:val="Heading4"/>
        <w:spacing w:line="256" w:lineRule="auto" w:before="22"/>
        <w:ind w:left="574" w:right="0"/>
        <w:jc w:val="left"/>
      </w:pPr>
      <w:r>
        <w:rPr/>
        <w:t>（</w:t>
      </w:r>
      <w:r>
        <w:rPr>
          <w:rFonts w:ascii="Times New Roman" w:hAnsi="Times New Roman" w:cs="Times New Roman" w:eastAsia="Times New Roman" w:hint="default"/>
        </w:rPr>
        <w:t>3</w:t>
      </w:r>
      <w:r>
        <w:rPr/>
        <w:t>）该组成部分是专为转售而取得的子公司。 </w:t>
      </w:r>
      <w:r>
        <w:rPr>
          <w:spacing w:val="-1"/>
        </w:rPr>
        <w:t>本集团在合并利润表和利润表中分别列示持续经营损益和终止经营损益。不符合终止经营定义的持有</w:t>
      </w:r>
    </w:p>
    <w:p>
      <w:pPr>
        <w:pStyle w:val="Heading4"/>
        <w:spacing w:line="273" w:lineRule="auto" w:before="22"/>
        <w:ind w:left="154" w:right="0"/>
        <w:jc w:val="left"/>
      </w:pPr>
      <w:r>
        <w:rPr>
          <w:spacing w:val="-1"/>
        </w:rPr>
        <w:t>待售的非流动资产或处置组，其减值损失和转回金额及处置损益作为持续经营损益列报。终止经营的减值</w:t>
      </w:r>
      <w:r>
        <w:rPr>
          <w:spacing w:val="-81"/>
        </w:rPr>
        <w:t> </w:t>
      </w:r>
      <w:r>
        <w:rPr>
          <w:spacing w:val="-81"/>
        </w:rPr>
      </w:r>
      <w:r>
        <w:rPr/>
        <w:t>损失和转回金额等经营损益及处置损益作为终止经营损益列报。 </w:t>
      </w:r>
      <w:r>
        <w:rPr>
          <w:spacing w:val="-1"/>
        </w:rPr>
        <w:t>对于当期列报的终止经营，在当期财务报表中，将原来作为持续经营损益列报的信息重新作为可比会计期</w:t>
      </w:r>
      <w:r>
        <w:rPr>
          <w:spacing w:val="-81"/>
        </w:rPr>
        <w:t> </w:t>
      </w:r>
      <w:r>
        <w:rPr>
          <w:spacing w:val="-81"/>
        </w:rPr>
      </w:r>
      <w:r>
        <w:rPr>
          <w:spacing w:val="-1"/>
        </w:rPr>
        <w:t>间的终止经营损益列报。拟结束使用而非出售的处置组满足终止经营定义中有关组成部分的条件的，自停</w:t>
      </w:r>
      <w:r>
        <w:rPr>
          <w:spacing w:val="-81"/>
        </w:rPr>
        <w:t> </w:t>
      </w:r>
      <w:r>
        <w:rPr>
          <w:spacing w:val="-81"/>
        </w:rPr>
      </w:r>
      <w:r>
        <w:rPr>
          <w:spacing w:val="-1"/>
        </w:rPr>
        <w:t>止使用日起作为终止经营列报。因出售对子公司的投资等原因导致其丧失对子公司控制权，且该子公司符</w:t>
      </w:r>
      <w:r>
        <w:rPr>
          <w:spacing w:val="-80"/>
        </w:rPr>
        <w:t> </w:t>
      </w:r>
      <w:r>
        <w:rPr>
          <w:spacing w:val="-80"/>
        </w:rPr>
      </w:r>
      <w:r>
        <w:rPr/>
        <w:t>合终止经营定义的，在合并利润表中列报相关终止经营损益。</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9、重要会计政策和会计估计变更" w:id="215"/>
      <w:bookmarkEnd w:id="215"/>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4"/>
        <w:spacing w:line="276" w:lineRule="exact" w:before="0"/>
        <w:ind w:left="154"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w:t>
      </w:r>
    </w:p>
    <w:p>
      <w:pPr>
        <w:pStyle w:val="Heading4"/>
        <w:spacing w:line="240" w:lineRule="auto" w:before="21"/>
        <w:ind w:left="154" w:right="0"/>
        <w:jc w:val="left"/>
      </w:pPr>
      <w:r>
        <w:rPr/>
        <w:t>营》（以下简称《企业会计准则第</w:t>
      </w:r>
      <w:r>
        <w:rPr>
          <w:rFonts w:ascii="Times New Roman" w:hAnsi="Times New Roman" w:cs="Times New Roman" w:eastAsia="Times New Roman" w:hint="default"/>
        </w:rPr>
        <w:t>42</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日，财政部发布了修订后的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3" w:right="0" w:hanging="420"/>
        <w:jc w:val="left"/>
      </w:pP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政府补助》（以下简称《企业会计准则第</w:t>
      </w:r>
      <w:r>
        <w:rPr>
          <w:rFonts w:ascii="Times New Roman" w:hAnsi="Times New Roman" w:cs="Times New Roman" w:eastAsia="Times New Roman" w:hint="default"/>
          <w:spacing w:val="-1"/>
        </w:rPr>
        <w:t>16</w:t>
      </w:r>
      <w:r>
        <w:rPr>
          <w:spacing w:val="-1"/>
        </w:rPr>
        <w:t>号》），自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日起施行。</w:t>
      </w:r>
      <w:r>
        <w:rPr>
          <w:spacing w:val="-83"/>
        </w:rPr>
        <w:t> </w:t>
      </w:r>
      <w:r>
        <w:rPr>
          <w:spacing w:val="-83"/>
        </w:rPr>
      </w:r>
      <w:r>
        <w:rPr/>
        <w:t>经本公司第八届董事会第三十次会议及第三十五次会议决议，本公司执行上述新发布的《企业会计准</w:t>
      </w:r>
    </w:p>
    <w:p>
      <w:pPr>
        <w:pStyle w:val="Heading4"/>
        <w:spacing w:line="240" w:lineRule="auto" w:before="22"/>
        <w:ind w:right="0"/>
        <w:jc w:val="left"/>
      </w:pPr>
      <w:r>
        <w:rPr/>
        <w:t>则第</w:t>
      </w:r>
      <w:r>
        <w:rPr>
          <w:rFonts w:ascii="Times New Roman" w:hAnsi="Times New Roman" w:cs="Times New Roman" w:eastAsia="Times New Roman" w:hint="default"/>
        </w:rPr>
        <w:t>42</w:t>
      </w:r>
      <w:r>
        <w:rPr/>
        <w:t>号》和修订后的《企业会计准则第</w:t>
      </w:r>
      <w:r>
        <w:rPr>
          <w:rFonts w:ascii="Times New Roman" w:hAnsi="Times New Roman" w:cs="Times New Roman" w:eastAsia="Times New Roman" w:hint="default"/>
        </w:rPr>
        <w:t>16</w:t>
      </w:r>
      <w:r>
        <w:rPr/>
        <w:t>号》，并导致本集团相应重要会计政策变更，具体内容如下：</w:t>
      </w:r>
    </w:p>
    <w:p>
      <w:pPr>
        <w:pStyle w:val="Heading4"/>
        <w:spacing w:line="240" w:lineRule="auto" w:before="21"/>
        <w:ind w:left="574" w:right="0"/>
        <w:jc w:val="left"/>
      </w:pPr>
      <w:r>
        <w:rPr/>
        <w:t>①在合并利润表和利润表中改为分别列示持续经营损益和终止经营损益。</w:t>
      </w:r>
    </w:p>
    <w:p>
      <w:pPr>
        <w:pStyle w:val="Heading4"/>
        <w:spacing w:line="240" w:lineRule="auto" w:before="37"/>
        <w:ind w:left="574" w:right="0"/>
        <w:jc w:val="left"/>
      </w:pPr>
      <w:r>
        <w:rPr/>
        <w:t>②与资产相关的政府补助，由取得时确认为递延收益改为取得时冲减相关资产的账面价值。</w:t>
      </w:r>
    </w:p>
    <w:p>
      <w:pPr>
        <w:pStyle w:val="Heading4"/>
        <w:spacing w:line="273" w:lineRule="auto" w:before="37"/>
        <w:ind w:left="154" w:right="1131" w:firstLine="420"/>
        <w:jc w:val="both"/>
      </w:pPr>
      <w:r>
        <w:rPr>
          <w:spacing w:val="-1"/>
        </w:rPr>
        <w:t>③与收益相关的政府补助，用于补偿以后期间的相关成本费用或损失的，取得时确认为递延收益，由</w:t>
      </w:r>
      <w:r>
        <w:rPr/>
        <w:t> </w:t>
      </w:r>
      <w:r>
        <w:rPr>
          <w:spacing w:val="-1"/>
        </w:rPr>
        <w:t>在确认相关成本费用或损失的期间计入当期损益改为在确认相关成本费用或损失的期间冲减相关成本；用</w:t>
      </w:r>
      <w:r>
        <w:rPr>
          <w:spacing w:val="-81"/>
        </w:rPr>
        <w:t> </w:t>
      </w:r>
      <w:r>
        <w:rPr>
          <w:spacing w:val="-81"/>
        </w:rPr>
      </w:r>
      <w:r>
        <w:rPr>
          <w:spacing w:val="-1"/>
        </w:rPr>
        <w:t>于补偿已发生的相关成本费用或损失的，由取得时直接计入当期损益改为取得时直接计入当期损益或冲减</w:t>
      </w:r>
      <w:r>
        <w:rPr>
          <w:spacing w:val="-81"/>
        </w:rPr>
        <w:t> </w:t>
      </w:r>
      <w:r>
        <w:rPr>
          <w:spacing w:val="-81"/>
        </w:rPr>
      </w:r>
      <w:r>
        <w:rPr/>
        <w:t>相关成本。</w:t>
      </w:r>
    </w:p>
    <w:p>
      <w:pPr>
        <w:pStyle w:val="Heading4"/>
        <w:spacing w:line="273" w:lineRule="auto"/>
        <w:ind w:left="154" w:right="1131" w:firstLine="420"/>
        <w:jc w:val="both"/>
      </w:pPr>
      <w:r>
        <w:rPr>
          <w:spacing w:val="-1"/>
        </w:rPr>
        <w:t>④与日常活动相关的政府补助，由计入营业外收支改为按照经济业务实质，计入其他收益或冲减相关</w:t>
      </w:r>
      <w:r>
        <w:rPr/>
        <w:t> 成本费用，计入其他收益的，在合并利润表与利润表中单独列报该项目。</w:t>
      </w:r>
    </w:p>
    <w:p>
      <w:pPr>
        <w:pStyle w:val="Heading4"/>
        <w:spacing w:line="264" w:lineRule="auto"/>
        <w:ind w:left="154" w:right="1023" w:firstLine="420"/>
        <w:jc w:val="left"/>
      </w:pPr>
      <w:r>
        <w:rPr/>
        <w:t>取得政策性优惠贷款贴息，改为区分以下两种取得方式进行会计处理：</w:t>
      </w:r>
      <w:r>
        <w:rPr>
          <w:rFonts w:ascii="Times New Roman" w:hAnsi="Times New Roman" w:cs="Times New Roman" w:eastAsia="Times New Roman" w:hint="default"/>
        </w:rPr>
        <w:t>A</w:t>
      </w:r>
      <w:r>
        <w:rPr/>
        <w:t>、财政将贴息资金拨付给贷 </w:t>
      </w:r>
      <w:r>
        <w:rPr>
          <w:spacing w:val="-3"/>
        </w:rPr>
        <w:t>款银行，由贷款银行以政策性优惠利率向本集团提供贷款的，以实际收到的借款金额作为借款的入账价值，</w:t>
      </w:r>
      <w:r>
        <w:rPr>
          <w:spacing w:val="-92"/>
        </w:rPr>
        <w:t> </w:t>
      </w:r>
      <w:r>
        <w:rPr>
          <w:spacing w:val="-92"/>
        </w:rPr>
      </w:r>
      <w:r>
        <w:rPr/>
        <w:t>按照借款本金和该政策性优惠利率计算相关借款费用。</w:t>
      </w:r>
    </w:p>
    <w:p>
      <w:pPr>
        <w:pStyle w:val="Heading4"/>
        <w:spacing w:line="240" w:lineRule="auto" w:before="16"/>
        <w:ind w:left="574" w:right="0"/>
        <w:jc w:val="left"/>
      </w:pPr>
      <w:r>
        <w:rPr>
          <w:rFonts w:ascii="Times New Roman" w:hAnsi="Times New Roman" w:cs="Times New Roman" w:eastAsia="Times New Roman" w:hint="default"/>
        </w:rPr>
        <w:t>B</w:t>
      </w:r>
      <w:r>
        <w:rPr/>
        <w:t>、财政将贴息资金直接拨付给本集团的，将对应的贴息冲减相关借款费用。</w:t>
      </w:r>
    </w:p>
    <w:p>
      <w:pPr>
        <w:pStyle w:val="Heading4"/>
        <w:spacing w:line="261" w:lineRule="auto" w:before="21"/>
        <w:ind w:right="1130" w:firstLine="420"/>
        <w:jc w:val="both"/>
      </w:pPr>
      <w:r>
        <w:rPr/>
        <w:t>《企业会计准则第</w:t>
      </w:r>
      <w:r>
        <w:rPr>
          <w:rFonts w:ascii="Times New Roman" w:hAnsi="Times New Roman" w:cs="Times New Roman" w:eastAsia="Times New Roman" w:hint="default"/>
        </w:rPr>
        <w:t>42</w:t>
      </w:r>
      <w:r>
        <w:rPr/>
        <w:t>号》规定，该准则自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日起施行；对于该准则施行日存在的持有待售 </w:t>
      </w:r>
      <w:r>
        <w:rPr>
          <w:spacing w:val="-1"/>
        </w:rPr>
        <w:t>的非流动资产、处置组和终止经营，应当采用未来适用法处理。《企业会计准则第</w:t>
      </w:r>
      <w:r>
        <w:rPr>
          <w:rFonts w:ascii="Times New Roman" w:hAnsi="Times New Roman" w:cs="Times New Roman" w:eastAsia="Times New Roman" w:hint="default"/>
          <w:spacing w:val="-1"/>
        </w:rPr>
        <w:t>16</w:t>
      </w:r>
      <w:r>
        <w:rPr>
          <w:spacing w:val="-1"/>
        </w:rPr>
        <w:t>号》规定，对</w:t>
      </w:r>
      <w:r>
        <w:rPr>
          <w:rFonts w:ascii="Times New Roman" w:hAnsi="Times New Roman" w:cs="Times New Roman" w:eastAsia="Times New Roman" w:hint="default"/>
          <w:spacing w:val="-1"/>
        </w:rPr>
        <w:t>2017</w:t>
      </w:r>
      <w:r>
        <w:rPr>
          <w:spacing w:val="-1"/>
        </w:rPr>
        <w:t>年</w:t>
      </w:r>
      <w:r>
        <w:rPr>
          <w:spacing w:val="-81"/>
        </w:rPr>
        <w:t> </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日存在的政府补助采用未来适用法处理，对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日至该准则施行日之间新增的政府补助根据该</w:t>
      </w:r>
      <w:r>
        <w:rPr>
          <w:spacing w:val="-84"/>
        </w:rPr>
        <w:t> </w:t>
      </w:r>
      <w:r>
        <w:rPr>
          <w:spacing w:val="-84"/>
        </w:rPr>
      </w:r>
      <w:r>
        <w:rPr>
          <w:spacing w:val="-1"/>
        </w:rPr>
        <w:t>准则进行调整。因此，上述会计政策变更均不涉及对比较数据进行追溯调整。上述会计政策变更也并未影</w:t>
      </w:r>
      <w:r>
        <w:rPr>
          <w:spacing w:val="-83"/>
        </w:rPr>
        <w:t> </w:t>
      </w:r>
      <w:r>
        <w:rPr>
          <w:spacing w:val="-83"/>
        </w:rPr>
      </w:r>
      <w:r>
        <w:rPr/>
        <w:t>响本集团本报告期的净利润。</w:t>
      </w:r>
    </w:p>
    <w:p>
      <w:pPr>
        <w:pStyle w:val="Heading4"/>
        <w:spacing w:line="273" w:lineRule="auto" w:before="18"/>
        <w:ind w:left="154" w:right="1131" w:firstLine="420"/>
        <w:jc w:val="both"/>
      </w:pPr>
      <w:r>
        <w:rPr>
          <w:spacing w:val="-1"/>
        </w:rPr>
        <w:t>根据财政部《关于修订印发一般企业财务报表格式的通知》应追溯重述比较报表。由于本公司未发生</w:t>
      </w:r>
      <w:r>
        <w:rPr/>
        <w:t> 该类业务，因此不涉及对比较数据进行追溯调整。</w:t>
      </w:r>
    </w:p>
    <w:p>
      <w:pPr>
        <w:spacing w:line="240" w:lineRule="auto" w:before="8"/>
        <w:rPr>
          <w:rFonts w:ascii="宋体" w:hAnsi="宋体" w:cs="宋体" w:eastAsia="宋体" w:hint="default"/>
          <w:sz w:val="23"/>
          <w:szCs w:val="23"/>
        </w:rPr>
      </w:pPr>
    </w:p>
    <w:p>
      <w:pPr>
        <w:pStyle w:val="Heading3"/>
        <w:spacing w:line="240" w:lineRule="auto"/>
        <w:ind w:left="154"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4"/>
        <w:spacing w:line="261" w:lineRule="exact" w:before="0"/>
        <w:ind w:left="322" w:right="0"/>
        <w:jc w:val="left"/>
      </w:pPr>
      <w:r>
        <w:rPr/>
        <w:t>本集团在报告期内无会计估计变更事项。</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0、 分部报告" w:id="218"/>
      <w:bookmarkEnd w:id="218"/>
      <w:r>
        <w:rPr>
          <w:b w:val="0"/>
          <w:bCs w:val="0"/>
        </w:rPr>
      </w:r>
      <w:r>
        <w:rPr>
          <w:rFonts w:ascii="Times New Roman" w:hAnsi="Times New Roman" w:cs="Times New Roman" w:eastAsia="Times New Roman" w:hint="default"/>
        </w:rPr>
        <w:t>30</w:t>
      </w:r>
      <w:r>
        <w:rPr/>
        <w:t>、</w:t>
      </w:r>
      <w:r>
        <w:rPr>
          <w:spacing w:val="-3"/>
        </w:rPr>
        <w:t> </w:t>
      </w:r>
      <w:r>
        <w:rPr/>
        <w:t>分部报告</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0" w:firstLine="420"/>
        <w:jc w:val="left"/>
      </w:pPr>
      <w:r>
        <w:rPr>
          <w:spacing w:val="-1"/>
        </w:rPr>
        <w:t>本集团以内部组织结构、管理要求、内部报告制度为依据确定经营分部，以经营分部为基础确定报告</w:t>
      </w:r>
      <w:r>
        <w:rPr/>
        <w:t> 分部并披露分部信息。</w:t>
      </w:r>
    </w:p>
    <w:p>
      <w:pPr>
        <w:pStyle w:val="Heading4"/>
        <w:spacing w:line="256" w:lineRule="auto"/>
        <w:ind w:left="154" w:right="0" w:firstLine="420"/>
        <w:jc w:val="left"/>
      </w:pPr>
      <w:r>
        <w:rPr>
          <w:spacing w:val="-1"/>
        </w:rPr>
        <w:t>经营分部是指本集团内同时满足下列条件的组成部分：（</w:t>
      </w:r>
      <w:r>
        <w:rPr>
          <w:rFonts w:ascii="Times New Roman" w:hAnsi="Times New Roman" w:cs="Times New Roman" w:eastAsia="Times New Roman" w:hint="default"/>
          <w:spacing w:val="-1"/>
        </w:rPr>
        <w:t>1</w:t>
      </w:r>
      <w:r>
        <w:rPr>
          <w:spacing w:val="-1"/>
        </w:rPr>
        <w:t>）该组成部分能够在日常活动中产生收入、</w:t>
      </w:r>
      <w:r>
        <w:rPr/>
        <w:t> </w:t>
      </w:r>
      <w:r>
        <w:rPr>
          <w:spacing w:val="-1"/>
        </w:rPr>
        <w:t>发生费用；（</w:t>
      </w:r>
      <w:r>
        <w:rPr>
          <w:rFonts w:ascii="Times New Roman" w:hAnsi="Times New Roman" w:cs="Times New Roman" w:eastAsia="Times New Roman" w:hint="default"/>
          <w:spacing w:val="-1"/>
        </w:rPr>
        <w:t>2</w:t>
      </w:r>
      <w:r>
        <w:rPr>
          <w:spacing w:val="-1"/>
        </w:rPr>
        <w:t>）本集团管理层能够定期评价该组成部分的经营成果，以决定向其配置资源、评价其业绩；</w:t>
      </w:r>
    </w:p>
    <w:p>
      <w:pPr>
        <w:pStyle w:val="Heading4"/>
        <w:spacing w:line="256" w:lineRule="auto" w:before="5"/>
        <w:ind w:left="154" w:right="1216"/>
        <w:jc w:val="both"/>
      </w:pPr>
      <w:r>
        <w:rPr/>
        <w:t>（</w:t>
      </w:r>
      <w:r>
        <w:rPr>
          <w:rFonts w:ascii="Times New Roman" w:hAnsi="Times New Roman" w:cs="Times New Roman" w:eastAsia="Times New Roman" w:hint="default"/>
        </w:rPr>
        <w:t>3</w:t>
      </w:r>
      <w:r>
        <w:rPr/>
        <w:t>）本集团能够取得该组成部分的财务状况、经营成果和现金流量等有关会计信息。两个或多个经营分 部具有相似的经济特征，并且满足一定条件的，则可合并为一个经营分部。</w:t>
      </w:r>
    </w:p>
    <w:p>
      <w:pPr>
        <w:spacing w:line="590" w:lineRule="atLeast" w:before="24"/>
        <w:ind w:left="574" w:right="0" w:hanging="420"/>
        <w:jc w:val="left"/>
        <w:rPr>
          <w:rFonts w:ascii="宋体" w:hAnsi="宋体" w:cs="宋体" w:eastAsia="宋体" w:hint="default"/>
          <w:sz w:val="21"/>
          <w:szCs w:val="21"/>
        </w:rPr>
      </w:pPr>
      <w:bookmarkStart w:name="31、 重要会计判断和估计采用的关键假设和不确定因素" w:id="219"/>
      <w:bookmarkEnd w:id="219"/>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重要会计判断和估计采用的关键假设和不确定因素</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本集团在运用会计政策过程中，由于经营活动内在的不确定性，本集团需要对无法准确计量的报表项</w:t>
      </w:r>
    </w:p>
    <w:p>
      <w:pPr>
        <w:pStyle w:val="Heading4"/>
        <w:spacing w:line="273" w:lineRule="auto" w:before="37"/>
        <w:ind w:left="154" w:right="1131"/>
        <w:jc w:val="both"/>
      </w:pPr>
      <w:r>
        <w:rPr>
          <w:spacing w:val="-1"/>
        </w:rPr>
        <w:t>目的账面价值进行判断、估计和假设。这些判断、估计和假设是基于本集团管理层过去的历史经验，并在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4"/>
        </w:rPr>
        <w:t> </w:t>
      </w:r>
      <w:r>
        <w:rPr>
          <w:spacing w:val="-84"/>
        </w:rPr>
      </w:r>
      <w:r>
        <w:rPr>
          <w:spacing w:val="-1"/>
        </w:rPr>
        <w:t>及资产负债表日或有负债的披露。然而，这些估计的不确定性所导致的结果可能造成对未来受影响的资产</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573" w:right="0" w:hanging="420"/>
        <w:jc w:val="left"/>
      </w:pPr>
      <w:r>
        <w:rPr/>
        <w:t>或负债的账面金额进行重大调整。 </w:t>
      </w:r>
      <w:r>
        <w:rPr>
          <w:spacing w:val="-1"/>
        </w:rPr>
        <w:t>本集团对前述判断、估计和假设在持续经营的基础上进行定期复核，会计估计的变更仅影响变更当期</w:t>
      </w:r>
    </w:p>
    <w:p>
      <w:pPr>
        <w:pStyle w:val="Heading4"/>
        <w:spacing w:line="273" w:lineRule="auto"/>
        <w:ind w:right="1131"/>
        <w:jc w:val="both"/>
      </w:pP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Heading4"/>
        <w:spacing w:line="240" w:lineRule="auto" w:before="8"/>
        <w:ind w:left="573" w:right="0"/>
        <w:jc w:val="left"/>
      </w:pPr>
      <w:r>
        <w:rPr/>
        <w:t>于资产负债表日，本集团需对财务报表项目金额进行判断、估计和假设的重要领域如下：</w:t>
      </w:r>
    </w:p>
    <w:p>
      <w:pPr>
        <w:pStyle w:val="Heading4"/>
        <w:spacing w:line="256" w:lineRule="auto" w:before="37"/>
        <w:ind w:left="573" w:right="0"/>
        <w:jc w:val="left"/>
      </w:pPr>
      <w:r>
        <w:rPr/>
        <w:t>（</w:t>
      </w:r>
      <w:r>
        <w:rPr>
          <w:rFonts w:ascii="Times New Roman" w:hAnsi="Times New Roman" w:cs="Times New Roman" w:eastAsia="Times New Roman" w:hint="default"/>
        </w:rPr>
        <w:t>1</w:t>
      </w:r>
      <w:r>
        <w:rPr/>
        <w:t>）坏账准备计提 </w:t>
      </w:r>
      <w:r>
        <w:rPr>
          <w:spacing w:val="-1"/>
        </w:rPr>
        <w:t>本集团根据应收款项的会计政策，采用备抵法核算坏账损失。应收账款减值是基于评估应收账款的可</w:t>
      </w:r>
    </w:p>
    <w:p>
      <w:pPr>
        <w:pStyle w:val="Heading4"/>
        <w:spacing w:line="273" w:lineRule="auto" w:before="22"/>
        <w:ind w:right="1131"/>
        <w:jc w:val="both"/>
      </w:pPr>
      <w:r>
        <w:rPr>
          <w:spacing w:val="-1"/>
        </w:rPr>
        <w:t>收回性。鉴定应收账款减值要求管理层的判断和估计。实际的结果与原先估计的差异将在估计被改变的期</w:t>
      </w:r>
      <w:r>
        <w:rPr>
          <w:spacing w:val="-81"/>
        </w:rPr>
        <w:t> </w:t>
      </w:r>
      <w:r>
        <w:rPr>
          <w:spacing w:val="-81"/>
        </w:rPr>
      </w:r>
      <w:r>
        <w:rPr/>
        <w:t>间影响应收账款的账面价值及应收账款坏账准备的计提或转回。</w:t>
      </w:r>
    </w:p>
    <w:p>
      <w:pPr>
        <w:pStyle w:val="Heading4"/>
        <w:spacing w:line="256" w:lineRule="auto"/>
        <w:ind w:left="573" w:right="0"/>
        <w:jc w:val="left"/>
      </w:pPr>
      <w:r>
        <w:rPr/>
        <w:t>（</w:t>
      </w:r>
      <w:r>
        <w:rPr>
          <w:rFonts w:ascii="Times New Roman" w:hAnsi="Times New Roman" w:cs="Times New Roman" w:eastAsia="Times New Roman" w:hint="default"/>
        </w:rPr>
        <w:t>2</w:t>
      </w:r>
      <w:r>
        <w:rPr/>
        <w:t>）存货跌价准备 </w:t>
      </w:r>
      <w:r>
        <w:rPr>
          <w:spacing w:val="-1"/>
        </w:rPr>
        <w:t>本集团根据存货会计政策，按照成本与可变现净值孰低计量，对成本高于可变现净值及陈旧和滞销的</w:t>
      </w:r>
    </w:p>
    <w:p>
      <w:pPr>
        <w:pStyle w:val="Heading4"/>
        <w:spacing w:line="273" w:lineRule="auto" w:before="22"/>
        <w:ind w:right="1130"/>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0"/>
        </w:rPr>
        <w:t> </w:t>
      </w:r>
      <w:r>
        <w:rPr>
          <w:spacing w:val="-80"/>
        </w:rPr>
      </w:r>
      <w:r>
        <w:rPr/>
        <w:t>的计提或转回。</w:t>
      </w:r>
    </w:p>
    <w:p>
      <w:pPr>
        <w:pStyle w:val="Heading4"/>
        <w:spacing w:line="256" w:lineRule="auto"/>
        <w:ind w:left="573" w:right="0"/>
        <w:jc w:val="left"/>
      </w:pPr>
      <w:r>
        <w:rPr/>
        <w:t>（</w:t>
      </w:r>
      <w:r>
        <w:rPr>
          <w:rFonts w:ascii="Times New Roman" w:hAnsi="Times New Roman" w:cs="Times New Roman" w:eastAsia="Times New Roman" w:hint="default"/>
        </w:rPr>
        <w:t>3</w:t>
      </w:r>
      <w:r>
        <w:rPr/>
        <w:t>）金融工具公允价值 </w:t>
      </w:r>
      <w:r>
        <w:rPr>
          <w:spacing w:val="-1"/>
        </w:rPr>
        <w:t>对不存在活跃交易市场的金融工具，本集团通过各种估值方法确定其公允价值。这些估值方法包括参</w:t>
      </w:r>
    </w:p>
    <w:p>
      <w:pPr>
        <w:pStyle w:val="Heading4"/>
        <w:spacing w:line="273" w:lineRule="auto" w:before="22"/>
        <w:ind w:right="1131"/>
        <w:jc w:val="both"/>
      </w:pPr>
      <w:r>
        <w:rPr>
          <w:spacing w:val="-1"/>
        </w:rPr>
        <w:t>考市场上另一类似金融工具的公允价值、贴现现金流模型分析及期权定价模型进行估算等。估值方法在最</w:t>
      </w:r>
      <w:r>
        <w:rPr>
          <w:spacing w:val="-81"/>
        </w:rPr>
        <w:t> </w:t>
      </w:r>
      <w:r>
        <w:rPr>
          <w:spacing w:val="-81"/>
        </w:rPr>
      </w:r>
      <w:r>
        <w:rPr>
          <w:spacing w:val="-1"/>
        </w:rPr>
        <w:t>大程度上利用可观察市场信息，然而，当可观察市场信息无法获得时，管理层将对估值方法中包括的重大</w:t>
      </w:r>
      <w:r>
        <w:rPr>
          <w:spacing w:val="-83"/>
        </w:rPr>
        <w:t> </w:t>
      </w:r>
      <w:r>
        <w:rPr>
          <w:spacing w:val="-83"/>
        </w:rPr>
      </w:r>
      <w:r>
        <w:rPr/>
        <w:t>不可观察信息作出估计。使用不同的估值技术或输入值可能导致公允价值估计存在较重大差异。</w:t>
      </w:r>
    </w:p>
    <w:p>
      <w:pPr>
        <w:pStyle w:val="Heading4"/>
        <w:spacing w:line="256" w:lineRule="auto"/>
        <w:ind w:left="573" w:right="0"/>
        <w:jc w:val="left"/>
      </w:pPr>
      <w:r>
        <w:rPr/>
        <w:t>（</w:t>
      </w:r>
      <w:r>
        <w:rPr>
          <w:rFonts w:ascii="Times New Roman" w:hAnsi="Times New Roman" w:cs="Times New Roman" w:eastAsia="Times New Roman" w:hint="default"/>
        </w:rPr>
        <w:t>4</w:t>
      </w:r>
      <w:r>
        <w:rPr/>
        <w:t>）可供出售金融资产减值 </w:t>
      </w:r>
      <w:r>
        <w:rPr>
          <w:spacing w:val="-1"/>
        </w:rPr>
        <w:t>本集团确定可供出售金融资产是否减值在很大程度上依赖于管理层的判断和假设，以确定是否需要在</w:t>
      </w:r>
    </w:p>
    <w:p>
      <w:pPr>
        <w:pStyle w:val="Heading4"/>
        <w:spacing w:line="273" w:lineRule="auto" w:before="23"/>
        <w:ind w:right="1110"/>
        <w:jc w:val="both"/>
      </w:pPr>
      <w:r>
        <w:rPr>
          <w:spacing w:val="-1"/>
        </w:rPr>
        <w:t>利润表中确认其减值损失。在进行判断和作出假设的过程中，本集团需评估该项投资的公允价值低于成本</w:t>
      </w:r>
      <w:r>
        <w:rPr>
          <w:spacing w:val="-81"/>
        </w:rPr>
        <w:t> </w:t>
      </w:r>
      <w:r>
        <w:rPr>
          <w:spacing w:val="-81"/>
        </w:rPr>
      </w:r>
      <w:r>
        <w:rPr/>
        <w:t>的程度和持续期间，以及被投资对象的财务状况和短期业务展望，包括行业状况、技术变革、信用评级、 违约率和对手方的风险。</w:t>
      </w:r>
    </w:p>
    <w:p>
      <w:pPr>
        <w:pStyle w:val="Heading4"/>
        <w:spacing w:line="256" w:lineRule="auto"/>
        <w:ind w:left="573" w:right="0"/>
        <w:jc w:val="left"/>
      </w:pPr>
      <w:r>
        <w:rPr/>
        <w:t>（</w:t>
      </w:r>
      <w:r>
        <w:rPr>
          <w:rFonts w:ascii="Times New Roman" w:hAnsi="Times New Roman" w:cs="Times New Roman" w:eastAsia="Times New Roman" w:hint="default"/>
        </w:rPr>
        <w:t>5</w:t>
      </w:r>
      <w:r>
        <w:rPr/>
        <w:t>）非金融非流动资产减值准备 </w:t>
      </w:r>
      <w:r>
        <w:rPr>
          <w:spacing w:val="-1"/>
        </w:rPr>
        <w:t>本集团于资产负债表日对除金融资产之外的非流动资产判断是否存在可能发生减值的迹象。对使用寿</w:t>
      </w:r>
    </w:p>
    <w:p>
      <w:pPr>
        <w:pStyle w:val="Heading4"/>
        <w:spacing w:line="273" w:lineRule="auto" w:before="22"/>
        <w:ind w:right="1133"/>
        <w:jc w:val="both"/>
      </w:pP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Heading4"/>
        <w:spacing w:line="273" w:lineRule="auto"/>
        <w:ind w:right="1131"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Heading4"/>
        <w:spacing w:line="273" w:lineRule="auto"/>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时使用的折现率等作出重大判断。本集团在估计可收回金额时会采用所有能够获得的相关资料，包括根据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Heading4"/>
        <w:spacing w:line="273" w:lineRule="auto"/>
        <w:ind w:right="1131" w:firstLine="420"/>
        <w:jc w:val="both"/>
      </w:pPr>
      <w:r>
        <w:rPr>
          <w:spacing w:val="-1"/>
        </w:rPr>
        <w:t>本集团至少每年测试商誉是否发生减值。这要求对分配了商誉的资产组或者资产组组合的未来现金流</w:t>
      </w:r>
      <w:r>
        <w:rPr/>
        <w:t> </w:t>
      </w:r>
      <w:r>
        <w:rPr>
          <w:spacing w:val="-1"/>
        </w:rPr>
        <w:t>量的现值进行预计。对未来现金流量的现值进行预计时，本集团需要预计未来资产组或者资产组组合产生</w:t>
      </w:r>
      <w:r>
        <w:rPr>
          <w:spacing w:val="-81"/>
        </w:rPr>
        <w:t> </w:t>
      </w:r>
      <w:r>
        <w:rPr>
          <w:spacing w:val="-81"/>
        </w:rPr>
      </w:r>
      <w:r>
        <w:rPr/>
        <w:t>的现金流量，同时选择恰当的折现率确定未来现金流量的现值。</w:t>
      </w:r>
    </w:p>
    <w:p>
      <w:pPr>
        <w:pStyle w:val="Heading4"/>
        <w:spacing w:line="256" w:lineRule="auto"/>
        <w:ind w:left="573" w:right="0"/>
        <w:jc w:val="left"/>
      </w:pPr>
      <w:r>
        <w:rPr/>
        <w:t>（</w:t>
      </w:r>
      <w:r>
        <w:rPr>
          <w:rFonts w:ascii="Times New Roman" w:hAnsi="Times New Roman" w:cs="Times New Roman" w:eastAsia="Times New Roman" w:hint="default"/>
        </w:rPr>
        <w:t>6</w:t>
      </w:r>
      <w:r>
        <w:rPr/>
        <w:t>）折旧和摊销 </w:t>
      </w:r>
      <w:r>
        <w:rPr>
          <w:spacing w:val="-1"/>
        </w:rPr>
        <w:t>本集团对投资性房地产、固定资产和无形资产在考虑其残值后，在使用寿命内按直线法计提折旧和摊</w:t>
      </w:r>
    </w:p>
    <w:p>
      <w:pPr>
        <w:pStyle w:val="Heading4"/>
        <w:spacing w:line="273" w:lineRule="auto" w:before="22"/>
        <w:ind w:right="1131"/>
        <w:jc w:val="both"/>
      </w:pPr>
      <w:r>
        <w:rPr>
          <w:spacing w:val="-1"/>
        </w:rPr>
        <w:t>销。本集团定期复核使用寿命，以决定将计入每个报告期的折旧和摊销费用数额。使用寿命是本集团根据</w:t>
      </w:r>
      <w:r>
        <w:rPr>
          <w:spacing w:val="-83"/>
        </w:rPr>
        <w:t> </w:t>
      </w:r>
      <w:r>
        <w:rPr>
          <w:spacing w:val="-83"/>
        </w:rPr>
      </w:r>
      <w:r>
        <w:rPr>
          <w:spacing w:val="-1"/>
        </w:rPr>
        <w:t>对同类资产的已往经验并结合预期的技术更新而确定的。如果以前的估计发生重大变化，则会在未来期间</w:t>
      </w:r>
      <w:r>
        <w:rPr>
          <w:spacing w:val="-81"/>
        </w:rPr>
        <w:t> </w:t>
      </w:r>
      <w:r>
        <w:rPr>
          <w:spacing w:val="-81"/>
        </w:rPr>
      </w:r>
      <w:r>
        <w:rPr/>
        <w:t>对折旧和摊销费用进行调整。</w:t>
      </w:r>
    </w:p>
    <w:p>
      <w:pPr>
        <w:pStyle w:val="Heading4"/>
        <w:spacing w:line="256" w:lineRule="auto"/>
        <w:ind w:left="573" w:right="0"/>
        <w:jc w:val="left"/>
      </w:pPr>
      <w:r>
        <w:rPr/>
        <w:t>（</w:t>
      </w:r>
      <w:r>
        <w:rPr>
          <w:rFonts w:ascii="Times New Roman" w:hAnsi="Times New Roman" w:cs="Times New Roman" w:eastAsia="Times New Roman" w:hint="default"/>
        </w:rPr>
        <w:t>7</w:t>
      </w:r>
      <w:r>
        <w:rPr/>
        <w:t>）递延所得税资产 </w:t>
      </w:r>
      <w:r>
        <w:rPr>
          <w:spacing w:val="-1"/>
        </w:rPr>
        <w:t>在很有可能有足够的应纳税利润来抵扣亏损的限度内，本集团就所有未利用的税务亏损确认递延所得</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0"/>
        <w:jc w:val="left"/>
      </w:pPr>
      <w:r>
        <w:rPr>
          <w:spacing w:val="-1"/>
        </w:rPr>
        <w:t>税资产。这需要本集团管理层运用大量的判断来估计未来应纳税利润发生的时间和金额，结合纳税筹划策</w:t>
      </w:r>
      <w:r>
        <w:rPr>
          <w:spacing w:val="-81"/>
        </w:rPr>
        <w:t> </w:t>
      </w:r>
      <w:r>
        <w:rPr>
          <w:spacing w:val="-81"/>
        </w:rPr>
      </w:r>
      <w:r>
        <w:rPr/>
        <w:t>略，以决定应确认的递延所得税资产的金额。</w:t>
      </w:r>
    </w:p>
    <w:p>
      <w:pPr>
        <w:pStyle w:val="Heading4"/>
        <w:spacing w:line="256" w:lineRule="auto"/>
        <w:ind w:left="573" w:right="1118"/>
        <w:jc w:val="left"/>
      </w:pPr>
      <w:r>
        <w:rPr/>
        <w:t>（</w:t>
      </w:r>
      <w:r>
        <w:rPr>
          <w:rFonts w:ascii="Times New Roman" w:hAnsi="Times New Roman" w:cs="Times New Roman" w:eastAsia="Times New Roman" w:hint="default"/>
        </w:rPr>
        <w:t>8</w:t>
      </w:r>
      <w:r>
        <w:rPr/>
        <w:t>）所得税 </w:t>
      </w:r>
      <w:r>
        <w:rPr>
          <w:spacing w:val="-1"/>
        </w:rPr>
        <w:t>本集团在正常的经营活动中，有部分交易其最终的税务处理和计算存在一定的不确定性。部分项目是</w:t>
      </w:r>
    </w:p>
    <w:p>
      <w:pPr>
        <w:pStyle w:val="Heading4"/>
        <w:spacing w:line="273" w:lineRule="auto" w:before="23"/>
        <w:ind w:right="0"/>
        <w:jc w:val="left"/>
      </w:pP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六、税项" w:id="220"/>
      <w:bookmarkEnd w:id="220"/>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1"/>
      <w:bookmarkEnd w:id="22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乘以适用税率扣除当期允许抵扣的进项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Hongkong</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China</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华盖创意（天津）视讯科技有限公司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汉华易美（天津）图像技术有限公司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573" w:right="1118"/>
        <w:jc w:val="left"/>
      </w:pPr>
      <w:r>
        <w:rPr/>
        <w:t>（</w:t>
      </w:r>
      <w:r>
        <w:rPr>
          <w:rFonts w:ascii="Times New Roman" w:hAnsi="Times New Roman" w:cs="Times New Roman" w:eastAsia="Times New Roman" w:hint="default"/>
        </w:rPr>
        <w:t>1</w:t>
      </w:r>
      <w:r>
        <w:rPr/>
        <w:t>）增值税 </w:t>
      </w:r>
      <w:r>
        <w:rPr>
          <w:spacing w:val="-4"/>
        </w:rPr>
        <w:t>根据财政部、国家税务总局《关于全面推开营业税改征增值税试点的通知》（财税</w:t>
      </w:r>
      <w:r>
        <w:rPr>
          <w:rFonts w:ascii="Times New Roman" w:hAnsi="Times New Roman" w:cs="Times New Roman" w:eastAsia="Times New Roman" w:hint="default"/>
          <w:spacing w:val="-4"/>
        </w:rPr>
        <w:t>[2016]36</w:t>
      </w:r>
      <w:r>
        <w:rPr>
          <w:spacing w:val="-4"/>
        </w:rPr>
        <w:t>号）之《营</w:t>
      </w:r>
    </w:p>
    <w:p>
      <w:pPr>
        <w:pStyle w:val="Heading4"/>
        <w:spacing w:line="256" w:lineRule="auto" w:before="5"/>
        <w:ind w:right="0"/>
        <w:jc w:val="left"/>
      </w:pPr>
      <w:r>
        <w:rPr/>
        <w:t>业税改征增值税试点过渡政策的规定》</w:t>
      </w:r>
      <w:r>
        <w:rPr>
          <w:rFonts w:ascii="Times New Roman" w:hAnsi="Times New Roman" w:cs="Times New Roman" w:eastAsia="Times New Roman" w:hint="default"/>
        </w:rPr>
        <w:t>“</w:t>
      </w:r>
      <w:r>
        <w:rPr/>
        <w:t>（二十六）纳税人提供技术转让、技术开发和与之相关的技术咨</w:t>
      </w:r>
      <w:r>
        <w:rPr>
          <w:spacing w:val="-20"/>
        </w:rPr>
        <w:t> </w:t>
      </w:r>
      <w:r>
        <w:rPr>
          <w:spacing w:val="-20"/>
        </w:rPr>
      </w:r>
      <w:r>
        <w:rPr/>
        <w:t>询、技术服务</w:t>
      </w:r>
      <w:r>
        <w:rPr>
          <w:rFonts w:ascii="Times New Roman" w:hAnsi="Times New Roman" w:cs="Times New Roman" w:eastAsia="Times New Roman" w:hint="default"/>
        </w:rPr>
        <w:t>”</w:t>
      </w:r>
      <w:r>
        <w:rPr/>
        <w:t>免征增值税。</w:t>
      </w:r>
    </w:p>
    <w:p>
      <w:pPr>
        <w:pStyle w:val="Heading4"/>
        <w:spacing w:line="240" w:lineRule="auto" w:before="125"/>
        <w:ind w:left="574" w:right="0"/>
        <w:jc w:val="left"/>
      </w:pPr>
      <w:r>
        <w:rPr/>
        <w:t>（</w:t>
      </w:r>
      <w:r>
        <w:rPr>
          <w:rFonts w:ascii="Times New Roman" w:hAnsi="Times New Roman" w:cs="Times New Roman" w:eastAsia="Times New Roman" w:hint="default"/>
        </w:rPr>
        <w:t>2</w:t>
      </w:r>
      <w:r>
        <w:rPr/>
        <w:t>）企业所得税</w:t>
      </w:r>
    </w:p>
    <w:p>
      <w:pPr>
        <w:pStyle w:val="Heading4"/>
        <w:spacing w:line="256" w:lineRule="auto" w:before="21"/>
        <w:ind w:right="1121" w:firstLine="420"/>
        <w:jc w:val="left"/>
      </w:pPr>
      <w:r>
        <w:rPr>
          <w:spacing w:val="-2"/>
        </w:rPr>
        <w:t>①于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日，汉华易美（天津）图像技术有限公司取得编号为</w:t>
      </w:r>
      <w:r>
        <w:rPr>
          <w:rFonts w:ascii="Times New Roman" w:hAnsi="Times New Roman" w:cs="Times New Roman" w:eastAsia="Times New Roman" w:hint="default"/>
          <w:spacing w:val="-2"/>
        </w:rPr>
        <w:t>GR201712000093</w:t>
      </w:r>
      <w:r>
        <w:rPr>
          <w:spacing w:val="-2"/>
        </w:rPr>
        <w:t>的高新技术企</w:t>
      </w:r>
      <w:r>
        <w:rPr/>
        <w:t> 业证书，有效期三年，在此期间享受</w:t>
      </w:r>
      <w:r>
        <w:rPr>
          <w:rFonts w:ascii="Times New Roman" w:hAnsi="Times New Roman" w:cs="Times New Roman" w:eastAsia="Times New Roman" w:hint="default"/>
        </w:rPr>
        <w:t>15%</w:t>
      </w:r>
      <w:r>
        <w:rPr/>
        <w:t>的企业所得税优惠税率。</w:t>
      </w:r>
    </w:p>
    <w:p>
      <w:pPr>
        <w:pStyle w:val="Heading4"/>
        <w:spacing w:line="240" w:lineRule="auto" w:before="124"/>
        <w:ind w:left="573" w:right="0"/>
        <w:jc w:val="left"/>
      </w:pPr>
      <w:r>
        <w:rPr/>
        <w:t>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日，华盖创意（天津）视讯科技有限公司取得编号为</w:t>
      </w:r>
      <w:r>
        <w:rPr>
          <w:rFonts w:ascii="Times New Roman" w:hAnsi="Times New Roman" w:cs="Times New Roman" w:eastAsia="Times New Roman" w:hint="default"/>
        </w:rPr>
        <w:t>GR201712000114</w:t>
      </w:r>
      <w:r>
        <w:rPr/>
        <w:t>的高新技术企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业证书，有效期三年，在此期间享受</w:t>
      </w:r>
      <w:r>
        <w:rPr>
          <w:rFonts w:ascii="Times New Roman" w:hAnsi="Times New Roman" w:cs="Times New Roman" w:eastAsia="Times New Roman" w:hint="default"/>
        </w:rPr>
        <w:t>15%</w:t>
      </w:r>
      <w:r>
        <w:rPr/>
        <w:t>的企业所得税优惠税率。</w:t>
      </w:r>
    </w:p>
    <w:p>
      <w:pPr>
        <w:pStyle w:val="Heading4"/>
        <w:spacing w:line="240" w:lineRule="auto" w:before="141"/>
        <w:ind w:left="573" w:right="0"/>
        <w:jc w:val="left"/>
      </w:pPr>
      <w:r>
        <w:rPr>
          <w:spacing w:val="3"/>
        </w:rPr>
        <w:t>③根据财政部、国家税务总局《进一步鼓励软件产业和集成业发展企业所得税政策的通知》（财税</w:t>
      </w:r>
    </w:p>
    <w:p>
      <w:pPr>
        <w:pStyle w:val="Heading4"/>
        <w:spacing w:line="261" w:lineRule="auto" w:before="37"/>
        <w:ind w:right="1131"/>
        <w:jc w:val="both"/>
      </w:pPr>
      <w:r>
        <w:rPr/>
        <w:t>（</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号）的规定，宝东信息技术有限公司于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日取得了由中华人民共和国国家版权局颁</w:t>
      </w:r>
      <w:r>
        <w:rPr>
          <w:spacing w:val="-34"/>
        </w:rPr>
        <w:t> </w:t>
      </w:r>
      <w:r>
        <w:rPr>
          <w:spacing w:val="-34"/>
        </w:rPr>
      </w:r>
      <w:r>
        <w:rPr>
          <w:spacing w:val="-1"/>
        </w:rPr>
        <w:t>发的计算机软件著作权登记证书，自开始获利年度起，软件开发及技术服务所得享受两免三减半的企业所</w:t>
      </w:r>
      <w:r>
        <w:rPr>
          <w:spacing w:val="-81"/>
        </w:rPr>
        <w:t> </w:t>
      </w:r>
      <w:r>
        <w:rPr>
          <w:spacing w:val="-81"/>
        </w:rPr>
      </w:r>
      <w:r>
        <w:rPr/>
        <w:t>得税优惠。</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年为免税年度，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12.5%</w:t>
      </w:r>
      <w:r>
        <w:rPr/>
        <w:t>的企业所得税优</w:t>
      </w:r>
      <w:r>
        <w:rPr>
          <w:spacing w:val="-60"/>
        </w:rPr>
        <w:t> </w:t>
      </w:r>
      <w:r>
        <w:rPr>
          <w:spacing w:val="-60"/>
        </w:rPr>
      </w:r>
      <w:r>
        <w:rPr/>
        <w:t>惠税率。</w:t>
      </w:r>
    </w:p>
    <w:p>
      <w:pPr>
        <w:pStyle w:val="Heading4"/>
        <w:spacing w:line="240" w:lineRule="auto" w:before="18"/>
        <w:ind w:left="574" w:right="0"/>
        <w:jc w:val="left"/>
      </w:pPr>
      <w:r>
        <w:rPr>
          <w:spacing w:val="3"/>
        </w:rPr>
        <w:t>④根据财政部、国家税务总局《进一步鼓励软件产业和集成业发展企业所得税政策的通知》（财税</w:t>
      </w:r>
    </w:p>
    <w:p>
      <w:pPr>
        <w:pStyle w:val="Heading4"/>
        <w:spacing w:line="261" w:lineRule="auto" w:before="37"/>
        <w:ind w:right="1131"/>
        <w:jc w:val="both"/>
      </w:pPr>
      <w:r>
        <w:rPr>
          <w:spacing w:val="-1"/>
        </w:rPr>
        <w:t>（</w:t>
      </w:r>
      <w:r>
        <w:rPr>
          <w:rFonts w:ascii="宋体" w:hAnsi="宋体" w:cs="宋体" w:eastAsia="宋体" w:hint="default"/>
          <w:spacing w:val="-1"/>
        </w:rPr>
        <w:t>2012</w:t>
      </w:r>
      <w:r>
        <w:rPr>
          <w:spacing w:val="-1"/>
        </w:rPr>
        <w:t>）</w:t>
      </w:r>
      <w:r>
        <w:rPr>
          <w:rFonts w:ascii="宋体" w:hAnsi="宋体" w:cs="宋体" w:eastAsia="宋体" w:hint="default"/>
          <w:spacing w:val="-1"/>
        </w:rPr>
        <w:t>27</w:t>
      </w:r>
      <w:r>
        <w:rPr>
          <w:spacing w:val="-1"/>
        </w:rPr>
        <w:t>号）的规定，亿迅信息技术有限公司于</w:t>
      </w:r>
      <w:r>
        <w:rPr>
          <w:rFonts w:ascii="宋体" w:hAnsi="宋体" w:cs="宋体" w:eastAsia="宋体"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日取得了由中华人民共和国国家版权局颁发</w:t>
      </w:r>
      <w:r>
        <w:rPr>
          <w:spacing w:val="-82"/>
        </w:rPr>
        <w:t> </w:t>
      </w:r>
      <w:r>
        <w:rPr>
          <w:spacing w:val="-82"/>
        </w:rPr>
      </w:r>
      <w:r>
        <w:rPr>
          <w:spacing w:val="-1"/>
        </w:rPr>
        <w:t>的计算机软件著作权登记证书，自开始获利年度起，软件开发及技术服务所得享受两免三减半的企业所得</w:t>
      </w:r>
      <w:r>
        <w:rPr>
          <w:spacing w:val="-81"/>
        </w:rPr>
        <w:t> </w:t>
      </w:r>
      <w:r>
        <w:rPr>
          <w:spacing w:val="-81"/>
        </w:rPr>
      </w:r>
      <w:r>
        <w:rPr/>
        <w:t>税优惠。</w:t>
      </w:r>
      <w:r>
        <w:rPr>
          <w:rFonts w:ascii="Times New Roman" w:hAnsi="Times New Roman" w:cs="Times New Roman" w:eastAsia="Times New Roman" w:hint="default"/>
        </w:rPr>
        <w:t>2016</w:t>
      </w:r>
      <w:r>
        <w:rPr/>
        <w:t>年和</w:t>
      </w:r>
      <w:r>
        <w:rPr>
          <w:rFonts w:ascii="Times New Roman" w:hAnsi="Times New Roman" w:cs="Times New Roman" w:eastAsia="Times New Roman" w:hint="default"/>
        </w:rPr>
        <w:t>2017</w:t>
      </w:r>
      <w:r>
        <w:rPr/>
        <w:t>年为免税年度，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w:t>
      </w:r>
      <w:r>
        <w:rPr>
          <w:rFonts w:ascii="Times New Roman" w:hAnsi="Times New Roman" w:cs="Times New Roman" w:eastAsia="Times New Roman" w:hint="default"/>
        </w:rPr>
        <w:t>12.5%</w:t>
      </w:r>
      <w:r>
        <w:rPr/>
        <w:t>的企业所得税优惠</w:t>
      </w:r>
      <w:r>
        <w:rPr>
          <w:spacing w:val="-63"/>
        </w:rPr>
        <w:t> </w:t>
      </w:r>
      <w:r>
        <w:rPr>
          <w:spacing w:val="-63"/>
        </w:rPr>
      </w:r>
      <w:r>
        <w:rPr/>
        <w:t>税率。</w:t>
      </w:r>
    </w:p>
    <w:p>
      <w:pPr>
        <w:pStyle w:val="Heading4"/>
        <w:spacing w:line="264" w:lineRule="auto" w:before="18"/>
        <w:ind w:left="154" w:right="1028" w:firstLine="420"/>
        <w:jc w:val="left"/>
      </w:pPr>
      <w:r>
        <w:rPr>
          <w:spacing w:val="-3"/>
        </w:rPr>
        <w:t>⑤根据《进一步鼓励软件产业和集成电路产业发展的若干政策》和《软件企业评估规范》的有关规定，</w:t>
      </w:r>
      <w:r>
        <w:rPr/>
        <w:t> 天津华盖悦动信息技术有限公司于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日取得由天津市软件行业协会颁发的软件企业证书，证书</w:t>
      </w:r>
      <w:r>
        <w:rPr>
          <w:spacing w:val="-33"/>
        </w:rPr>
        <w:t> </w:t>
      </w:r>
      <w:r>
        <w:rPr>
          <w:spacing w:val="-33"/>
        </w:rPr>
      </w:r>
      <w:r>
        <w:rPr/>
        <w:t>编号津</w:t>
      </w:r>
      <w:r>
        <w:rPr>
          <w:rFonts w:ascii="Times New Roman" w:hAnsi="Times New Roman" w:cs="Times New Roman" w:eastAsia="Times New Roman" w:hint="default"/>
        </w:rPr>
        <w:t>RQ-2017-0037</w:t>
      </w:r>
      <w:r>
        <w:rPr/>
        <w:t>，有效期</w:t>
      </w:r>
      <w:r>
        <w:rPr>
          <w:rFonts w:ascii="Times New Roman" w:hAnsi="Times New Roman" w:cs="Times New Roman" w:eastAsia="Times New Roman" w:hint="default"/>
        </w:rPr>
        <w:t>1</w:t>
      </w:r>
      <w:r>
        <w:rPr/>
        <w:t>年。</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货币资金" w:id="224"/>
      <w:bookmarkEnd w:id="22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46,131.11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379,985,231.59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445,542,357.48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22,248,688.77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390,502,762.13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467,837,177.36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2,093,890.20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3,691,260.00</w:t>
            </w:r>
          </w:p>
        </w:tc>
      </w:tr>
    </w:tbl>
    <w:p>
      <w:pPr>
        <w:pStyle w:val="BodyText"/>
        <w:spacing w:line="240" w:lineRule="auto" w:before="51"/>
        <w:ind w:left="154" w:right="0"/>
        <w:jc w:val="left"/>
      </w:pPr>
      <w:r>
        <w:rPr/>
        <w:t>其他说明</w:t>
      </w:r>
    </w:p>
    <w:p>
      <w:pPr>
        <w:pStyle w:val="Heading4"/>
        <w:spacing w:line="256" w:lineRule="auto" w:before="89"/>
        <w:ind w:left="154" w:right="1118" w:firstLine="420"/>
        <w:jc w:val="left"/>
      </w:pPr>
      <w:r>
        <w:rPr>
          <w:spacing w:val="-2"/>
        </w:rPr>
        <w:t>注</w:t>
      </w:r>
      <w:r>
        <w:rPr>
          <w:rFonts w:ascii="Times New Roman" w:hAnsi="Times New Roman" w:cs="Times New Roman" w:eastAsia="Times New Roman" w:hint="default"/>
          <w:spacing w:val="-2"/>
        </w:rPr>
        <w:t>1</w:t>
      </w:r>
      <w:r>
        <w:rPr>
          <w:spacing w:val="-2"/>
        </w:rPr>
        <w:t>：货币资金期末较期初减少</w:t>
      </w:r>
      <w:r>
        <w:rPr>
          <w:rFonts w:ascii="Times New Roman" w:hAnsi="Times New Roman" w:cs="Times New Roman" w:eastAsia="Times New Roman" w:hint="default"/>
          <w:spacing w:val="-2"/>
        </w:rPr>
        <w:t>77,334,415.23</w:t>
      </w:r>
      <w:r>
        <w:rPr>
          <w:spacing w:val="-2"/>
        </w:rPr>
        <w:t>元，减幅</w:t>
      </w:r>
      <w:r>
        <w:rPr>
          <w:rFonts w:ascii="Times New Roman" w:hAnsi="Times New Roman" w:cs="Times New Roman" w:eastAsia="Times New Roman" w:hint="default"/>
          <w:spacing w:val="-2"/>
        </w:rPr>
        <w:t>16.53%</w:t>
      </w:r>
      <w:r>
        <w:rPr>
          <w:spacing w:val="-2"/>
        </w:rPr>
        <w:t>，主要系归还股东借款及合并范围变动所</w:t>
      </w:r>
      <w:r>
        <w:rPr/>
        <w:t> 致；</w:t>
      </w:r>
    </w:p>
    <w:p>
      <w:pPr>
        <w:pStyle w:val="Heading4"/>
        <w:spacing w:line="240" w:lineRule="auto" w:before="22"/>
        <w:ind w:left="574" w:right="0"/>
        <w:jc w:val="left"/>
      </w:pPr>
      <w:r>
        <w:rPr/>
        <w:t>注</w:t>
      </w:r>
      <w:r>
        <w:rPr>
          <w:rFonts w:ascii="Times New Roman" w:hAnsi="Times New Roman" w:cs="Times New Roman" w:eastAsia="Times New Roman" w:hint="default"/>
        </w:rPr>
        <w:t>2</w:t>
      </w:r>
      <w:r>
        <w:rPr/>
        <w:t>：其他货币资金系履约保函保证金。</w:t>
      </w:r>
    </w:p>
    <w:p>
      <w:pPr>
        <w:spacing w:line="240" w:lineRule="auto" w:before="8"/>
        <w:rPr>
          <w:rFonts w:ascii="宋体" w:hAnsi="宋体" w:cs="宋体" w:eastAsia="宋体" w:hint="default"/>
          <w:sz w:val="24"/>
          <w:szCs w:val="24"/>
        </w:rPr>
      </w:pPr>
    </w:p>
    <w:p>
      <w:pPr>
        <w:pStyle w:val="Heading3"/>
        <w:spacing w:line="240" w:lineRule="auto"/>
        <w:ind w:left="154"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应收票据" w:id="226"/>
      <w:bookmarkEnd w:id="226"/>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质押的应收票据" w:id="228"/>
      <w:bookmarkEnd w:id="22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期末公司已背书或贴现且在资产负债表日尚未到期的应收票据" w:id="229"/>
      <w:bookmarkEnd w:id="22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期末公司因出票人未履约而将其转应收账款的票据" w:id="230"/>
      <w:bookmarkEnd w:id="23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应收账款" w:id="231"/>
      <w:bookmarkEnd w:id="231"/>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32"/>
      <w:bookmarkEnd w:id="2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4,498,44</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2,249,22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2,249,220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364,468,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720.33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14,748,0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68.72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349,720,6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51.61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361,001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,191.75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15,576,46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345,424,72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291,665.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291,665.5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369,550,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492.33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17,288,9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54.72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352,261,5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37.61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361,001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,191.75</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15,576,46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8.06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345,424,72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乐视网信息技术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4,498,441.00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2,249,220.50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信用风险异常</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4,498,441.00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2,249,220.50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265,147,095.30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1,993,429.53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81,584,500.06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5,995,665.44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14,954,956.92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3,976,805.70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2,782,168.05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2,782,168.05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364,468,720.33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14,748,068.72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Heading4"/>
        <w:spacing w:line="240" w:lineRule="auto" w:before="89"/>
        <w:ind w:left="497" w:right="6913"/>
        <w:jc w:val="center"/>
      </w:pPr>
      <w:r>
        <w:rPr/>
        <w:t>确定该组合的依据详见附注五、</w:t>
      </w:r>
      <w:r>
        <w:rPr>
          <w:rFonts w:ascii="Times New Roman" w:hAnsi="Times New Roman" w:cs="Times New Roman" w:eastAsia="Times New Roman" w:hint="default"/>
        </w:rPr>
        <w:t>11</w:t>
      </w:r>
      <w:r>
        <w:rPr/>
        <w:t>。</w:t>
      </w:r>
    </w:p>
    <w:p>
      <w:pPr>
        <w:pStyle w:val="BodyText"/>
        <w:spacing w:line="240" w:lineRule="auto" w:before="87"/>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13,831,222.93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应收账款情况" w:id="234"/>
      <w:bookmarkEnd w:id="2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3,774,984.38</w:t>
            </w:r>
          </w:p>
        </w:tc>
      </w:tr>
    </w:tbl>
    <w:p>
      <w:pPr>
        <w:pStyle w:val="BodyText"/>
        <w:spacing w:line="240" w:lineRule="auto" w:before="51"/>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上海腾迈广告有限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视觉内容服务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广东南方都市报经 营有限公司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视觉内容服务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199,069.00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上海阳狮中国广告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视觉内容服务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150,795.80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智威汤逊</w:t>
            </w:r>
            <w:r>
              <w:rPr>
                <w:rFonts w:ascii="Times New Roman" w:hAnsi="Times New Roman" w:cs="Times New Roman" w:eastAsia="Times New Roman" w:hint="default"/>
                <w:sz w:val="18"/>
                <w:szCs w:val="18"/>
              </w:rPr>
              <w:t>-</w:t>
            </w:r>
            <w:r>
              <w:rPr>
                <w:rFonts w:ascii="宋体" w:hAnsi="宋体" w:cs="宋体" w:eastAsia="宋体" w:hint="default"/>
                <w:sz w:val="18"/>
                <w:szCs w:val="18"/>
              </w:rPr>
              <w:t>中乔广告 有限公司上海分公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视觉内容服务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licensekorea(</w:t>
            </w: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反复催收</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817,589.80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应收账款核销说明：</w:t>
      </w:r>
    </w:p>
    <w:p>
      <w:pPr>
        <w:spacing w:line="590" w:lineRule="atLeast" w:before="51"/>
        <w:ind w:left="574" w:right="0" w:hanging="420"/>
        <w:jc w:val="left"/>
        <w:rPr>
          <w:rFonts w:ascii="宋体" w:hAnsi="宋体" w:cs="宋体" w:eastAsia="宋体" w:hint="default"/>
          <w:sz w:val="21"/>
          <w:szCs w:val="21"/>
        </w:rPr>
      </w:pPr>
      <w:bookmarkStart w:name="（4）按欠款方归集的期末余额前五名的应收账款情况"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1"/>
          <w:sz w:val="21"/>
          <w:szCs w:val="21"/>
        </w:rPr>
        <w:t>按欠款方归集的期末余额前五名的应收账款情况”：截至期末按欠款方归集的期末余额前五名应收账</w:t>
      </w:r>
    </w:p>
    <w:p>
      <w:pPr>
        <w:pStyle w:val="Heading4"/>
        <w:spacing w:line="273" w:lineRule="auto" w:before="37"/>
        <w:ind w:right="0"/>
        <w:jc w:val="left"/>
      </w:pPr>
      <w:r>
        <w:rPr>
          <w:spacing w:val="-1"/>
        </w:rPr>
        <w:t>款汇总金额为</w:t>
      </w:r>
      <w:r>
        <w:rPr>
          <w:rFonts w:ascii="宋体" w:hAnsi="宋体" w:cs="宋体" w:eastAsia="宋体" w:hint="default"/>
          <w:spacing w:val="-1"/>
        </w:rPr>
        <w:t>132,794,638.00</w:t>
      </w:r>
      <w:r>
        <w:rPr>
          <w:spacing w:val="-1"/>
        </w:rPr>
        <w:t>元，占应收账款期末余额合计数的比例为</w:t>
      </w:r>
      <w:r>
        <w:rPr>
          <w:rFonts w:ascii="宋体" w:hAnsi="宋体" w:cs="宋体" w:eastAsia="宋体" w:hint="default"/>
          <w:spacing w:val="-1"/>
        </w:rPr>
        <w:t>35.93%</w:t>
      </w:r>
      <w:r>
        <w:rPr>
          <w:spacing w:val="-1"/>
        </w:rPr>
        <w:t>，相应计提的坏账准备期末</w:t>
      </w:r>
      <w:r>
        <w:rPr>
          <w:spacing w:val="-74"/>
        </w:rPr>
        <w:t> </w:t>
      </w:r>
      <w:r>
        <w:rPr>
          <w:spacing w:val="-74"/>
        </w:rPr>
      </w:r>
      <w:r>
        <w:rPr/>
        <w:t>余额汇总金额为</w:t>
      </w:r>
      <w:r>
        <w:rPr>
          <w:rFonts w:ascii="宋体" w:hAnsi="宋体" w:cs="宋体" w:eastAsia="宋体" w:hint="default"/>
        </w:rPr>
        <w:t>2,688,329.77</w:t>
      </w:r>
      <w:r>
        <w:rPr/>
        <w:t>元。</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5,517,808.11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3,249,384.00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454,372.16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740,446.16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531,007.54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6,503,787.81</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3,990,430.16</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610" w:lineRule="atLeast" w:before="18"/>
        <w:ind w:left="574" w:right="0" w:hanging="420"/>
        <w:jc w:val="left"/>
        <w:rPr>
          <w:rFonts w:ascii="宋体" w:hAnsi="宋体" w:cs="宋体" w:eastAsia="宋体" w:hint="default"/>
          <w:sz w:val="21"/>
          <w:szCs w:val="21"/>
        </w:rPr>
      </w:pPr>
      <w:bookmarkStart w:name="（2）按预付对象归集的期末余额前五名的预付款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截至期末按供应商归集的期末余额前五名预付款项汇总金额为</w:t>
      </w:r>
      <w:r>
        <w:rPr>
          <w:rFonts w:ascii="Times New Roman" w:hAnsi="Times New Roman" w:cs="Times New Roman" w:eastAsia="Times New Roman" w:hint="default"/>
          <w:spacing w:val="-2"/>
          <w:sz w:val="21"/>
          <w:szCs w:val="21"/>
        </w:rPr>
        <w:t>4,620,592.85</w:t>
      </w:r>
      <w:r>
        <w:rPr>
          <w:rFonts w:ascii="宋体" w:hAnsi="宋体" w:cs="宋体" w:eastAsia="宋体" w:hint="default"/>
          <w:spacing w:val="-2"/>
          <w:sz w:val="21"/>
          <w:szCs w:val="21"/>
        </w:rPr>
        <w:t>元，占预付款项期末余额合</w:t>
      </w:r>
    </w:p>
    <w:p>
      <w:pPr>
        <w:pStyle w:val="Heading4"/>
        <w:spacing w:line="240" w:lineRule="auto" w:before="21"/>
        <w:ind w:right="0"/>
        <w:jc w:val="left"/>
      </w:pPr>
      <w:r>
        <w:rPr/>
        <w:t>计数的比例为</w:t>
      </w:r>
      <w:r>
        <w:rPr>
          <w:rFonts w:ascii="Times New Roman" w:hAnsi="Times New Roman" w:cs="Times New Roman" w:eastAsia="Times New Roman" w:hint="default"/>
        </w:rPr>
        <w:t>71.04%</w:t>
      </w:r>
      <w:r>
        <w:rPr/>
        <w:t>。</w:t>
      </w:r>
    </w:p>
    <w:p>
      <w:pPr>
        <w:pStyle w:val="BodyText"/>
        <w:spacing w:line="240" w:lineRule="auto" w:before="87"/>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应收利息" w:id="239"/>
      <w:bookmarkEnd w:id="239"/>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理财产品（保本保息）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1,247,847.22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443,625.00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1,247,847.22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其他应收款" w:id="242"/>
      <w:bookmarkEnd w:id="242"/>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3"/>
      <w:bookmarkEnd w:id="2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21,234,7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981,746.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20,253,00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34,927,</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511.88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387,216.0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34,540,295.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21,234,7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50.14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981,746.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20,253,00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34,927,</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511.88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387,216.0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期末单项金额重大并单项计提坏账准备的其他应收款：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9"/>
        <w:jc w:val="left"/>
      </w:pPr>
      <w:r>
        <w:rPr/>
        <w:t>组合中，按账龄分析法计提坏账准备的其他应收款：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10,022,326.57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54,889.88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51,297.96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13,079,661.10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981,746.17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Heading4"/>
        <w:spacing w:line="240" w:lineRule="auto" w:before="90"/>
        <w:ind w:left="574" w:right="0"/>
        <w:jc w:val="left"/>
      </w:pPr>
      <w:r>
        <w:rPr/>
        <w:t>确定该组合的依据详见附注五、</w:t>
      </w:r>
      <w:r>
        <w:rPr>
          <w:rFonts w:ascii="Times New Roman" w:hAnsi="Times New Roman" w:cs="Times New Roman" w:eastAsia="Times New Roman" w:hint="default"/>
        </w:rPr>
        <w:t>11</w:t>
      </w:r>
      <w:r>
        <w:rPr/>
        <w:t>。</w:t>
      </w:r>
    </w:p>
    <w:p>
      <w:pPr>
        <w:pStyle w:val="BodyText"/>
        <w:spacing w:line="240" w:lineRule="auto" w:before="87"/>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8"/>
        <w:gridCol w:w="1660"/>
        <w:gridCol w:w="1522"/>
        <w:gridCol w:w="1393"/>
      </w:tblGrid>
      <w:tr>
        <w:trPr>
          <w:trHeight w:val="342" w:hRule="exact"/>
        </w:trPr>
        <w:tc>
          <w:tcPr>
            <w:tcW w:w="4118" w:type="dxa"/>
            <w:vMerge w:val="restart"/>
            <w:tcBorders>
              <w:top w:val="single" w:sz="4" w:space="0" w:color="000000"/>
              <w:left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4118" w:type="dxa"/>
            <w:vMerge/>
            <w:tcBorders>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2" w:hRule="exact"/>
        </w:trPr>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关联方、保证金及押金组合</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8,155,089.04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8,155,089.04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6" w:lineRule="exact" w:before="0"/>
        <w:ind w:left="574" w:right="0"/>
        <w:jc w:val="left"/>
      </w:pPr>
      <w:r>
        <w:rPr/>
        <w:t>确定上述组合的依据详见附注五、</w:t>
      </w:r>
      <w:r>
        <w:rPr>
          <w:rFonts w:ascii="Times New Roman" w:hAnsi="Times New Roman" w:cs="Times New Roman" w:eastAsia="Times New Roman" w:hint="default"/>
        </w:rPr>
        <w:t>11</w:t>
      </w:r>
      <w:r>
        <w:rPr/>
        <w:t>。</w:t>
      </w:r>
    </w:p>
    <w:p>
      <w:pPr>
        <w:spacing w:line="240" w:lineRule="auto" w:before="8"/>
        <w:rPr>
          <w:rFonts w:ascii="宋体" w:hAnsi="宋体" w:cs="宋体" w:eastAsia="宋体" w:hint="default"/>
          <w:sz w:val="24"/>
          <w:szCs w:val="24"/>
        </w:rPr>
      </w:pPr>
    </w:p>
    <w:p>
      <w:pPr>
        <w:spacing w:line="506" w:lineRule="auto" w:before="0"/>
        <w:ind w:left="574" w:right="3192" w:hanging="420"/>
        <w:jc w:val="left"/>
        <w:rPr>
          <w:rFonts w:ascii="宋体" w:hAnsi="宋体" w:cs="宋体" w:eastAsia="宋体" w:hint="default"/>
          <w:sz w:val="21"/>
          <w:szCs w:val="21"/>
        </w:rPr>
      </w:pPr>
      <w:bookmarkStart w:name="（2） 本期计提、收回或转回的坏账准备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1,032,615.28</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pStyle w:val="Heading3"/>
        <w:spacing w:line="240" w:lineRule="auto" w:before="64"/>
        <w:ind w:right="0"/>
        <w:jc w:val="left"/>
        <w:rPr>
          <w:b w:val="0"/>
          <w:bCs w:val="0"/>
        </w:rPr>
      </w:pPr>
      <w:bookmarkStart w:name="（3）其他应收款按款项性质分类情况" w:id="245"/>
      <w:bookmarkEnd w:id="24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6,279,119.69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23,862,050.33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1,332,722.09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4,242,777.59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10,622,908.36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3,822,683.96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21,234,750.14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34,927,511.88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按欠款方归集的期末余额前五名的其他应收款情况" w:id="246"/>
      <w:bookmarkEnd w:id="246"/>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洛克互娱智能科技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上海翡翠滨江艺术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租赁诚意金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常州市新世纪房地 产开发有限公司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拆迁款项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北京京城电通投资 管理有限责任公司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1,519,155.43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北京英赫世纪置业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1,414,157.40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17,933,312.83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存货" w:id="247"/>
      <w:bookmarkEnd w:id="247"/>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left="154" w:right="0"/>
        <w:jc w:val="left"/>
        <w:rPr>
          <w:b w:val="0"/>
          <w:bCs w:val="0"/>
        </w:rPr>
      </w:pPr>
      <w:bookmarkStart w:name="（1）存货分类" w:id="248"/>
      <w:bookmarkEnd w:id="24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4,681,927.52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4,681,927.52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6,085,673.87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5,218,173.87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24,712,989.53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24,712,989.53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24,186,908.61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24,186,908.61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29,394,917.05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29,394,917.05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30,272,582.48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29,405,082.48</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left="154" w:right="0"/>
        <w:jc w:val="left"/>
        <w:rPr>
          <w:b w:val="0"/>
          <w:bCs w:val="0"/>
        </w:rPr>
      </w:pPr>
      <w:bookmarkStart w:name="（2）存货跌价准备" w:id="249"/>
      <w:bookmarkEnd w:id="24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6"/>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867,500.00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867,500.00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59"/>
        <w:gridCol w:w="1379"/>
        <w:gridCol w:w="1367"/>
        <w:gridCol w:w="1367"/>
        <w:gridCol w:w="1368"/>
        <w:gridCol w:w="1367"/>
        <w:gridCol w:w="1367"/>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867,500.00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867,500.00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50"/>
      <w:bookmarkEnd w:id="25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51"/>
      <w:bookmarkEnd w:id="25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流动资产" w:id="252"/>
      <w:bookmarkEnd w:id="252"/>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增值税留抵税金及其他预缴税款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7,001,872.11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11,574,474.58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待摊房租及服务费等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1,411,005.14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1,432,017.53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8,412,877.25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183,006,492.11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可供出售金融资产" w:id="253"/>
      <w:bookmarkEnd w:id="253"/>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99,167,864.30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99,167,864.30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99,167,864.30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99,167,864.30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110,445,464.30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99,167,864.30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99,167,864.30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按成本计量的可供出售金融资产" w:id="255"/>
      <w:bookmarkEnd w:id="25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北京视觉 像素网络 科技有限</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1" w:right="0"/>
              <w:jc w:val="left"/>
              <w:rPr>
                <w:rFonts w:ascii="Times New Roman" w:hAnsi="Times New Roman" w:cs="Times New Roman" w:eastAsia="Times New Roman" w:hint="default"/>
                <w:sz w:val="18"/>
                <w:szCs w:val="18"/>
              </w:rPr>
            </w:pPr>
            <w:r>
              <w:rPr>
                <w:rFonts w:ascii="Times New Roman"/>
                <w:sz w:val="18"/>
              </w:rPr>
              <w:t>19.85%</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北京华盖 映月影视 文化投资 合伙企业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28,569,172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28,569,172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常州合一 科文投资 合伙企业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常州视觉 互动网络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102,691.92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102,691.92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8"/>
              <w:jc w:val="left"/>
              <w:rPr>
                <w:rFonts w:ascii="Times New Roman" w:hAnsi="Times New Roman" w:cs="Times New Roman" w:eastAsia="Times New Roman" w:hint="default"/>
                <w:sz w:val="18"/>
                <w:szCs w:val="18"/>
              </w:rPr>
            </w:pPr>
            <w:r>
              <w:rPr>
                <w:rFonts w:ascii="Times New Roman"/>
                <w:sz w:val="18"/>
              </w:rPr>
              <w:t>500PX</w:t>
            </w:r>
            <w:r>
              <w:rPr>
                <w:rFonts w:ascii="Times New Roman"/>
                <w:w w:val="99"/>
                <w:sz w:val="18"/>
              </w:rPr>
              <w:t> </w:t>
            </w:r>
            <w:r>
              <w:rPr>
                <w:rFonts w:ascii="Times New Roman"/>
                <w:sz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55,496,000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52,273,600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99,167,864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3,222,400.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110,445,46</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4.30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长期股权投资" w:id="256"/>
      <w:bookmarkEnd w:id="256"/>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湖北司马 彦文化科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333,650,3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96.99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21,522,13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35,108,68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-32,221,7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358,059,4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333,650,3</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96.99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21,522,13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35,108,68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-32,221,7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358,059,4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77.85</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常州视觉 跃动文化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3,006,162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4,356,363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30,435,79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14,850,00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-762,922.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44,522,87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广东易教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11,764,06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121,764,0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优培教育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62.32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北京华盖 映月影视 文化投资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12,986,19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-72,062.8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12,914,13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华融创新 资本投资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106,002,7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23.78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16,320,50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-2,160,98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120,162,2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51.89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2"/>
              <w:jc w:val="left"/>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r>
              <w:rPr>
                <w:rFonts w:ascii="Times New Roman"/>
                <w:w w:val="99"/>
                <w:sz w:val="18"/>
              </w:rPr>
              <w:t> </w:t>
            </w:r>
            <w:r>
              <w:rPr>
                <w:rFonts w:ascii="Times New Roman"/>
                <w:sz w:val="18"/>
              </w:rPr>
              <w:t>HOLDIN</w:t>
            </w:r>
            <w:r>
              <w:rPr>
                <w:rFonts w:ascii="Times New Roman"/>
                <w:w w:val="99"/>
                <w:sz w:val="18"/>
              </w:rPr>
              <w:t> </w:t>
            </w:r>
            <w:r>
              <w:rPr>
                <w:rFonts w:ascii="Times New Roman"/>
                <w:sz w:val="18"/>
              </w:rPr>
              <w:t>GS</w:t>
            </w:r>
            <w:r>
              <w:rPr>
                <w:rFonts w:ascii="Times New Roman"/>
                <w:spacing w:val="-1"/>
                <w:w w:val="99"/>
                <w:sz w:val="18"/>
              </w:rPr>
              <w:t> </w:t>
            </w:r>
            <w:r>
              <w:rPr>
                <w:rFonts w:ascii="Times New Roman"/>
                <w:sz w:val="18"/>
              </w:rPr>
              <w:t>CO.LIMI</w:t>
            </w:r>
            <w:r>
              <w:rPr>
                <w:rFonts w:ascii="Times New Roman"/>
                <w:w w:val="99"/>
                <w:sz w:val="18"/>
              </w:rPr>
              <w:t> </w:t>
            </w:r>
            <w:r>
              <w:rPr>
                <w:rFonts w:ascii="Times New Roman"/>
                <w:sz w:val="18"/>
              </w:rPr>
              <w:t>TED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334,014,4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02.79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448,777.6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-20,624,1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313,839,0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67.38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辽宁新兴 文化创业 投资基金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-2,009,86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97,990,13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486,445,2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25,688,70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-20,624,1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-2,160,98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715,548,8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820,095,6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73.49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247,722,1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60,797,38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-20,624,1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-34,382,7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1,073,608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,363.30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固定资产" w:id="257"/>
      <w:bookmarkEnd w:id="25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11,325,458.93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656,896.22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1,131,255.90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4,707,380.38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1,742,671.52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19,563,662.95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1,475,887.56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369,217.97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1,533,500.08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3,378,605.61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1,475,887.56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369,217.97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3,378,605.61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4,593,687.56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656,896.22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668,269.37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1,550,106.16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1,125,153.08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8,594,112.39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3,157,638.92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1,048,892.12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1,125,153.08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5,331,684.12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w:t>
            </w:r>
            <w:r>
              <w:rPr>
                <w:rFonts w:ascii="宋体" w:hAnsi="宋体" w:cs="宋体" w:eastAsia="宋体" w:hint="default"/>
                <w:sz w:val="18"/>
                <w:szCs w:val="18"/>
              </w:rPr>
              <w:t> 范围减少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1,436,048.64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656,896.22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668,269.37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501,214.04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3,262,428.27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8,207,658.93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462,986.53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3,526,492.19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2,151,018.52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14,348,156.17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7,278,166.49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470,626.07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948,381.23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3,561,720.11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1,261,688.44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13,520,582.34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2,087,548.80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83,039.70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573,238.66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307,716.36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3,117,761.10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2,087,548.80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83,039.70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573,238.66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307,716.36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3,117,761.10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4,401,816.94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536,843.65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614,733.29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1,607,989.43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1,070,570.19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8,231,953.50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3,052,276.23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1,009,153.40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1,070,175.94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5,131,605.57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）合并范</w:t>
            </w:r>
            <w:r>
              <w:rPr>
                <w:rFonts w:ascii="宋体" w:hAnsi="宋体" w:cs="宋体" w:eastAsia="宋体" w:hint="default"/>
                <w:sz w:val="18"/>
                <w:szCs w:val="18"/>
              </w:rPr>
              <w:t> 围减少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1,349,540.71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536,843.65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614,733.29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598,836.03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3,100,347.93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4,963,898.35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416,687.64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2,526,969.34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498,834.61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8,406,389.94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3,243,760.58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46,298.89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999,522.85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1,652,183.91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5,941,766.23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4,047,292.44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186,270.15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182,874.67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1,145,660.27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480,983.08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6,043,080.61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13、无形资产" w:id="259"/>
      <w:bookmarkEnd w:id="259"/>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161"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管理系统软件</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商标使用权及 域名</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412" w:right="53"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9,422,602.50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2,631,434.59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12,054,037.09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10,265,398.97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2,147,201.50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995,673.23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13,408,273.70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2,816,357.20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2,816,357.20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7,449,041.77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995,673.23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8,444,715.00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2,147,201.50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2,147,201.50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312,391.12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312,391.12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73" w:firstLine="630"/>
              <w:jc w:val="left"/>
              <w:rPr>
                <w:rFonts w:ascii="宋体" w:hAnsi="宋体" w:cs="宋体" w:eastAsia="宋体" w:hint="default"/>
                <w:sz w:val="18"/>
                <w:szCs w:val="18"/>
              </w:rPr>
            </w:pPr>
            <w:r>
              <w:rPr>
                <w:rFonts w:ascii="宋体" w:hAnsi="宋体" w:cs="宋体" w:eastAsia="宋体" w:hint="default"/>
                <w:sz w:val="18"/>
                <w:szCs w:val="18"/>
              </w:rPr>
              <w:t>合并 范围减少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312,391.12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312,391.12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19,375,610.35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4,778,636.09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995,673.23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25,149,919.67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2,742,260.11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1,147,419.31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3,889,679.42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885,567.28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392,143.48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1,286,008.04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885,567.28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392,143.48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1,286,008.04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303,198.28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303,198.28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合并范</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围减少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303,198.28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303,198.28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3,324,629.11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1,539,562.79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8,297.28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4,872,489.18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16,050,981.24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3,239,073.30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987,375.95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20,277,430.49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6,680,342.39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1,484,015.28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8,164,357.67</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43.76%</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4、开发支出" w:id="261"/>
      <w:bookmarkEnd w:id="261"/>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75"/>
        <w:gridCol w:w="1040"/>
        <w:gridCol w:w="1075"/>
        <w:gridCol w:w="1074"/>
        <w:gridCol w:w="1052"/>
        <w:gridCol w:w="1052"/>
        <w:gridCol w:w="1075"/>
        <w:gridCol w:w="1063"/>
      </w:tblGrid>
      <w:tr>
        <w:trPr>
          <w:trHeight w:val="398"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24" w:right="6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9" w:space="0" w:color="D2D2D2"/>
              <w:right w:val="single" w:sz="13"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委外研发</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4"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35" w:right="6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75" w:type="dxa"/>
            <w:vMerge w:val="restart"/>
            <w:tcBorders>
              <w:top w:val="single" w:sz="4" w:space="0" w:color="000000"/>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4" w:type="dxa"/>
            <w:vMerge/>
            <w:tcBorders>
              <w:left w:val="single" w:sz="9" w:space="0" w:color="D2D2D2"/>
              <w:right w:val="single" w:sz="13" w:space="0" w:color="D2D2D2"/>
            </w:tcBorders>
            <w:shd w:val="clear" w:color="auto" w:fill="E0FFFF"/>
          </w:tcPr>
          <w:p>
            <w:pPr/>
          </w:p>
        </w:tc>
        <w:tc>
          <w:tcPr>
            <w:tcW w:w="10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9" w:space="0" w:color="D2D2D2"/>
              <w:right w:val="single" w:sz="13" w:space="0" w:color="D2D2D2"/>
            </w:tcBorders>
            <w:shd w:val="clear" w:color="auto" w:fill="E0FFFF"/>
          </w:tcPr>
          <w:p>
            <w:pPr/>
          </w:p>
        </w:tc>
        <w:tc>
          <w:tcPr>
            <w:tcW w:w="10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12" w:space="0" w:color="E0FFFF"/>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9" w:space="0" w:color="D2D2D2"/>
              <w:bottom w:val="single" w:sz="4" w:space="0" w:color="000000"/>
              <w:right w:val="single" w:sz="13" w:space="0" w:color="D2D2D2"/>
            </w:tcBorders>
            <w:shd w:val="clear" w:color="auto" w:fill="E0FFFF"/>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搜索运营管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423,177.16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423,177.16</w:t>
            </w:r>
          </w:p>
        </w:tc>
        <w:tc>
          <w:tcPr>
            <w:tcW w:w="105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图片商机发 现系统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572,496.07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572,496.07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业务运营支 撑系统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7,449,041.77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2,561,741.82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10,010,783.5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8,444,715.00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2,561,741.82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11,006,456.8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3373"/>
        <w:jc w:val="left"/>
      </w:pPr>
      <w:r>
        <w:rPr/>
        <w:t>其他说明 公司上述三项软件系统于</w:t>
      </w:r>
      <w:r>
        <w:rPr>
          <w:rFonts w:ascii="Times New Roman" w:hAnsi="Times New Roman" w:cs="Times New Roman" w:eastAsia="Times New Roman" w:hint="default"/>
        </w:rPr>
        <w:t>2016</w:t>
      </w:r>
      <w:r>
        <w:rPr/>
        <w:t>年启动研发，截止本报告期末已全部研发完成并正式投入使用。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15、商誉" w:id="262"/>
      <w:bookmarkEnd w:id="262"/>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63"/>
      <w:bookmarkEnd w:id="26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业合并东星视讯</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90,601,733.37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90,601,733.37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业合并上海卓越</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71,694,109.06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71,694,109.06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非同一控制下企 业合并亿迅资产 组</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178,022,161.70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反向收购合并商 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924,317,158.51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924,317,158.51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1,264,635,162.64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1,264,635,162.64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64"/>
      <w:bookmarkEnd w:id="26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54" w:right="6072"/>
        <w:jc w:val="left"/>
      </w:pPr>
      <w:r>
        <w:rPr/>
        <w:t>说明商誉减值测试过程、参数及商誉减值损失的确认方法： 其他说明</w:t>
      </w:r>
    </w:p>
    <w:p>
      <w:pPr>
        <w:pStyle w:val="Heading4"/>
        <w:spacing w:line="273" w:lineRule="auto" w:before="0"/>
        <w:ind w:left="629" w:right="1037"/>
        <w:jc w:val="left"/>
      </w:pPr>
      <w:r>
        <w:rPr/>
        <w:t>采用未来现金流量折现方法的主要假设 管理层所采用的加权平均增长率与行业报告所载的预测数据一致，不超过各产品的长期平均增长率。</w:t>
      </w:r>
    </w:p>
    <w:p>
      <w:pPr>
        <w:pStyle w:val="Heading4"/>
        <w:spacing w:line="240" w:lineRule="auto"/>
        <w:ind w:left="154" w:right="0"/>
        <w:jc w:val="left"/>
      </w:pPr>
      <w:r>
        <w:rPr/>
        <w:t>管理层根据历史经验及对市场发展的预测确定预算毛利率，并采用能够反映相关资产组和资产组组合的特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0"/>
        <w:jc w:val="left"/>
      </w:pPr>
      <w:r>
        <w:rPr>
          <w:spacing w:val="-1"/>
        </w:rPr>
        <w:t>定风险的税前利率为折现率。未来现金流量折现方法采用的假设用以分析该业务分部内各资产组和资产组</w:t>
      </w:r>
      <w:r>
        <w:rPr>
          <w:spacing w:val="-81"/>
        </w:rPr>
        <w:t> </w:t>
      </w:r>
      <w:r>
        <w:rPr>
          <w:spacing w:val="-81"/>
        </w:rPr>
      </w:r>
      <w:r>
        <w:rPr/>
        <w:t>组合的可收回金额。</w:t>
      </w:r>
    </w:p>
    <w:p>
      <w:pPr>
        <w:pStyle w:val="Heading4"/>
        <w:spacing w:line="256" w:lineRule="auto"/>
        <w:ind w:right="0" w:firstLine="475"/>
        <w:jc w:val="left"/>
      </w:pPr>
      <w:r>
        <w:rPr>
          <w:spacing w:val="-9"/>
        </w:rPr>
        <w:t>经沃克森（北京）国际资产评估有限公司对该商誉评估，并出具了《估值报告书》（沃克森咨报字</w:t>
      </w:r>
      <w:r>
        <w:rPr>
          <w:rFonts w:ascii="Times New Roman" w:hAnsi="Times New Roman" w:cs="Times New Roman" w:eastAsia="Times New Roman" w:hint="default"/>
          <w:spacing w:val="-9"/>
        </w:rPr>
        <w:t>[2018]</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0346</w:t>
      </w:r>
      <w:r>
        <w:rPr/>
        <w:t>号），本期末因收购东星视讯的商誉不存在减值。</w:t>
      </w:r>
    </w:p>
    <w:p>
      <w:pPr>
        <w:pStyle w:val="Heading4"/>
        <w:spacing w:line="256" w:lineRule="auto" w:before="5"/>
        <w:ind w:left="154" w:right="1128" w:firstLine="475"/>
        <w:jc w:val="left"/>
      </w:pPr>
      <w:r>
        <w:rPr>
          <w:spacing w:val="-9"/>
        </w:rPr>
        <w:t>经沃克森（北京）国际资产评估有限公司对该商誉评估，并出具了《估值报告书》（沃克森咨报字</w:t>
      </w:r>
      <w:r>
        <w:rPr>
          <w:rFonts w:ascii="Times New Roman" w:hAnsi="Times New Roman" w:cs="Times New Roman" w:eastAsia="Times New Roman" w:hint="default"/>
          <w:spacing w:val="-9"/>
        </w:rPr>
        <w:t>[2018]</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0348</w:t>
      </w:r>
      <w:r>
        <w:rPr/>
        <w:t>号），本期末因收购卓越资产组形成的商誉不存在减值。</w:t>
      </w:r>
    </w:p>
    <w:p>
      <w:pPr>
        <w:pStyle w:val="Heading4"/>
        <w:spacing w:line="256" w:lineRule="auto" w:before="5"/>
        <w:ind w:left="154" w:right="1128" w:firstLine="475"/>
        <w:jc w:val="left"/>
      </w:pPr>
      <w:r>
        <w:rPr>
          <w:spacing w:val="-9"/>
        </w:rPr>
        <w:t>经沃克森（北京）国际资产评估有限公司对该商誉评估，并出具了《估值报告书》（沃克森咨报字</w:t>
      </w:r>
      <w:r>
        <w:rPr>
          <w:rFonts w:ascii="Times New Roman" w:hAnsi="Times New Roman" w:cs="Times New Roman" w:eastAsia="Times New Roman" w:hint="default"/>
          <w:spacing w:val="-9"/>
        </w:rPr>
        <w:t>[2018]</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0350</w:t>
      </w:r>
      <w:r>
        <w:rPr/>
        <w:t>号），本期末因收购亿迅资产组的商誉不存在减值。</w:t>
      </w:r>
    </w:p>
    <w:p>
      <w:pPr>
        <w:pStyle w:val="Heading4"/>
        <w:spacing w:line="256" w:lineRule="auto" w:before="5"/>
        <w:ind w:left="154" w:right="1128" w:firstLine="475"/>
        <w:jc w:val="left"/>
      </w:pPr>
      <w:r>
        <w:rPr>
          <w:spacing w:val="-9"/>
        </w:rPr>
        <w:t>经沃克森（北京）国际资产评估有限公司对该商誉评估，并出具了《估值报告书》（沃克森咨报字</w:t>
      </w:r>
      <w:r>
        <w:rPr>
          <w:rFonts w:ascii="Times New Roman" w:hAnsi="Times New Roman" w:cs="Times New Roman" w:eastAsia="Times New Roman" w:hint="default"/>
          <w:spacing w:val="-9"/>
        </w:rPr>
        <w:t>[2018]</w:t>
      </w:r>
      <w:r>
        <w:rPr>
          <w:rFonts w:ascii="Times New Roman" w:hAnsi="Times New Roman" w:cs="Times New Roman" w:eastAsia="Times New Roman" w:hint="default"/>
        </w:rPr>
        <w:t> </w:t>
      </w:r>
      <w:r>
        <w:rPr/>
        <w:t>第</w:t>
      </w:r>
      <w:r>
        <w:rPr>
          <w:rFonts w:ascii="Times New Roman" w:hAnsi="Times New Roman" w:cs="Times New Roman" w:eastAsia="Times New Roman" w:hint="default"/>
        </w:rPr>
        <w:t>0347</w:t>
      </w:r>
      <w:r>
        <w:rPr/>
        <w:t>号），本期末因反向收购形成的商誉不存在减值。</w:t>
      </w:r>
    </w:p>
    <w:p>
      <w:pPr>
        <w:pStyle w:val="Heading4"/>
        <w:spacing w:line="240" w:lineRule="auto" w:before="5"/>
        <w:ind w:left="629" w:right="0"/>
        <w:jc w:val="left"/>
      </w:pPr>
      <w:r>
        <w:rPr/>
        <w:t>资产组和资产组组合的可收回金额是依据管理层批准的五年期预算，采用现金流量预测方法计算。</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68"/>
        <w:gridCol w:w="1898"/>
        <w:gridCol w:w="1492"/>
        <w:gridCol w:w="2030"/>
        <w:gridCol w:w="1604"/>
      </w:tblGrid>
      <w:tr>
        <w:trPr>
          <w:trHeight w:val="3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76"/>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东星视讯</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上海卓越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83" w:right="0"/>
              <w:jc w:val="left"/>
              <w:rPr>
                <w:rFonts w:ascii="宋体" w:hAnsi="宋体" w:cs="宋体" w:eastAsia="宋体" w:hint="default"/>
                <w:sz w:val="21"/>
                <w:szCs w:val="21"/>
              </w:rPr>
            </w:pPr>
            <w:r>
              <w:rPr>
                <w:rFonts w:ascii="宋体" w:hAnsi="宋体" w:cs="宋体" w:eastAsia="宋体" w:hint="default"/>
                <w:sz w:val="21"/>
                <w:szCs w:val="21"/>
              </w:rPr>
              <w:t>亿迅资产组</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反向收购</w:t>
            </w:r>
          </w:p>
        </w:tc>
      </w:tr>
      <w:tr>
        <w:trPr>
          <w:trHeight w:val="6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546"/>
              <w:jc w:val="right"/>
              <w:rPr>
                <w:rFonts w:ascii="宋体" w:hAnsi="宋体" w:cs="宋体" w:eastAsia="宋体" w:hint="default"/>
                <w:sz w:val="21"/>
                <w:szCs w:val="21"/>
              </w:rPr>
            </w:pPr>
            <w:r>
              <w:rPr>
                <w:rFonts w:ascii="宋体" w:hAnsi="宋体" w:cs="宋体" w:eastAsia="宋体" w:hint="default"/>
                <w:sz w:val="21"/>
                <w:szCs w:val="21"/>
              </w:rPr>
              <w:t>折现率</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13.86%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12.31%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14.56%</w:t>
            </w:r>
          </w:p>
          <w:p>
            <w:pPr>
              <w:pStyle w:val="TableParagraph"/>
              <w:spacing w:line="240" w:lineRule="auto" w:before="21"/>
              <w:ind w:left="5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至</w:t>
            </w:r>
            <w:r>
              <w:rPr>
                <w:rFonts w:ascii="Times New Roman" w:hAnsi="Times New Roman" w:cs="Times New Roman" w:eastAsia="Times New Roman" w:hint="default"/>
                <w:sz w:val="21"/>
                <w:szCs w:val="21"/>
              </w:rPr>
              <w:t>2022</w:t>
            </w:r>
            <w:r>
              <w:rPr>
                <w:rFonts w:ascii="宋体" w:hAnsi="宋体" w:cs="宋体" w:eastAsia="宋体" w:hint="default"/>
                <w:sz w:val="21"/>
                <w:szCs w:val="21"/>
              </w:rPr>
              <w:t>年</w:t>
            </w:r>
            <w:r>
              <w:rPr>
                <w:rFonts w:ascii="Times New Roman" w:hAnsi="Times New Roman" w:cs="Times New Roman" w:eastAsia="Times New Roman" w:hint="default"/>
                <w:sz w:val="21"/>
                <w:szCs w:val="21"/>
              </w:rPr>
              <w:t>14.42%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12.24%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16、长期待摊费用" w:id="265"/>
      <w:bookmarkEnd w:id="265"/>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570,308.71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7,001,401.13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1,263,239.61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6,308,470.23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570,308.71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7,001,401.13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1,263,239.61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6,308,470.23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递延所得税资产/递延所得税负债" w:id="266"/>
      <w:bookmarkEnd w:id="266"/>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7"/>
      <w:bookmarkEnd w:id="26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14,718,913.41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2,396,688.75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15,734,028.24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2,309,258.95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14,718,913.41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2,396,688.75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15,734,028.24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2,309,258.95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68"/>
      <w:bookmarkEnd w:id="26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205"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61" w:right="0"/>
              <w:jc w:val="left"/>
              <w:rPr>
                <w:rFonts w:ascii="Times New Roman" w:hAnsi="Times New Roman" w:cs="Times New Roman" w:eastAsia="Times New Roman" w:hint="default"/>
                <w:sz w:val="18"/>
                <w:szCs w:val="18"/>
              </w:rPr>
            </w:pPr>
            <w:r>
              <w:rPr>
                <w:rFonts w:ascii="Times New Roman"/>
                <w:sz w:val="18"/>
              </w:rPr>
              <w:t>580,645.14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145,161.29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838,709.66</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125,806.45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628,740.00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94,311.00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580,645.14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145,161.29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1,467,449.66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220,117.45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确认递延所得税资产明细" w:id="269"/>
      <w:bookmarkEnd w:id="269"/>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3,551,787.48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1,097,155.90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139,650,490.01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138,877,665.28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143,202,277.49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139,974,821.18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的可抵扣亏损将于以下年度到期" w:id="270"/>
      <w:bookmarkEnd w:id="270"/>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2,611,767.47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35,693,809.27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44,189,595.89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38,337,862.30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92,076,301.92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65,618,818.44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139,650,490.01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138,877,665.28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其他非流动资产" w:id="271"/>
      <w:bookmarkEnd w:id="271"/>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预付的投资款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Corbis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图片素材</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515,349,431.97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807,849,431.97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256,500,000.00</w:t>
            </w:r>
          </w:p>
        </w:tc>
      </w:tr>
    </w:tbl>
    <w:p>
      <w:pPr>
        <w:pStyle w:val="BodyText"/>
        <w:spacing w:line="240" w:lineRule="auto" w:before="51"/>
        <w:ind w:left="154" w:right="0"/>
        <w:jc w:val="left"/>
      </w:pPr>
      <w:r>
        <w:rPr/>
        <w:t>其他说明：</w:t>
      </w:r>
    </w:p>
    <w:p>
      <w:pPr>
        <w:pStyle w:val="Heading4"/>
        <w:spacing w:line="256" w:lineRule="auto" w:before="89"/>
        <w:ind w:left="595" w:right="1059" w:hanging="22"/>
        <w:jc w:val="left"/>
      </w:pPr>
      <w:r>
        <w:rPr/>
        <w:t>注</w:t>
      </w:r>
      <w:r>
        <w:rPr>
          <w:rFonts w:ascii="Times New Roman" w:hAnsi="Times New Roman" w:cs="Times New Roman" w:eastAsia="Times New Roman" w:hint="default"/>
        </w:rPr>
        <w:t>1</w:t>
      </w:r>
      <w:r>
        <w:rPr/>
        <w:t>：预付投资款系支付北京灵睿博智国际广告有限公司及富银消费金融有限责任公司投资款。 注</w:t>
      </w:r>
      <w:r>
        <w:rPr>
          <w:rFonts w:ascii="Times New Roman" w:hAnsi="Times New Roman" w:cs="Times New Roman" w:eastAsia="Times New Roman" w:hint="default"/>
        </w:rPr>
        <w:t>2</w:t>
      </w:r>
      <w:r>
        <w:rPr/>
        <w:t>：经沃克森（北京）国际资产评估有限公司对使用寿命不确定的</w:t>
      </w:r>
      <w:r>
        <w:rPr>
          <w:rFonts w:ascii="Times New Roman" w:hAnsi="Times New Roman" w:cs="Times New Roman" w:eastAsia="Times New Roman" w:hint="default"/>
        </w:rPr>
        <w:t>“Corbis</w:t>
      </w:r>
      <w:r>
        <w:rPr/>
        <w:t>图片素材</w:t>
      </w:r>
      <w:r>
        <w:rPr>
          <w:rFonts w:ascii="Times New Roman" w:hAnsi="Times New Roman" w:cs="Times New Roman" w:eastAsia="Times New Roman" w:hint="default"/>
        </w:rPr>
        <w:t>”</w:t>
      </w:r>
      <w:r>
        <w:rPr/>
        <w:t>进行减值测试，</w:t>
      </w:r>
    </w:p>
    <w:p>
      <w:pPr>
        <w:pStyle w:val="Heading4"/>
        <w:spacing w:line="240" w:lineRule="auto" w:before="5"/>
        <w:ind w:left="154" w:right="0"/>
        <w:jc w:val="left"/>
      </w:pPr>
      <w:r>
        <w:rPr/>
        <w:t>并出具了《估值报告书》（沃克森咨报字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0349</w:t>
      </w:r>
      <w:r>
        <w:rPr/>
        <w:t>号），经测试本期末</w:t>
      </w:r>
      <w:r>
        <w:rPr>
          <w:rFonts w:ascii="Times New Roman" w:hAnsi="Times New Roman" w:cs="Times New Roman" w:eastAsia="Times New Roman" w:hint="default"/>
        </w:rPr>
        <w:t>“Corbis</w:t>
      </w:r>
      <w:r>
        <w:rPr/>
        <w:t>图片素材</w:t>
      </w:r>
      <w:r>
        <w:rPr>
          <w:rFonts w:ascii="Times New Roman" w:hAnsi="Times New Roman" w:cs="Times New Roman" w:eastAsia="Times New Roman" w:hint="default"/>
        </w:rPr>
        <w:t>”</w:t>
      </w:r>
      <w:r>
        <w:rPr/>
        <w:t>不存在减值。</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 资产减值准备" w:id="272"/>
      <w:bookmarkEnd w:id="272"/>
      <w:r>
        <w:rPr>
          <w:b w:val="0"/>
          <w:bCs w:val="0"/>
        </w:rPr>
      </w:r>
      <w:r>
        <w:rPr>
          <w:rFonts w:ascii="Times New Roman" w:hAnsi="Times New Roman" w:cs="Times New Roman" w:eastAsia="Times New Roman" w:hint="default"/>
        </w:rPr>
        <w:t>19</w:t>
      </w:r>
      <w:r>
        <w:rPr/>
        <w:t>、</w:t>
      </w:r>
      <w:r>
        <w:rPr>
          <w:spacing w:val="-2"/>
        </w:rPr>
        <w:t> </w:t>
      </w:r>
      <w:r>
        <w:rPr/>
        <w:t>资产减值准备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560"/>
        <w:gridCol w:w="1560"/>
        <w:gridCol w:w="1701"/>
        <w:gridCol w:w="1462"/>
      </w:tblGrid>
      <w:tr>
        <w:trPr>
          <w:trHeight w:val="342" w:hRule="exact"/>
        </w:trPr>
        <w:tc>
          <w:tcPr>
            <w:tcW w:w="2410" w:type="dxa"/>
            <w:vMerge w:val="restart"/>
            <w:tcBorders>
              <w:top w:val="single" w:sz="4" w:space="0" w:color="000000"/>
              <w:left w:val="single" w:sz="4" w:space="0" w:color="000000"/>
              <w:right w:val="single" w:sz="4" w:space="0" w:color="000000"/>
            </w:tcBorders>
          </w:tcPr>
          <w:p>
            <w:pPr>
              <w:pStyle w:val="TableParagraph"/>
              <w:tabs>
                <w:tab w:pos="462"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vMerge w:val="restart"/>
            <w:tcBorders>
              <w:top w:val="single" w:sz="4" w:space="0" w:color="000000"/>
              <w:left w:val="single" w:sz="4" w:space="0" w:color="000000"/>
              <w:right w:val="single" w:sz="4" w:space="0" w:color="000000"/>
            </w:tcBorders>
          </w:tcPr>
          <w:p>
            <w:pPr>
              <w:pStyle w:val="TableParagraph"/>
              <w:spacing w:line="271"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r>
      <w:tr>
        <w:trPr>
          <w:trHeight w:val="342" w:hRule="exact"/>
        </w:trPr>
        <w:tc>
          <w:tcPr>
            <w:tcW w:w="241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pacing w:val="-1"/>
                <w:sz w:val="21"/>
              </w:rPr>
              <w:t>15,963,684.14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14,863,838.22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867,500.00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pacing w:val="-1"/>
                <w:sz w:val="21"/>
              </w:rPr>
              <w:t>16,831,184.14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14,863,838.22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23"/>
          <w:szCs w:val="23"/>
        </w:rPr>
      </w:pPr>
    </w:p>
    <w:tbl>
      <w:tblPr>
        <w:tblW w:w="0" w:type="auto"/>
        <w:jc w:val="left"/>
        <w:tblInd w:w="149" w:type="dxa"/>
        <w:tblLayout w:type="fixed"/>
        <w:tblCellMar>
          <w:top w:w="0" w:type="dxa"/>
          <w:left w:w="0" w:type="dxa"/>
          <w:bottom w:w="0" w:type="dxa"/>
          <w:right w:w="0" w:type="dxa"/>
        </w:tblCellMar>
        <w:tblLook w:val="01E0"/>
      </w:tblPr>
      <w:tblGrid>
        <w:gridCol w:w="2410"/>
        <w:gridCol w:w="1562"/>
        <w:gridCol w:w="1561"/>
        <w:gridCol w:w="1691"/>
        <w:gridCol w:w="1469"/>
      </w:tblGrid>
      <w:tr>
        <w:trPr>
          <w:trHeight w:val="342" w:hRule="exact"/>
        </w:trPr>
        <w:tc>
          <w:tcPr>
            <w:tcW w:w="2410" w:type="dxa"/>
            <w:vMerge w:val="restart"/>
            <w:tcBorders>
              <w:top w:val="single" w:sz="4" w:space="0" w:color="000000"/>
              <w:left w:val="single" w:sz="4" w:space="0" w:color="000000"/>
              <w:right w:val="single" w:sz="4" w:space="0" w:color="000000"/>
            </w:tcBorders>
          </w:tcPr>
          <w:p>
            <w:pPr>
              <w:pStyle w:val="TableParagraph"/>
              <w:tabs>
                <w:tab w:pos="462"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69" w:type="dxa"/>
            <w:vMerge w:val="restart"/>
            <w:tcBorders>
              <w:top w:val="single" w:sz="4" w:space="0" w:color="000000"/>
              <w:left w:val="single" w:sz="4" w:space="0" w:color="000000"/>
              <w:right w:val="single" w:sz="4" w:space="0" w:color="000000"/>
            </w:tcBorders>
          </w:tcPr>
          <w:p>
            <w:pPr>
              <w:pStyle w:val="TableParagraph"/>
              <w:spacing w:line="271" w:lineRule="exact"/>
              <w:ind w:left="30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2410"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26" w:right="0"/>
              <w:jc w:val="left"/>
              <w:rPr>
                <w:rFonts w:ascii="宋体" w:hAnsi="宋体" w:cs="宋体" w:eastAsia="宋体" w:hint="default"/>
                <w:sz w:val="21"/>
                <w:szCs w:val="21"/>
              </w:rPr>
            </w:pPr>
            <w:r>
              <w:rPr>
                <w:rFonts w:ascii="宋体" w:hAnsi="宋体" w:cs="宋体" w:eastAsia="宋体" w:hint="default"/>
                <w:sz w:val="21"/>
                <w:szCs w:val="21"/>
              </w:rPr>
              <w:t>核销</w:t>
            </w:r>
            <w:r>
              <w:rPr>
                <w:rFonts w:ascii="Times New Roman" w:hAnsi="Times New Roman" w:cs="Times New Roman" w:eastAsia="Times New Roman" w:hint="default"/>
                <w:sz w:val="21"/>
                <w:szCs w:val="21"/>
              </w:rPr>
              <w:t>/</w:t>
            </w:r>
            <w:r>
              <w:rPr>
                <w:rFonts w:ascii="宋体" w:hAnsi="宋体" w:cs="宋体" w:eastAsia="宋体" w:hint="default"/>
                <w:sz w:val="21"/>
                <w:szCs w:val="21"/>
              </w:rPr>
              <w:t>转销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38"/>
              <w:jc w:val="right"/>
              <w:rPr>
                <w:rFonts w:ascii="宋体" w:hAnsi="宋体" w:cs="宋体" w:eastAsia="宋体" w:hint="default"/>
                <w:sz w:val="21"/>
                <w:szCs w:val="21"/>
              </w:rPr>
            </w:pPr>
            <w:r>
              <w:rPr>
                <w:rFonts w:ascii="宋体" w:hAnsi="宋体" w:cs="宋体" w:eastAsia="宋体" w:hint="default"/>
                <w:sz w:val="21"/>
                <w:szCs w:val="21"/>
              </w:rPr>
              <w:t>外币报表折算差</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09" w:right="0"/>
              <w:jc w:val="left"/>
              <w:rPr>
                <w:rFonts w:ascii="宋体" w:hAnsi="宋体" w:cs="宋体" w:eastAsia="宋体" w:hint="default"/>
                <w:sz w:val="21"/>
                <w:szCs w:val="21"/>
              </w:rPr>
            </w:pPr>
            <w:r>
              <w:rPr>
                <w:rFonts w:ascii="宋体" w:hAnsi="宋体" w:cs="宋体" w:eastAsia="宋体" w:hint="default"/>
                <w:sz w:val="21"/>
                <w:szCs w:val="21"/>
              </w:rPr>
              <w:t>合并范围变动</w:t>
            </w:r>
          </w:p>
        </w:tc>
        <w:tc>
          <w:tcPr>
            <w:tcW w:w="1469" w:type="dxa"/>
            <w:vMerge/>
            <w:tcBorders>
              <w:left w:val="single" w:sz="4" w:space="0" w:color="000000"/>
              <w:bottom w:val="single" w:sz="4" w:space="0" w:color="000000"/>
              <w:right w:val="single" w:sz="4" w:space="0" w:color="000000"/>
            </w:tcBorders>
          </w:tcPr>
          <w:p>
            <w:pP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3,774,984.38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103,696.55</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8,678,140.54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18,270,700.89</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867,500.00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3,774,984.38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103,696.55</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9,545,640.54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18,270,700.89</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0、短期借款" w:id="273"/>
      <w:bookmarkEnd w:id="273"/>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借款分类" w:id="274"/>
      <w:bookmarkEnd w:id="27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127,629,116.17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157,629,116.17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22,000,000.00</w:t>
            </w:r>
          </w:p>
        </w:tc>
      </w:tr>
    </w:tbl>
    <w:p>
      <w:pPr>
        <w:pStyle w:val="BodyText"/>
        <w:spacing w:line="240" w:lineRule="auto" w:before="51"/>
        <w:ind w:left="154" w:right="0"/>
        <w:jc w:val="left"/>
      </w:pPr>
      <w:r>
        <w:rPr/>
        <w:t>短期借款分类的说明：</w:t>
      </w:r>
    </w:p>
    <w:p>
      <w:pPr>
        <w:pStyle w:val="Heading4"/>
        <w:spacing w:line="240" w:lineRule="auto" w:before="89"/>
        <w:ind w:left="574" w:right="0"/>
        <w:jc w:val="left"/>
      </w:pPr>
      <w:r>
        <w:rPr/>
        <w:t>注：保证借款系本公司与子公司之间担保，详见附注十二、</w:t>
      </w:r>
      <w:r>
        <w:rPr>
          <w:rFonts w:ascii="Times New Roman" w:hAnsi="Times New Roman" w:cs="Times New Roman" w:eastAsia="Times New Roman" w:hint="default"/>
        </w:rPr>
        <w:t>5</w:t>
      </w:r>
      <w:r>
        <w:rPr/>
        <w:t>。</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bookmarkStart w:name="21、应付账款" w:id="275"/>
      <w:bookmarkEnd w:id="275"/>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167,616,359.79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147,156,691.70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15,463,901.24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15,420,182.87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1,995,682.13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359,170.71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173,494.15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1,339,313.80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185,249,437.31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164,275,359.08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应付账款" w:id="277"/>
      <w:bookmarkEnd w:id="27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7,264,057.73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888,987.79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680,419.00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278,537.74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9,892,752.26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预收款项" w:id="278"/>
      <w:bookmarkEnd w:id="278"/>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79"/>
      <w:bookmarkEnd w:id="27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85,619,010.67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96,344,777.28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16,597,228.90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4,833,798.35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1,497,658.71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633,001.51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738,467.12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1,020,769.98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104,452,365.40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102,832,347.12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预收款项"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1,267,924.49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728,249.00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未交付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1,996,173.49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3、应付职工薪酬" w:id="281"/>
      <w:bookmarkEnd w:id="281"/>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13,103,393.09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107,785,941.89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108,562,232.42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12,327,102.56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712,629.17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10,783,437.84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11,155,513.15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340,553.86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13,816,022.26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118,604,379.73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119,752,745.57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12,667,656.42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12,459,822.42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91,477,512.20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91,874,858.98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12,062,475.64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3,708,039.87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3,708,039.87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346,205.33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6,107,320.13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6,291,687.42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161,838.04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308,299.59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5,456,089.43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5,617,952.62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146,436.40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224,592.35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233,381.77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24,756.01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426,638.35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297,365.34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6,472,056.16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6,666,632.62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102,788.88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21,013.53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21,013.53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13,103,393.09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107,785,941.89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108,562,232.42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12,327,102.56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686,925.25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10,391,192.52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10,749,617.09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328,500.68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25,703.92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392,245.32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405,896.06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12,053.18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712,629.17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10,783,437.84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11,155,513.15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340,553.86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应交税费" w:id="285"/>
      <w:bookmarkEnd w:id="285"/>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22,229,372.32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19,243,931.31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39,056,378.27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47,552,825.56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746,980.26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539,588.71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512,279.10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1,161,758.96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1,723,321.67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358,079.41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836,098.28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46,283.01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298,140.32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64,672,694.04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69,637,790.17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应付利息" w:id="286"/>
      <w:bookmarkEnd w:id="286"/>
      <w:r>
        <w:rPr>
          <w:b w:val="0"/>
          <w:bCs w:val="0"/>
        </w:rPr>
      </w:r>
      <w:r>
        <w:rPr>
          <w:rFonts w:ascii="Times New Roman" w:hAnsi="Times New Roman" w:cs="Times New Roman" w:eastAsia="Times New Roman" w:hint="default"/>
        </w:rPr>
        <w:t>25</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2,165,086.57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1,580,273.72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304,969.42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373,988.79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2,470,055.99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1,954,262.51</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6、应付股利" w:id="287"/>
      <w:bookmarkEnd w:id="287"/>
      <w:r>
        <w:rPr>
          <w:b w:val="0"/>
          <w:bCs w:val="0"/>
        </w:rPr>
      </w:r>
      <w:r>
        <w:rPr>
          <w:rFonts w:ascii="Times New Roman" w:hAnsi="Times New Roman" w:cs="Times New Roman" w:eastAsia="Times New Roman" w:hint="default"/>
        </w:rPr>
        <w:t>26</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吉安市正鼎投资管理有限公司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7,009,468.42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7,009,468.42</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7、其他应付款" w:id="288"/>
      <w:bookmarkEnd w:id="288"/>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89"/>
      <w:bookmarkEnd w:id="28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待付费用款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6,965,688.87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8,528,438.32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13,997,219.74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96,306,027.55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20,962,908.61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104,834,465.87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其他应付款" w:id="290"/>
      <w:bookmarkEnd w:id="29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一年内到期的非流动负债" w:id="291"/>
      <w:bookmarkEnd w:id="291"/>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61,096,891.45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46,322,000.00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年内应支付的上海卓越形象广告传播 有限公司股权转让款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22,260,000.00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年内应支付的湖北司马彦文化科技有 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61,440,000.00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年内应支付的广东易教优培教育科技 有限公司股权转让款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188,066,891.45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130,022,000.00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长期借款" w:id="292"/>
      <w:bookmarkEnd w:id="292"/>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长期借款分类" w:id="293"/>
      <w:bookmarkEnd w:id="29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56,396,891.45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99,785,127.29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494,363,582.19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182,078,520.00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-61,096,891.45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489,663,582.19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235,541,647.29</w:t>
            </w:r>
          </w:p>
        </w:tc>
      </w:tr>
    </w:tbl>
    <w:p>
      <w:pPr>
        <w:pStyle w:val="BodyText"/>
        <w:spacing w:line="240" w:lineRule="auto" w:before="51"/>
        <w:ind w:left="154" w:right="0"/>
        <w:jc w:val="left"/>
      </w:pPr>
      <w:r>
        <w:rPr/>
        <w:t>长期借款分类的说明：</w:t>
      </w:r>
    </w:p>
    <w:p>
      <w:pPr>
        <w:pStyle w:val="Heading4"/>
        <w:spacing w:line="256" w:lineRule="auto" w:before="90"/>
        <w:ind w:right="1129" w:firstLine="420"/>
        <w:jc w:val="both"/>
      </w:pPr>
      <w:r>
        <w:rPr>
          <w:spacing w:val="8"/>
        </w:rPr>
        <w:t>注</w:t>
      </w:r>
      <w:r>
        <w:rPr>
          <w:rFonts w:ascii="Times New Roman" w:hAnsi="Times New Roman" w:cs="Times New Roman" w:eastAsia="Times New Roman" w:hint="default"/>
          <w:spacing w:val="8"/>
        </w:rPr>
        <w:t>1</w:t>
      </w:r>
      <w:r>
        <w:rPr>
          <w:spacing w:val="8"/>
        </w:rPr>
        <w:t>：质押借款为子公司视觉中国香港有限公司从银行取得长期借款，以其持有的</w:t>
      </w:r>
      <w:r>
        <w:rPr>
          <w:rFonts w:ascii="Times New Roman" w:hAnsi="Times New Roman" w:cs="Times New Roman" w:eastAsia="Times New Roman" w:hint="default"/>
          <w:spacing w:val="8"/>
        </w:rPr>
        <w:t>DataTool</w:t>
      </w:r>
      <w:r>
        <w:rPr>
          <w:rFonts w:ascii="Times New Roman" w:hAnsi="Times New Roman" w:cs="Times New Roman" w:eastAsia="Times New Roman" w:hint="default"/>
          <w:spacing w:val="43"/>
        </w:rPr>
        <w:t> </w:t>
      </w:r>
      <w:r>
        <w:rPr>
          <w:rFonts w:ascii="Times New Roman" w:hAnsi="Times New Roman" w:cs="Times New Roman" w:eastAsia="Times New Roman" w:hint="default"/>
        </w:rPr>
        <w:t>China</w:t>
      </w:r>
      <w:r>
        <w:rPr>
          <w:rFonts w:ascii="Times New Roman" w:hAnsi="Times New Roman" w:cs="Times New Roman" w:eastAsia="Times New Roman" w:hint="default"/>
        </w:rPr>
        <w:t> Limited73%</w:t>
      </w:r>
      <w:r>
        <w:rPr/>
        <w:t>股权、</w:t>
      </w:r>
      <w:r>
        <w:rPr>
          <w:rFonts w:ascii="Times New Roman" w:hAnsi="Times New Roman" w:cs="Times New Roman" w:eastAsia="Times New Roman" w:hint="default"/>
        </w:rPr>
        <w:t>DataTool HongKong Limited73%</w:t>
      </w:r>
      <w:r>
        <w:rPr/>
        <w:t>股权、</w:t>
      </w:r>
      <w:r>
        <w:rPr>
          <w:rFonts w:ascii="Times New Roman" w:hAnsi="Times New Roman" w:cs="Times New Roman" w:eastAsia="Times New Roman" w:hint="default"/>
        </w:rPr>
        <w:t>ESOON China</w:t>
      </w:r>
      <w:r>
        <w:rPr>
          <w:rFonts w:ascii="Times New Roman" w:hAnsi="Times New Roman" w:cs="Times New Roman" w:eastAsia="Times New Roman" w:hint="default"/>
          <w:spacing w:val="-21"/>
        </w:rPr>
        <w:t> </w:t>
      </w:r>
      <w:r>
        <w:rPr>
          <w:rFonts w:ascii="Times New Roman" w:hAnsi="Times New Roman" w:cs="Times New Roman" w:eastAsia="Times New Roman" w:hint="default"/>
        </w:rPr>
        <w:t>Limited73%</w:t>
      </w:r>
      <w:r>
        <w:rPr/>
        <w:t>的股权和本公司之子公 司常州远东文化产业有限公司持有的亿迅信息技术有限公司</w:t>
      </w:r>
      <w:r>
        <w:rPr>
          <w:rFonts w:ascii="Times New Roman" w:hAnsi="Times New Roman" w:cs="Times New Roman" w:eastAsia="Times New Roman" w:hint="default"/>
        </w:rPr>
        <w:t>73%</w:t>
      </w:r>
      <w:r>
        <w:rPr/>
        <w:t>股权、宝东信息技术有限公司</w:t>
      </w:r>
      <w:r>
        <w:rPr>
          <w:rFonts w:ascii="Times New Roman" w:hAnsi="Times New Roman" w:cs="Times New Roman" w:eastAsia="Times New Roman" w:hint="default"/>
        </w:rPr>
        <w:t>73%</w:t>
      </w:r>
      <w:r>
        <w:rPr/>
        <w:t>的股权</w:t>
      </w:r>
      <w:r>
        <w:rPr>
          <w:spacing w:val="-64"/>
        </w:rPr>
        <w:t> </w:t>
      </w:r>
      <w:r>
        <w:rPr/>
        <w:t>为上述借款提供质押，同时本公司为该借款提供担保；</w:t>
      </w:r>
    </w:p>
    <w:p>
      <w:pPr>
        <w:pStyle w:val="Heading4"/>
        <w:spacing w:line="256" w:lineRule="auto" w:before="22"/>
        <w:ind w:left="573" w:right="1513"/>
        <w:jc w:val="left"/>
      </w:pPr>
      <w:r>
        <w:rPr/>
        <w:t>本公司以定期存单</w:t>
      </w:r>
      <w:r>
        <w:rPr>
          <w:rFonts w:ascii="Times New Roman" w:hAnsi="Times New Roman" w:cs="Times New Roman" w:eastAsia="Times New Roman" w:hint="default"/>
        </w:rPr>
        <w:t>1.8</w:t>
      </w:r>
      <w:r>
        <w:rPr/>
        <w:t>亿元作为质押物取得等额质押借款。 注</w:t>
      </w:r>
      <w:r>
        <w:rPr>
          <w:rFonts w:ascii="Times New Roman" w:hAnsi="Times New Roman" w:cs="Times New Roman" w:eastAsia="Times New Roman" w:hint="default"/>
        </w:rPr>
        <w:t>2</w:t>
      </w:r>
      <w:r>
        <w:rPr/>
        <w:t>：保证借款为本公司为子公司提供连带保证责任从银行取得的长期借款，详见附注十二、</w:t>
      </w:r>
      <w:r>
        <w:rPr>
          <w:rFonts w:ascii="Times New Roman" w:hAnsi="Times New Roman" w:cs="Times New Roman" w:eastAsia="Times New Roman" w:hint="default"/>
        </w:rPr>
        <w:t>5</w:t>
      </w:r>
      <w:r>
        <w:rPr/>
        <w:t>。</w:t>
      </w:r>
    </w:p>
    <w:p>
      <w:pPr>
        <w:pStyle w:val="BodyText"/>
        <w:spacing w:line="240" w:lineRule="auto" w:before="71"/>
        <w:ind w:left="154" w:right="0"/>
        <w:jc w:val="left"/>
      </w:pPr>
      <w:r>
        <w:rPr/>
        <w:t>其他说明，包括利率区间：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0、长期应付款" w:id="294"/>
      <w:bookmarkEnd w:id="294"/>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295"/>
      <w:bookmarkEnd w:id="29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Getty Images SEA Holding</w:t>
            </w:r>
            <w:r>
              <w:rPr>
                <w:rFonts w:ascii="Times New Roman"/>
                <w:spacing w:val="-19"/>
                <w:sz w:val="18"/>
              </w:rPr>
              <w:t> </w:t>
            </w:r>
            <w:r>
              <w:rPr>
                <w:rFonts w:ascii="Times New Roman"/>
                <w:sz w:val="18"/>
              </w:rPr>
              <w:t>Co.,Limite</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156,820,800.00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166,488,000.00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156,820,800.00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166,488,000.00</w:t>
            </w:r>
          </w:p>
        </w:tc>
      </w:tr>
    </w:tbl>
    <w:p>
      <w:pPr>
        <w:pStyle w:val="BodyText"/>
        <w:spacing w:line="240" w:lineRule="auto" w:before="51"/>
        <w:ind w:left="154" w:right="0"/>
        <w:jc w:val="left"/>
      </w:pPr>
      <w:r>
        <w:rPr/>
        <w:t>其他说明：</w:t>
      </w:r>
    </w:p>
    <w:p>
      <w:pPr>
        <w:pStyle w:val="Heading4"/>
        <w:spacing w:line="256" w:lineRule="auto" w:before="89"/>
        <w:ind w:left="154" w:right="1126" w:firstLine="420"/>
        <w:jc w:val="left"/>
      </w:pPr>
      <w:r>
        <w:rPr/>
        <w:t>注：本年度视觉中国集团控股有限公司与</w:t>
      </w:r>
      <w:r>
        <w:rPr>
          <w:rFonts w:ascii="Times New Roman" w:hAnsi="Times New Roman" w:cs="Times New Roman" w:eastAsia="Times New Roman" w:hint="default"/>
        </w:rPr>
        <w:t>Getty</w:t>
      </w:r>
      <w:r>
        <w:rPr>
          <w:rFonts w:ascii="Times New Roman" w:hAnsi="Times New Roman" w:cs="Times New Roman" w:eastAsia="Times New Roman" w:hint="default"/>
          <w:spacing w:val="-15"/>
        </w:rPr>
        <w:t> </w:t>
      </w:r>
      <w:r>
        <w:rPr>
          <w:rFonts w:ascii="Times New Roman" w:hAnsi="Times New Roman" w:cs="Times New Roman" w:eastAsia="Times New Roman" w:hint="default"/>
        </w:rPr>
        <w:t>Images</w:t>
      </w:r>
      <w:r>
        <w:rPr>
          <w:rFonts w:ascii="Times New Roman" w:hAnsi="Times New Roman" w:cs="Times New Roman" w:eastAsia="Times New Roman" w:hint="default"/>
          <w:spacing w:val="-14"/>
        </w:rPr>
        <w:t> </w:t>
      </w:r>
      <w:r>
        <w:rPr>
          <w:rFonts w:ascii="Times New Roman" w:hAnsi="Times New Roman" w:cs="Times New Roman" w:eastAsia="Times New Roman" w:hint="default"/>
        </w:rPr>
        <w:t>SEA</w:t>
      </w:r>
      <w:r>
        <w:rPr>
          <w:rFonts w:ascii="Times New Roman" w:hAnsi="Times New Roman" w:cs="Times New Roman" w:eastAsia="Times New Roman" w:hint="default"/>
          <w:spacing w:val="-15"/>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Co.,Limited</w:t>
      </w:r>
      <w:r>
        <w:rPr/>
        <w:t>签订《借款协议》，自 </w:t>
      </w:r>
      <w:r>
        <w:rPr>
          <w:rFonts w:ascii="Times New Roman" w:hAnsi="Times New Roman" w:cs="Times New Roman" w:eastAsia="Times New Roman" w:hint="default"/>
        </w:rPr>
        <w:t>Getty Images SEA Holding</w:t>
      </w:r>
      <w:r>
        <w:rPr>
          <w:rFonts w:ascii="Times New Roman" w:hAnsi="Times New Roman" w:cs="Times New Roman" w:eastAsia="Times New Roman" w:hint="default"/>
          <w:spacing w:val="-6"/>
        </w:rPr>
        <w:t> </w:t>
      </w:r>
      <w:r>
        <w:rPr>
          <w:rFonts w:ascii="Times New Roman" w:hAnsi="Times New Roman" w:cs="Times New Roman" w:eastAsia="Times New Roman" w:hint="default"/>
        </w:rPr>
        <w:t>Co.,Limited</w:t>
      </w:r>
      <w:r>
        <w:rPr/>
        <w:t>取得借款</w:t>
      </w:r>
      <w:r>
        <w:rPr>
          <w:rFonts w:ascii="Times New Roman" w:hAnsi="Times New Roman" w:cs="Times New Roman" w:eastAsia="Times New Roman" w:hint="default"/>
        </w:rPr>
        <w:t>2,400</w:t>
      </w:r>
      <w:r>
        <w:rPr/>
        <w:t>万美元，年利率</w:t>
      </w:r>
      <w:r>
        <w:rPr>
          <w:rFonts w:ascii="Times New Roman" w:hAnsi="Times New Roman" w:cs="Times New Roman" w:eastAsia="Times New Roman" w:hint="default"/>
        </w:rPr>
        <w:t>2.5%</w:t>
      </w:r>
      <w:r>
        <w:rPr/>
        <w:t>。</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31、递延收益" w:id="296"/>
      <w:bookmarkEnd w:id="296"/>
      <w:r>
        <w:rPr>
          <w:b w:val="0"/>
          <w:bCs w:val="0"/>
        </w:rPr>
      </w:r>
      <w:r>
        <w:rPr>
          <w:rFonts w:ascii="Times New Roman" w:hAnsi="Times New Roman" w:cs="Times New Roman" w:eastAsia="Times New Roman" w:hint="default"/>
        </w:rPr>
        <w:t>31</w:t>
      </w:r>
      <w:r>
        <w:rPr/>
        <w:t>、递延收益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公共旅游智 慧平台项目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中国传统文 化设计素材 公共服务平 台建设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互联网图片 深度标引及 侵权追踪技 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其他非流动负债" w:id="297"/>
      <w:bookmarkEnd w:id="297"/>
      <w:r>
        <w:rPr>
          <w:b w:val="0"/>
          <w:bCs w:val="0"/>
        </w:rPr>
      </w:r>
      <w:r>
        <w:rPr>
          <w:rFonts w:ascii="Times New Roman" w:hAnsi="Times New Roman" w:cs="Times New Roman" w:eastAsia="Times New Roman" w:hint="default"/>
        </w:rPr>
        <w:t>32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236,670,596.66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252,875,423.61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减：一年内到期的其他非流动负债（附 注七、</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109,700,596.66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169,175,423.61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3、股本" w:id="298"/>
      <w:bookmarkEnd w:id="298"/>
      <w:r>
        <w:rPr>
          <w:b w:val="0"/>
          <w:bCs w:val="0"/>
        </w:rPr>
      </w:r>
      <w:r>
        <w:rPr>
          <w:rFonts w:ascii="Times New Roman" w:hAnsi="Times New Roman" w:cs="Times New Roman" w:eastAsia="Times New Roman" w:hint="default"/>
        </w:rPr>
        <w:t>33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73,892,895.00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73,892,895.00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资本公积" w:id="299"/>
      <w:bookmarkEnd w:id="299"/>
      <w:r>
        <w:rPr>
          <w:b w:val="0"/>
          <w:bCs w:val="0"/>
        </w:rPr>
      </w:r>
      <w:r>
        <w:rPr>
          <w:rFonts w:ascii="Times New Roman" w:hAnsi="Times New Roman" w:cs="Times New Roman" w:eastAsia="Times New Roman" w:hint="default"/>
        </w:rPr>
        <w:t>34</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594,971,082.45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594,971,082.45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反向购买模拟发行股份 调整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1,005,383,192.86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1,005,383,192.86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1,600,354,275.31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1,600,354,275.31</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5、其他综合收益" w:id="300"/>
      <w:bookmarkEnd w:id="300"/>
      <w:r>
        <w:rPr>
          <w:b w:val="0"/>
          <w:bCs w:val="0"/>
        </w:rPr>
      </w:r>
      <w:r>
        <w:rPr>
          <w:rFonts w:ascii="Times New Roman" w:hAnsi="Times New Roman" w:cs="Times New Roman" w:eastAsia="Times New Roman" w:hint="default"/>
        </w:rPr>
        <w:t>35</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2,885,543.36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-15,905,926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-15,100,016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-805,909.88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-12,214,4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73.17</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53,535.75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-1,161,06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5.07</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2,832,007.61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-14,691,325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-13,885,415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-805,909.88</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-11,053,4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08.10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2,885,543.36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-15,905,926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-15,100,016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-805,909.88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-12,214,4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8"/>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Times New Roman" w:hAnsi="Times New Roman" w:cs="Times New Roman" w:eastAsia="Times New Roman" w:hint="default"/>
                <w:sz w:val="18"/>
                <w:szCs w:val="18"/>
              </w:rPr>
            </w:pPr>
            <w:r>
              <w:rPr>
                <w:rFonts w:ascii="Times New Roman"/>
                <w:sz w:val="18"/>
              </w:rPr>
              <w:t>73.17</w:t>
            </w: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盈余公积" w:id="301"/>
      <w:bookmarkEnd w:id="301"/>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8,443,162.85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8,943,162.85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8,443,162.85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8,943,162.85</w:t>
            </w:r>
          </w:p>
        </w:tc>
      </w:tr>
    </w:tbl>
    <w:p>
      <w:pPr>
        <w:pStyle w:val="BodyText"/>
        <w:spacing w:line="240" w:lineRule="auto" w:before="51"/>
        <w:ind w:left="154"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7、未分配利润" w:id="302"/>
      <w:bookmarkEnd w:id="302"/>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619,145,418.60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404,486,203.05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619,145,418.60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404,486,203.05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290,820,917.16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214,659,215.55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8,443,162.85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901,523,172.91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619,145,418.60</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8、营业收入和营业成本" w:id="303"/>
      <w:bookmarkEnd w:id="303"/>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811,193,561.84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275,059,279.27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732,391,181.74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301,328,694.50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3,376,970.87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3,045,889.98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3,105,823.20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3,689,493.13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814,570,532.71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278,105,169.25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735,497,004.94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305,018,187.63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9、税金及附加" w:id="304"/>
      <w:bookmarkEnd w:id="304"/>
      <w:r>
        <w:rPr>
          <w:b w:val="0"/>
          <w:bCs w:val="0"/>
        </w:rPr>
      </w:r>
      <w:r>
        <w:rPr>
          <w:rFonts w:ascii="Times New Roman" w:hAnsi="Times New Roman" w:cs="Times New Roman" w:eastAsia="Times New Roman" w:hint="default"/>
        </w:rPr>
        <w:t>39</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1,756,804.01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2,208,748.73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1,264,753.71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1,599,638.04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2,097,406.30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135,978.56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120,597.02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566,314.71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908,003.26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5,685,278.73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4,972,965.61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销售费用" w:id="305"/>
      <w:bookmarkEnd w:id="305"/>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45,308,473.47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55,668,242.46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2,358,005.33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715,237.17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2,572,479.29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5,549,305.40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790,930.84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1,270,323.80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20,512,211.88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5,448,669.06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71,542,100.81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68,651,777.89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管理费用" w:id="306"/>
      <w:bookmarkEnd w:id="306"/>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50,156,737.38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52,156,078.28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14,517,326.22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12,325,024.75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12,002,777.65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8,628,024.80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32,069,146.61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15,835,236.40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3,576,579.62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6,874,319.66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2,466,794.98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2,896,720.65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10,242,254.52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7,124,573.60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125,031,616.98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105,839,978.14</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2、财务费用" w:id="307"/>
      <w:bookmarkEnd w:id="307"/>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25,999,296.57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11,059,299.20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2,820,932.25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5,567,422.17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3,250,305.47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2,406,336.87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8,800,627.83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15,051,529.98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35,229,297.62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22,949,743.88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资产减值损失" w:id="308"/>
      <w:bookmarkEnd w:id="308"/>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14,863,838.22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11,770,549.48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867,500.00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14,863,838.22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12,638,049.48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公允价值变动收益" w:id="309"/>
      <w:bookmarkEnd w:id="309"/>
      <w:r>
        <w:rPr>
          <w:b w:val="0"/>
          <w:bCs w:val="0"/>
        </w:rPr>
      </w:r>
      <w:r>
        <w:rPr>
          <w:rFonts w:ascii="Times New Roman" w:hAnsi="Times New Roman" w:cs="Times New Roman" w:eastAsia="Times New Roman" w:hint="default"/>
        </w:rPr>
        <w:t>44</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628,740.00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投资收益" w:id="310"/>
      <w:bookmarkEnd w:id="310"/>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60,797,389.05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41,989,529.40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1,264,123.38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6,995,356.76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3,646,900.79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3,904,749.10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电视剧投资分成</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1,271,212.72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65,708,413.22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54,160,847.98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6、 其他收益" w:id="311"/>
      <w:bookmarkEnd w:id="311"/>
      <w:r>
        <w:rPr>
          <w:b w:val="0"/>
          <w:bCs w:val="0"/>
        </w:rPr>
      </w:r>
      <w:r>
        <w:rPr>
          <w:rFonts w:ascii="Times New Roman" w:hAnsi="Times New Roman" w:cs="Times New Roman" w:eastAsia="Times New Roman" w:hint="default"/>
        </w:rPr>
        <w:t>46</w:t>
      </w:r>
      <w:r>
        <w:rPr/>
        <w:t>、</w:t>
      </w:r>
      <w:r>
        <w:rPr>
          <w:spacing w:val="-3"/>
        </w:rPr>
        <w:t> </w:t>
      </w:r>
      <w:r>
        <w:rPr/>
        <w:t>其他收益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left="574" w:right="0"/>
        <w:jc w:val="left"/>
      </w:pPr>
      <w:r>
        <w:rPr/>
        <w:t>（</w:t>
      </w:r>
      <w:r>
        <w:rPr>
          <w:rFonts w:ascii="Times New Roman" w:hAnsi="Times New Roman" w:cs="Times New Roman" w:eastAsia="Times New Roman" w:hint="default"/>
        </w:rPr>
        <w:t>1</w:t>
      </w:r>
      <w:r>
        <w:rPr/>
        <w:t>）其他收益分类情况</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048"/>
        <w:gridCol w:w="1792"/>
        <w:gridCol w:w="1926"/>
        <w:gridCol w:w="1926"/>
      </w:tblGrid>
      <w:tr>
        <w:trPr>
          <w:trHeight w:val="654"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6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9" w:right="11" w:hanging="526"/>
              <w:jc w:val="left"/>
              <w:rPr>
                <w:rFonts w:ascii="宋体" w:hAnsi="宋体" w:cs="宋体" w:eastAsia="宋体" w:hint="default"/>
                <w:sz w:val="21"/>
                <w:szCs w:val="21"/>
              </w:rPr>
            </w:pPr>
            <w:r>
              <w:rPr>
                <w:rFonts w:ascii="宋体" w:hAnsi="宋体" w:cs="宋体" w:eastAsia="宋体" w:hint="default"/>
                <w:sz w:val="21"/>
                <w:szCs w:val="21"/>
              </w:rPr>
              <w:t>计入当期非经常性损 益的金额</w:t>
            </w:r>
          </w:p>
        </w:tc>
      </w:tr>
      <w:tr>
        <w:trPr>
          <w:trHeight w:val="342"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4,360,953.66</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2,015,066.46</w:t>
            </w:r>
          </w:p>
        </w:tc>
      </w:tr>
      <w:tr>
        <w:trPr>
          <w:trHeight w:val="342" w:hRule="exact"/>
        </w:trPr>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4,360,953.66</w:t>
            </w:r>
          </w:p>
        </w:tc>
        <w:tc>
          <w:tcPr>
            <w:tcW w:w="192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2,015,066.46</w:t>
            </w:r>
          </w:p>
        </w:tc>
      </w:tr>
    </w:tbl>
    <w:p>
      <w:pPr>
        <w:pStyle w:val="Heading4"/>
        <w:spacing w:line="276" w:lineRule="exact" w:before="0"/>
        <w:ind w:left="574" w:right="0"/>
        <w:jc w:val="left"/>
      </w:pPr>
      <w:r>
        <w:rPr/>
        <w:t>（</w:t>
      </w:r>
      <w:r>
        <w:rPr>
          <w:rFonts w:ascii="Times New Roman" w:hAnsi="Times New Roman" w:cs="Times New Roman" w:eastAsia="Times New Roman" w:hint="default"/>
        </w:rPr>
        <w:t>2</w:t>
      </w:r>
      <w:r>
        <w:rPr/>
        <w:t>）计入当期损益的政府补助</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401"/>
        <w:gridCol w:w="1985"/>
        <w:gridCol w:w="1703"/>
        <w:gridCol w:w="1594"/>
      </w:tblGrid>
      <w:tr>
        <w:trPr>
          <w:trHeight w:val="6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76" w:right="25" w:hanging="44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 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2,345,887.20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双软补贴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54"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采用深度学习技术的新闻图像自动索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引与分发系统的研发及应用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文化产业专项资金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梅龙镇企业扶持资金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660,000.00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5,066.46</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2"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4,360,953.66</w:t>
            </w:r>
          </w:p>
        </w:tc>
        <w:tc>
          <w:tcPr>
            <w:tcW w:w="170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47、营业外收入" w:id="312"/>
      <w:bookmarkEnd w:id="312"/>
      <w:r>
        <w:rPr>
          <w:b w:val="0"/>
          <w:bCs w:val="0"/>
        </w:rPr>
      </w:r>
      <w:r>
        <w:rPr>
          <w:rFonts w:ascii="Times New Roman" w:hAnsi="Times New Roman" w:cs="Times New Roman" w:eastAsia="Times New Roman" w:hint="default"/>
        </w:rPr>
        <w:t>47</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7,627,664.73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217,195.45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77,818.99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217,195.45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217,195.45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7,714,693.72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217,195.45</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850"/>
        <w:gridCol w:w="1844"/>
        <w:gridCol w:w="1063"/>
        <w:gridCol w:w="851"/>
        <w:gridCol w:w="850"/>
        <w:gridCol w:w="1063"/>
        <w:gridCol w:w="1063"/>
      </w:tblGrid>
      <w:tr>
        <w:trPr>
          <w:trHeight w:val="7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50" w:right="14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49" w:right="148"/>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55" w:right="257"/>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增值税软件 即征即退款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5" w:right="0"/>
              <w:jc w:val="left"/>
              <w:rPr>
                <w:rFonts w:ascii="Times New Roman" w:hAnsi="Times New Roman" w:cs="Times New Roman" w:eastAsia="Times New Roman" w:hint="default"/>
                <w:sz w:val="18"/>
                <w:szCs w:val="18"/>
              </w:rPr>
            </w:pPr>
            <w:r>
              <w:rPr>
                <w:rFonts w:ascii="Times New Roman"/>
                <w:sz w:val="18"/>
              </w:rPr>
              <w:t>3,392,806.73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850"/>
        <w:gridCol w:w="1844"/>
        <w:gridCol w:w="1063"/>
        <w:gridCol w:w="851"/>
        <w:gridCol w:w="850"/>
        <w:gridCol w:w="1063"/>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天津武清区 财政局统计 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74" w:hanging="90"/>
              <w:jc w:val="left"/>
              <w:rPr>
                <w:rFonts w:ascii="宋体" w:hAnsi="宋体" w:cs="宋体" w:eastAsia="宋体" w:hint="default"/>
                <w:sz w:val="18"/>
                <w:szCs w:val="18"/>
              </w:rPr>
            </w:pPr>
            <w:r>
              <w:rPr>
                <w:rFonts w:ascii="宋体" w:hAnsi="宋体" w:cs="宋体" w:eastAsia="宋体" w:hint="default"/>
                <w:sz w:val="18"/>
                <w:szCs w:val="18"/>
              </w:rPr>
              <w:t>天津市武清 区财政局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18"/>
                <w:sz w:val="18"/>
                <w:szCs w:val="18"/>
              </w:rPr>
              <w:t>因从事国家鼓励和扶</w:t>
            </w:r>
            <w:r>
              <w:rPr>
                <w:rFonts w:ascii="宋体" w:hAnsi="宋体" w:cs="宋体" w:eastAsia="宋体" w:hint="default"/>
                <w:sz w:val="18"/>
                <w:szCs w:val="18"/>
              </w:rPr>
              <w:t>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原创插画设 计交易平台 研发结项</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22" w:hanging="83"/>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梅龙镇企业 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8"/>
                <w:sz w:val="18"/>
                <w:szCs w:val="18"/>
              </w:rPr>
              <w:t>因从事国家鼓励和扶</w:t>
            </w:r>
            <w:r>
              <w:rPr>
                <w:rFonts w:ascii="宋体" w:hAnsi="宋体" w:cs="宋体" w:eastAsia="宋体" w:hint="default"/>
                <w:sz w:val="18"/>
                <w:szCs w:val="18"/>
              </w:rPr>
              <w:t>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年稳岗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8"/>
                <w:sz w:val="18"/>
                <w:szCs w:val="18"/>
              </w:rPr>
              <w:t>因从事国家鼓励和扶</w:t>
            </w:r>
            <w:r>
              <w:rPr>
                <w:rFonts w:ascii="宋体" w:hAnsi="宋体" w:cs="宋体" w:eastAsia="宋体" w:hint="default"/>
                <w:sz w:val="18"/>
                <w:szCs w:val="18"/>
              </w:rPr>
              <w:t>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天津市武清 区大良镇企 业服务中心</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hanging="2"/>
              <w:jc w:val="center"/>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z w:val="18"/>
                <w:szCs w:val="18"/>
              </w:rPr>
              <w:t> </w:t>
            </w:r>
            <w:r>
              <w:rPr>
                <w:rFonts w:ascii="宋体" w:hAnsi="宋体" w:cs="宋体" w:eastAsia="宋体" w:hint="default"/>
                <w:spacing w:val="-2"/>
                <w:sz w:val="18"/>
                <w:szCs w:val="18"/>
              </w:rPr>
              <w:t>得的补助（按国家级政</w:t>
            </w:r>
            <w:r>
              <w:rPr>
                <w:rFonts w:ascii="宋体" w:hAnsi="宋体" w:cs="宋体" w:eastAsia="宋体" w:hint="default"/>
                <w:sz w:val="18"/>
                <w:szCs w:val="18"/>
              </w:rPr>
              <w:t> 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企业股改及 上市融资奖 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5"/>
              <w:jc w:val="left"/>
              <w:rPr>
                <w:rFonts w:ascii="宋体" w:hAnsi="宋体" w:cs="宋体" w:eastAsia="宋体" w:hint="default"/>
                <w:sz w:val="18"/>
                <w:szCs w:val="18"/>
              </w:rPr>
            </w:pPr>
            <w:r>
              <w:rPr>
                <w:rFonts w:ascii="宋体" w:hAnsi="宋体" w:cs="宋体" w:eastAsia="宋体" w:hint="default"/>
                <w:spacing w:val="18"/>
                <w:sz w:val="18"/>
                <w:szCs w:val="18"/>
              </w:rPr>
              <w:t>奖励上市而给予的政</w:t>
            </w:r>
            <w:r>
              <w:rPr>
                <w:rFonts w:ascii="宋体" w:hAnsi="宋体" w:cs="宋体" w:eastAsia="宋体" w:hint="default"/>
                <w:sz w:val="18"/>
                <w:szCs w:val="18"/>
              </w:rPr>
              <w:t> 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多媒体内容 版权平台项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及改造等获得的补助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中小企业验 收补助款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8"/>
                <w:sz w:val="18"/>
                <w:szCs w:val="18"/>
              </w:rPr>
              <w:t>因从事国家鼓励和扶</w:t>
            </w:r>
            <w:r>
              <w:rPr>
                <w:rFonts w:ascii="宋体" w:hAnsi="宋体" w:cs="宋体" w:eastAsia="宋体" w:hint="default"/>
                <w:sz w:val="18"/>
                <w:szCs w:val="18"/>
              </w:rPr>
              <w:t>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年开放 性经济专项 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8"/>
                <w:sz w:val="18"/>
                <w:szCs w:val="18"/>
              </w:rPr>
              <w:t>因从事国家鼓励和扶</w:t>
            </w:r>
            <w:r>
              <w:rPr>
                <w:rFonts w:ascii="宋体" w:hAnsi="宋体" w:cs="宋体" w:eastAsia="宋体" w:hint="default"/>
                <w:sz w:val="18"/>
                <w:szCs w:val="18"/>
              </w:rPr>
              <w:t>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7,627,664.73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营业外支出" w:id="313"/>
      <w:bookmarkEnd w:id="313"/>
      <w:r>
        <w:rPr>
          <w:b w:val="0"/>
          <w:bCs w:val="0"/>
        </w:rPr>
      </w:r>
      <w:r>
        <w:rPr>
          <w:rFonts w:ascii="Times New Roman" w:hAnsi="Times New Roman" w:cs="Times New Roman" w:eastAsia="Times New Roman" w:hint="default"/>
        </w:rPr>
        <w:t>48</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199,343.84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19,043.71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199,343.84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292,996.79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292,996.79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492,340.63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1,475,372.37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492,340.63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所得税费用" w:id="314"/>
      <w:bookmarkEnd w:id="314"/>
      <w:r>
        <w:rPr>
          <w:b w:val="0"/>
          <w:bCs w:val="0"/>
        </w:rPr>
      </w:r>
      <w:r>
        <w:rPr>
          <w:rFonts w:ascii="Times New Roman" w:hAnsi="Times New Roman" w:cs="Times New Roman" w:eastAsia="Times New Roman" w:hint="default"/>
        </w:rPr>
        <w:t>49</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15"/>
      <w:bookmarkEnd w:id="3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42,449,521.76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46,183,542.67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-1,737,382.05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-285,944.38</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40,712,139.71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45,897,598.29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16"/>
      <w:bookmarkEnd w:id="3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353,278,712.80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88,319,678.20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-36,832,357.74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-7,304,213.75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-16,815,157.48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4,504,990.07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-6,722,909.60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15,941,548.24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-379,173.74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-264.49</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40,712,139.71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0、其他综合收益" w:id="317"/>
      <w:bookmarkEnd w:id="317"/>
      <w:r>
        <w:rPr>
          <w:b w:val="0"/>
          <w:bCs w:val="0"/>
        </w:rPr>
      </w:r>
      <w:r>
        <w:rPr>
          <w:rFonts w:ascii="Times New Roman" w:hAnsi="Times New Roman" w:cs="Times New Roman" w:eastAsia="Times New Roman" w:hint="default"/>
        </w:rPr>
        <w:t>50</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详见附注（七）</w:t>
      </w:r>
      <w:r>
        <w:rPr>
          <w:rFonts w:ascii="Times New Roman" w:hAnsi="Times New Roman" w:cs="Times New Roman" w:eastAsia="Times New Roman" w:hint="default"/>
        </w:rPr>
        <w:t>35</w:t>
      </w:r>
      <w:r>
        <w:rPr/>
        <w:t>。</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51、 基本每股收益和稀释每股收益的计算过程" w:id="318"/>
      <w:bookmarkEnd w:id="318"/>
      <w:r>
        <w:rPr>
          <w:b w:val="0"/>
          <w:bCs w:val="0"/>
        </w:rPr>
      </w:r>
      <w:r>
        <w:rPr>
          <w:rFonts w:ascii="Times New Roman" w:hAnsi="Times New Roman" w:cs="Times New Roman" w:eastAsia="Times New Roman" w:hint="default"/>
        </w:rPr>
        <w:t>51</w:t>
      </w:r>
      <w:r>
        <w:rPr/>
        <w:t>、</w:t>
      </w:r>
      <w:r>
        <w:rPr>
          <w:spacing w:val="-4"/>
        </w:rPr>
        <w:t> </w:t>
      </w:r>
      <w:r>
        <w:rPr/>
        <w:t>基本每股收益和稀释每股收益的计算过程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left="574" w:right="0"/>
        <w:jc w:val="left"/>
      </w:pPr>
      <w:r>
        <w:rPr/>
        <w:t>（</w:t>
      </w:r>
      <w:r>
        <w:rPr>
          <w:rFonts w:ascii="Times New Roman" w:hAnsi="Times New Roman" w:cs="Times New Roman" w:eastAsia="Times New Roman" w:hint="default"/>
        </w:rPr>
        <w:t>1</w:t>
      </w:r>
      <w:r>
        <w:rPr/>
        <w:t>）基本每股收益</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963"/>
        <w:gridCol w:w="2023"/>
        <w:gridCol w:w="1707"/>
      </w:tblGrid>
      <w:tr>
        <w:trPr>
          <w:trHeight w:val="34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8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归属于母公司普通股股东的合并净利润</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290,820,917.16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214,659,215.55</w:t>
            </w:r>
          </w:p>
        </w:tc>
      </w:tr>
      <w:tr>
        <w:trPr>
          <w:trHeight w:val="34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发行在外普通股的加权平均数</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700,577,436.00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700,577,436.00</w:t>
            </w:r>
          </w:p>
        </w:tc>
      </w:tr>
      <w:tr>
        <w:trPr>
          <w:trHeight w:val="342" w:hRule="exact"/>
        </w:trPr>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0.4151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0.3064</w:t>
            </w:r>
          </w:p>
        </w:tc>
      </w:tr>
    </w:tbl>
    <w:p>
      <w:pPr>
        <w:pStyle w:val="Heading4"/>
        <w:spacing w:line="260" w:lineRule="exact" w:before="0"/>
        <w:ind w:left="574" w:right="0"/>
        <w:jc w:val="left"/>
      </w:pPr>
      <w:r>
        <w:rPr/>
        <w:t>基本每股收益按照归属于本公司普通股股东的当期净利润，除以发行在外普通股的加权平均数计算。</w:t>
      </w:r>
    </w:p>
    <w:p>
      <w:pPr>
        <w:pStyle w:val="Heading4"/>
        <w:spacing w:line="240" w:lineRule="auto" w:before="37"/>
        <w:ind w:left="574" w:right="0"/>
        <w:jc w:val="left"/>
      </w:pPr>
      <w:r>
        <w:rPr/>
        <w:t>发行在外普通股的加权平均数的计算过程如下：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277"/>
        <w:gridCol w:w="1709"/>
        <w:gridCol w:w="1707"/>
      </w:tblGrid>
      <w:tr>
        <w:trPr>
          <w:trHeight w:val="342"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2"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1" w:right="0"/>
              <w:jc w:val="left"/>
              <w:rPr>
                <w:rFonts w:ascii="Times New Roman" w:hAnsi="Times New Roman" w:cs="Times New Roman" w:eastAsia="Times New Roman" w:hint="default"/>
                <w:sz w:val="21"/>
                <w:szCs w:val="21"/>
              </w:rPr>
            </w:pPr>
            <w:r>
              <w:rPr>
                <w:rFonts w:ascii="Times New Roman"/>
                <w:sz w:val="21"/>
              </w:rPr>
              <w:t>700,577,436.00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0" w:right="0"/>
              <w:jc w:val="left"/>
              <w:rPr>
                <w:rFonts w:ascii="Times New Roman" w:hAnsi="Times New Roman" w:cs="Times New Roman" w:eastAsia="Times New Roman" w:hint="default"/>
                <w:sz w:val="21"/>
                <w:szCs w:val="21"/>
              </w:rPr>
            </w:pPr>
            <w:r>
              <w:rPr>
                <w:rFonts w:ascii="Times New Roman"/>
                <w:sz w:val="21"/>
              </w:rPr>
              <w:t>700,577,436.00</w:t>
            </w:r>
          </w:p>
        </w:tc>
      </w:tr>
      <w:tr>
        <w:trPr>
          <w:trHeight w:val="342"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加：本期发行的普通股加权数</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减：本期回购的普通股加权数</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发行在外普通股的加权平均数</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1" w:right="0"/>
              <w:jc w:val="left"/>
              <w:rPr>
                <w:rFonts w:ascii="Times New Roman" w:hAnsi="Times New Roman" w:cs="Times New Roman" w:eastAsia="Times New Roman" w:hint="default"/>
                <w:sz w:val="21"/>
                <w:szCs w:val="21"/>
              </w:rPr>
            </w:pPr>
            <w:r>
              <w:rPr>
                <w:rFonts w:ascii="Times New Roman"/>
                <w:sz w:val="21"/>
              </w:rPr>
              <w:t>700,577,436.00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80" w:right="0"/>
              <w:jc w:val="left"/>
              <w:rPr>
                <w:rFonts w:ascii="Times New Roman" w:hAnsi="Times New Roman" w:cs="Times New Roman" w:eastAsia="Times New Roman" w:hint="default"/>
                <w:sz w:val="21"/>
                <w:szCs w:val="21"/>
              </w:rPr>
            </w:pPr>
            <w:r>
              <w:rPr>
                <w:rFonts w:ascii="Times New Roman"/>
                <w:sz w:val="21"/>
              </w:rPr>
              <w:t>700,577,436.00</w:t>
            </w:r>
          </w:p>
        </w:tc>
      </w:tr>
    </w:tbl>
    <w:p>
      <w:pPr>
        <w:pStyle w:val="Heading4"/>
        <w:spacing w:line="276" w:lineRule="exact" w:before="0"/>
        <w:ind w:left="574" w:right="0"/>
        <w:jc w:val="left"/>
      </w:pPr>
      <w:r>
        <w:rPr/>
        <w:t>（</w:t>
      </w:r>
      <w:r>
        <w:rPr>
          <w:rFonts w:ascii="Times New Roman" w:hAnsi="Times New Roman" w:cs="Times New Roman" w:eastAsia="Times New Roman" w:hint="default"/>
        </w:rPr>
        <w:t>2</w:t>
      </w:r>
      <w:r>
        <w:rPr/>
        <w:t>）稀释每股收益</w:t>
      </w:r>
    </w:p>
    <w:p>
      <w:pPr>
        <w:pStyle w:val="Heading4"/>
        <w:spacing w:line="240" w:lineRule="auto" w:before="21"/>
        <w:ind w:left="574" w:right="0"/>
        <w:jc w:val="left"/>
      </w:pPr>
      <w:r>
        <w:rPr/>
        <w:t>本公司无稀释性潜在普通股。</w:t>
      </w:r>
    </w:p>
    <w:p>
      <w:pPr>
        <w:spacing w:line="240" w:lineRule="auto" w:before="12"/>
        <w:rPr>
          <w:rFonts w:ascii="宋体" w:hAnsi="宋体" w:cs="宋体" w:eastAsia="宋体" w:hint="default"/>
          <w:sz w:val="25"/>
          <w:szCs w:val="25"/>
        </w:rPr>
      </w:pPr>
    </w:p>
    <w:p>
      <w:pPr>
        <w:pStyle w:val="Heading3"/>
        <w:spacing w:line="240" w:lineRule="auto"/>
        <w:ind w:left="154" w:right="0"/>
        <w:jc w:val="left"/>
        <w:rPr>
          <w:b w:val="0"/>
          <w:bCs w:val="0"/>
        </w:rPr>
      </w:pPr>
      <w:bookmarkStart w:name="52、现金流量表项目" w:id="319"/>
      <w:bookmarkEnd w:id="319"/>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0"/>
      <w:bookmarkEnd w:id="32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58,334,391.32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29,276,103.46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2,820,932.25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5,567,422.17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5,060,953.66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2,534,858.00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95,120.00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86,617.27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74,577,397.23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37,865,000.90</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21"/>
      <w:bookmarkEnd w:id="32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58,724,111.94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53,745,826.60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信用证及保函保证金转出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22,248,688.77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93,896,722.82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60,434,008.91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6,827,593.60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941,403.37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292,996.79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1,456,328.66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159,741,425.15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138,826,256.31</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22"/>
      <w:bookmarkEnd w:id="32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投资意向金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4,933,233.03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3,928,114.60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174,933,233.03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184,428,114.60</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支付的其他与投资活动有关的现金" w:id="323"/>
      <w:bookmarkEnd w:id="32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投资意向金及预付投资款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子公司丧失控制权减少现金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507,607.15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482,007,607.15</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24"/>
      <w:bookmarkEnd w:id="32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238,000,000.00</w:t>
            </w:r>
          </w:p>
        </w:tc>
      </w:tr>
    </w:tbl>
    <w:p>
      <w:pPr>
        <w:pStyle w:val="BodyText"/>
        <w:spacing w:line="240" w:lineRule="auto" w:before="51"/>
        <w:ind w:left="154" w:right="0"/>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569.469971pt;width:151.25pt;height:40.9pt;mso-position-horizontal-relative:page;mso-position-vertical-relative:page;z-index:-1031008" coordorigin="4467,11389" coordsize="3025,818">
            <v:group style="position:absolute;left:4478;top:11401;width:2;height:393" coordorigin="4478,11401" coordsize="2,393">
              <v:shape style="position:absolute;left:4478;top:11401;width:2;height:393" coordorigin="4478,11401" coordsize="0,393" path="m4478,11401l4478,11793e" filled="false" stroked="true" strokeweight="1.140pt" strokecolor="#ffffff">
                <v:path arrowok="t"/>
              </v:shape>
            </v:group>
            <v:group style="position:absolute;left:4490;top:11401;width:3002;height:393" coordorigin="4490,11401" coordsize="3002,393">
              <v:shape style="position:absolute;left:4490;top:11401;width:3002;height:393" coordorigin="4490,11401" coordsize="3002,393" path="m4490,11793l7491,11793,7491,11401,4490,11401,4490,11793xe" filled="true" fillcolor="#ffffff" stroked="false">
                <v:path arrowok="t"/>
                <v:fill type="solid"/>
              </v:shape>
            </v:group>
            <v:group style="position:absolute;left:4478;top:11803;width:2;height:393" coordorigin="4478,11803" coordsize="2,393">
              <v:shape style="position:absolute;left:4478;top:11803;width:2;height:393" coordorigin="4478,11803" coordsize="0,393" path="m4478,11803l4478,12195e" filled="false" stroked="true" strokeweight="1.140pt" strokecolor="#ffffff">
                <v:path arrowok="t"/>
              </v:shape>
            </v:group>
            <v:group style="position:absolute;left:4490;top:11803;width:3002;height:393" coordorigin="4490,11803" coordsize="3002,393">
              <v:shape style="position:absolute;left:4490;top:11803;width:3002;height:393" coordorigin="4490,11803" coordsize="3002,393" path="m4490,12195l7491,12195,7491,11803,4490,11803,4490,12195xe" filled="true" fillcolor="#ffffff" stroked="false">
                <v:path arrowok="t"/>
                <v:fill type="solid"/>
              </v:shape>
            </v:group>
            <w10:wrap type="none"/>
          </v:group>
        </w:pict>
      </w:r>
    </w:p>
    <w:p>
      <w:pPr>
        <w:pStyle w:val="Heading3"/>
        <w:spacing w:line="240" w:lineRule="auto" w:before="35"/>
        <w:ind w:right="0"/>
        <w:jc w:val="left"/>
        <w:rPr>
          <w:b w:val="0"/>
          <w:bCs w:val="0"/>
        </w:rPr>
      </w:pPr>
      <w:bookmarkStart w:name="（6）支付的其他与筹资活动有关的现金" w:id="325"/>
      <w:bookmarkEnd w:id="32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归还股东借款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贷款定期存单</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5,100,962.14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268,100,962.14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153,000,000.00</w:t>
            </w:r>
          </w:p>
        </w:tc>
      </w:tr>
    </w:tbl>
    <w:p>
      <w:pPr>
        <w:pStyle w:val="BodyText"/>
        <w:spacing w:line="240" w:lineRule="auto" w:before="51"/>
        <w:ind w:left="15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3、现金流量表补充资料" w:id="326"/>
      <w:bookmarkEnd w:id="326"/>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7"/>
      <w:bookmarkEnd w:id="32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312,566,573.09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230,557,613.35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14,863,838.22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12,638,049.48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3,117,761.10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3,608,688.76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1,286,008.04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1,093,236.08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1,263,239.61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1,531,501.54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199,343.84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9,833.71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628,740.00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31,317,753.62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22,850,211.05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-65,708,413.22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-54,160,847.98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-1,662,425.89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-341,545.70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4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-74,956.16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55,601.32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-8,884,524.16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-14,263,903.71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16,139,718.38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1,843,323.55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-51,677,486.68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29,137,613.80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-3,247,539.91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553,875.67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250,127,629.88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234,484,510.92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629,417,546.25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-65,583,726.46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-183,829,057.66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28"/>
      <w:bookmarkEnd w:id="32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86,645,000.00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其中：联景国际有限公司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86,645,000.00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其中：联景国际有限公司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其中：上海卓越形象广告传播有限公司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22,260,000.00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108,905,000.00</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29"/>
      <w:bookmarkEnd w:id="32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75,628,210.94</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广东视觉无限文化科技有限公司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48,628,210.94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32,130,656.27</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广东视觉无限文化科技有限公司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32,130,656.27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广东视觉无限文化科技有限公司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深圳艾特凡斯智能科技有限公司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43,497,554.67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30"/>
      <w:bookmarkEnd w:id="33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19,530.54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46,131.11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379,985,231.59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445,542,357.48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380,004,762.13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445,588,488.59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所有权或使用权受到限制的资产" w:id="331"/>
      <w:bookmarkEnd w:id="331"/>
      <w:r>
        <w:rPr>
          <w:b w:val="0"/>
          <w:bCs w:val="0"/>
        </w:rPr>
      </w:r>
      <w:r>
        <w:rPr>
          <w:rFonts w:ascii="Times New Roman" w:hAnsi="Times New Roman" w:cs="Times New Roman" w:eastAsia="Times New Roman" w:hint="default"/>
        </w:rPr>
        <w:t>54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10,498,000.00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借款保函质押存单</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190,498,000.00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外币货币性项目" w:id="332"/>
      <w:bookmarkEnd w:id="332"/>
      <w:r>
        <w:rPr>
          <w:b w:val="0"/>
          <w:bCs w:val="0"/>
        </w:rPr>
      </w: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3"/>
      <w:bookmarkEnd w:id="33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119,936,742.53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18,025,712.47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117,783,610.45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209,914.78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1,637,818.09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616,478.04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515,313.99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6,244,950.83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955,733.04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6,244,950.83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7,573,128.19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1,158,998.53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7,573,128.19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48,016,247.17</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4,107,557.16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26,839,599.99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23,782.86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185,561.01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24,888,572.94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20,804,358.12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21,269.37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186,728.05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479,236,473.64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73,342,792.33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479,236,473.64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156,820,800.00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156,820,800.00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34"/>
      <w:bookmarkEnd w:id="33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3"/>
        </w:rPr>
        <w:t> </w:t>
      </w:r>
      <w:r>
        <w:rPr>
          <w:spacing w:val="-63"/>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05"/>
        <w:gridCol w:w="1781"/>
        <w:gridCol w:w="1212"/>
        <w:gridCol w:w="1498"/>
        <w:gridCol w:w="1497"/>
        <w:gridCol w:w="1498"/>
      </w:tblGrid>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04" w:right="434" w:hanging="270"/>
              <w:jc w:val="left"/>
              <w:rPr>
                <w:rFonts w:ascii="宋体" w:hAnsi="宋体" w:cs="宋体" w:eastAsia="宋体" w:hint="default"/>
                <w:sz w:val="18"/>
                <w:szCs w:val="18"/>
              </w:rPr>
            </w:pPr>
            <w:r>
              <w:rPr>
                <w:rFonts w:ascii="宋体" w:hAnsi="宋体" w:cs="宋体" w:eastAsia="宋体" w:hint="default"/>
                <w:sz w:val="18"/>
                <w:szCs w:val="18"/>
              </w:rPr>
              <w:t>境外主要经 营地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41" w:right="59" w:hanging="180"/>
              <w:jc w:val="left"/>
              <w:rPr>
                <w:rFonts w:ascii="宋体" w:hAnsi="宋体" w:cs="宋体" w:eastAsia="宋体" w:hint="default"/>
                <w:sz w:val="18"/>
                <w:szCs w:val="18"/>
              </w:rPr>
            </w:pPr>
            <w:r>
              <w:rPr>
                <w:rFonts w:ascii="宋体" w:hAnsi="宋体" w:cs="宋体" w:eastAsia="宋体" w:hint="default"/>
                <w:sz w:val="18"/>
                <w:szCs w:val="18"/>
              </w:rPr>
              <w:t>记账本位币及 选择依据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93" w:right="23" w:hanging="270"/>
              <w:jc w:val="left"/>
              <w:rPr>
                <w:rFonts w:ascii="宋体" w:hAnsi="宋体" w:cs="宋体" w:eastAsia="宋体" w:hint="default"/>
                <w:sz w:val="18"/>
                <w:szCs w:val="18"/>
              </w:rPr>
            </w:pPr>
            <w:r>
              <w:rPr>
                <w:rFonts w:ascii="宋体" w:hAnsi="宋体" w:cs="宋体" w:eastAsia="宋体" w:hint="default"/>
                <w:sz w:val="18"/>
                <w:szCs w:val="18"/>
              </w:rPr>
              <w:t>记账本位币本期是 否发生变化</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82" w:right="22" w:hanging="360"/>
              <w:jc w:val="left"/>
              <w:rPr>
                <w:rFonts w:ascii="宋体" w:hAnsi="宋体" w:cs="宋体" w:eastAsia="宋体" w:hint="default"/>
                <w:sz w:val="18"/>
                <w:szCs w:val="18"/>
              </w:rPr>
            </w:pPr>
            <w:r>
              <w:rPr>
                <w:rFonts w:ascii="宋体" w:hAnsi="宋体" w:cs="宋体" w:eastAsia="宋体" w:hint="default"/>
                <w:sz w:val="18"/>
                <w:szCs w:val="18"/>
              </w:rPr>
              <w:t>记账本位币发生变 化的原因</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3" w:right="23" w:hanging="180"/>
              <w:jc w:val="left"/>
              <w:rPr>
                <w:rFonts w:ascii="宋体" w:hAnsi="宋体" w:cs="宋体" w:eastAsia="宋体" w:hint="default"/>
                <w:sz w:val="18"/>
                <w:szCs w:val="18"/>
              </w:rPr>
            </w:pPr>
            <w:r>
              <w:rPr>
                <w:rFonts w:ascii="宋体" w:hAnsi="宋体" w:cs="宋体" w:eastAsia="宋体" w:hint="default"/>
                <w:sz w:val="18"/>
                <w:szCs w:val="18"/>
              </w:rPr>
              <w:t>记账本位币发生变 化的会计处理</w:t>
            </w: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4"/>
                <w:sz w:val="18"/>
                <w:szCs w:val="18"/>
              </w:rPr>
              <w:t>视觉中国集团控股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4"/>
                <w:sz w:val="18"/>
                <w:szCs w:val="18"/>
              </w:rPr>
              <w:t>视觉中国香港有限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1"/>
              <w:ind w:left="4" w:right="4"/>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12"/>
                <w:sz w:val="18"/>
              </w:rPr>
              <w:t> </w:t>
            </w:r>
            <w:r>
              <w:rPr>
                <w:rFonts w:ascii="Times New Roman"/>
                <w:sz w:val="18"/>
              </w:rPr>
              <w:t>Hongkong</w:t>
            </w:r>
            <w:r>
              <w:rPr>
                <w:rFonts w:ascii="Times New Roman"/>
                <w:w w:val="99"/>
                <w:sz w:val="18"/>
              </w:rPr>
              <w:t> </w:t>
            </w:r>
            <w:r>
              <w:rPr>
                <w:rFonts w:ascii="Times New Roman"/>
                <w:sz w:val="18"/>
              </w:rPr>
              <w:t>Limited</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tabs>
                <w:tab w:pos="1060" w:val="left" w:leader="none"/>
              </w:tabs>
              <w:spacing w:line="362" w:lineRule="auto" w:before="61"/>
              <w:ind w:left="4" w:right="4"/>
              <w:jc w:val="left"/>
              <w:rPr>
                <w:rFonts w:ascii="Times New Roman" w:hAnsi="Times New Roman" w:cs="Times New Roman" w:eastAsia="Times New Roman" w:hint="default"/>
                <w:sz w:val="18"/>
                <w:szCs w:val="18"/>
              </w:rPr>
            </w:pPr>
            <w:r>
              <w:rPr>
                <w:rFonts w:ascii="Times New Roman"/>
                <w:spacing w:val="-1"/>
                <w:sz w:val="18"/>
              </w:rPr>
              <w:t>Datatool</w:t>
              <w:tab/>
              <w:t>China</w:t>
            </w:r>
            <w:r>
              <w:rPr>
                <w:rFonts w:ascii="Times New Roman"/>
                <w:spacing w:val="-43"/>
                <w:sz w:val="18"/>
              </w:rPr>
              <w:t> </w:t>
            </w:r>
            <w:r>
              <w:rPr>
                <w:rFonts w:ascii="Times New Roman"/>
                <w:spacing w:val="-43"/>
                <w:sz w:val="18"/>
              </w:rPr>
            </w:r>
            <w:r>
              <w:rPr>
                <w:rFonts w:ascii="Times New Roman"/>
                <w:sz w:val="18"/>
              </w:rPr>
              <w:t>Limited</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tabs>
                <w:tab w:pos="1059" w:val="left" w:leader="none"/>
              </w:tabs>
              <w:spacing w:line="362" w:lineRule="auto" w:before="61"/>
              <w:ind w:left="4" w:right="4"/>
              <w:jc w:val="left"/>
              <w:rPr>
                <w:rFonts w:ascii="Times New Roman" w:hAnsi="Times New Roman" w:cs="Times New Roman" w:eastAsia="Times New Roman" w:hint="default"/>
                <w:sz w:val="18"/>
                <w:szCs w:val="18"/>
              </w:rPr>
            </w:pPr>
            <w:r>
              <w:rPr>
                <w:rFonts w:ascii="Times New Roman"/>
                <w:spacing w:val="-1"/>
                <w:sz w:val="18"/>
              </w:rPr>
              <w:t>eSOON</w:t>
              <w:tab/>
            </w:r>
            <w:r>
              <w:rPr>
                <w:rFonts w:ascii="Times New Roman"/>
                <w:sz w:val="18"/>
              </w:rPr>
              <w:t>China</w:t>
            </w:r>
            <w:r>
              <w:rPr>
                <w:rFonts w:ascii="Times New Roman"/>
                <w:sz w:val="18"/>
              </w:rPr>
              <w:t> Limited</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1"/>
              <w:ind w:left="4" w:right="4"/>
              <w:jc w:val="left"/>
              <w:rPr>
                <w:rFonts w:ascii="Times New Roman" w:hAnsi="Times New Roman" w:cs="Times New Roman" w:eastAsia="Times New Roman" w:hint="default"/>
                <w:sz w:val="18"/>
                <w:szCs w:val="18"/>
              </w:rPr>
            </w:pPr>
            <w:r>
              <w:rPr>
                <w:rFonts w:ascii="Times New Roman"/>
                <w:sz w:val="18"/>
              </w:rPr>
              <w:t>New eSOON</w:t>
            </w:r>
            <w:r>
              <w:rPr>
                <w:rFonts w:ascii="Times New Roman"/>
                <w:spacing w:val="7"/>
                <w:sz w:val="18"/>
              </w:rPr>
              <w:t> </w:t>
            </w:r>
            <w:r>
              <w:rPr>
                <w:rFonts w:ascii="Times New Roman"/>
                <w:sz w:val="18"/>
              </w:rPr>
              <w:t>China</w:t>
            </w:r>
            <w:r>
              <w:rPr>
                <w:rFonts w:ascii="Times New Roman"/>
                <w:sz w:val="18"/>
              </w:rPr>
              <w:t> Limited</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澳门</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澳门元</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3"/>
              <w:jc w:val="right"/>
              <w:rPr>
                <w:rFonts w:ascii="宋体" w:hAnsi="宋体" w:cs="宋体" w:eastAsia="宋体" w:hint="default"/>
                <w:sz w:val="18"/>
                <w:szCs w:val="18"/>
              </w:rPr>
            </w:pPr>
            <w:r>
              <w:rPr>
                <w:rFonts w:ascii="宋体" w:hAnsi="宋体" w:cs="宋体" w:eastAsia="宋体" w:hint="default"/>
                <w:sz w:val="18"/>
                <w:szCs w:val="18"/>
              </w:rPr>
              <w:t>否</w:t>
            </w: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八、合并范围的变更" w:id="335"/>
      <w:bookmarkEnd w:id="33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36"/>
      <w:bookmarkEnd w:id="33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37"/>
      <w:bookmarkEnd w:id="33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联景国际有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本公司重新 任命执行董</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531,632.00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-4,362,393.17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38"/>
      <w:bookmarkEnd w:id="33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联景国际有限公司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265,382,671.38</w:t>
            </w:r>
          </w:p>
        </w:tc>
      </w:tr>
    </w:tbl>
    <w:p>
      <w:pPr>
        <w:pStyle w:val="BodyText"/>
        <w:spacing w:line="240" w:lineRule="auto" w:before="51"/>
        <w:ind w:left="154" w:right="0"/>
        <w:jc w:val="left"/>
      </w:pPr>
      <w:r>
        <w:rPr/>
        <w:t>合并成本公允价值的确定方法、或有对价及其变动的说明：</w:t>
      </w:r>
    </w:p>
    <w:p>
      <w:pPr>
        <w:pStyle w:val="Heading4"/>
        <w:spacing w:line="273" w:lineRule="auto" w:before="90"/>
        <w:ind w:left="154" w:right="0" w:firstLine="420"/>
        <w:jc w:val="left"/>
      </w:pPr>
      <w:r>
        <w:rPr/>
        <w:t>被合并净资产公允价值以经沃克森（北京）国际资产评估有限公司出具了《视觉（中国）文化发展股 </w:t>
      </w:r>
      <w:r>
        <w:rPr>
          <w:spacing w:val="-2"/>
        </w:rPr>
        <w:t>份有限公司拟收购联景国际有限公司股权项目评估报告》（沃克森评报字</w:t>
      </w:r>
      <w:r>
        <w:rPr>
          <w:rFonts w:ascii="Times New Roman" w:hAnsi="Times New Roman" w:cs="Times New Roman" w:eastAsia="Times New Roman" w:hint="default"/>
          <w:spacing w:val="-2"/>
        </w:rPr>
        <w:t>[2016]</w:t>
      </w:r>
      <w:r>
        <w:rPr>
          <w:spacing w:val="-2"/>
        </w:rPr>
        <w:t>第</w:t>
      </w:r>
      <w:r>
        <w:rPr>
          <w:rFonts w:ascii="Times New Roman" w:hAnsi="Times New Roman" w:cs="Times New Roman" w:eastAsia="Times New Roman" w:hint="default"/>
          <w:spacing w:val="-2"/>
        </w:rPr>
        <w:t>0619</w:t>
      </w:r>
      <w:r>
        <w:rPr>
          <w:spacing w:val="-2"/>
        </w:rPr>
        <w:t>号）估值结果确定。</w:t>
      </w:r>
    </w:p>
    <w:p>
      <w:pPr>
        <w:pStyle w:val="Heading4"/>
        <w:spacing w:line="256" w:lineRule="auto" w:before="0"/>
        <w:ind w:left="154" w:right="0" w:firstLine="420"/>
        <w:jc w:val="left"/>
      </w:pPr>
      <w:r>
        <w:rPr/>
        <w:t>由于此项收购联景国际有限公司股权，实质为对</w:t>
      </w:r>
      <w:r>
        <w:rPr>
          <w:rFonts w:ascii="Times New Roman" w:hAnsi="Times New Roman" w:cs="Times New Roman" w:eastAsia="Times New Roman" w:hint="default"/>
        </w:rPr>
        <w:t>“Corbis</w:t>
      </w:r>
      <w:r>
        <w:rPr/>
        <w:t>图片素材</w:t>
      </w:r>
      <w:r>
        <w:rPr>
          <w:rFonts w:ascii="Times New Roman" w:hAnsi="Times New Roman" w:cs="Times New Roman" w:eastAsia="Times New Roman" w:hint="default"/>
        </w:rPr>
        <w:t>”</w:t>
      </w:r>
      <w:r>
        <w:rPr/>
        <w:t>该单一核心资产的收购，其不构成 一项业务合并，因此该项收购交易中不存在独立于可辨认资产而单独存在的商誉。</w:t>
      </w:r>
    </w:p>
    <w:p>
      <w:pPr>
        <w:pStyle w:val="Heading4"/>
        <w:spacing w:line="273" w:lineRule="auto" w:before="22"/>
        <w:ind w:left="154" w:right="0" w:firstLine="420"/>
        <w:jc w:val="left"/>
      </w:pPr>
      <w:r>
        <w:rPr>
          <w:spacing w:val="-1"/>
        </w:rPr>
        <w:t>本公司将取得控制权时支付的对价在扣除其他可辨认资产的公允价值后，剩余金额全部归属于该项特</w:t>
      </w:r>
      <w:r>
        <w:rPr/>
        <w:t> 定的可辨认资产。</w:t>
      </w:r>
    </w:p>
    <w:p>
      <w:pPr>
        <w:pStyle w:val="BodyText"/>
        <w:spacing w:line="357" w:lineRule="auto" w:before="74"/>
        <w:ind w:left="154" w:right="8592"/>
        <w:jc w:val="left"/>
      </w:pPr>
      <w:r>
        <w:rPr/>
        <w:t>大额商誉形成的主要原因： 其他说明：</w:t>
      </w:r>
    </w:p>
    <w:p>
      <w:pPr>
        <w:spacing w:line="240" w:lineRule="auto" w:before="1"/>
        <w:rPr>
          <w:rFonts w:ascii="宋体" w:hAnsi="宋体" w:cs="宋体" w:eastAsia="宋体" w:hint="default"/>
          <w:sz w:val="20"/>
          <w:szCs w:val="20"/>
        </w:rPr>
      </w:pPr>
    </w:p>
    <w:p>
      <w:pPr>
        <w:pStyle w:val="Heading3"/>
        <w:spacing w:line="240" w:lineRule="auto"/>
        <w:ind w:left="154" w:right="0"/>
        <w:jc w:val="left"/>
        <w:rPr>
          <w:b w:val="0"/>
          <w:bCs w:val="0"/>
        </w:rPr>
      </w:pPr>
      <w:bookmarkStart w:name="（3）被购买方于购买日可辨认资产、负债" w:id="339"/>
      <w:bookmarkEnd w:id="33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联景国际有限公司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214,878.62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214,878.62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2,226,133.55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533,917,659.21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523,682,758.45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536,358,671.38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526,123,770.62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270,976,000.00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270,976,000.00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270,976,000.00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255,147,770.62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265,382,671.38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255,147,770.62</w:t>
            </w:r>
          </w:p>
        </w:tc>
      </w:tr>
    </w:tbl>
    <w:p>
      <w:pPr>
        <w:pStyle w:val="BodyText"/>
        <w:spacing w:line="360" w:lineRule="auto" w:before="51"/>
        <w:ind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 处置子公司" w:id="340"/>
      <w:bookmarkEnd w:id="340"/>
      <w:r>
        <w:rPr>
          <w:b w:val="0"/>
          <w:bCs w:val="0"/>
        </w:rPr>
      </w:r>
      <w:r>
        <w:rPr>
          <w:rFonts w:ascii="Times New Roman" w:hAnsi="Times New Roman" w:cs="Times New Roman" w:eastAsia="Times New Roman" w:hint="default"/>
        </w:rPr>
        <w:t>2</w:t>
      </w:r>
      <w:r>
        <w:rPr/>
        <w:t>、</w:t>
      </w:r>
      <w:r>
        <w:rPr>
          <w:spacing w:val="-3"/>
        </w:rPr>
        <w:t> </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3" w:right="0"/>
        <w:jc w:val="left"/>
      </w:pPr>
      <w:r>
        <w:rPr/>
        <w:t>报告期单次处置对子公司投资即丧失控制权的情况如下：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362"/>
        <w:gridCol w:w="1666"/>
        <w:gridCol w:w="1664"/>
      </w:tblGrid>
      <w:tr>
        <w:trPr>
          <w:trHeight w:val="342" w:hRule="exact"/>
        </w:trPr>
        <w:tc>
          <w:tcPr>
            <w:tcW w:w="5362"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0" w:right="0"/>
              <w:jc w:val="left"/>
              <w:rPr>
                <w:rFonts w:ascii="宋体" w:hAnsi="宋体" w:cs="宋体" w:eastAsia="宋体" w:hint="default"/>
                <w:sz w:val="18"/>
                <w:szCs w:val="18"/>
              </w:rPr>
            </w:pPr>
            <w:r>
              <w:rPr>
                <w:rFonts w:ascii="宋体" w:hAnsi="宋体" w:cs="宋体" w:eastAsia="宋体" w:hint="default"/>
                <w:sz w:val="18"/>
                <w:szCs w:val="18"/>
              </w:rPr>
              <w:t>处置子公司名称</w:t>
            </w:r>
          </w:p>
        </w:tc>
      </w:tr>
      <w:tr>
        <w:trPr>
          <w:trHeight w:val="654" w:hRule="exact"/>
        </w:trPr>
        <w:tc>
          <w:tcPr>
            <w:tcW w:w="536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77" w:right="16" w:hanging="360"/>
              <w:jc w:val="left"/>
              <w:rPr>
                <w:rFonts w:ascii="宋体" w:hAnsi="宋体" w:cs="宋体" w:eastAsia="宋体" w:hint="default"/>
                <w:sz w:val="18"/>
                <w:szCs w:val="18"/>
              </w:rPr>
            </w:pPr>
            <w:r>
              <w:rPr>
                <w:rFonts w:ascii="宋体" w:hAnsi="宋体" w:cs="宋体" w:eastAsia="宋体" w:hint="default"/>
                <w:sz w:val="18"/>
                <w:szCs w:val="18"/>
              </w:rPr>
              <w:t>广东视觉无限文化科 技有限公司</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76" w:right="17" w:hanging="360"/>
              <w:jc w:val="left"/>
              <w:rPr>
                <w:rFonts w:ascii="宋体" w:hAnsi="宋体" w:cs="宋体" w:eastAsia="宋体" w:hint="default"/>
                <w:sz w:val="18"/>
                <w:szCs w:val="18"/>
              </w:rPr>
            </w:pPr>
            <w:r>
              <w:rPr>
                <w:rFonts w:ascii="宋体" w:hAnsi="宋体" w:cs="宋体" w:eastAsia="宋体" w:hint="default"/>
                <w:sz w:val="18"/>
                <w:szCs w:val="18"/>
              </w:rPr>
              <w:t>深圳艾特凡斯智能科 技有限公司</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27,000,000.00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145,000,000.00</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股权处置比例（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51.00%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5" w:right="0"/>
              <w:jc w:val="lef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出售</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丧失控制权的时点</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Times New Roman" w:hAnsi="Times New Roman" w:cs="Times New Roman" w:eastAsia="Times New Roman" w:hint="default"/>
                <w:sz w:val="18"/>
                <w:szCs w:val="18"/>
              </w:rPr>
            </w:pPr>
            <w:r>
              <w:rPr>
                <w:rFonts w:ascii="Times New Roman"/>
                <w:sz w:val="18"/>
              </w:rPr>
              <w:t>2017/6/30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1" w:right="0"/>
              <w:jc w:val="left"/>
              <w:rPr>
                <w:rFonts w:ascii="Times New Roman" w:hAnsi="Times New Roman" w:cs="Times New Roman" w:eastAsia="Times New Roman" w:hint="default"/>
                <w:sz w:val="18"/>
                <w:szCs w:val="18"/>
              </w:rPr>
            </w:pPr>
            <w:r>
              <w:rPr>
                <w:rFonts w:ascii="Times New Roman"/>
                <w:sz w:val="18"/>
              </w:rPr>
              <w:t>2017/8/30</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丧失控制权时点的确定依据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董事会改组</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0"/>
              <w:jc w:val="left"/>
              <w:rPr>
                <w:rFonts w:ascii="宋体" w:hAnsi="宋体" w:cs="宋体" w:eastAsia="宋体" w:hint="default"/>
                <w:sz w:val="18"/>
                <w:szCs w:val="18"/>
              </w:rPr>
            </w:pPr>
            <w:r>
              <w:rPr>
                <w:rFonts w:ascii="宋体" w:hAnsi="宋体" w:cs="宋体" w:eastAsia="宋体" w:hint="default"/>
                <w:sz w:val="18"/>
                <w:szCs w:val="18"/>
              </w:rPr>
              <w:t>执行董事改选</w:t>
            </w:r>
          </w:p>
        </w:tc>
      </w:tr>
      <w:tr>
        <w:trPr>
          <w:trHeight w:val="654"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3"/>
                <w:sz w:val="18"/>
                <w:szCs w:val="18"/>
              </w:rPr>
              <w:t>处置价款与处置投资对应的合并财务报表层面享有该子公司净资产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份额的差额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69,723.47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1,194,399.91</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丧失控制权之日剩余股权的账面价值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丧失控制权之日剩余股权的公允价值</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按照公允价值重新计量剩余股权产生的利得或损失</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丧失控制权之日剩余股权公允价值的确定方法及主要假设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与原子公司股权投资相关的其他综合收益转入投资损益的金额</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54" w:right="0"/>
        <w:jc w:val="left"/>
        <w:rPr>
          <w:b w:val="0"/>
          <w:bCs w:val="0"/>
        </w:rPr>
      </w:pPr>
      <w:bookmarkStart w:name="3、其他原因的合并范围变动" w:id="341"/>
      <w:bookmarkEnd w:id="341"/>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说明其他原因导致的合并范围变动（如，新设子公司、清算子公司等）及其相关情况：</w:t>
      </w:r>
    </w:p>
    <w:p>
      <w:pPr>
        <w:pStyle w:val="BodyText"/>
        <w:spacing w:line="300" w:lineRule="auto" w:before="116"/>
        <w:ind w:left="573" w:right="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日设立全资子公司常州视觉家信息技术咨询有限公司。 </w:t>
      </w:r>
      <w:r>
        <w:rPr>
          <w:spacing w:val="-3"/>
        </w:rPr>
        <w:t>常州远东文化产业有限公司于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日设立子公司辽宁华盖安泰企业管理中心（有限合伙），于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日常州</w:t>
      </w:r>
    </w:p>
    <w:p>
      <w:pPr>
        <w:pStyle w:val="BodyText"/>
        <w:spacing w:line="316" w:lineRule="auto" w:before="13"/>
        <w:ind w:right="0"/>
        <w:jc w:val="left"/>
      </w:pPr>
      <w:r>
        <w:rPr>
          <w:spacing w:val="-2"/>
        </w:rPr>
        <w:t>视觉家信息技术咨询有限公司收购了另一股东北京尚林创新投资管理有了公司对辽宁华盖安泰企业管理中心（有限合伙）出</w:t>
      </w:r>
      <w:r>
        <w:rPr>
          <w:spacing w:val="-64"/>
        </w:rPr>
        <w:t> </w:t>
      </w:r>
      <w:r>
        <w:rPr>
          <w:spacing w:val="-64"/>
        </w:rPr>
      </w:r>
      <w:r>
        <w:rPr/>
        <w:t>资份额，由此辽宁华盖安泰企业管理中心（有限合伙）成为本公司的全资子公司。</w:t>
      </w:r>
    </w:p>
    <w:p>
      <w:pPr>
        <w:pStyle w:val="BodyText"/>
        <w:spacing w:line="300" w:lineRule="auto" w:before="19"/>
        <w:ind w:left="573" w:right="2383"/>
        <w:jc w:val="left"/>
      </w:pPr>
      <w:r>
        <w:rPr/>
        <w:t>北京汉华易美图片有限公司于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日设立控股子公司天津图源视觉科技有限公司。 汉华易美</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图像技术有限公司于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日设立全资子公司天津视觉星动网络科技有限公司。 华盖创意</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图像技术有限公司于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日完成注销。 天津易美跃动信息技术有限公司于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日完成注销。</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九、在其他主体中的权益" w:id="342"/>
      <w:bookmarkEnd w:id="34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子公司中的权益" w:id="343"/>
      <w:bookmarkEnd w:id="34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企业集团的构成" w:id="344"/>
      <w:bookmarkEnd w:id="3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片有限公司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汉华易美</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东星</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视讯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上海卓越形象广 告传播有限公司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江苏卓越形象媒 体传播有限公司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北京卓越形象广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天津优亿新科技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天津华盖悦动信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华夏视觉</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w:t>
            </w:r>
            <w:r>
              <w:rPr>
                <w:rFonts w:ascii="Times New Roman" w:hAnsi="Times New Roman" w:cs="Times New Roman" w:eastAsia="Times New Roman" w:hint="default"/>
                <w:sz w:val="18"/>
                <w:szCs w:val="18"/>
              </w:rPr>
              <w:t>(HK)</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视觉中国集团控 股有限公司 </w:t>
            </w:r>
            <w:r>
              <w:rPr>
                <w:rFonts w:ascii="Times New Roman" w:hAnsi="Times New Roman" w:cs="Times New Roman" w:eastAsia="Times New Roman" w:hint="default"/>
                <w:sz w:val="18"/>
                <w:szCs w:val="18"/>
              </w:rPr>
              <w:t>(BVI)</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视讯科技有限公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华盖创意</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 </w:t>
            </w:r>
            <w:r>
              <w:rPr>
                <w:rFonts w:ascii="宋体" w:hAnsi="宋体" w:cs="宋体" w:eastAsia="宋体" w:hint="default"/>
                <w:sz w:val="18"/>
                <w:szCs w:val="18"/>
              </w:rPr>
              <w:t>图像技术有限公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深圳艾特凡斯智 能科技有限公司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江苏视觉娱乐新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常州远东文化产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视觉中国香港有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77"/>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43"/>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2"/>
                <w:sz w:val="18"/>
              </w:rPr>
              <w:t> </w:t>
            </w:r>
            <w:r>
              <w:rPr>
                <w:rFonts w:ascii="Times New Roman"/>
                <w:sz w:val="18"/>
              </w:rPr>
              <w:t>China</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3"/>
              <w:jc w:val="left"/>
              <w:rPr>
                <w:rFonts w:ascii="Times New Roman" w:hAnsi="Times New Roman" w:cs="Times New Roman" w:eastAsia="Times New Roman" w:hint="default"/>
                <w:sz w:val="18"/>
                <w:szCs w:val="18"/>
              </w:rPr>
            </w:pPr>
            <w:r>
              <w:rPr>
                <w:rFonts w:ascii="Times New Roman"/>
                <w:sz w:val="18"/>
              </w:rPr>
              <w:t>eSOON</w:t>
            </w:r>
            <w:r>
              <w:rPr>
                <w:rFonts w:ascii="Times New Roman"/>
                <w:spacing w:val="-1"/>
                <w:sz w:val="18"/>
              </w:rPr>
              <w:t> </w:t>
            </w:r>
            <w:r>
              <w:rPr>
                <w:rFonts w:ascii="Times New Roman"/>
                <w:sz w:val="18"/>
              </w:rPr>
              <w:t>China</w:t>
            </w:r>
            <w:r>
              <w:rPr>
                <w:rFonts w:ascii="Times New Roman"/>
                <w:sz w:val="18"/>
              </w:rPr>
              <w:t> 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2"/>
              <w:jc w:val="left"/>
              <w:rPr>
                <w:rFonts w:ascii="Times New Roman" w:hAnsi="Times New Roman" w:cs="Times New Roman" w:eastAsia="Times New Roman" w:hint="default"/>
                <w:sz w:val="18"/>
                <w:szCs w:val="18"/>
              </w:rPr>
            </w:pPr>
            <w:r>
              <w:rPr>
                <w:rFonts w:ascii="Times New Roman"/>
                <w:sz w:val="18"/>
              </w:rPr>
              <w:t>New</w:t>
            </w:r>
            <w:r>
              <w:rPr>
                <w:rFonts w:ascii="Times New Roman"/>
                <w:spacing w:val="-1"/>
                <w:sz w:val="18"/>
              </w:rPr>
              <w:t> </w:t>
            </w:r>
            <w:r>
              <w:rPr>
                <w:rFonts w:ascii="Times New Roman"/>
                <w:sz w:val="18"/>
              </w:rPr>
              <w:t>eSOON</w:t>
            </w:r>
            <w:r>
              <w:rPr>
                <w:rFonts w:ascii="Times New Roman"/>
                <w:w w:val="99"/>
                <w:sz w:val="18"/>
              </w:rPr>
              <w:t> </w:t>
            </w:r>
            <w:r>
              <w:rPr>
                <w:rFonts w:ascii="Times New Roman"/>
                <w:sz w:val="18"/>
              </w:rPr>
              <w:t>China</w:t>
            </w:r>
            <w:r>
              <w:rPr>
                <w:rFonts w:ascii="Times New Roman"/>
                <w:spacing w:val="-1"/>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宝东信息技术有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亿迅信息技术有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常州亿迅云技术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旅游及其他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常州视觉家信息 技术咨询有限公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辽宁华盖安泰企 业管理中心（有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生态投资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天津图源视觉科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天津视觉星动网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12"/>
        <w:rPr>
          <w:rFonts w:ascii="宋体" w:hAnsi="宋体" w:cs="宋体" w:eastAsia="宋体" w:hint="default"/>
          <w:sz w:val="19"/>
          <w:szCs w:val="19"/>
        </w:rPr>
      </w:pPr>
    </w:p>
    <w:p>
      <w:pPr>
        <w:pStyle w:val="Heading3"/>
        <w:spacing w:line="240" w:lineRule="auto"/>
        <w:ind w:left="154" w:right="0"/>
        <w:jc w:val="left"/>
        <w:rPr>
          <w:b w:val="0"/>
          <w:bCs w:val="0"/>
        </w:rPr>
      </w:pPr>
      <w:bookmarkStart w:name="（2）重要的非全资子公司" w:id="345"/>
      <w:bookmarkEnd w:id="34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上海卓越形象广告传播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12,371,723.87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10,312,862.88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13,509,722.47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58"/>
              <w:jc w:val="left"/>
              <w:rPr>
                <w:rFonts w:ascii="Times New Roman" w:hAnsi="Times New Roman" w:cs="Times New Roman" w:eastAsia="Times New Roman" w:hint="default"/>
                <w:sz w:val="18"/>
                <w:szCs w:val="18"/>
              </w:rPr>
            </w:pPr>
            <w:r>
              <w:rPr>
                <w:rFonts w:ascii="Times New Roman"/>
                <w:sz w:val="18"/>
              </w:rPr>
              <w:t>Datatool</w:t>
            </w:r>
            <w:r>
              <w:rPr>
                <w:rFonts w:ascii="Times New Roman"/>
                <w:spacing w:val="-3"/>
                <w:sz w:val="18"/>
              </w:rPr>
              <w:t> </w:t>
            </w:r>
            <w:r>
              <w:rPr>
                <w:rFonts w:ascii="Times New Roman"/>
                <w:sz w:val="18"/>
              </w:rPr>
              <w:t>Hongkong</w:t>
            </w:r>
            <w:r>
              <w:rPr>
                <w:rFonts w:ascii="Times New Roman"/>
                <w:w w:val="99"/>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54,168.32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189,157.92</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Datatool China</w:t>
            </w:r>
            <w:r>
              <w:rPr>
                <w:rFonts w:ascii="Times New Roman"/>
                <w:spacing w:val="-4"/>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-860,529.71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-2,026,636.33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 China</w:t>
            </w:r>
            <w:r>
              <w:rPr>
                <w:rFonts w:ascii="Times New Roman"/>
                <w:spacing w:val="-3"/>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137,055.98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559,791.68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宝东信息技术有限公司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1,397,732.76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3,860,360.84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8,583,488.54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14,810,577.55</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3）重要非全资子公司的主要财务信息" w:id="346"/>
      <w:bookmarkEnd w:id="34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上海卓 越形象 广告传 播有限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62,511,5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76.55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62,993,1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35,422,3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15.23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35,422,3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15.23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79,910,4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63.28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80,472,6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57,103,5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21.98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57,103,5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21.98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w:t>
            </w:r>
            <w:r>
              <w:rPr>
                <w:rFonts w:ascii="Times New Roman"/>
                <w:w w:val="99"/>
                <w:sz w:val="18"/>
              </w:rPr>
              <w:t> </w:t>
            </w:r>
            <w:r>
              <w:rPr>
                <w:rFonts w:ascii="Times New Roman"/>
                <w:sz w:val="18"/>
              </w:rPr>
              <w:t>g</w:t>
            </w:r>
            <w:r>
              <w:rPr>
                <w:rFonts w:ascii="Times New Roman"/>
                <w:w w:val="99"/>
                <w:sz w:val="18"/>
              </w:rPr>
              <w:t> </w:t>
            </w:r>
            <w:r>
              <w:rPr>
                <w:rFonts w:ascii="Times New Roman"/>
                <w:sz w:val="18"/>
              </w:rPr>
              <w:t>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30,030,8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25.48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30,030,8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25.48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29,330,2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40.59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29,330,2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40.59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21,225,7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80.71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21,225,7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20,682,9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97.27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20,682,9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97.27</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1"/>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China</w:t>
            </w:r>
            <w:r>
              <w:rPr>
                <w:rFonts w:ascii="Times New Roman"/>
                <w:w w:val="99"/>
                <w:sz w:val="18"/>
              </w:rPr>
              <w:t> </w:t>
            </w:r>
            <w:r>
              <w:rPr>
                <w:rFonts w:ascii="Times New Roman"/>
                <w:sz w:val="18"/>
              </w:rPr>
              <w:t>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14,288,0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34.37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14,288,0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34.37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21,794,0</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94.84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21,794,0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94.84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19,153,5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56.49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19,153,5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23,898,7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21.02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23,898,7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21.02</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w:t>
            </w:r>
          </w:p>
          <w:p>
            <w:pPr>
              <w:pStyle w:val="TableParagraph"/>
              <w:spacing w:line="362" w:lineRule="auto" w:before="105"/>
              <w:ind w:left="22" w:right="131"/>
              <w:jc w:val="left"/>
              <w:rPr>
                <w:rFonts w:ascii="Times New Roman" w:hAnsi="Times New Roman" w:cs="Times New Roman" w:eastAsia="Times New Roman" w:hint="default"/>
                <w:sz w:val="18"/>
                <w:szCs w:val="18"/>
              </w:rPr>
            </w:pPr>
            <w:r>
              <w:rPr>
                <w:rFonts w:ascii="Times New Roman"/>
                <w:sz w:val="18"/>
              </w:rPr>
              <w:t>China Limited</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73,647,0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10.72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73,647,0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10.72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71,718,6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44.73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71,718,6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44.73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56,467,3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87.98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56,467,3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87.98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54,504,2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90.82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54,504,2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90.82</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宝东信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47,574,5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55.38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47,704,4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33,406,8</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21.87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33,406,8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21.87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40,304,9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20,841.2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40,325,7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31,204,9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16.37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31,204,9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16.37</w:t>
            </w:r>
          </w:p>
        </w:tc>
      </w:tr>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亿迅信 息技术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166,310,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1,250,20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167,560,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112,706,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112,706,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98,512,3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292,526.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98,804,8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75,741,5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75,741,5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Times New Roman" w:hAnsi="Times New Roman" w:cs="Times New Roman" w:eastAsia="Times New Roman" w:hint="default"/>
                <w:sz w:val="18"/>
                <w:szCs w:val="18"/>
              </w:rPr>
            </w:pPr>
            <w:r>
              <w:rPr>
                <w:rFonts w:ascii="Times New Roman"/>
                <w:sz w:val="18"/>
              </w:rPr>
              <w:t>057.40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258.25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Times New Roman" w:hAnsi="Times New Roman" w:cs="Times New Roman" w:eastAsia="Times New Roman" w:hint="default"/>
                <w:sz w:val="18"/>
                <w:szCs w:val="18"/>
              </w:rPr>
            </w:pPr>
            <w:r>
              <w:rPr>
                <w:rFonts w:ascii="Times New Roman"/>
                <w:sz w:val="18"/>
              </w:rPr>
              <w:t>267.33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267.33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01.94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7" w:right="0"/>
              <w:jc w:val="left"/>
              <w:rPr>
                <w:rFonts w:ascii="Times New Roman" w:hAnsi="Times New Roman" w:cs="Times New Roman" w:eastAsia="Times New Roman" w:hint="default"/>
                <w:sz w:val="18"/>
                <w:szCs w:val="18"/>
              </w:rPr>
            </w:pPr>
            <w:r>
              <w:rPr>
                <w:rFonts w:ascii="Times New Roman"/>
                <w:sz w:val="18"/>
              </w:rPr>
              <w:t>28.84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0" w:right="0"/>
              <w:jc w:val="left"/>
              <w:rPr>
                <w:rFonts w:ascii="Times New Roman" w:hAnsi="Times New Roman" w:cs="Times New Roman" w:eastAsia="Times New Roman" w:hint="default"/>
                <w:sz w:val="18"/>
                <w:szCs w:val="18"/>
              </w:rPr>
            </w:pPr>
            <w:r>
              <w:rPr>
                <w:rFonts w:ascii="Times New Roman"/>
                <w:sz w:val="18"/>
              </w:rPr>
              <w:t>36.20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36.20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上海卓越形 象广告传播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70,576,752.0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25,248,416.0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25,248,416.0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31,051,263.3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112,688,703.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21,391,184.1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21,391,184.1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12,063,568.7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6"/>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Hongkong</w:t>
            </w:r>
            <w:r>
              <w:rPr>
                <w:rFonts w:ascii="Times New Roman"/>
                <w:w w:val="99"/>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3,607,241.93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200,623.42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157,801.45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38,964.59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1,170,564.59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521,592.29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545,086.96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87,533.32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07"/>
              <w:jc w:val="left"/>
              <w:rPr>
                <w:rFonts w:ascii="Times New Roman" w:hAnsi="Times New Roman" w:cs="Times New Roman" w:eastAsia="Times New Roman" w:hint="default"/>
                <w:sz w:val="18"/>
                <w:szCs w:val="18"/>
              </w:rPr>
            </w:pPr>
            <w:r>
              <w:rPr>
                <w:rFonts w:ascii="Times New Roman"/>
                <w:sz w:val="18"/>
              </w:rPr>
              <w:t>Datatool</w:t>
            </w:r>
            <w:r>
              <w:rPr>
                <w:rFonts w:ascii="Times New Roman"/>
                <w:w w:val="99"/>
                <w:sz w:val="18"/>
              </w:rPr>
              <w:t> </w:t>
            </w:r>
            <w:r>
              <w:rPr>
                <w:rFonts w:ascii="Times New Roman"/>
                <w:sz w:val="18"/>
              </w:rPr>
              <w:t>China</w:t>
            </w:r>
            <w:r>
              <w:rPr>
                <w:rFonts w:ascii="Times New Roman"/>
                <w:w w:val="99"/>
                <w:sz w:val="18"/>
              </w:rPr>
              <w:t> </w:t>
            </w:r>
            <w:r>
              <w:rPr>
                <w:rFonts w:ascii="Times New Roman"/>
                <w:sz w:val="18"/>
              </w:rPr>
              <w:t>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940,854.14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-3,187,147.08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-2,760,895.94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-394,695.09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1,260,984.00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-3,756,859.95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-3,979,055.39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-197,603.23</w:t>
            </w:r>
            <w:r>
              <w:rPr>
                <w:rFonts w:ascii="Times New Roman"/>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eSOON</w:t>
            </w:r>
          </w:p>
          <w:p>
            <w:pPr>
              <w:pStyle w:val="TableParagraph"/>
              <w:spacing w:line="362" w:lineRule="auto" w:before="104"/>
              <w:ind w:left="22" w:right="456"/>
              <w:jc w:val="left"/>
              <w:rPr>
                <w:rFonts w:ascii="Times New Roman" w:hAnsi="Times New Roman" w:cs="Times New Roman" w:eastAsia="Times New Roman" w:hint="default"/>
                <w:sz w:val="18"/>
                <w:szCs w:val="18"/>
              </w:rPr>
            </w:pPr>
            <w:r>
              <w:rPr>
                <w:rFonts w:ascii="Times New Roman"/>
                <w:sz w:val="18"/>
              </w:rPr>
              <w:t>China Limited</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8,233,006.41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79,643.83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-34,731.17</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-720,990.63</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9,718,037.22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1,871,769.38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1,812,315.77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1,450,167.62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宝东信息技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29,476,103.2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5,176,788.01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5,176,788.01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-2,845,943.07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39,127,533.1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6,944,973.28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6,944,973.28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5,334,079.40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亿迅信息技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101,604,439.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31,790,698.2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31,790,698.2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-13,712,540.8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67,061,682.3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20,317,634.7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20,317,634.7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10,196,399.5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合营安排或联营企业中的权益" w:id="347"/>
      <w:bookmarkEnd w:id="34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48"/>
      <w:bookmarkEnd w:id="34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湖北司马彦文化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视觉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产业：教育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唱游信息技术有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视觉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产业：旅游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02"/>
              <w:jc w:val="left"/>
              <w:rPr>
                <w:rFonts w:ascii="Times New Roman" w:hAnsi="Times New Roman" w:cs="Times New Roman" w:eastAsia="Times New Roman" w:hint="default"/>
                <w:sz w:val="18"/>
                <w:szCs w:val="18"/>
              </w:rPr>
            </w:pPr>
            <w:r>
              <w:rPr>
                <w:rFonts w:ascii="Times New Roman"/>
                <w:sz w:val="18"/>
              </w:rPr>
              <w:t>Getty Images</w:t>
            </w:r>
            <w:r>
              <w:rPr>
                <w:rFonts w:ascii="Times New Roman"/>
                <w:w w:val="99"/>
                <w:sz w:val="18"/>
              </w:rPr>
              <w:t> </w:t>
            </w:r>
            <w:r>
              <w:rPr>
                <w:rFonts w:ascii="Times New Roman"/>
                <w:sz w:val="18"/>
              </w:rPr>
              <w:t>SEA</w:t>
            </w:r>
            <w:r>
              <w:rPr>
                <w:rFonts w:ascii="Times New Roman"/>
                <w:spacing w:val="-11"/>
                <w:sz w:val="18"/>
              </w:rPr>
              <w:t> </w:t>
            </w:r>
            <w:r>
              <w:rPr>
                <w:rFonts w:ascii="Times New Roman"/>
                <w:sz w:val="18"/>
              </w:rPr>
              <w:t>Holdings</w:t>
            </w:r>
            <w:r>
              <w:rPr>
                <w:rFonts w:ascii="Times New Roman"/>
                <w:sz w:val="18"/>
              </w:rPr>
              <w:t> Co.,Limited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视觉内容与服务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华融创新投资股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广东易教优培教 育科技有限公司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视觉</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产业：教育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辽宁新兴文化创 业投资基金合伙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视觉</w:t>
            </w:r>
            <w:r>
              <w:rPr>
                <w:rFonts w:ascii="Times New Roman" w:hAnsi="Times New Roman" w:cs="Times New Roman" w:eastAsia="Times New Roman" w:hint="default"/>
                <w:sz w:val="18"/>
                <w:szCs w:val="18"/>
              </w:rPr>
              <w:t>+</w:t>
            </w:r>
            <w:r>
              <w:rPr>
                <w:rFonts w:ascii="宋体" w:hAnsi="宋体" w:cs="宋体" w:eastAsia="宋体" w:hint="default"/>
                <w:sz w:val="18"/>
                <w:szCs w:val="18"/>
              </w:rPr>
              <w:t>生态投资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pict>
          <v:shape style="position:absolute;margin-left:74.343002pt;margin-top:-16.098255pt;width:119.1pt;height:15.6pt;mso-position-horizontal-relative:page;mso-position-vertical-relative:paragraph;z-index:-1030960" type="#_x0000_t202" filled="false" stroked="false">
            <v:textbox inset="0,0,0,0">
              <w:txbxContent>
                <w:p>
                  <w:pPr>
                    <w:pStyle w:val="BodyText"/>
                    <w:spacing w:line="208" w:lineRule="exact"/>
                    <w:ind w:left="0" w:right="0"/>
                    <w:jc w:val="left"/>
                  </w:pPr>
                  <w:r>
                    <w:rPr/>
                    <w:t>（有限合伙）</w:t>
                  </w:r>
                </w:p>
              </w:txbxContent>
            </v:textbox>
            <w10:wrap type="none"/>
          </v:shape>
        </w:pict>
      </w:r>
      <w:r>
        <w:rPr/>
        <w:t>在合营企业或联营企业的持股比例不同于表决权比例的说明：</w:t>
      </w:r>
    </w:p>
    <w:p>
      <w:pPr>
        <w:pStyle w:val="Heading4"/>
        <w:spacing w:line="264" w:lineRule="auto" w:before="90"/>
        <w:ind w:left="154" w:right="1131" w:firstLine="420"/>
        <w:jc w:val="both"/>
      </w:pPr>
      <w:r>
        <w:rPr>
          <w:spacing w:val="-1"/>
        </w:rPr>
        <w:t>本集团持有辽宁新兴文化创业投资基金合伙企业（有限合伙）</w:t>
      </w:r>
      <w:r>
        <w:rPr>
          <w:rFonts w:ascii="Times New Roman" w:hAnsi="Times New Roman" w:cs="Times New Roman" w:eastAsia="Times New Roman" w:hint="default"/>
          <w:spacing w:val="-1"/>
        </w:rPr>
        <w:t>52.63%</w:t>
      </w:r>
      <w:r>
        <w:rPr>
          <w:spacing w:val="-1"/>
        </w:rPr>
        <w:t>的出资，对辽宁新兴文化创业投</w:t>
      </w:r>
      <w:r>
        <w:rPr/>
        <w:t> </w:t>
      </w:r>
      <w:r>
        <w:rPr>
          <w:spacing w:val="-1"/>
        </w:rPr>
        <w:t>资基金合伙企业（有限合伙）的表决权比例亦为</w:t>
      </w:r>
      <w:r>
        <w:rPr>
          <w:rFonts w:ascii="Times New Roman" w:hAnsi="Times New Roman" w:cs="Times New Roman" w:eastAsia="Times New Roman" w:hint="default"/>
          <w:spacing w:val="-1"/>
        </w:rPr>
        <w:t>52.63%</w:t>
      </w:r>
      <w:r>
        <w:rPr>
          <w:spacing w:val="-1"/>
        </w:rPr>
        <w:t>。由于本集团不担任辽宁新兴文化创业投资基金合</w:t>
      </w:r>
      <w:r>
        <w:rPr>
          <w:spacing w:val="-98"/>
        </w:rPr>
        <w:t> </w:t>
      </w:r>
      <w:r>
        <w:rPr>
          <w:spacing w:val="-98"/>
        </w:rPr>
      </w:r>
      <w:r>
        <w:rPr>
          <w:spacing w:val="-1"/>
        </w:rPr>
        <w:t>伙企业（有限合伙）执行事务合伙人且不在投资决策委员会有代表，但根据合伙协议约定，执行事务合伙</w:t>
      </w:r>
      <w:r>
        <w:rPr>
          <w:spacing w:val="-86"/>
        </w:rPr>
        <w:t> </w:t>
      </w:r>
      <w:r>
        <w:rPr>
          <w:spacing w:val="-86"/>
        </w:rPr>
      </w:r>
      <w:r>
        <w:rPr>
          <w:spacing w:val="-1"/>
        </w:rPr>
        <w:t>人的产生和更换需要经代表实际出资比例三分之二以上合伙人同意通过，因此本集团对辽宁新兴文化创业</w:t>
      </w:r>
      <w:r>
        <w:rPr>
          <w:spacing w:val="-81"/>
        </w:rPr>
        <w:t> </w:t>
      </w:r>
      <w:r>
        <w:rPr>
          <w:spacing w:val="-81"/>
        </w:rPr>
      </w:r>
      <w:r>
        <w:rPr/>
        <w:t>投资基金合伙企业（有限合伙）具有重大影响。</w:t>
      </w:r>
    </w:p>
    <w:p>
      <w:pPr>
        <w:pStyle w:val="BodyText"/>
        <w:spacing w:line="240" w:lineRule="auto" w:before="82"/>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2）重要合营企业的主要财务信息" w:id="349"/>
      <w:bookmarkEnd w:id="34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湖北司马彦文化科技有限公司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191,794,651.11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190,336,579.35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19,425,223.45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4,051,454.09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2,198,070.22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1,463,227.29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193,992,721.33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191,799,806.64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41,583,678.50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45,282,482.22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41,583,678.50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45,282,482.22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152,409,042.83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146,517,324.42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74,680,430.99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71,793,488.97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358,059,477.85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400,136,580.93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155,305,710.24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121,966,987.23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-515,718.42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-509,081.34</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8,284,829.61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12,006,324.26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71,650,380.61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75,164,468.00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71,650,380.61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75,164,468.00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32,221,744.48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50"/>
      <w:bookmarkEnd w:id="35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846"/>
        <w:gridCol w:w="880"/>
        <w:gridCol w:w="870"/>
        <w:gridCol w:w="869"/>
        <w:gridCol w:w="869"/>
        <w:gridCol w:w="869"/>
        <w:gridCol w:w="869"/>
        <w:gridCol w:w="869"/>
        <w:gridCol w:w="870"/>
        <w:gridCol w:w="869"/>
        <w:gridCol w:w="869"/>
      </w:tblGrid>
      <w:tr>
        <w:trPr>
          <w:trHeight w:val="402"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4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85"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73" w:right="68"/>
              <w:jc w:val="center"/>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870" w:type="dxa"/>
            <w:vMerge w:val="restart"/>
            <w:tcBorders>
              <w:top w:val="single" w:sz="4" w:space="0" w:color="000000"/>
              <w:left w:val="single" w:sz="4" w:space="0" w:color="000000"/>
              <w:right w:val="single" w:sz="4" w:space="0" w:color="000000"/>
            </w:tcBorders>
            <w:shd w:val="clear" w:color="auto" w:fill="D9D9D9"/>
          </w:tcPr>
          <w:p>
            <w:pPr>
              <w:pStyle w:val="TableParagraph"/>
              <w:spacing w:line="362" w:lineRule="auto" w:before="91"/>
              <w:ind w:left="170" w:right="168" w:hanging="3"/>
              <w:jc w:val="center"/>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p>
          <w:p>
            <w:pPr>
              <w:pStyle w:val="TableParagraph"/>
              <w:spacing w:line="362" w:lineRule="auto" w:before="3"/>
              <w:ind w:left="39" w:right="38" w:hanging="1"/>
              <w:jc w:val="center"/>
              <w:rPr>
                <w:rFonts w:ascii="Times New Roman" w:hAnsi="Times New Roman" w:cs="Times New Roman" w:eastAsia="Times New Roman" w:hint="default"/>
                <w:sz w:val="18"/>
                <w:szCs w:val="18"/>
              </w:rPr>
            </w:pPr>
            <w:r>
              <w:rPr>
                <w:rFonts w:ascii="Times New Roman"/>
                <w:sz w:val="18"/>
              </w:rPr>
              <w:t>Holdings</w:t>
            </w:r>
            <w:r>
              <w:rPr>
                <w:rFonts w:ascii="Times New Roman"/>
                <w:w w:val="99"/>
                <w:sz w:val="18"/>
              </w:rPr>
              <w:t> </w:t>
            </w:r>
            <w:r>
              <w:rPr>
                <w:rFonts w:ascii="Times New Roman"/>
                <w:sz w:val="18"/>
              </w:rPr>
              <w:t>Co.,Limite</w:t>
            </w:r>
            <w:r>
              <w:rPr>
                <w:rFonts w:ascii="Times New Roman"/>
                <w:w w:val="99"/>
                <w:sz w:val="18"/>
              </w:rPr>
              <w:t> </w:t>
            </w:r>
            <w:r>
              <w:rPr>
                <w:rFonts w:ascii="Times New Roman"/>
                <w:sz w:val="18"/>
              </w:rPr>
              <w:t>d</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68" w:right="68"/>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68" w:right="69"/>
              <w:jc w:val="center"/>
              <w:rPr>
                <w:rFonts w:ascii="宋体" w:hAnsi="宋体" w:cs="宋体" w:eastAsia="宋体" w:hint="default"/>
                <w:sz w:val="18"/>
                <w:szCs w:val="18"/>
              </w:rPr>
            </w:pPr>
            <w:r>
              <w:rPr>
                <w:rFonts w:ascii="宋体" w:hAnsi="宋体" w:cs="宋体" w:eastAsia="宋体" w:hint="default"/>
                <w:sz w:val="18"/>
                <w:szCs w:val="18"/>
              </w:rPr>
              <w:t>广东易教 优培教育 科技有限 公司</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辽宁新兴 文化创业 投资基金 合伙企业</w:t>
            </w:r>
          </w:p>
          <w:p>
            <w:pPr>
              <w:pStyle w:val="TableParagraph"/>
              <w:spacing w:line="319" w:lineRule="auto" w:before="17"/>
              <w:ind w:left="248" w:right="68"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68" w:right="68"/>
              <w:jc w:val="center"/>
              <w:rPr>
                <w:rFonts w:ascii="宋体" w:hAnsi="宋体" w:cs="宋体" w:eastAsia="宋体" w:hint="default"/>
                <w:sz w:val="18"/>
                <w:szCs w:val="18"/>
              </w:rPr>
            </w:pPr>
            <w:r>
              <w:rPr>
                <w:rFonts w:ascii="宋体" w:hAnsi="宋体" w:cs="宋体" w:eastAsia="宋体" w:hint="default"/>
                <w:sz w:val="18"/>
                <w:szCs w:val="18"/>
              </w:rPr>
              <w:t>唱游信息 技术有限 公司</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362" w:lineRule="auto" w:before="91"/>
              <w:ind w:left="169" w:right="168" w:hanging="3"/>
              <w:jc w:val="center"/>
              <w:rPr>
                <w:rFonts w:ascii="Times New Roman" w:hAnsi="Times New Roman" w:cs="Times New Roman" w:eastAsia="Times New Roman" w:hint="default"/>
                <w:sz w:val="18"/>
                <w:szCs w:val="18"/>
              </w:rPr>
            </w:pPr>
            <w:r>
              <w:rPr>
                <w:rFonts w:ascii="Times New Roman"/>
                <w:sz w:val="18"/>
              </w:rPr>
              <w:t>Getty</w:t>
            </w:r>
            <w:r>
              <w:rPr>
                <w:rFonts w:ascii="Times New Roman"/>
                <w:w w:val="99"/>
                <w:sz w:val="18"/>
              </w:rPr>
              <w:t> </w:t>
            </w:r>
            <w:r>
              <w:rPr>
                <w:rFonts w:ascii="Times New Roman"/>
                <w:sz w:val="18"/>
              </w:rPr>
              <w:t>Images</w:t>
            </w:r>
            <w:r>
              <w:rPr>
                <w:rFonts w:ascii="Times New Roman"/>
                <w:w w:val="99"/>
                <w:sz w:val="18"/>
              </w:rPr>
              <w:t> </w:t>
            </w:r>
            <w:r>
              <w:rPr>
                <w:rFonts w:ascii="Times New Roman"/>
                <w:sz w:val="18"/>
              </w:rPr>
              <w:t>SEA</w:t>
            </w:r>
          </w:p>
          <w:p>
            <w:pPr>
              <w:pStyle w:val="TableParagraph"/>
              <w:spacing w:line="362" w:lineRule="auto" w:before="3"/>
              <w:ind w:left="38" w:right="38" w:hanging="1"/>
              <w:jc w:val="center"/>
              <w:rPr>
                <w:rFonts w:ascii="Times New Roman" w:hAnsi="Times New Roman" w:cs="Times New Roman" w:eastAsia="Times New Roman" w:hint="default"/>
                <w:sz w:val="18"/>
                <w:szCs w:val="18"/>
              </w:rPr>
            </w:pPr>
            <w:r>
              <w:rPr>
                <w:rFonts w:ascii="Times New Roman"/>
                <w:sz w:val="18"/>
              </w:rPr>
              <w:t>Holdings</w:t>
            </w:r>
            <w:r>
              <w:rPr>
                <w:rFonts w:ascii="Times New Roman"/>
                <w:w w:val="99"/>
                <w:sz w:val="18"/>
              </w:rPr>
              <w:t> </w:t>
            </w:r>
            <w:r>
              <w:rPr>
                <w:rFonts w:ascii="Times New Roman"/>
                <w:sz w:val="18"/>
              </w:rPr>
              <w:t>Co.,Limite</w:t>
            </w:r>
            <w:r>
              <w:rPr>
                <w:rFonts w:ascii="Times New Roman"/>
                <w:w w:val="99"/>
                <w:sz w:val="18"/>
              </w:rPr>
              <w:t> </w:t>
            </w:r>
            <w:r>
              <w:rPr>
                <w:rFonts w:ascii="Times New Roman"/>
                <w:sz w:val="18"/>
              </w:rPr>
              <w:t>d</w:t>
            </w:r>
          </w:p>
        </w:tc>
        <w:tc>
          <w:tcPr>
            <w:tcW w:w="8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70" w:right="68"/>
              <w:jc w:val="both"/>
              <w:rPr>
                <w:rFonts w:ascii="宋体" w:hAnsi="宋体" w:cs="宋体" w:eastAsia="宋体" w:hint="default"/>
                <w:sz w:val="18"/>
                <w:szCs w:val="18"/>
              </w:rPr>
            </w:pPr>
            <w:r>
              <w:rPr>
                <w:rFonts w:ascii="宋体" w:hAnsi="宋体" w:cs="宋体" w:eastAsia="宋体" w:hint="default"/>
                <w:sz w:val="18"/>
                <w:szCs w:val="18"/>
              </w:rPr>
              <w:t>华融创新 投资股份 有限公司</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68" w:right="68"/>
              <w:jc w:val="center"/>
              <w:rPr>
                <w:rFonts w:ascii="宋体" w:hAnsi="宋体" w:cs="宋体" w:eastAsia="宋体" w:hint="default"/>
                <w:sz w:val="18"/>
                <w:szCs w:val="18"/>
              </w:rPr>
            </w:pPr>
            <w:r>
              <w:rPr>
                <w:rFonts w:ascii="宋体" w:hAnsi="宋体" w:cs="宋体" w:eastAsia="宋体" w:hint="default"/>
                <w:sz w:val="18"/>
                <w:szCs w:val="18"/>
              </w:rPr>
              <w:t>广东易教 优培教育 科技有限 公司</w:t>
            </w:r>
          </w:p>
        </w:tc>
        <w:tc>
          <w:tcPr>
            <w:tcW w:w="869"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辽宁新兴 文化创业 投资基金 合伙企业</w:t>
            </w:r>
          </w:p>
          <w:p>
            <w:pPr>
              <w:pStyle w:val="TableParagraph"/>
              <w:spacing w:line="319" w:lineRule="auto" w:before="17"/>
              <w:ind w:left="248" w:right="68" w:hanging="180"/>
              <w:jc w:val="left"/>
              <w:rPr>
                <w:rFonts w:ascii="宋体" w:hAnsi="宋体" w:cs="宋体" w:eastAsia="宋体" w:hint="default"/>
                <w:sz w:val="18"/>
                <w:szCs w:val="18"/>
              </w:rPr>
            </w:pPr>
            <w:r>
              <w:rPr>
                <w:rFonts w:ascii="宋体" w:hAnsi="宋体" w:cs="宋体" w:eastAsia="宋体" w:hint="default"/>
                <w:sz w:val="18"/>
                <w:szCs w:val="18"/>
              </w:rPr>
              <w:t>（有限合 伙）</w:t>
            </w:r>
          </w:p>
        </w:tc>
      </w:tr>
      <w:tr>
        <w:trPr>
          <w:trHeight w:val="393"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
        </w:tc>
        <w:tc>
          <w:tcPr>
            <w:tcW w:w="880" w:type="dxa"/>
            <w:vMerge/>
            <w:tcBorders>
              <w:left w:val="single" w:sz="9" w:space="0" w:color="D2D2D2"/>
              <w:right w:val="single" w:sz="4" w:space="0" w:color="000000"/>
            </w:tcBorders>
            <w:shd w:val="clear" w:color="auto" w:fill="D9D9D9"/>
          </w:tcPr>
          <w:p>
            <w:pPr/>
          </w:p>
        </w:tc>
        <w:tc>
          <w:tcPr>
            <w:tcW w:w="870"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70"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c>
          <w:tcPr>
            <w:tcW w:w="869" w:type="dxa"/>
            <w:vMerge/>
            <w:tcBorders>
              <w:left w:val="single" w:sz="4" w:space="0" w:color="000000"/>
              <w:right w:val="single" w:sz="4" w:space="0" w:color="000000"/>
            </w:tcBorders>
            <w:shd w:val="clear" w:color="auto" w:fill="D9D9D9"/>
          </w:tcPr>
          <w:p>
            <w:pPr/>
          </w:p>
        </w:tc>
      </w:tr>
      <w:tr>
        <w:trPr>
          <w:trHeight w:val="785"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shd w:val="clear" w:color="auto" w:fill="D9D9D9"/>
          </w:tcPr>
          <w:p>
            <w:pPr/>
          </w:p>
        </w:tc>
        <w:tc>
          <w:tcPr>
            <w:tcW w:w="870"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70"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c>
          <w:tcPr>
            <w:tcW w:w="869" w:type="dxa"/>
            <w:vMerge/>
            <w:tcBorders>
              <w:left w:val="single" w:sz="4" w:space="0" w:color="000000"/>
              <w:bottom w:val="single" w:sz="4" w:space="0" w:color="000000"/>
              <w:right w:val="single" w:sz="4" w:space="0" w:color="000000"/>
            </w:tcBorders>
            <w:shd w:val="clear" w:color="auto" w:fill="D9D9D9"/>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65,828,395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121,370,46</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5.70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450,031,12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8.26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67,249,076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31,620,848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47,363,506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72,861,822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4,175,629,</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300.12</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46,213,855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213,758,87</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0.75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8,315,927,</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200.40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212,970.49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154,560,00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63,544,109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1,393,852,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879.76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112,042,25</w:t>
            </w:r>
          </w:p>
          <w:p>
            <w:pPr>
              <w:pStyle w:val="TableParagraph"/>
              <w:spacing w:line="240" w:lineRule="auto" w:before="106"/>
              <w:ind w:left="525" w:right="0"/>
              <w:jc w:val="left"/>
              <w:rPr>
                <w:rFonts w:ascii="Times New Roman" w:hAnsi="Times New Roman" w:cs="Times New Roman" w:eastAsia="Times New Roman" w:hint="default"/>
                <w:sz w:val="18"/>
                <w:szCs w:val="18"/>
              </w:rPr>
            </w:pPr>
            <w:r>
              <w:rPr>
                <w:rFonts w:ascii="Times New Roman"/>
                <w:sz w:val="18"/>
              </w:rPr>
              <w:t>0.58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335,129,33</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6.45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8,765,958,</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328.66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67,462,046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186,180,84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110,907,61</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6.07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78,934,732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5,569,482,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179.88</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30,604,058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21,771,745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2,992,484,</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796.68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28,367,482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300.00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42,084,456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29,520,328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2,544,395,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684.85</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5,172,662,</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272.55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6,072,910.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2,495,072,</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876.12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30,604,058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23,936,727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8,165,147,</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069.23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28,367,482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300.00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42,084,456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35,593,238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5,039,468,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560.97</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6"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81,438,192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311,192,60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9.37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600,811,25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39,094,564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186,180,84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68,823,159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323,263,05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3.18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530,013,61</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8.91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36,647,186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155,596,30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4.69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120,162,25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13,683,097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97,986,980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30,970,421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23,299,917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106,002,72</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3.78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36,647,186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313,863,81</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7.36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120,162,25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13,683,097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97,986,980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30,188,194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23,299,917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106,002,72</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3.78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4,795,791.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90,176,029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189,604,55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9.74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50,809,585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4,252,902.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36,203,767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118,733,98</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9.12</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1"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-1,695,384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897,206.23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81,602,543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33,611,606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-3,818,851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635,098.10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30,013,618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-21,343,80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8.60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3"/>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-1,695,384</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-20,446,60</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2.37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81,602,543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33,611,606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-3,818,851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635,098.10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30,013,618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03"/>
              <w:jc w:val="left"/>
              <w:rPr>
                <w:rFonts w:ascii="宋体" w:hAnsi="宋体" w:cs="宋体" w:eastAsia="宋体" w:hint="default"/>
                <w:sz w:val="18"/>
                <w:szCs w:val="18"/>
              </w:rPr>
            </w:pPr>
            <w:r>
              <w:rPr>
                <w:rFonts w:ascii="宋体" w:hAnsi="宋体" w:cs="宋体" w:eastAsia="宋体" w:hint="default"/>
                <w:sz w:val="18"/>
                <w:szCs w:val="18"/>
              </w:rPr>
              <w:t>本年度收 到的来自</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67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14"/>
              <w:jc w:val="left"/>
              <w:rPr>
                <w:rFonts w:ascii="宋体" w:hAnsi="宋体" w:cs="宋体" w:eastAsia="宋体" w:hint="default"/>
                <w:sz w:val="18"/>
                <w:szCs w:val="18"/>
              </w:rPr>
            </w:pPr>
            <w:r>
              <w:rPr>
                <w:rFonts w:ascii="宋体" w:hAnsi="宋体" w:cs="宋体" w:eastAsia="宋体" w:hint="default"/>
                <w:sz w:val="18"/>
                <w:szCs w:val="18"/>
              </w:rPr>
              <w:t>联营企业 的股利</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Heading4"/>
        <w:spacing w:line="273" w:lineRule="auto" w:before="90"/>
        <w:ind w:right="1131"/>
        <w:jc w:val="both"/>
      </w:pPr>
      <w:r>
        <w:rPr>
          <w:spacing w:val="-1"/>
        </w:rPr>
        <w:t>注：广东易教优培教育科技有限公司、辽宁新兴文化创业投资基金合伙企业（有限合伙）系本年度新增投</w:t>
      </w:r>
      <w:r>
        <w:rPr>
          <w:spacing w:val="-86"/>
        </w:rPr>
        <w:t> </w:t>
      </w:r>
      <w:r>
        <w:rPr>
          <w:spacing w:val="-86"/>
        </w:rPr>
      </w:r>
      <w:r>
        <w:rPr>
          <w:spacing w:val="-1"/>
        </w:rPr>
        <w:t>资的联营企业，上表仅包含取得投资后该联营企业的财务数据，上述财务数据是以取得投资时该联营企业</w:t>
      </w:r>
      <w:r>
        <w:rPr>
          <w:spacing w:val="-81"/>
        </w:rPr>
        <w:t> </w:t>
      </w:r>
      <w:r>
        <w:rPr>
          <w:spacing w:val="-81"/>
        </w:rPr>
      </w:r>
      <w:r>
        <w:rPr/>
        <w:t>可辨认资产和负债的公允价值为基础进行调整后列报的。</w:t>
      </w:r>
    </w:p>
    <w:p>
      <w:pPr>
        <w:spacing w:line="240" w:lineRule="auto" w:before="8"/>
        <w:rPr>
          <w:rFonts w:ascii="宋体" w:hAnsi="宋体" w:cs="宋体" w:eastAsia="宋体" w:hint="default"/>
          <w:sz w:val="23"/>
          <w:szCs w:val="23"/>
        </w:rPr>
      </w:pPr>
    </w:p>
    <w:p>
      <w:pPr>
        <w:pStyle w:val="Heading4"/>
        <w:spacing w:line="240" w:lineRule="auto" w:before="0"/>
        <w:ind w:right="0"/>
        <w:jc w:val="both"/>
      </w:pPr>
      <w:bookmarkStart w:name="（4）不重要的合营企业和联营企业的汇总财务信息" w:id="351"/>
      <w:bookmarkEnd w:id="351"/>
      <w:r>
        <w:rPr/>
      </w: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w:t>
      </w:r>
      <w:r>
        <w:rPr/>
        <w:t>不重要的合营企业和联营企业的汇总财务信息</w:t>
      </w:r>
    </w:p>
    <w:p>
      <w:pPr>
        <w:spacing w:line="240" w:lineRule="auto" w:before="8"/>
        <w:rPr>
          <w:rFonts w:ascii="宋体" w:hAnsi="宋体" w:cs="宋体" w:eastAsia="宋体" w:hint="default"/>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8,549,749.08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15,992,355.78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-239,538.94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-1,178,756.58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-239,538.94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-1,178,756.58</w:t>
            </w:r>
          </w:p>
        </w:tc>
      </w:tr>
    </w:tbl>
    <w:p>
      <w:pPr>
        <w:pStyle w:val="BodyText"/>
        <w:spacing w:line="240" w:lineRule="auto" w:before="51"/>
        <w:ind w:left="154" w:right="0"/>
        <w:jc w:val="both"/>
      </w:pPr>
      <w:r>
        <w:rPr/>
        <w:t>其他说明</w:t>
      </w:r>
    </w:p>
    <w:p>
      <w:pPr>
        <w:pStyle w:val="Heading4"/>
        <w:spacing w:line="273" w:lineRule="auto" w:before="91"/>
        <w:ind w:left="154" w:right="1302" w:firstLine="420"/>
        <w:jc w:val="left"/>
      </w:pPr>
      <w:r>
        <w:rPr/>
        <w:t>注：不重要的联营企业为常州视觉跃动文化发展有限公司及北京华盖映月影视文化投资管理有限公 司。</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left="154" w:right="0"/>
        <w:jc w:val="both"/>
        <w:rPr>
          <w:b w:val="0"/>
          <w:bCs w:val="0"/>
        </w:rPr>
      </w:pPr>
      <w:bookmarkStart w:name="十、与金融工具相关的风险" w:id="352"/>
      <w:bookmarkEnd w:id="352"/>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4"/>
        <w:spacing w:line="264" w:lineRule="auto" w:before="0"/>
        <w:ind w:right="1131" w:firstLine="420"/>
        <w:jc w:val="both"/>
      </w:pPr>
      <w:r>
        <w:rPr>
          <w:spacing w:val="-1"/>
        </w:rPr>
        <w:t>本集团董事会负责规划并建立本集团的风险管理架构，制定本集团的风险管理政策和相关指引并监督</w:t>
      </w:r>
      <w:r>
        <w:rPr/>
        <w:t> </w:t>
      </w:r>
      <w:r>
        <w:rPr>
          <w:spacing w:val="-1"/>
        </w:rPr>
        <w:t>风险管理措施的执行情况。通过制定风险管理政策，设定适当的控制程序以识别、分析、监控和报告风险</w:t>
      </w:r>
      <w:r>
        <w:rPr>
          <w:spacing w:val="-86"/>
        </w:rPr>
        <w:t> </w:t>
      </w:r>
      <w:r>
        <w:rPr>
          <w:spacing w:val="-86"/>
        </w:rPr>
      </w:r>
      <w:r>
        <w:rPr>
          <w:spacing w:val="-3"/>
        </w:rPr>
        <w:t>情况，定期对整体风险状况进行评估，本集团的经营活动会面临各种金融风险：市场风险</w:t>
      </w:r>
      <w:r>
        <w:rPr>
          <w:rFonts w:ascii="Times New Roman" w:hAnsi="Times New Roman" w:cs="Times New Roman" w:eastAsia="Times New Roman" w:hint="default"/>
          <w:spacing w:val="-3"/>
        </w:rPr>
        <w:t>(</w:t>
      </w:r>
      <w:r>
        <w:rPr>
          <w:spacing w:val="-3"/>
        </w:rPr>
        <w:t>主要为外汇风险</w:t>
      </w:r>
      <w:r>
        <w:rPr>
          <w:spacing w:val="-59"/>
        </w:rPr>
        <w:t> </w:t>
      </w:r>
      <w:r>
        <w:rPr>
          <w:spacing w:val="-59"/>
        </w:rPr>
      </w:r>
      <w:r>
        <w:rPr>
          <w:spacing w:val="-3"/>
        </w:rPr>
        <w:t>和利率风险</w:t>
      </w:r>
      <w:r>
        <w:rPr>
          <w:rFonts w:ascii="Times New Roman" w:hAnsi="Times New Roman" w:cs="Times New Roman" w:eastAsia="Times New Roman" w:hint="default"/>
          <w:spacing w:val="-3"/>
        </w:rPr>
        <w:t>)</w:t>
      </w:r>
      <w:r>
        <w:rPr>
          <w:spacing w:val="-3"/>
        </w:rPr>
        <w:t>、信用风险和流动性风险。本集团整体的风险管理计划针对金融市场的不可预见性，力求减少</w:t>
      </w:r>
      <w:r>
        <w:rPr>
          <w:spacing w:val="-60"/>
        </w:rPr>
        <w:t> </w:t>
      </w:r>
      <w:r>
        <w:rPr>
          <w:spacing w:val="-60"/>
        </w:rPr>
      </w:r>
      <w:r>
        <w:rPr/>
        <w:t>对本集团财务业绩的潜在不利影响。</w:t>
      </w:r>
    </w:p>
    <w:p>
      <w:pPr>
        <w:pStyle w:val="Heading4"/>
        <w:spacing w:line="268" w:lineRule="auto" w:before="16"/>
        <w:ind w:right="1024" w:firstLine="420"/>
        <w:jc w:val="left"/>
      </w:pPr>
      <w:r>
        <w:rPr/>
        <w:t>本集团通过适当的多样化投资及业务组合来分散金融工具风险，并通过制定相应的风险管理政策减少 集中于任何单一行业，特定地区或特定交易对手的风险。于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日，本集团没有对客户类型、某 一行业或地理位置的集中风险。相反，我们的业务对象和投资具有广泛分布的特征，我们的金融工具风险 </w:t>
      </w:r>
      <w:r>
        <w:rPr>
          <w:spacing w:val="-3"/>
        </w:rPr>
        <w:t>敞口主要受各个客户特征的影响，不具有相似特征并且受相似经济或其他条件变化影响的金融工具，因此，</w:t>
      </w:r>
      <w:r>
        <w:rPr>
          <w:spacing w:val="-92"/>
        </w:rPr>
        <w:t> </w:t>
      </w:r>
      <w:r>
        <w:rPr>
          <w:spacing w:val="-92"/>
        </w:rPr>
      </w:r>
      <w:r>
        <w:rPr/>
        <w:t>我们相信我们的风险集中是有限的。</w:t>
      </w:r>
    </w:p>
    <w:p>
      <w:pPr>
        <w:pStyle w:val="Heading3"/>
        <w:spacing w:line="240" w:lineRule="auto" w:before="12"/>
        <w:ind w:left="636" w:right="0"/>
        <w:jc w:val="left"/>
        <w:rPr>
          <w:b w:val="0"/>
          <w:bCs w:val="0"/>
        </w:rPr>
      </w:pPr>
      <w:r>
        <w:rPr>
          <w:rFonts w:ascii="Times New Roman" w:hAnsi="Times New Roman" w:cs="Times New Roman" w:eastAsia="Times New Roman" w:hint="default"/>
        </w:rPr>
        <w:t>1</w:t>
      </w:r>
      <w:r>
        <w:rPr/>
        <w:t>、市场风险</w:t>
      </w:r>
      <w:r>
        <w:rPr>
          <w:b w:val="0"/>
          <w:bCs w:val="0"/>
        </w:rPr>
      </w:r>
    </w:p>
    <w:p>
      <w:pPr>
        <w:pStyle w:val="Heading4"/>
        <w:spacing w:line="256" w:lineRule="auto" w:before="21"/>
        <w:ind w:left="573" w:right="0"/>
        <w:jc w:val="left"/>
      </w:pPr>
      <w:r>
        <w:rPr/>
        <w:t>（</w:t>
      </w:r>
      <w:r>
        <w:rPr>
          <w:rFonts w:ascii="Times New Roman" w:hAnsi="Times New Roman" w:cs="Times New Roman" w:eastAsia="Times New Roman" w:hint="default"/>
        </w:rPr>
        <w:t>1</w:t>
      </w:r>
      <w:r>
        <w:rPr/>
        <w:t>）外汇风险 </w:t>
      </w:r>
      <w:r>
        <w:rPr>
          <w:spacing w:val="-1"/>
        </w:rPr>
        <w:t>本集团的主要经营位于中国境内，主要业务以人民币结算。但本集团已确认的外币资产和负债及未来</w:t>
      </w:r>
    </w:p>
    <w:p>
      <w:pPr>
        <w:pStyle w:val="Heading4"/>
        <w:spacing w:line="264" w:lineRule="auto" w:before="22"/>
        <w:ind w:right="1130"/>
        <w:jc w:val="both"/>
      </w:pPr>
      <w:r>
        <w:rPr/>
        <w:t>的外币交易</w:t>
      </w:r>
      <w:r>
        <w:rPr>
          <w:rFonts w:ascii="Times New Roman" w:hAnsi="Times New Roman" w:cs="Times New Roman" w:eastAsia="Times New Roman" w:hint="default"/>
        </w:rPr>
        <w:t>(</w:t>
      </w:r>
      <w:r>
        <w:rPr/>
        <w:t>外币资产和负债及外币交易的计价货币主要为美元</w:t>
      </w:r>
      <w:r>
        <w:rPr>
          <w:rFonts w:ascii="Times New Roman" w:hAnsi="Times New Roman" w:cs="Times New Roman" w:eastAsia="Times New Roman" w:hint="default"/>
        </w:rPr>
        <w:t>)</w:t>
      </w:r>
      <w:r>
        <w:rPr/>
        <w:t>依然存在外汇风险。本集团总部财务部门</w:t>
      </w:r>
      <w:r>
        <w:rPr>
          <w:spacing w:val="-64"/>
        </w:rPr>
        <w:t> </w:t>
      </w:r>
      <w:r>
        <w:rPr>
          <w:spacing w:val="-64"/>
        </w:rPr>
      </w:r>
      <w:r>
        <w:rPr>
          <w:spacing w:val="-1"/>
        </w:rPr>
        <w:t>负责监控集团外币交易和外币资产及负债的规模，以最大程度降低面临的外汇风险；为此，本集团可能会</w:t>
      </w:r>
      <w:r>
        <w:rPr>
          <w:spacing w:val="-83"/>
        </w:rPr>
        <w:t> </w:t>
      </w:r>
      <w:r>
        <w:rPr>
          <w:spacing w:val="-83"/>
        </w:rPr>
      </w:r>
      <w:r>
        <w:rPr>
          <w:spacing w:val="-1"/>
        </w:rPr>
        <w:t>以签署远期外汇合约或货币互换合约的方式来达到规避外汇风险的目的。于</w:t>
      </w:r>
      <w:r>
        <w:rPr>
          <w:rFonts w:ascii="Times New Roman" w:hAnsi="Times New Roman" w:cs="Times New Roman" w:eastAsia="Times New Roman" w:hint="default"/>
          <w:spacing w:val="-1"/>
        </w:rPr>
        <w:t>2017</w:t>
      </w:r>
      <w:r>
        <w:rPr>
          <w:spacing w:val="-1"/>
        </w:rPr>
        <w:t>年度及</w:t>
      </w:r>
      <w:r>
        <w:rPr>
          <w:rFonts w:ascii="Times New Roman" w:hAnsi="Times New Roman" w:cs="Times New Roman" w:eastAsia="Times New Roman" w:hint="default"/>
          <w:spacing w:val="-1"/>
        </w:rPr>
        <w:t>2016</w:t>
      </w:r>
      <w:r>
        <w:rPr>
          <w:spacing w:val="-1"/>
        </w:rPr>
        <w:t>年度，本集团</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573" w:right="0" w:hanging="420"/>
        <w:jc w:val="left"/>
      </w:pPr>
      <w:r>
        <w:rPr/>
        <w:t>未签署任何远期外汇合约或货币互换合约。 </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日及</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日，本集团持有的外币金融资产和外币金融负债折算成人民币的金</w:t>
      </w:r>
    </w:p>
    <w:p>
      <w:pPr>
        <w:pStyle w:val="Heading4"/>
        <w:spacing w:line="264" w:lineRule="exact" w:before="0"/>
        <w:ind w:right="0"/>
        <w:jc w:val="left"/>
      </w:pPr>
      <w:r>
        <w:rPr/>
        <w:t>额列示如下：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31"/>
        <w:gridCol w:w="2117"/>
        <w:gridCol w:w="1908"/>
        <w:gridCol w:w="2136"/>
      </w:tblGrid>
      <w:tr>
        <w:trPr>
          <w:trHeight w:val="342" w:hRule="exact"/>
        </w:trPr>
        <w:tc>
          <w:tcPr>
            <w:tcW w:w="2531"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6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2531" w:type="dxa"/>
            <w:vMerge/>
            <w:tcBorders>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其他外币项目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117,783,610.45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2,153,132.08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119,936,742.53</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6,244,950.83</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6,244,950.83</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7,573,128.19</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7,573,128.19</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52,273,600.00</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52,273,600.00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183,875,289.47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2,153,132.08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186,028,421.55</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26,839,599.99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21,176,647.18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48,016,247.17</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479,236,473.64</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479,236,473.64</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156,820,800.00</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156,820,800.00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662,896,873.63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21,176,647.18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684,073,520.81</w:t>
            </w:r>
          </w:p>
        </w:tc>
      </w:tr>
    </w:tbl>
    <w:p>
      <w:pPr>
        <w:pStyle w:val="Heading4"/>
        <w:spacing w:line="260" w:lineRule="exact" w:before="0"/>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31"/>
        <w:gridCol w:w="2117"/>
        <w:gridCol w:w="1908"/>
        <w:gridCol w:w="2136"/>
      </w:tblGrid>
      <w:tr>
        <w:trPr>
          <w:trHeight w:val="342" w:hRule="exact"/>
        </w:trPr>
        <w:tc>
          <w:tcPr>
            <w:tcW w:w="2531"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61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2531" w:type="dxa"/>
            <w:vMerge/>
            <w:tcBorders>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其他外币项目</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58,612,541.38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1,591,175.34</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60,203,716.72</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56,738,892.96</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56,738,892.96</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17,682,828.97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17,682,828.97</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55,496,000.00</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55,496,000.00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114,108,541.38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76,012,897.27</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190,121,438.65</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166,488,000.00</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166,488,000.00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24,107,571.17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22,903,333.53</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47,010,904.70</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4,518,994.95</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4,518,994.95</w:t>
            </w:r>
          </w:p>
        </w:tc>
      </w:tr>
      <w:tr>
        <w:trPr>
          <w:trHeight w:val="342"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265,995,647.29</w:t>
            </w:r>
          </w:p>
        </w:tc>
        <w:tc>
          <w:tcPr>
            <w:tcW w:w="1908" w:type="dxa"/>
            <w:tcBorders>
              <w:top w:val="single" w:sz="4" w:space="0" w:color="000000"/>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265,995,647.29</w:t>
            </w:r>
          </w:p>
        </w:tc>
      </w:tr>
      <w:tr>
        <w:trPr>
          <w:trHeight w:val="343"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456,591,218.46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27,422,328.48</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484,013,546.94</w:t>
            </w:r>
          </w:p>
        </w:tc>
      </w:tr>
    </w:tbl>
    <w:p>
      <w:pPr>
        <w:pStyle w:val="Heading4"/>
        <w:spacing w:line="276" w:lineRule="exact" w:before="0"/>
        <w:ind w:left="154" w:right="0" w:firstLine="420"/>
        <w:jc w:val="left"/>
      </w:pP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日，对于本集团各类美元金融资产和美元金融负债，如果人民币对美元升值或贬值</w:t>
      </w:r>
    </w:p>
    <w:p>
      <w:pPr>
        <w:pStyle w:val="Heading4"/>
        <w:spacing w:line="240" w:lineRule="auto" w:before="21"/>
        <w:ind w:left="154" w:right="0"/>
        <w:jc w:val="both"/>
      </w:pPr>
      <w:r>
        <w:rPr>
          <w:rFonts w:ascii="Times New Roman" w:hAnsi="Times New Roman" w:cs="Times New Roman" w:eastAsia="Times New Roman" w:hint="default"/>
          <w:spacing w:val="15"/>
        </w:rPr>
        <w:t>10%</w:t>
      </w:r>
      <w:r>
        <w:rPr>
          <w:spacing w:val="15"/>
        </w:rPr>
        <w:t>，其他因素保持不变，则本集团将减少或增加综合收益约</w:t>
      </w:r>
      <w:r>
        <w:rPr>
          <w:spacing w:val="-81"/>
        </w:rPr>
        <w:t> </w:t>
      </w:r>
      <w:r>
        <w:rPr>
          <w:rFonts w:ascii="Times New Roman" w:hAnsi="Times New Roman" w:cs="Times New Roman" w:eastAsia="Times New Roman" w:hint="default"/>
        </w:rPr>
        <w:t>47,902,158.42</w:t>
      </w:r>
      <w:r>
        <w:rPr>
          <w:rFonts w:ascii="Times New Roman" w:hAnsi="Times New Roman" w:cs="Times New Roman" w:eastAsia="Times New Roman" w:hint="default"/>
          <w:spacing w:val="-32"/>
        </w:rPr>
        <w:t> </w:t>
      </w:r>
      <w:r>
        <w:rPr>
          <w:spacing w:val="8"/>
        </w:rPr>
        <w:t>元</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w:t>
      </w:r>
      <w:r>
        <w:rPr>
          <w:spacing w:val="-86"/>
        </w:rPr>
        <w:t> </w:t>
      </w:r>
      <w:r>
        <w:rPr/>
        <w:t>约</w:t>
      </w:r>
    </w:p>
    <w:p>
      <w:pPr>
        <w:pStyle w:val="Heading4"/>
        <w:spacing w:line="240" w:lineRule="auto" w:before="21"/>
        <w:ind w:right="0"/>
        <w:jc w:val="both"/>
      </w:pPr>
      <w:r>
        <w:rPr>
          <w:rFonts w:ascii="Times New Roman" w:hAnsi="Times New Roman" w:cs="Times New Roman" w:eastAsia="Times New Roman" w:hint="default"/>
        </w:rPr>
        <w:t>34,248,267.71</w:t>
      </w:r>
      <w:r>
        <w:rPr/>
        <w:t>元</w:t>
      </w:r>
      <w:r>
        <w:rPr>
          <w:rFonts w:ascii="Times New Roman" w:hAnsi="Times New Roman" w:cs="Times New Roman" w:eastAsia="Times New Roman" w:hint="default"/>
        </w:rPr>
        <w:t>)</w:t>
      </w:r>
      <w:r>
        <w:rPr/>
        <w:t>，增加或减少股东权益约</w:t>
      </w:r>
      <w:r>
        <w:rPr>
          <w:rFonts w:ascii="Times New Roman" w:hAnsi="Times New Roman" w:cs="Times New Roman" w:eastAsia="Times New Roman" w:hint="default"/>
        </w:rPr>
        <w:t>47,902,158.42</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日：约</w:t>
      </w:r>
      <w:r>
        <w:rPr>
          <w:rFonts w:ascii="Times New Roman" w:hAnsi="Times New Roman" w:cs="Times New Roman" w:eastAsia="Times New Roman" w:hint="default"/>
        </w:rPr>
        <w:t>34,248,267.71</w:t>
      </w:r>
      <w:r>
        <w:rPr/>
        <w:t>元</w:t>
      </w:r>
      <w:r>
        <w:rPr>
          <w:rFonts w:ascii="Times New Roman" w:hAnsi="Times New Roman" w:cs="Times New Roman" w:eastAsia="Times New Roman" w:hint="default"/>
        </w:rPr>
        <w:t>)</w:t>
      </w:r>
      <w:r>
        <w:rPr/>
        <w:t>。</w:t>
      </w:r>
    </w:p>
    <w:p>
      <w:pPr>
        <w:pStyle w:val="Heading4"/>
        <w:spacing w:line="256" w:lineRule="auto" w:before="21"/>
        <w:ind w:left="574" w:right="0"/>
        <w:jc w:val="left"/>
      </w:pPr>
      <w:r>
        <w:rPr/>
        <w:t>（</w:t>
      </w:r>
      <w:r>
        <w:rPr>
          <w:rFonts w:ascii="Times New Roman" w:hAnsi="Times New Roman" w:cs="Times New Roman" w:eastAsia="Times New Roman" w:hint="default"/>
        </w:rPr>
        <w:t>2</w:t>
      </w:r>
      <w:r>
        <w:rPr/>
        <w:t>）利率风险 </w:t>
      </w:r>
      <w:r>
        <w:rPr>
          <w:spacing w:val="-1"/>
        </w:rPr>
        <w:t>本集团的利率风险主要产生于长期银行借款及应付债券等长期带息债务。浮动利率的金融负债使本集</w:t>
      </w:r>
    </w:p>
    <w:p>
      <w:pPr>
        <w:pStyle w:val="Heading4"/>
        <w:spacing w:line="264" w:lineRule="auto" w:before="23"/>
        <w:ind w:right="1129"/>
        <w:jc w:val="both"/>
      </w:pPr>
      <w:r>
        <w:rPr>
          <w:spacing w:val="-1"/>
        </w:rPr>
        <w:t>团面临现金流量利率风险，固定利率的金融负债使本集团面临公允价值利率风险。本集团根据当时的市场</w:t>
      </w:r>
      <w:r>
        <w:rPr>
          <w:spacing w:val="-81"/>
        </w:rPr>
        <w:t> </w:t>
      </w:r>
      <w:r>
        <w:rPr>
          <w:spacing w:val="-81"/>
        </w:rPr>
      </w:r>
      <w:r>
        <w:rPr>
          <w:spacing w:val="-1"/>
        </w:rPr>
        <w:t>环境来决定固定利率及浮动利率合同的相对比例。于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日，本集团长期带息债务分别为人民币</w:t>
      </w:r>
      <w:r>
        <w:rPr>
          <w:spacing w:val="-81"/>
        </w:rPr>
        <w:t> </w:t>
      </w:r>
      <w:r>
        <w:rPr>
          <w:spacing w:val="-81"/>
        </w:rPr>
      </w:r>
      <w:r>
        <w:rPr/>
        <w:t>计价的浮动利率合同，金额为</w:t>
      </w:r>
      <w:r>
        <w:rPr>
          <w:rFonts w:ascii="Times New Roman" w:hAnsi="Times New Roman" w:cs="Times New Roman" w:eastAsia="Times New Roman" w:hint="default"/>
        </w:rPr>
        <w:t>229,153,116.57</w:t>
      </w:r>
      <w:r>
        <w:rPr/>
        <w:t>元，美元计价的浮动利率合同，金额为</w:t>
      </w:r>
      <w:r>
        <w:rPr>
          <w:rFonts w:ascii="Times New Roman" w:hAnsi="Times New Roman" w:cs="Times New Roman" w:eastAsia="Times New Roman" w:hint="default"/>
        </w:rPr>
        <w:t>636,057,273.64</w:t>
      </w:r>
      <w:r>
        <w:rPr/>
        <w:t>美元。</w:t>
      </w:r>
      <w:r>
        <w:rPr>
          <w:spacing w:val="-33"/>
        </w:rPr>
        <w:t> </w:t>
      </w:r>
      <w:r>
        <w:rPr>
          <w:spacing w:val="-1"/>
        </w:rPr>
        <w:t>本集团总部财务部门持续监控集团利率水平。利率上升会增加新增带息债务的成本以及本集团尚未付清的</w:t>
      </w:r>
      <w:r>
        <w:rPr>
          <w:spacing w:val="-81"/>
        </w:rPr>
        <w:t> </w:t>
      </w:r>
      <w:r>
        <w:rPr>
          <w:spacing w:val="-81"/>
        </w:rPr>
      </w:r>
      <w:r>
        <w:rPr>
          <w:spacing w:val="-1"/>
        </w:rPr>
        <w:t>以浮动利率计息的带息债务的利息支出，并对本集团的财务业绩产生重大的不利影响，管理层会依据最新</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right="0"/>
        <w:jc w:val="left"/>
      </w:pPr>
      <w:r>
        <w:rPr>
          <w:spacing w:val="-1"/>
        </w:rPr>
        <w:t>的市场状况及时做出调整，这些调整可能是进行利率互换的安排来降低利率风险。于</w:t>
      </w:r>
      <w:r>
        <w:rPr>
          <w:rFonts w:ascii="Times New Roman" w:hAnsi="Times New Roman" w:cs="Times New Roman" w:eastAsia="Times New Roman" w:hint="default"/>
          <w:spacing w:val="-1"/>
        </w:rPr>
        <w:t>2017</w:t>
      </w:r>
      <w:r>
        <w:rPr>
          <w:spacing w:val="-1"/>
        </w:rPr>
        <w:t>年度本集团并无</w:t>
      </w:r>
      <w:r>
        <w:rPr>
          <w:spacing w:val="-79"/>
        </w:rPr>
        <w:t> </w:t>
      </w:r>
      <w:r>
        <w:rPr>
          <w:spacing w:val="-79"/>
        </w:rPr>
      </w:r>
      <w:r>
        <w:rPr/>
        <w:t>利率互换安排。</w:t>
      </w:r>
    </w:p>
    <w:p>
      <w:pPr>
        <w:pStyle w:val="Heading4"/>
        <w:spacing w:line="256" w:lineRule="auto" w:before="22"/>
        <w:ind w:right="1131" w:firstLine="420"/>
        <w:jc w:val="both"/>
      </w:pP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日，如果以浮动利率计算的借款利率上升或下降</w:t>
      </w:r>
      <w:r>
        <w:rPr>
          <w:rFonts w:ascii="Times New Roman" w:hAnsi="Times New Roman" w:cs="Times New Roman" w:eastAsia="Times New Roman" w:hint="default"/>
          <w:spacing w:val="-1"/>
        </w:rPr>
        <w:t>50</w:t>
      </w:r>
      <w:r>
        <w:rPr>
          <w:spacing w:val="-1"/>
        </w:rPr>
        <w:t>个基点，而其他因素保持不变，本</w:t>
      </w:r>
      <w:r>
        <w:rPr/>
        <w:t> 集团的净利润会减少或增加约</w:t>
      </w:r>
      <w:r>
        <w:rPr>
          <w:rFonts w:ascii="Times New Roman" w:hAnsi="Times New Roman" w:cs="Times New Roman" w:eastAsia="Times New Roman" w:hint="default"/>
        </w:rPr>
        <w:t>2,253,958.00</w:t>
      </w:r>
      <w:r>
        <w:rPr/>
        <w:t>元。</w:t>
      </w:r>
    </w:p>
    <w:p>
      <w:pPr>
        <w:pStyle w:val="Heading4"/>
        <w:spacing w:line="256" w:lineRule="auto" w:before="5"/>
        <w:ind w:left="573" w:right="0" w:firstLine="62"/>
        <w:jc w:val="left"/>
      </w:pPr>
      <w:r>
        <w:rPr>
          <w:rFonts w:ascii="Times New Roman" w:hAnsi="Times New Roman" w:cs="Times New Roman" w:eastAsia="Times New Roman" w:hint="default"/>
        </w:rPr>
        <w:t>2</w:t>
      </w:r>
      <w:r>
        <w:rPr>
          <w:rFonts w:ascii="宋体" w:hAnsi="宋体" w:cs="宋体" w:eastAsia="宋体" w:hint="default"/>
          <w:b/>
          <w:bCs/>
        </w:rPr>
        <w:t>、信用风险</w:t>
      </w:r>
      <w:r>
        <w:rPr>
          <w:rFonts w:ascii="宋体" w:hAnsi="宋体" w:cs="宋体" w:eastAsia="宋体" w:hint="default"/>
          <w:b/>
          <w:bCs/>
          <w:w w:val="99"/>
        </w:rPr>
        <w:t> </w:t>
      </w:r>
      <w:r>
        <w:rPr>
          <w:spacing w:val="-1"/>
        </w:rPr>
        <w:t>本集团对信用风险按组合分类进行管理。信用风险主要产生于银行存款、应收账款、其他应收款和应</w:t>
      </w:r>
    </w:p>
    <w:p>
      <w:pPr>
        <w:pStyle w:val="Heading4"/>
        <w:spacing w:line="240" w:lineRule="auto" w:before="22"/>
        <w:ind w:right="0"/>
        <w:jc w:val="left"/>
      </w:pPr>
      <w:r>
        <w:rPr/>
        <w:t>收票据等。</w:t>
      </w:r>
    </w:p>
    <w:p>
      <w:pPr>
        <w:pStyle w:val="Heading4"/>
        <w:spacing w:line="273" w:lineRule="auto" w:before="37"/>
        <w:ind w:left="154" w:right="1132" w:firstLine="420"/>
        <w:jc w:val="both"/>
      </w:pPr>
      <w:r>
        <w:rPr>
          <w:spacing w:val="-1"/>
        </w:rPr>
        <w:t>本集团银行存款主要存放于国有商业银行和其它大中型上市银行，本集团认为其不存在重大的信用风</w:t>
      </w:r>
      <w:r>
        <w:rPr/>
        <w:t> 险，不会产生因对方单位违约而导致的任何重大损失。</w:t>
      </w:r>
    </w:p>
    <w:p>
      <w:pPr>
        <w:pStyle w:val="Heading4"/>
        <w:spacing w:line="273" w:lineRule="auto"/>
        <w:ind w:left="154" w:right="1131" w:firstLine="420"/>
        <w:jc w:val="both"/>
      </w:pPr>
      <w:r>
        <w:rPr>
          <w:spacing w:val="-1"/>
        </w:rPr>
        <w:t>此外，对于应收账款、其他应收款和应收票据，本集团设定相关政策以控制信用风险敞口。本集团基</w:t>
      </w:r>
      <w:r>
        <w:rPr/>
        <w:t> </w:t>
      </w:r>
      <w:r>
        <w:rPr>
          <w:spacing w:val="-1"/>
        </w:rPr>
        <w:t>于对客户的财务状况、从第三方获取担保的可能性、信用记录及其它因素诸如目前市场状况等评估客户的</w:t>
      </w:r>
      <w:r>
        <w:rPr>
          <w:spacing w:val="-81"/>
        </w:rPr>
        <w:t> </w:t>
      </w:r>
      <w:r>
        <w:rPr>
          <w:spacing w:val="-81"/>
        </w:rPr>
      </w:r>
      <w:r>
        <w:rPr>
          <w:spacing w:val="-1"/>
        </w:rPr>
        <w:t>信用资质并设置相应信用期。本集团会定期对客户信用记录进行监控，对于信用记录不良的客户，本集团</w:t>
      </w:r>
      <w:r>
        <w:rPr>
          <w:spacing w:val="-83"/>
        </w:rPr>
        <w:t> </w:t>
      </w:r>
      <w:r>
        <w:rPr>
          <w:spacing w:val="-83"/>
        </w:rPr>
      </w:r>
      <w:r>
        <w:rPr/>
        <w:t>会采用书面催款、缩短信用期或取消信用期等方式，以确保本集团的整体信用风险在可控的范围内。</w:t>
      </w:r>
    </w:p>
    <w:p>
      <w:pPr>
        <w:pStyle w:val="Heading4"/>
        <w:spacing w:line="256" w:lineRule="auto"/>
        <w:ind w:left="573" w:right="0" w:firstLine="62"/>
        <w:jc w:val="left"/>
      </w:pPr>
      <w:r>
        <w:rPr>
          <w:rFonts w:ascii="Times New Roman" w:hAnsi="Times New Roman" w:cs="Times New Roman" w:eastAsia="Times New Roman" w:hint="default"/>
        </w:rPr>
        <w:t>3</w:t>
      </w:r>
      <w:r>
        <w:rPr>
          <w:rFonts w:ascii="宋体" w:hAnsi="宋体" w:cs="宋体" w:eastAsia="宋体" w:hint="default"/>
          <w:b/>
          <w:bCs/>
        </w:rPr>
        <w:t>、流动性风险</w:t>
      </w:r>
      <w:r>
        <w:rPr>
          <w:rFonts w:ascii="宋体" w:hAnsi="宋体" w:cs="宋体" w:eastAsia="宋体" w:hint="default"/>
          <w:b/>
          <w:bCs/>
          <w:w w:val="99"/>
        </w:rPr>
        <w:t> </w:t>
      </w:r>
      <w:r>
        <w:rPr>
          <w:spacing w:val="3"/>
        </w:rPr>
        <w:t>本集团内各子公司负责其自身的现金流量预测。总部财务部门在汇总各子公司现金流量预测的基础</w:t>
      </w:r>
    </w:p>
    <w:p>
      <w:pPr>
        <w:pStyle w:val="Heading4"/>
        <w:spacing w:line="273" w:lineRule="auto" w:before="22"/>
        <w:ind w:right="1024"/>
        <w:jc w:val="left"/>
      </w:pPr>
      <w:r>
        <w:rPr>
          <w:spacing w:val="-3"/>
        </w:rPr>
        <w:t>上，在集团层面持续监控短期和长期的资金需求，以确保维持充裕的现金储备和可供随时变现的有价证券；</w:t>
      </w:r>
      <w:r>
        <w:rPr>
          <w:spacing w:val="-92"/>
        </w:rPr>
        <w:t> </w:t>
      </w:r>
      <w:r>
        <w:rPr>
          <w:spacing w:val="-92"/>
        </w:rPr>
      </w:r>
      <w:r>
        <w:rPr/>
        <w:t>同时持续监控是否符合借款协议的规定，从主要金融机构获得提供足够备用资金的承诺，以满足短期和长</w:t>
      </w:r>
      <w:r>
        <w:rPr/>
        <w:t> 期的资金需求。</w:t>
      </w:r>
    </w:p>
    <w:p>
      <w:pPr>
        <w:pStyle w:val="Heading4"/>
        <w:spacing w:line="240" w:lineRule="auto"/>
        <w:ind w:left="573" w:right="0"/>
        <w:jc w:val="left"/>
      </w:pPr>
      <w:r>
        <w:rPr/>
        <w:t>于资产负债表日，本集团各项金融负债以未折现的合同现金流量按到期日列示如下：</w:t>
      </w:r>
    </w:p>
    <w:p>
      <w:pPr>
        <w:spacing w:line="240" w:lineRule="auto" w:before="1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357"/>
        <w:gridCol w:w="1358"/>
        <w:gridCol w:w="1357"/>
        <w:gridCol w:w="1356"/>
        <w:gridCol w:w="2018"/>
      </w:tblGrid>
      <w:tr>
        <w:trPr>
          <w:trHeight w:val="342" w:hRule="exact"/>
        </w:trPr>
        <w:tc>
          <w:tcPr>
            <w:tcW w:w="1560"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74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2" w:hRule="exact"/>
        </w:trPr>
        <w:tc>
          <w:tcPr>
            <w:tcW w:w="1560" w:type="dxa"/>
            <w:vMerge/>
            <w:tcBorders>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到</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到</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157,629,116.17</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157,629,116.17</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185,249,437.31</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185,249,437.31</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12,667,656.42</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12,667,656.42</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64,672,694.04</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64,672,694.04</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2,470,055.99</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2,470,055.99</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20,962,908.61</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20,962,908.61</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86,276,540.00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190,372,122.19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213,014,920.00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489,663,582.19</w:t>
            </w:r>
          </w:p>
        </w:tc>
      </w:tr>
      <w:tr>
        <w:trPr>
          <w:trHeight w:val="6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9"/>
                <w:sz w:val="21"/>
                <w:szCs w:val="21"/>
              </w:rPr>
              <w:t>一年内到期的非</w:t>
            </w:r>
            <w:r>
              <w:rPr>
                <w:rFonts w:ascii="宋体" w:hAnsi="宋体" w:cs="宋体" w:eastAsia="宋体" w:hint="default"/>
                <w:sz w:val="21"/>
                <w:szCs w:val="21"/>
              </w:rPr>
              <w:t> 流动负债</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188,066,891.45</w:t>
            </w: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188,066,891.45</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156,820,800.00</w:t>
            </w:r>
          </w:p>
        </w:tc>
        <w:tc>
          <w:tcPr>
            <w:tcW w:w="1356"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156,820,800.00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100,710,000.00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110,710,000.00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631,718,759.99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186,986,540.00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352,192,922.19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218,014,920.00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1,388,913,142.18</w:t>
            </w:r>
          </w:p>
        </w:tc>
      </w:tr>
    </w:tbl>
    <w:p>
      <w:pPr>
        <w:pStyle w:val="Heading4"/>
        <w:spacing w:line="260" w:lineRule="exact" w:before="0"/>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60"/>
        <w:gridCol w:w="1414"/>
        <w:gridCol w:w="1415"/>
        <w:gridCol w:w="1414"/>
        <w:gridCol w:w="1414"/>
        <w:gridCol w:w="1562"/>
      </w:tblGrid>
      <w:tr>
        <w:trPr>
          <w:trHeight w:val="342" w:hRule="exact"/>
        </w:trPr>
        <w:tc>
          <w:tcPr>
            <w:tcW w:w="1560"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1"/>
                <w:sz w:val="21"/>
                <w:szCs w:val="21"/>
              </w:rPr>
              <w:t> </w:t>
            </w:r>
            <w:r>
              <w:rPr>
                <w:rFonts w:ascii="宋体" w:hAnsi="宋体" w:cs="宋体" w:eastAsia="宋体" w:hint="default"/>
                <w:sz w:val="21"/>
                <w:szCs w:val="21"/>
              </w:rPr>
              <w:t>目</w:t>
            </w:r>
          </w:p>
        </w:tc>
        <w:tc>
          <w:tcPr>
            <w:tcW w:w="7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1560"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到</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到</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22,000,000.00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22,000,000.00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164,275,359.08</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164,275,359.08</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13,816,022.26</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13,816,022.26</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68,558,501.46</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68,558,501.46</w:t>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1,954,262.51</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1,954,262.51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414"/>
        <w:gridCol w:w="1415"/>
        <w:gridCol w:w="1414"/>
        <w:gridCol w:w="1414"/>
        <w:gridCol w:w="1562"/>
      </w:tblGrid>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7,009,468.42</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7,009,468.42</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104,834,465.87</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104,834,465.87</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62,863,127.29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172,678,520.00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235,541,647.29</w:t>
            </w:r>
          </w:p>
        </w:tc>
      </w:tr>
      <w:tr>
        <w:trPr>
          <w:trHeight w:val="6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9"/>
                <w:sz w:val="21"/>
                <w:szCs w:val="21"/>
              </w:rPr>
              <w:t>一年内到期的非</w:t>
            </w:r>
            <w:r>
              <w:rPr>
                <w:rFonts w:ascii="宋体" w:hAnsi="宋体" w:cs="宋体" w:eastAsia="宋体" w:hint="default"/>
                <w:sz w:val="21"/>
                <w:szCs w:val="21"/>
              </w:rPr>
              <w:t> 流动负债</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130,022,000.00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130,022,000.00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166,488,000.00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166,488,000.00</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83,465,423.61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85,710,000.00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169,175,423.61</w:t>
            </w:r>
          </w:p>
        </w:tc>
      </w:tr>
      <w:tr>
        <w:trPr>
          <w:trHeight w:val="34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512,470,079.60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146,328,550.90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258,388,520.00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166,488,000.00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1,083,675,150.50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 公允价值的披露" w:id="353"/>
      <w:bookmarkEnd w:id="353"/>
      <w:r>
        <w:rPr>
          <w:b w:val="0"/>
          <w:bCs w:val="0"/>
        </w:rPr>
      </w:r>
      <w:r>
        <w:rPr/>
        <w:t>十一、</w:t>
      </w:r>
      <w:r>
        <w:rPr>
          <w:spacing w:val="-8"/>
        </w:rPr>
        <w:t> </w:t>
      </w:r>
      <w:r>
        <w:rPr/>
        <w:t>公允价值的披露</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日，本集团无以公允价值计量的金融资产、金融负债。</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二、关联方及关联交易" w:id="354"/>
      <w:bookmarkEnd w:id="354"/>
      <w:r>
        <w:rPr>
          <w:b w:val="0"/>
          <w:bCs w:val="0"/>
        </w:rPr>
      </w:r>
      <w:r>
        <w:rPr/>
        <w:t>十二、关联方及关联交易</w:t>
      </w:r>
      <w:r>
        <w:rPr>
          <w:b w:val="0"/>
          <w:bCs w:val="0"/>
        </w:rPr>
      </w:r>
    </w:p>
    <w:p>
      <w:pPr>
        <w:spacing w:line="614" w:lineRule="exact" w:before="76"/>
        <w:ind w:left="573" w:right="0" w:hanging="420"/>
        <w:jc w:val="left"/>
        <w:rPr>
          <w:rFonts w:ascii="宋体" w:hAnsi="宋体" w:cs="宋体" w:eastAsia="宋体" w:hint="default"/>
          <w:sz w:val="21"/>
          <w:szCs w:val="21"/>
        </w:rPr>
      </w:pPr>
      <w:bookmarkStart w:name="1、 本公司实质控制人的基本情况" w:id="355"/>
      <w:bookmarkEnd w:id="3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本公司实质控制人的基本情况</w:t>
      </w:r>
      <w:r>
        <w:rPr>
          <w:rFonts w:ascii="宋体" w:hAnsi="宋体" w:cs="宋体" w:eastAsia="宋体" w:hint="default"/>
          <w:b/>
          <w:bCs/>
          <w:w w:val="99"/>
          <w:sz w:val="21"/>
          <w:szCs w:val="21"/>
        </w:rPr>
        <w:t> </w:t>
      </w:r>
      <w:r>
        <w:rPr>
          <w:rFonts w:ascii="宋体" w:hAnsi="宋体" w:cs="宋体" w:eastAsia="宋体" w:hint="default"/>
          <w:spacing w:val="-1"/>
          <w:sz w:val="21"/>
          <w:szCs w:val="21"/>
        </w:rPr>
        <w:t>廖道训、吴玉瑞、吴春红、柴继军、姜海林、陈智华、袁闯、李学凌、高玮、梁世平等</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名一致行动</w:t>
      </w:r>
    </w:p>
    <w:p>
      <w:pPr>
        <w:pStyle w:val="Heading4"/>
        <w:spacing w:line="235" w:lineRule="exact" w:before="0"/>
        <w:ind w:right="0"/>
        <w:jc w:val="left"/>
      </w:pPr>
      <w:r>
        <w:rPr/>
        <w:t>人合计持有本公司</w:t>
      </w:r>
      <w:r>
        <w:rPr>
          <w:rFonts w:ascii="Times New Roman" w:hAnsi="Times New Roman" w:cs="Times New Roman" w:eastAsia="Times New Roman" w:hint="default"/>
        </w:rPr>
        <w:t>388,039,891</w:t>
      </w:r>
      <w:r>
        <w:rPr/>
        <w:t>股股份，持股比例为</w:t>
      </w:r>
      <w:r>
        <w:rPr>
          <w:rFonts w:ascii="Times New Roman" w:hAnsi="Times New Roman" w:cs="Times New Roman" w:eastAsia="Times New Roman" w:hint="default"/>
        </w:rPr>
        <w:t>55.39%</w:t>
      </w:r>
      <w:r>
        <w:rPr/>
        <w:t>，取得本公司的控制权，为本公司实际控制人。</w:t>
      </w:r>
    </w:p>
    <w:p>
      <w:pPr>
        <w:spacing w:line="240" w:lineRule="auto" w:before="8"/>
        <w:rPr>
          <w:rFonts w:ascii="宋体" w:hAnsi="宋体" w:cs="宋体" w:eastAsia="宋体" w:hint="default"/>
          <w:sz w:val="24"/>
          <w:szCs w:val="24"/>
        </w:rPr>
      </w:pPr>
    </w:p>
    <w:p>
      <w:pPr>
        <w:spacing w:line="544" w:lineRule="auto" w:before="0"/>
        <w:ind w:left="153" w:right="6793" w:firstLine="0"/>
        <w:jc w:val="left"/>
        <w:rPr>
          <w:rFonts w:ascii="宋体" w:hAnsi="宋体" w:cs="宋体" w:eastAsia="宋体" w:hint="default"/>
          <w:sz w:val="21"/>
          <w:szCs w:val="21"/>
        </w:rPr>
      </w:pPr>
      <w:bookmarkStart w:name="2、本企业的子公司情况"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57"/>
      <w:bookmarkEnd w:id="35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3"/>
        <w:jc w:val="left"/>
      </w:pPr>
      <w:r>
        <w:rPr/>
        <w:t>本企业重要的合营或联营企业详见附注九、</w:t>
      </w:r>
      <w:r>
        <w:rPr>
          <w:rFonts w:ascii="Times New Roman" w:hAnsi="Times New Roman" w:cs="Times New Roman" w:eastAsia="Times New Roman" w:hint="default"/>
        </w:rPr>
        <w:t>3</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Getty Images SEA Holdings</w:t>
            </w:r>
            <w:r>
              <w:rPr>
                <w:rFonts w:ascii="Times New Roman"/>
                <w:spacing w:val="-18"/>
                <w:sz w:val="18"/>
              </w:rPr>
              <w:t> </w:t>
            </w:r>
            <w:r>
              <w:rPr>
                <w:rFonts w:ascii="Times New Roman"/>
                <w:sz w:val="18"/>
              </w:rPr>
              <w:t>Co.,Limited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58"/>
      <w:bookmarkEnd w:id="35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北京宏瑞达科科技有限公司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北京创新乐知信息技术有限公司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北京华鼎嘉业技术有限公司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同受部分一致行动人实际控制</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关联交易情况" w:id="359"/>
      <w:bookmarkEnd w:id="35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0"/>
      <w:bookmarkEnd w:id="36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2,283,672.01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4,055,555.56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2,834,760.56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北京创新乐知信息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3,361,741.80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3,361,741.80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北京华鼎嘉业技术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235,259.43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1,017,094.02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唱游信息技术有限公司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视觉内容素材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17,028.30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2,302,440.57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北京创新乐知信息技术有限公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视觉内容素材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71,273.58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9"/>
              <w:jc w:val="left"/>
              <w:rPr>
                <w:rFonts w:ascii="Times New Roman" w:hAnsi="Times New Roman" w:cs="Times New Roman" w:eastAsia="Times New Roman" w:hint="default"/>
                <w:sz w:val="18"/>
                <w:szCs w:val="18"/>
              </w:rPr>
            </w:pPr>
            <w:r>
              <w:rPr>
                <w:rFonts w:ascii="Times New Roman"/>
                <w:sz w:val="18"/>
              </w:rPr>
              <w:t>Getty Images SEA</w:t>
            </w:r>
            <w:r>
              <w:rPr>
                <w:rFonts w:ascii="Times New Roman"/>
                <w:spacing w:val="-14"/>
                <w:sz w:val="18"/>
              </w:rPr>
              <w:t> </w:t>
            </w:r>
            <w:r>
              <w:rPr>
                <w:rFonts w:ascii="Times New Roman"/>
                <w:sz w:val="18"/>
              </w:rPr>
              <w:t>Holdings</w:t>
            </w:r>
            <w:r>
              <w:rPr>
                <w:rFonts w:ascii="Times New Roman"/>
                <w:sz w:val="18"/>
              </w:rPr>
              <w:t> Co.,Limited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17,171,280.25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6,541,143.63</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关联租赁情况" w:id="361"/>
      <w:bookmarkEnd w:id="361"/>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北京宏瑞达科科技有限公司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475,407.71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1,570,437.27</w:t>
            </w: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关联担保情况" w:id="362"/>
      <w:bookmarkEnd w:id="362"/>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771"/>
        <w:gridCol w:w="1701"/>
        <w:gridCol w:w="1916"/>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771"/>
        <w:gridCol w:w="1701"/>
        <w:gridCol w:w="1914"/>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80,735,791.10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视觉中国集团控股有限公司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80,735,791.10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华夏视觉（天津）信息技术有限公司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华盖创意（天津）视讯科技有限公司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24,524,000.00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北京汉华易美图片有限公司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亿迅信息技术有限公司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视觉中国香港有限公司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56,396,891.45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24,176,540.00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24,176,540.00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联景国际有限公司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213,014,920.00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8"/>
        <w:gridCol w:w="1206"/>
        <w:gridCol w:w="1700"/>
        <w:gridCol w:w="1560"/>
        <w:gridCol w:w="1914"/>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
              <w:jc w:val="center"/>
              <w:rPr>
                <w:rFonts w:ascii="宋体" w:hAnsi="宋体" w:cs="宋体" w:eastAsia="宋体" w:hint="default"/>
                <w:sz w:val="18"/>
                <w:szCs w:val="18"/>
              </w:rPr>
            </w:pPr>
            <w:r>
              <w:rPr>
                <w:rFonts w:ascii="宋体" w:hAnsi="宋体" w:cs="宋体" w:eastAsia="宋体" w:hint="default"/>
                <w:sz w:val="18"/>
                <w:szCs w:val="18"/>
              </w:rPr>
              <w:t>华盖创意（天津）视讯科技有限公司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30,000,000.00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pStyle w:val="Heading4"/>
        <w:spacing w:line="240" w:lineRule="auto" w:before="89"/>
        <w:ind w:left="589" w:right="0"/>
        <w:jc w:val="left"/>
      </w:pPr>
      <w:r>
        <w:rPr/>
        <w:pict>
          <v:group style="position:absolute;margin-left:214.160004pt;margin-top:20.793659pt;width:.1pt;height:262.5pt;mso-position-horizontal-relative:page;mso-position-vertical-relative:paragraph;z-index:-1030936" coordorigin="4283,416" coordsize="2,5250">
            <v:shape style="position:absolute;left:4283;top:416;width:2;height:5250" coordorigin="4283,416" coordsize="0,5250" path="m4283,416l4283,5665e" filled="false" stroked="true" strokeweight=".48pt" strokecolor="#000000">
              <v:path arrowok="t"/>
            </v:shape>
            <w10:wrap type="none"/>
          </v:group>
        </w:pict>
      </w:r>
      <w:r>
        <w:rPr/>
        <w:t>本年度，子公司之间担保的情况如下：</w:t>
      </w:r>
    </w:p>
    <w:p>
      <w:pPr>
        <w:spacing w:line="240" w:lineRule="auto" w:before="5"/>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702"/>
        <w:gridCol w:w="1642"/>
        <w:gridCol w:w="1244"/>
        <w:gridCol w:w="1439"/>
        <w:gridCol w:w="1438"/>
        <w:gridCol w:w="1438"/>
      </w:tblGrid>
      <w:tr>
        <w:trPr>
          <w:trHeight w:val="79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2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602"/>
              <w:jc w:val="right"/>
              <w:rPr>
                <w:rFonts w:ascii="宋体" w:hAnsi="宋体" w:cs="宋体" w:eastAsia="宋体" w:hint="default"/>
                <w:sz w:val="21"/>
                <w:szCs w:val="21"/>
              </w:rPr>
            </w:pPr>
            <w:r>
              <w:rPr>
                <w:rFonts w:ascii="宋体" w:hAnsi="宋体" w:cs="宋体" w:eastAsia="宋体" w:hint="default"/>
                <w:sz w:val="21"/>
                <w:szCs w:val="21"/>
              </w:rPr>
              <w:t>担保方</w:t>
            </w:r>
          </w:p>
        </w:tc>
        <w:tc>
          <w:tcPr>
            <w:tcW w:w="1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8"/>
              <w:ind w:left="293" w:right="83" w:hanging="210"/>
              <w:jc w:val="left"/>
              <w:rPr>
                <w:rFonts w:ascii="宋体" w:hAnsi="宋体" w:cs="宋体" w:eastAsia="宋体" w:hint="default"/>
                <w:sz w:val="21"/>
                <w:szCs w:val="21"/>
              </w:rPr>
            </w:pPr>
            <w:r>
              <w:rPr>
                <w:rFonts w:ascii="宋体" w:hAnsi="宋体" w:cs="宋体" w:eastAsia="宋体" w:hint="default"/>
                <w:sz w:val="21"/>
                <w:szCs w:val="21"/>
              </w:rPr>
              <w:t>担保是否已经 履行完毕</w:t>
            </w:r>
          </w:p>
        </w:tc>
      </w:tr>
      <w:tr>
        <w:trPr>
          <w:trHeight w:val="712"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85" w:lineRule="auto" w:before="77"/>
              <w:ind w:left="4" w:right="4"/>
              <w:jc w:val="left"/>
              <w:rPr>
                <w:rFonts w:ascii="宋体" w:hAnsi="宋体" w:cs="宋体" w:eastAsia="宋体" w:hint="default"/>
                <w:sz w:val="20"/>
                <w:szCs w:val="20"/>
              </w:rPr>
            </w:pPr>
            <w:r>
              <w:rPr>
                <w:rFonts w:ascii="宋体" w:hAnsi="宋体" w:cs="宋体" w:eastAsia="宋体" w:hint="default"/>
                <w:spacing w:val="8"/>
                <w:sz w:val="20"/>
                <w:szCs w:val="20"/>
              </w:rPr>
              <w:t>汉华易美（天津）</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图像技术有限公司</w:t>
            </w:r>
          </w:p>
        </w:tc>
        <w:tc>
          <w:tcPr>
            <w:tcW w:w="1642" w:type="dxa"/>
            <w:tcBorders>
              <w:top w:val="single" w:sz="4" w:space="0" w:color="000000"/>
              <w:left w:val="single" w:sz="4" w:space="0" w:color="000000"/>
              <w:bottom w:val="nil" w:sz="6" w:space="0" w:color="auto"/>
              <w:right w:val="nil" w:sz="6" w:space="0" w:color="auto"/>
            </w:tcBorders>
          </w:tcPr>
          <w:p>
            <w:pPr>
              <w:pStyle w:val="TableParagraph"/>
              <w:spacing w:line="285" w:lineRule="auto" w:before="77"/>
              <w:ind w:left="4" w:right="101"/>
              <w:jc w:val="left"/>
              <w:rPr>
                <w:rFonts w:ascii="宋体" w:hAnsi="宋体" w:cs="宋体" w:eastAsia="宋体" w:hint="default"/>
                <w:sz w:val="20"/>
                <w:szCs w:val="20"/>
              </w:rPr>
            </w:pPr>
            <w:r>
              <w:rPr>
                <w:rFonts w:ascii="宋体" w:hAnsi="宋体" w:cs="宋体" w:eastAsia="宋体" w:hint="default"/>
                <w:spacing w:val="-10"/>
                <w:sz w:val="20"/>
                <w:szCs w:val="20"/>
              </w:rPr>
              <w:t>华盖创意（天津）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视讯科技有限公</w:t>
            </w:r>
          </w:p>
        </w:tc>
        <w:tc>
          <w:tcPr>
            <w:tcW w:w="124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20"/>
                <w:szCs w:val="20"/>
              </w:rPr>
            </w:pPr>
            <w:r>
              <w:rPr>
                <w:rFonts w:ascii="Times New Roman"/>
                <w:spacing w:val="-1"/>
                <w:sz w:val="20"/>
              </w:rPr>
              <w:t>992,643.86</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0"/>
                <w:szCs w:val="20"/>
              </w:rPr>
            </w:pPr>
            <w:r>
              <w:rPr>
                <w:rFonts w:ascii="Times New Roman"/>
                <w:sz w:val="20"/>
              </w:rPr>
              <w:t>2017/9/13</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2018/9/12</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571"/>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98"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nil" w:sz="6" w:space="0" w:color="auto"/>
            </w:tcBorders>
          </w:tcPr>
          <w:p>
            <w:pPr>
              <w:pStyle w:val="TableParagraph"/>
              <w:spacing w:line="256" w:lineRule="exact"/>
              <w:ind w:right="629"/>
              <w:jc w:val="right"/>
              <w:rPr>
                <w:rFonts w:ascii="宋体" w:hAnsi="宋体" w:cs="宋体" w:eastAsia="宋体" w:hint="default"/>
                <w:sz w:val="20"/>
                <w:szCs w:val="20"/>
              </w:rPr>
            </w:pPr>
            <w:r>
              <w:rPr>
                <w:rFonts w:ascii="宋体" w:hAnsi="宋体" w:cs="宋体" w:eastAsia="宋体" w:hint="default"/>
                <w:spacing w:val="-1"/>
                <w:sz w:val="20"/>
                <w:szCs w:val="20"/>
              </w:rPr>
              <w:t>司提供担保</w:t>
            </w:r>
          </w:p>
        </w:tc>
        <w:tc>
          <w:tcPr>
            <w:tcW w:w="1244" w:type="dxa"/>
            <w:tcBorders>
              <w:top w:val="nil" w:sz="6" w:space="0" w:color="auto"/>
              <w:left w:val="nil" w:sz="6" w:space="0" w:color="auto"/>
              <w:bottom w:val="single" w:sz="4" w:space="0" w:color="000000"/>
              <w:right w:val="single" w:sz="4" w:space="0" w:color="000000"/>
            </w:tcBorders>
          </w:tcPr>
          <w:p>
            <w:pPr/>
          </w:p>
        </w:tc>
        <w:tc>
          <w:tcPr>
            <w:tcW w:w="1439"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85" w:lineRule="auto" w:before="77"/>
              <w:ind w:left="4" w:right="4"/>
              <w:jc w:val="left"/>
              <w:rPr>
                <w:rFonts w:ascii="宋体" w:hAnsi="宋体" w:cs="宋体" w:eastAsia="宋体" w:hint="default"/>
                <w:sz w:val="20"/>
                <w:szCs w:val="20"/>
              </w:rPr>
            </w:pPr>
            <w:r>
              <w:rPr>
                <w:rFonts w:ascii="宋体" w:hAnsi="宋体" w:cs="宋体" w:eastAsia="宋体" w:hint="default"/>
                <w:spacing w:val="8"/>
                <w:sz w:val="20"/>
                <w:szCs w:val="20"/>
              </w:rPr>
              <w:t>汉华易美（天津）</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图像技术有限公司</w:t>
            </w:r>
          </w:p>
        </w:tc>
        <w:tc>
          <w:tcPr>
            <w:tcW w:w="1642" w:type="dxa"/>
            <w:tcBorders>
              <w:top w:val="single" w:sz="4" w:space="0" w:color="000000"/>
              <w:left w:val="single" w:sz="4" w:space="0" w:color="000000"/>
              <w:bottom w:val="nil" w:sz="6" w:space="0" w:color="auto"/>
              <w:right w:val="nil" w:sz="6" w:space="0" w:color="auto"/>
            </w:tcBorders>
          </w:tcPr>
          <w:p>
            <w:pPr>
              <w:pStyle w:val="TableParagraph"/>
              <w:spacing w:line="285" w:lineRule="auto" w:before="77"/>
              <w:ind w:left="4" w:right="101"/>
              <w:jc w:val="left"/>
              <w:rPr>
                <w:rFonts w:ascii="宋体" w:hAnsi="宋体" w:cs="宋体" w:eastAsia="宋体" w:hint="default"/>
                <w:sz w:val="20"/>
                <w:szCs w:val="20"/>
              </w:rPr>
            </w:pPr>
            <w:r>
              <w:rPr>
                <w:rFonts w:ascii="宋体" w:hAnsi="宋体" w:cs="宋体" w:eastAsia="宋体" w:hint="default"/>
                <w:spacing w:val="-10"/>
                <w:sz w:val="20"/>
                <w:szCs w:val="20"/>
              </w:rPr>
              <w:t>华盖创意（天津）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视讯科技有限公</w:t>
            </w:r>
          </w:p>
        </w:tc>
        <w:tc>
          <w:tcPr>
            <w:tcW w:w="124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20"/>
                <w:szCs w:val="20"/>
              </w:rPr>
            </w:pPr>
            <w:r>
              <w:rPr>
                <w:rFonts w:ascii="Times New Roman"/>
                <w:spacing w:val="-1"/>
                <w:sz w:val="20"/>
              </w:rPr>
              <w:t>1,800,000.00</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0"/>
                <w:szCs w:val="20"/>
              </w:rPr>
            </w:pPr>
            <w:r>
              <w:rPr>
                <w:rFonts w:ascii="Times New Roman"/>
                <w:sz w:val="20"/>
              </w:rPr>
              <w:t>2017/9/27</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2018/9/26</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612"/>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98"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nil" w:sz="6" w:space="0" w:color="auto"/>
            </w:tcBorders>
          </w:tcPr>
          <w:p>
            <w:pPr>
              <w:pStyle w:val="TableParagraph"/>
              <w:spacing w:line="256" w:lineRule="exact"/>
              <w:ind w:right="629"/>
              <w:jc w:val="right"/>
              <w:rPr>
                <w:rFonts w:ascii="宋体" w:hAnsi="宋体" w:cs="宋体" w:eastAsia="宋体" w:hint="default"/>
                <w:sz w:val="20"/>
                <w:szCs w:val="20"/>
              </w:rPr>
            </w:pPr>
            <w:r>
              <w:rPr>
                <w:rFonts w:ascii="宋体" w:hAnsi="宋体" w:cs="宋体" w:eastAsia="宋体" w:hint="default"/>
                <w:spacing w:val="-1"/>
                <w:sz w:val="20"/>
                <w:szCs w:val="20"/>
              </w:rPr>
              <w:t>司提供担保</w:t>
            </w:r>
          </w:p>
        </w:tc>
        <w:tc>
          <w:tcPr>
            <w:tcW w:w="1244" w:type="dxa"/>
            <w:tcBorders>
              <w:top w:val="nil" w:sz="6" w:space="0" w:color="auto"/>
              <w:left w:val="nil" w:sz="6" w:space="0" w:color="auto"/>
              <w:bottom w:val="single" w:sz="4" w:space="0" w:color="000000"/>
              <w:right w:val="single" w:sz="4" w:space="0" w:color="000000"/>
            </w:tcBorders>
          </w:tcPr>
          <w:p>
            <w:pPr/>
          </w:p>
        </w:tc>
        <w:tc>
          <w:tcPr>
            <w:tcW w:w="1439"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85" w:lineRule="auto" w:before="77"/>
              <w:ind w:left="4" w:right="4"/>
              <w:jc w:val="left"/>
              <w:rPr>
                <w:rFonts w:ascii="宋体" w:hAnsi="宋体" w:cs="宋体" w:eastAsia="宋体" w:hint="default"/>
                <w:sz w:val="20"/>
                <w:szCs w:val="20"/>
              </w:rPr>
            </w:pPr>
            <w:r>
              <w:rPr>
                <w:rFonts w:ascii="宋体" w:hAnsi="宋体" w:cs="宋体" w:eastAsia="宋体" w:hint="default"/>
                <w:spacing w:val="8"/>
                <w:sz w:val="20"/>
                <w:szCs w:val="20"/>
              </w:rPr>
              <w:t>汉华易美（天津）</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图像技术有限公司</w:t>
            </w:r>
          </w:p>
        </w:tc>
        <w:tc>
          <w:tcPr>
            <w:tcW w:w="1642" w:type="dxa"/>
            <w:tcBorders>
              <w:top w:val="single" w:sz="4" w:space="0" w:color="000000"/>
              <w:left w:val="single" w:sz="4" w:space="0" w:color="000000"/>
              <w:bottom w:val="nil" w:sz="6" w:space="0" w:color="auto"/>
              <w:right w:val="nil" w:sz="6" w:space="0" w:color="auto"/>
            </w:tcBorders>
          </w:tcPr>
          <w:p>
            <w:pPr>
              <w:pStyle w:val="TableParagraph"/>
              <w:spacing w:line="285" w:lineRule="auto" w:before="77"/>
              <w:ind w:left="4" w:right="101"/>
              <w:jc w:val="left"/>
              <w:rPr>
                <w:rFonts w:ascii="宋体" w:hAnsi="宋体" w:cs="宋体" w:eastAsia="宋体" w:hint="default"/>
                <w:sz w:val="20"/>
                <w:szCs w:val="20"/>
              </w:rPr>
            </w:pPr>
            <w:r>
              <w:rPr>
                <w:rFonts w:ascii="宋体" w:hAnsi="宋体" w:cs="宋体" w:eastAsia="宋体" w:hint="default"/>
                <w:spacing w:val="-10"/>
                <w:sz w:val="20"/>
                <w:szCs w:val="20"/>
              </w:rPr>
              <w:t>华盖创意（天津）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视讯科技有限公</w:t>
            </w:r>
          </w:p>
        </w:tc>
        <w:tc>
          <w:tcPr>
            <w:tcW w:w="124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20"/>
                <w:szCs w:val="20"/>
              </w:rPr>
            </w:pPr>
            <w:r>
              <w:rPr>
                <w:rFonts w:ascii="Times New Roman"/>
                <w:spacing w:val="-1"/>
                <w:sz w:val="20"/>
              </w:rPr>
              <w:t>1,542,639.01</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2017/10/19</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2018/10/18</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612"/>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98"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nil" w:sz="6" w:space="0" w:color="auto"/>
            </w:tcBorders>
          </w:tcPr>
          <w:p>
            <w:pPr>
              <w:pStyle w:val="TableParagraph"/>
              <w:spacing w:line="256" w:lineRule="exact"/>
              <w:ind w:right="629"/>
              <w:jc w:val="right"/>
              <w:rPr>
                <w:rFonts w:ascii="宋体" w:hAnsi="宋体" w:cs="宋体" w:eastAsia="宋体" w:hint="default"/>
                <w:sz w:val="20"/>
                <w:szCs w:val="20"/>
              </w:rPr>
            </w:pPr>
            <w:r>
              <w:rPr>
                <w:rFonts w:ascii="宋体" w:hAnsi="宋体" w:cs="宋体" w:eastAsia="宋体" w:hint="default"/>
                <w:spacing w:val="-1"/>
                <w:sz w:val="20"/>
                <w:szCs w:val="20"/>
              </w:rPr>
              <w:t>司提供担保</w:t>
            </w:r>
          </w:p>
        </w:tc>
        <w:tc>
          <w:tcPr>
            <w:tcW w:w="1244" w:type="dxa"/>
            <w:tcBorders>
              <w:top w:val="nil" w:sz="6" w:space="0" w:color="auto"/>
              <w:left w:val="nil" w:sz="6" w:space="0" w:color="auto"/>
              <w:bottom w:val="single" w:sz="4" w:space="0" w:color="000000"/>
              <w:right w:val="single" w:sz="4" w:space="0" w:color="000000"/>
            </w:tcBorders>
          </w:tcPr>
          <w:p>
            <w:pPr/>
          </w:p>
        </w:tc>
        <w:tc>
          <w:tcPr>
            <w:tcW w:w="1439"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702" w:type="dxa"/>
            <w:tcBorders>
              <w:top w:val="single" w:sz="4" w:space="0" w:color="000000"/>
              <w:left w:val="single" w:sz="4" w:space="0" w:color="000000"/>
              <w:bottom w:val="nil" w:sz="6" w:space="0" w:color="auto"/>
              <w:right w:val="single" w:sz="4" w:space="0" w:color="000000"/>
            </w:tcBorders>
          </w:tcPr>
          <w:p>
            <w:pPr>
              <w:pStyle w:val="TableParagraph"/>
              <w:spacing w:line="285" w:lineRule="auto" w:before="77"/>
              <w:ind w:left="4" w:right="4"/>
              <w:jc w:val="left"/>
              <w:rPr>
                <w:rFonts w:ascii="宋体" w:hAnsi="宋体" w:cs="宋体" w:eastAsia="宋体" w:hint="default"/>
                <w:sz w:val="20"/>
                <w:szCs w:val="20"/>
              </w:rPr>
            </w:pPr>
            <w:r>
              <w:rPr>
                <w:rFonts w:ascii="宋体" w:hAnsi="宋体" w:cs="宋体" w:eastAsia="宋体" w:hint="default"/>
                <w:spacing w:val="8"/>
                <w:sz w:val="20"/>
                <w:szCs w:val="20"/>
              </w:rPr>
              <w:t>汉华易美（天津）</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图像技术有限公司</w:t>
            </w:r>
          </w:p>
        </w:tc>
        <w:tc>
          <w:tcPr>
            <w:tcW w:w="1642" w:type="dxa"/>
            <w:tcBorders>
              <w:top w:val="single" w:sz="4" w:space="0" w:color="000000"/>
              <w:left w:val="single" w:sz="4" w:space="0" w:color="000000"/>
              <w:bottom w:val="nil" w:sz="6" w:space="0" w:color="auto"/>
              <w:right w:val="nil" w:sz="6" w:space="0" w:color="auto"/>
            </w:tcBorders>
          </w:tcPr>
          <w:p>
            <w:pPr>
              <w:pStyle w:val="TableParagraph"/>
              <w:spacing w:line="285" w:lineRule="auto" w:before="77"/>
              <w:ind w:left="4" w:right="101"/>
              <w:jc w:val="left"/>
              <w:rPr>
                <w:rFonts w:ascii="宋体" w:hAnsi="宋体" w:cs="宋体" w:eastAsia="宋体" w:hint="default"/>
                <w:sz w:val="20"/>
                <w:szCs w:val="20"/>
              </w:rPr>
            </w:pPr>
            <w:r>
              <w:rPr>
                <w:rFonts w:ascii="宋体" w:hAnsi="宋体" w:cs="宋体" w:eastAsia="宋体" w:hint="default"/>
                <w:spacing w:val="-10"/>
                <w:sz w:val="20"/>
                <w:szCs w:val="20"/>
              </w:rPr>
              <w:t>华盖创意（天津）</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2"/>
                <w:sz w:val="20"/>
                <w:szCs w:val="20"/>
              </w:rPr>
              <w:t>视讯科技有限公</w:t>
            </w:r>
          </w:p>
        </w:tc>
        <w:tc>
          <w:tcPr>
            <w:tcW w:w="1244" w:type="dxa"/>
            <w:tcBorders>
              <w:top w:val="single" w:sz="4" w:space="0" w:color="000000"/>
              <w:left w:val="nil" w:sz="6" w:space="0" w:color="auto"/>
              <w:bottom w:val="nil" w:sz="6" w:space="0" w:color="auto"/>
              <w:right w:val="single" w:sz="4" w:space="0" w:color="000000"/>
            </w:tcBorders>
          </w:tcPr>
          <w:p>
            <w:pPr>
              <w:pStyle w:val="TableParagraph"/>
              <w:spacing w:line="240" w:lineRule="auto" w:before="124"/>
              <w:ind w:right="3"/>
              <w:jc w:val="right"/>
              <w:rPr>
                <w:rFonts w:ascii="Times New Roman" w:hAnsi="Times New Roman" w:cs="Times New Roman" w:eastAsia="Times New Roman" w:hint="default"/>
                <w:sz w:val="20"/>
                <w:szCs w:val="20"/>
              </w:rPr>
            </w:pPr>
            <w:r>
              <w:rPr>
                <w:rFonts w:ascii="Times New Roman"/>
                <w:spacing w:val="-1"/>
                <w:sz w:val="20"/>
              </w:rPr>
              <w:t>3,294,013.30</w:t>
            </w:r>
          </w:p>
        </w:tc>
        <w:tc>
          <w:tcPr>
            <w:tcW w:w="14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2017/10/19</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sz w:val="20"/>
              </w:rPr>
              <w:t>2018/10/18</w:t>
            </w:r>
          </w:p>
        </w:tc>
        <w:tc>
          <w:tcPr>
            <w:tcW w:w="14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8"/>
              <w:ind w:right="612"/>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400" w:hRule="exact"/>
        </w:trPr>
        <w:tc>
          <w:tcPr>
            <w:tcW w:w="1702"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nil" w:sz="6" w:space="0" w:color="auto"/>
            </w:tcBorders>
          </w:tcPr>
          <w:p>
            <w:pPr>
              <w:pStyle w:val="TableParagraph"/>
              <w:spacing w:line="256" w:lineRule="exact"/>
              <w:ind w:right="629"/>
              <w:jc w:val="right"/>
              <w:rPr>
                <w:rFonts w:ascii="宋体" w:hAnsi="宋体" w:cs="宋体" w:eastAsia="宋体" w:hint="default"/>
                <w:sz w:val="20"/>
                <w:szCs w:val="20"/>
              </w:rPr>
            </w:pPr>
            <w:r>
              <w:rPr>
                <w:rFonts w:ascii="宋体" w:hAnsi="宋体" w:cs="宋体" w:eastAsia="宋体" w:hint="default"/>
                <w:spacing w:val="-1"/>
                <w:sz w:val="20"/>
                <w:szCs w:val="20"/>
              </w:rPr>
              <w:t>司提供担保</w:t>
            </w:r>
          </w:p>
        </w:tc>
        <w:tc>
          <w:tcPr>
            <w:tcW w:w="1244" w:type="dxa"/>
            <w:tcBorders>
              <w:top w:val="nil" w:sz="6" w:space="0" w:color="auto"/>
              <w:left w:val="nil" w:sz="6" w:space="0" w:color="auto"/>
              <w:bottom w:val="single" w:sz="4" w:space="0" w:color="000000"/>
              <w:right w:val="single" w:sz="4" w:space="0" w:color="000000"/>
            </w:tcBorders>
          </w:tcPr>
          <w:p>
            <w:pPr/>
          </w:p>
        </w:tc>
        <w:tc>
          <w:tcPr>
            <w:tcW w:w="1439"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c>
          <w:tcPr>
            <w:tcW w:w="1438"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3"/>
        <w:spacing w:line="240" w:lineRule="auto" w:before="35"/>
        <w:ind w:left="154" w:right="0"/>
        <w:jc w:val="left"/>
        <w:rPr>
          <w:b w:val="0"/>
          <w:bCs w:val="0"/>
        </w:rPr>
      </w:pPr>
      <w:bookmarkStart w:name="（4） 关联方资金拆借" w:id="363"/>
      <w:bookmarkEnd w:id="363"/>
      <w:r>
        <w:rPr>
          <w:b w:val="0"/>
          <w:bCs w:val="0"/>
        </w:rPr>
      </w:r>
      <w:r>
        <w:rPr/>
        <w:t>（</w:t>
      </w:r>
      <w:r>
        <w:rPr>
          <w:rFonts w:ascii="Times New Roman" w:hAnsi="Times New Roman" w:cs="Times New Roman" w:eastAsia="Times New Roman" w:hint="default"/>
        </w:rPr>
        <w:t>4</w:t>
      </w:r>
      <w:r>
        <w:rPr/>
        <w:t>）</w:t>
      </w:r>
      <w:r>
        <w:rPr>
          <w:spacing w:val="-3"/>
        </w:rPr>
        <w:t> </w:t>
      </w:r>
      <w:r>
        <w:rPr/>
        <w:t>关联方资金拆借</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417"/>
        <w:gridCol w:w="1511"/>
        <w:gridCol w:w="1781"/>
      </w:tblGrid>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88"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35"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借入：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417"/>
        <w:gridCol w:w="1511"/>
        <w:gridCol w:w="1781"/>
      </w:tblGrid>
      <w:tr>
        <w:trPr>
          <w:trHeight w:val="48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left"/>
              <w:rPr>
                <w:rFonts w:ascii="宋体" w:hAnsi="宋体" w:cs="宋体" w:eastAsia="宋体" w:hint="default"/>
                <w:sz w:val="20"/>
                <w:szCs w:val="20"/>
              </w:rPr>
            </w:pPr>
            <w:r>
              <w:rPr>
                <w:rFonts w:ascii="宋体" w:hAnsi="宋体" w:cs="宋体" w:eastAsia="宋体" w:hint="default"/>
                <w:sz w:val="20"/>
                <w:szCs w:val="20"/>
              </w:rPr>
              <w:t>廖道训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right"/>
              <w:rPr>
                <w:rFonts w:ascii="Times New Roman" w:hAnsi="Times New Roman" w:cs="Times New Roman" w:eastAsia="Times New Roman" w:hint="default"/>
                <w:sz w:val="20"/>
                <w:szCs w:val="20"/>
              </w:rPr>
            </w:pPr>
            <w:r>
              <w:rPr>
                <w:rFonts w:ascii="Times New Roman"/>
                <w:spacing w:val="-1"/>
                <w:sz w:val="20"/>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right"/>
              <w:rPr>
                <w:rFonts w:ascii="Times New Roman" w:hAnsi="Times New Roman" w:cs="Times New Roman" w:eastAsia="Times New Roman" w:hint="default"/>
                <w:sz w:val="20"/>
                <w:szCs w:val="20"/>
              </w:rPr>
            </w:pPr>
            <w:r>
              <w:rPr>
                <w:rFonts w:ascii="Times New Roman"/>
                <w:spacing w:val="-1"/>
                <w:sz w:val="20"/>
              </w:rPr>
              <w:t>2017/5/17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20"/>
                <w:szCs w:val="20"/>
              </w:rPr>
            </w:pPr>
            <w:r>
              <w:rPr>
                <w:rFonts w:ascii="宋体" w:hAnsi="宋体" w:cs="宋体" w:eastAsia="宋体" w:hint="default"/>
                <w:sz w:val="20"/>
                <w:szCs w:val="20"/>
              </w:rPr>
              <w:t>不超过</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年利率</w:t>
            </w:r>
            <w:r>
              <w:rPr>
                <w:rFonts w:ascii="Times New Roman" w:hAnsi="Times New Roman" w:cs="Times New Roman" w:eastAsia="Times New Roman" w:hint="default"/>
                <w:sz w:val="20"/>
                <w:szCs w:val="20"/>
              </w:rPr>
              <w:t>4.35%</w:t>
            </w:r>
          </w:p>
        </w:tc>
      </w:tr>
      <w:tr>
        <w:trPr>
          <w:trHeight w:val="79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123"/>
              <w:ind w:left="4" w:right="48"/>
              <w:jc w:val="left"/>
              <w:rPr>
                <w:rFonts w:ascii="Times New Roman" w:hAnsi="Times New Roman" w:cs="Times New Roman" w:eastAsia="Times New Roman" w:hint="default"/>
                <w:sz w:val="20"/>
                <w:szCs w:val="20"/>
              </w:rPr>
            </w:pPr>
            <w:r>
              <w:rPr>
                <w:rFonts w:ascii="Times New Roman"/>
                <w:sz w:val="20"/>
              </w:rPr>
              <w:t>Getty Images SEA</w:t>
            </w:r>
            <w:r>
              <w:rPr>
                <w:rFonts w:ascii="Times New Roman"/>
                <w:spacing w:val="-4"/>
                <w:sz w:val="20"/>
              </w:rPr>
              <w:t> </w:t>
            </w:r>
            <w:r>
              <w:rPr>
                <w:rFonts w:ascii="Times New Roman"/>
                <w:sz w:val="20"/>
              </w:rPr>
              <w:t>Holding</w:t>
            </w:r>
            <w:r>
              <w:rPr>
                <w:rFonts w:ascii="Times New Roman"/>
                <w:w w:val="100"/>
                <w:sz w:val="20"/>
              </w:rPr>
              <w:t> </w:t>
            </w:r>
            <w:r>
              <w:rPr>
                <w:rFonts w:ascii="Times New Roman"/>
                <w:sz w:val="20"/>
              </w:rPr>
              <w:t>Co.,Limited</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
              <w:jc w:val="right"/>
              <w:rPr>
                <w:rFonts w:ascii="Times New Roman" w:hAnsi="Times New Roman" w:cs="Times New Roman" w:eastAsia="Times New Roman" w:hint="default"/>
                <w:sz w:val="20"/>
                <w:szCs w:val="20"/>
              </w:rPr>
            </w:pPr>
            <w:r>
              <w:rPr>
                <w:rFonts w:ascii="Times New Roman"/>
                <w:spacing w:val="-1"/>
                <w:sz w:val="20"/>
              </w:rPr>
              <w:t>US$24,000,000.00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right"/>
              <w:rPr>
                <w:rFonts w:ascii="Times New Roman" w:hAnsi="Times New Roman" w:cs="Times New Roman" w:eastAsia="Times New Roman" w:hint="default"/>
                <w:sz w:val="20"/>
                <w:szCs w:val="20"/>
              </w:rPr>
            </w:pPr>
            <w:r>
              <w:rPr>
                <w:rFonts w:ascii="Times New Roman"/>
                <w:spacing w:val="-1"/>
                <w:sz w:val="20"/>
              </w:rPr>
              <w:t>2016/8/18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 w:right="0"/>
              <w:jc w:val="center"/>
              <w:rPr>
                <w:rFonts w:ascii="宋体" w:hAnsi="宋体" w:cs="宋体" w:eastAsia="宋体" w:hint="default"/>
                <w:sz w:val="20"/>
                <w:szCs w:val="20"/>
              </w:rPr>
            </w:pPr>
            <w:r>
              <w:rPr>
                <w:rFonts w:ascii="宋体" w:hAnsi="宋体" w:cs="宋体" w:eastAsia="宋体" w:hint="default"/>
                <w:sz w:val="20"/>
                <w:szCs w:val="20"/>
              </w:rPr>
              <w:t>见注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年利率</w:t>
            </w:r>
            <w:r>
              <w:rPr>
                <w:rFonts w:ascii="Times New Roman" w:hAnsi="Times New Roman" w:cs="Times New Roman" w:eastAsia="Times New Roman" w:hint="default"/>
                <w:sz w:val="20"/>
                <w:szCs w:val="20"/>
              </w:rPr>
              <w:t>2.5%</w:t>
            </w:r>
          </w:p>
        </w:tc>
      </w:tr>
    </w:tbl>
    <w:p>
      <w:pPr>
        <w:pStyle w:val="Heading4"/>
        <w:spacing w:line="276" w:lineRule="exact" w:before="0"/>
        <w:ind w:left="574" w:right="0"/>
        <w:jc w:val="left"/>
      </w:pPr>
      <w:r>
        <w:rPr/>
        <w:t>注：根据本公司之子公司视觉控股与</w:t>
      </w:r>
      <w:r>
        <w:rPr>
          <w:rFonts w:ascii="Times New Roman" w:hAnsi="Times New Roman" w:cs="Times New Roman" w:eastAsia="Times New Roman" w:hint="default"/>
        </w:rPr>
        <w:t>Getty Images SEA Holding</w:t>
      </w:r>
      <w:r>
        <w:rPr>
          <w:rFonts w:ascii="Times New Roman" w:hAnsi="Times New Roman" w:cs="Times New Roman" w:eastAsia="Times New Roman" w:hint="default"/>
          <w:spacing w:val="-29"/>
        </w:rPr>
        <w:t> </w:t>
      </w:r>
      <w:r>
        <w:rPr>
          <w:rFonts w:ascii="Times New Roman" w:hAnsi="Times New Roman" w:cs="Times New Roman" w:eastAsia="Times New Roman" w:hint="default"/>
        </w:rPr>
        <w:t>Co.,Limited</w:t>
      </w:r>
      <w:r>
        <w:rPr/>
        <w:t>所签订的</w:t>
      </w:r>
      <w:r>
        <w:rPr>
          <w:rFonts w:ascii="Times New Roman" w:hAnsi="Times New Roman" w:cs="Times New Roman" w:eastAsia="Times New Roman" w:hint="default"/>
        </w:rPr>
        <w:t>“</w:t>
      </w:r>
      <w:r>
        <w:rPr/>
        <w:t>借款协议</w:t>
      </w:r>
      <w:r>
        <w:rPr>
          <w:rFonts w:ascii="Times New Roman" w:hAnsi="Times New Roman" w:cs="Times New Roman" w:eastAsia="Times New Roman" w:hint="default"/>
        </w:rPr>
        <w:t>”</w:t>
      </w:r>
      <w:r>
        <w:rPr/>
        <w:t>，该项</w:t>
      </w:r>
    </w:p>
    <w:p>
      <w:pPr>
        <w:pStyle w:val="Heading4"/>
        <w:spacing w:line="240" w:lineRule="auto" w:before="21"/>
        <w:ind w:right="0"/>
        <w:jc w:val="left"/>
      </w:pPr>
      <w:r>
        <w:rPr/>
        <w:t>借款在视觉控股作为其股东期间到期后将自动展期，因此本集团将其确认为长期应付款。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关键管理人员报酬" w:id="364"/>
      <w:bookmarkEnd w:id="364"/>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3,392,572.00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（各金额区间人数）</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应收应付款项" w:id="365"/>
      <w:bookmarkEnd w:id="3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366"/>
      <w:bookmarkEnd w:id="3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唱游信息技术有限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8,195,117.00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2,699,231.51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22,692,179.80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4,109,016.96</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12"/>
              <w:jc w:val="left"/>
              <w:rPr>
                <w:rFonts w:ascii="Times New Roman" w:hAnsi="Times New Roman" w:cs="Times New Roman" w:eastAsia="Times New Roman" w:hint="default"/>
                <w:sz w:val="18"/>
                <w:szCs w:val="18"/>
              </w:rPr>
            </w:pPr>
            <w:r>
              <w:rPr>
                <w:rFonts w:ascii="Times New Roman"/>
                <w:sz w:val="18"/>
              </w:rPr>
              <w:t>Getty Images</w:t>
            </w:r>
            <w:r>
              <w:rPr>
                <w:rFonts w:ascii="Times New Roman"/>
                <w:spacing w:val="-4"/>
                <w:sz w:val="18"/>
              </w:rPr>
              <w:t> </w:t>
            </w:r>
            <w:r>
              <w:rPr>
                <w:rFonts w:ascii="Times New Roman"/>
                <w:sz w:val="18"/>
              </w:rPr>
              <w:t>SEA</w:t>
            </w:r>
            <w:r>
              <w:rPr>
                <w:rFonts w:ascii="Times New Roman"/>
                <w:w w:val="99"/>
                <w:sz w:val="18"/>
              </w:rPr>
              <w:t> </w:t>
            </w:r>
            <w:r>
              <w:rPr>
                <w:rFonts w:ascii="Times New Roman"/>
                <w:sz w:val="18"/>
              </w:rPr>
              <w:t>Holdings</w:t>
            </w:r>
            <w:r>
              <w:rPr>
                <w:rFonts w:ascii="Times New Roman"/>
                <w:w w:val="99"/>
                <w:sz w:val="18"/>
              </w:rPr>
              <w:t> </w:t>
            </w:r>
            <w:r>
              <w:rPr>
                <w:rFonts w:ascii="Times New Roman"/>
                <w:sz w:val="18"/>
              </w:rPr>
              <w:t>Co.,Limited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2,866,406.06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28,664.06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3,929,650.12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39,296.50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367"/>
      <w:bookmarkEnd w:id="3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廖道训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5,143,609.59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85,834,650.68</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86"/>
              <w:jc w:val="left"/>
              <w:rPr>
                <w:rFonts w:ascii="Times New Roman" w:hAnsi="Times New Roman" w:cs="Times New Roman" w:eastAsia="Times New Roman" w:hint="default"/>
                <w:sz w:val="18"/>
                <w:szCs w:val="18"/>
              </w:rPr>
            </w:pPr>
            <w:r>
              <w:rPr>
                <w:rFonts w:ascii="Times New Roman"/>
                <w:sz w:val="18"/>
              </w:rPr>
              <w:t>Getty Images SEA</w:t>
            </w:r>
            <w:r>
              <w:rPr>
                <w:rFonts w:ascii="Times New Roman"/>
                <w:spacing w:val="-14"/>
                <w:sz w:val="18"/>
              </w:rPr>
              <w:t> </w:t>
            </w:r>
            <w:r>
              <w:rPr>
                <w:rFonts w:ascii="Times New Roman"/>
                <w:sz w:val="18"/>
              </w:rPr>
              <w:t>Holding</w:t>
            </w:r>
            <w:r>
              <w:rPr>
                <w:rFonts w:ascii="Times New Roman"/>
                <w:sz w:val="18"/>
              </w:rPr>
              <w:t> Co.,Limited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156,820,800.00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166,488,000.00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承诺及或有事项" w:id="368"/>
      <w:bookmarkEnd w:id="368"/>
      <w:r>
        <w:rPr>
          <w:b w:val="0"/>
          <w:bCs w:val="0"/>
        </w:rPr>
      </w: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69"/>
      <w:bookmarkEnd w:id="3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Heading4"/>
        <w:spacing w:line="240" w:lineRule="auto" w:before="89"/>
        <w:ind w:left="573" w:right="0"/>
        <w:jc w:val="left"/>
      </w:pPr>
      <w:r>
        <w:rPr/>
        <w:t>①</w:t>
      </w:r>
      <w:r>
        <w:rPr>
          <w:spacing w:val="-26"/>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日公司对外投资承诺明细</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015"/>
        <w:gridCol w:w="1751"/>
        <w:gridCol w:w="1559"/>
        <w:gridCol w:w="1450"/>
        <w:gridCol w:w="1112"/>
      </w:tblGrid>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7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0" w:right="0"/>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43" w:right="0"/>
              <w:jc w:val="left"/>
              <w:rPr>
                <w:rFonts w:ascii="宋体" w:hAnsi="宋体" w:cs="宋体" w:eastAsia="宋体" w:hint="default"/>
                <w:sz w:val="21"/>
                <w:szCs w:val="21"/>
              </w:rPr>
            </w:pPr>
            <w:r>
              <w:rPr>
                <w:rFonts w:ascii="宋体" w:hAnsi="宋体" w:cs="宋体" w:eastAsia="宋体" w:hint="default"/>
                <w:sz w:val="21"/>
                <w:szCs w:val="21"/>
              </w:rPr>
              <w:t>尚未投出金额</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8" w:right="0"/>
              <w:jc w:val="left"/>
              <w:rPr>
                <w:rFonts w:ascii="宋体" w:hAnsi="宋体" w:cs="宋体" w:eastAsia="宋体" w:hint="default"/>
                <w:sz w:val="21"/>
                <w:szCs w:val="21"/>
              </w:rPr>
            </w:pPr>
            <w:r>
              <w:rPr>
                <w:rFonts w:ascii="宋体" w:hAnsi="宋体" w:cs="宋体" w:eastAsia="宋体" w:hint="default"/>
                <w:sz w:val="21"/>
                <w:szCs w:val="21"/>
              </w:rPr>
              <w:t>累计已投金额</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4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上海卓越形象广告传播有限公司</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78,800,000.00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22,260,000.00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56,540,000.00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Datatool Hongkong</w:t>
            </w:r>
            <w:r>
              <w:rPr>
                <w:rFonts w:ascii="Times New Roman"/>
                <w:spacing w:val="-5"/>
                <w:sz w:val="21"/>
              </w:rPr>
              <w:t> </w:t>
            </w:r>
            <w:r>
              <w:rPr>
                <w:rFonts w:ascii="Times New Roman"/>
                <w:sz w:val="21"/>
              </w:rPr>
              <w:t>Limited</w:t>
            </w:r>
          </w:p>
        </w:tc>
        <w:tc>
          <w:tcPr>
            <w:tcW w:w="1751" w:type="dxa"/>
            <w:vMerge w:val="restart"/>
            <w:tcBorders>
              <w:top w:val="single" w:sz="4" w:space="0" w:color="000000"/>
              <w:left w:val="single" w:sz="4" w:space="0" w:color="000000"/>
              <w:right w:val="single" w:sz="4" w:space="0" w:color="000000"/>
            </w:tcBorders>
          </w:tcPr>
          <w:p>
            <w:pPr>
              <w:pStyle w:val="TableParagraph"/>
              <w:spacing w:line="240" w:lineRule="auto" w:before="45"/>
              <w:ind w:left="424" w:right="0"/>
              <w:jc w:val="left"/>
              <w:rPr>
                <w:rFonts w:ascii="Times New Roman" w:hAnsi="Times New Roman" w:cs="Times New Roman" w:eastAsia="Times New Roman" w:hint="default"/>
                <w:sz w:val="21"/>
                <w:szCs w:val="21"/>
              </w:rPr>
            </w:pPr>
            <w:r>
              <w:rPr>
                <w:rFonts w:ascii="Times New Roman"/>
                <w:sz w:val="21"/>
              </w:rPr>
              <w:t>188,210,000.00</w:t>
            </w:r>
          </w:p>
        </w:tc>
        <w:tc>
          <w:tcPr>
            <w:tcW w:w="1559" w:type="dxa"/>
            <w:vMerge w:val="restart"/>
            <w:tcBorders>
              <w:top w:val="single" w:sz="4" w:space="0" w:color="000000"/>
              <w:left w:val="single" w:sz="4" w:space="0" w:color="000000"/>
              <w:right w:val="single" w:sz="4" w:space="0" w:color="000000"/>
            </w:tcBorders>
          </w:tcPr>
          <w:p>
            <w:pP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22" w:right="0"/>
              <w:jc w:val="left"/>
              <w:rPr>
                <w:rFonts w:ascii="Times New Roman" w:hAnsi="Times New Roman" w:cs="Times New Roman" w:eastAsia="Times New Roman" w:hint="default"/>
                <w:sz w:val="21"/>
                <w:szCs w:val="21"/>
              </w:rPr>
            </w:pPr>
            <w:r>
              <w:rPr>
                <w:rFonts w:ascii="Times New Roman"/>
                <w:sz w:val="21"/>
              </w:rPr>
              <w:t>188,210,000.00</w:t>
            </w:r>
          </w:p>
        </w:tc>
        <w:tc>
          <w:tcPr>
            <w:tcW w:w="1112" w:type="dxa"/>
            <w:vMerge w:val="restart"/>
            <w:tcBorders>
              <w:top w:val="single" w:sz="4" w:space="0" w:color="000000"/>
              <w:left w:val="single" w:sz="4" w:space="0" w:color="000000"/>
              <w:right w:val="single" w:sz="4" w:space="0" w:color="000000"/>
            </w:tcBorders>
          </w:tcPr>
          <w:p>
            <w:pPr>
              <w:pStyle w:val="TableParagraph"/>
              <w:spacing w:line="312" w:lineRule="exact"/>
              <w:ind w:left="91" w:right="89"/>
              <w:jc w:val="both"/>
              <w:rPr>
                <w:rFonts w:ascii="宋体" w:hAnsi="宋体" w:cs="宋体" w:eastAsia="宋体" w:hint="default"/>
                <w:sz w:val="23"/>
                <w:szCs w:val="23"/>
              </w:rPr>
            </w:pPr>
            <w:r>
              <w:rPr>
                <w:rFonts w:ascii="宋体" w:hAnsi="宋体" w:cs="宋体" w:eastAsia="宋体" w:hint="default"/>
                <w:sz w:val="23"/>
                <w:szCs w:val="23"/>
              </w:rPr>
              <w:t>公司统一</w:t>
            </w:r>
            <w:r>
              <w:rPr>
                <w:rFonts w:ascii="宋体" w:hAnsi="宋体" w:cs="宋体" w:eastAsia="宋体" w:hint="default"/>
                <w:w w:val="100"/>
                <w:sz w:val="23"/>
                <w:szCs w:val="23"/>
              </w:rPr>
              <w:t> </w:t>
            </w:r>
            <w:r>
              <w:rPr>
                <w:rFonts w:ascii="宋体" w:hAnsi="宋体" w:cs="宋体" w:eastAsia="宋体" w:hint="default"/>
                <w:sz w:val="23"/>
                <w:szCs w:val="23"/>
              </w:rPr>
              <w:t>购买的亿</w:t>
            </w:r>
            <w:r>
              <w:rPr>
                <w:rFonts w:ascii="宋体" w:hAnsi="宋体" w:cs="宋体" w:eastAsia="宋体" w:hint="default"/>
                <w:w w:val="100"/>
                <w:sz w:val="23"/>
                <w:szCs w:val="23"/>
              </w:rPr>
              <w:t> </w:t>
            </w:r>
            <w:r>
              <w:rPr>
                <w:rFonts w:ascii="宋体" w:hAnsi="宋体" w:cs="宋体" w:eastAsia="宋体" w:hint="default"/>
                <w:sz w:val="23"/>
                <w:szCs w:val="23"/>
              </w:rPr>
              <w:t>迅资产组</w:t>
            </w: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Datatool China</w:t>
            </w:r>
            <w:r>
              <w:rPr>
                <w:rFonts w:ascii="Times New Roman"/>
                <w:spacing w:val="-6"/>
                <w:sz w:val="21"/>
              </w:rPr>
              <w:t> </w:t>
            </w:r>
            <w:r>
              <w:rPr>
                <w:rFonts w:ascii="Times New Roman"/>
                <w:sz w:val="21"/>
              </w:rPr>
              <w:t>Limited</w:t>
            </w:r>
          </w:p>
        </w:tc>
        <w:tc>
          <w:tcPr>
            <w:tcW w:w="1751"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1112" w:type="dxa"/>
            <w:vMerge/>
            <w:tcBorders>
              <w:left w:val="single" w:sz="4" w:space="0" w:color="000000"/>
              <w:right w:val="single" w:sz="4" w:space="0" w:color="000000"/>
            </w:tcBorders>
          </w:tcPr>
          <w:p>
            <w:pP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21"/>
                <w:szCs w:val="21"/>
              </w:rPr>
            </w:pPr>
            <w:r>
              <w:rPr>
                <w:rFonts w:ascii="Times New Roman"/>
                <w:sz w:val="21"/>
              </w:rPr>
              <w:t>eSOON China</w:t>
            </w:r>
            <w:r>
              <w:rPr>
                <w:rFonts w:ascii="Times New Roman"/>
                <w:spacing w:val="-6"/>
                <w:sz w:val="21"/>
              </w:rPr>
              <w:t> </w:t>
            </w:r>
            <w:r>
              <w:rPr>
                <w:rFonts w:ascii="Times New Roman"/>
                <w:sz w:val="21"/>
              </w:rPr>
              <w:t>Limited</w:t>
            </w:r>
          </w:p>
        </w:tc>
        <w:tc>
          <w:tcPr>
            <w:tcW w:w="1751"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1112" w:type="dxa"/>
            <w:vMerge/>
            <w:tcBorders>
              <w:left w:val="single" w:sz="4" w:space="0" w:color="000000"/>
              <w:right w:val="single" w:sz="4" w:space="0" w:color="000000"/>
            </w:tcBorders>
          </w:tcPr>
          <w:p>
            <w:pP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宝东信息技术有限公司</w:t>
            </w:r>
          </w:p>
        </w:tc>
        <w:tc>
          <w:tcPr>
            <w:tcW w:w="1751"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c>
          <w:tcPr>
            <w:tcW w:w="1450" w:type="dxa"/>
            <w:vMerge/>
            <w:tcBorders>
              <w:left w:val="single" w:sz="4" w:space="0" w:color="000000"/>
              <w:right w:val="single" w:sz="4" w:space="0" w:color="000000"/>
            </w:tcBorders>
          </w:tcPr>
          <w:p>
            <w:pPr/>
          </w:p>
        </w:tc>
        <w:tc>
          <w:tcPr>
            <w:tcW w:w="1112" w:type="dxa"/>
            <w:vMerge/>
            <w:tcBorders>
              <w:left w:val="single" w:sz="4" w:space="0" w:color="000000"/>
              <w:right w:val="single" w:sz="4" w:space="0" w:color="000000"/>
            </w:tcBorders>
          </w:tcPr>
          <w:p>
            <w:pP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亿迅信息技术有限公司</w:t>
            </w:r>
          </w:p>
        </w:tc>
        <w:tc>
          <w:tcPr>
            <w:tcW w:w="1751"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1112" w:type="dxa"/>
            <w:vMerge/>
            <w:tcBorders>
              <w:left w:val="single" w:sz="4" w:space="0" w:color="000000"/>
              <w:bottom w:val="single" w:sz="4" w:space="0" w:color="000000"/>
              <w:right w:val="single" w:sz="4" w:space="0" w:color="000000"/>
            </w:tcBorders>
          </w:tcPr>
          <w:p>
            <w:pP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湖北司马彦文化科技有限公司</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171,420,000.00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128,580,000.00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富银消费金融有限责任公司</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81,000,000.00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89"/>
              <w:jc w:val="center"/>
              <w:rPr>
                <w:rFonts w:ascii="宋体" w:hAnsi="宋体" w:cs="宋体" w:eastAsia="宋体" w:hint="default"/>
                <w:sz w:val="23"/>
                <w:szCs w:val="23"/>
              </w:rPr>
            </w:pPr>
            <w:r>
              <w:rPr>
                <w:rFonts w:ascii="宋体" w:hAnsi="宋体" w:cs="宋体" w:eastAsia="宋体" w:hint="default"/>
                <w:sz w:val="23"/>
                <w:szCs w:val="23"/>
              </w:rPr>
              <w:t>拟设立投</w:t>
            </w:r>
          </w:p>
          <w:p>
            <w:pPr>
              <w:pStyle w:val="TableParagraph"/>
              <w:spacing w:line="240" w:lineRule="auto" w:before="11"/>
              <w:ind w:right="89"/>
              <w:jc w:val="center"/>
              <w:rPr>
                <w:rFonts w:ascii="宋体" w:hAnsi="宋体" w:cs="宋体" w:eastAsia="宋体" w:hint="default"/>
                <w:sz w:val="23"/>
                <w:szCs w:val="23"/>
              </w:rPr>
            </w:pPr>
            <w:r>
              <w:rPr>
                <w:rFonts w:ascii="宋体" w:hAnsi="宋体" w:cs="宋体" w:eastAsia="宋体" w:hint="default"/>
                <w:w w:val="100"/>
                <w:sz w:val="23"/>
                <w:szCs w:val="23"/>
              </w:rPr>
              <w:t>资</w:t>
            </w:r>
          </w:p>
        </w:tc>
      </w:tr>
      <w:tr>
        <w:trPr>
          <w:trHeight w:val="34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广东易教优培教育科技有限公司</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110,000,000.00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44,000,000.00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66,000,000.00</w:t>
            </w:r>
          </w:p>
        </w:tc>
        <w:tc>
          <w:tcPr>
            <w:tcW w:w="111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758,010,000.00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237,680,000.00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439,330,000.00</w:t>
            </w:r>
          </w:p>
        </w:tc>
        <w:tc>
          <w:tcPr>
            <w:tcW w:w="1112" w:type="dxa"/>
            <w:tcBorders>
              <w:top w:val="single" w:sz="4" w:space="0" w:color="000000"/>
              <w:left w:val="single" w:sz="4" w:space="0" w:color="000000"/>
              <w:bottom w:val="single" w:sz="4" w:space="0" w:color="000000"/>
              <w:right w:val="single" w:sz="4" w:space="0" w:color="000000"/>
            </w:tcBorders>
          </w:tcPr>
          <w:p>
            <w:pPr/>
          </w:p>
        </w:tc>
      </w:tr>
    </w:tbl>
    <w:p>
      <w:pPr>
        <w:spacing w:line="271" w:lineRule="exact" w:before="0"/>
        <w:ind w:left="613" w:right="0" w:firstLine="0"/>
        <w:jc w:val="left"/>
        <w:rPr>
          <w:rFonts w:ascii="宋体" w:hAnsi="宋体" w:cs="宋体" w:eastAsia="宋体" w:hint="default"/>
          <w:sz w:val="23"/>
          <w:szCs w:val="23"/>
        </w:rPr>
      </w:pPr>
      <w:r>
        <w:rPr>
          <w:rFonts w:ascii="宋体" w:hAnsi="宋体" w:cs="宋体" w:eastAsia="宋体" w:hint="default"/>
          <w:sz w:val="23"/>
          <w:szCs w:val="23"/>
        </w:rPr>
        <w:t>（续）</w:t>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61"/>
        <w:gridCol w:w="1493"/>
        <w:gridCol w:w="1494"/>
        <w:gridCol w:w="1227"/>
        <w:gridCol w:w="1318"/>
      </w:tblGrid>
      <w:tr>
        <w:trPr>
          <w:trHeight w:val="342" w:hRule="exact"/>
        </w:trPr>
        <w:tc>
          <w:tcPr>
            <w:tcW w:w="3161" w:type="dxa"/>
            <w:vMerge w:val="restart"/>
            <w:tcBorders>
              <w:top w:val="single" w:sz="4" w:space="0" w:color="000000"/>
              <w:left w:val="single" w:sz="4" w:space="0" w:color="000000"/>
              <w:right w:val="single" w:sz="4" w:space="0" w:color="000000"/>
            </w:tcBorders>
          </w:tcPr>
          <w:p>
            <w:pPr>
              <w:pStyle w:val="TableParagraph"/>
              <w:spacing w:line="270" w:lineRule="exact"/>
              <w:ind w:left="105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55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77" w:right="0"/>
              <w:jc w:val="left"/>
              <w:rPr>
                <w:rFonts w:ascii="宋体" w:hAnsi="宋体" w:cs="宋体" w:eastAsia="宋体" w:hint="default"/>
                <w:sz w:val="21"/>
                <w:szCs w:val="21"/>
              </w:rPr>
            </w:pPr>
            <w:r>
              <w:rPr>
                <w:rFonts w:ascii="宋体" w:hAnsi="宋体" w:cs="宋体" w:eastAsia="宋体" w:hint="default"/>
                <w:sz w:val="21"/>
                <w:szCs w:val="21"/>
              </w:rPr>
              <w:t>原股东在股权出让时业绩承诺（万元）</w:t>
            </w:r>
          </w:p>
        </w:tc>
      </w:tr>
      <w:tr>
        <w:trPr>
          <w:trHeight w:val="342" w:hRule="exact"/>
        </w:trPr>
        <w:tc>
          <w:tcPr>
            <w:tcW w:w="3161"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年度</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r>
      <w:tr>
        <w:trPr>
          <w:trHeight w:val="190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上海卓越形象广告传播有限公司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6" w:right="156"/>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&gt;1,310.00</w:t>
            </w:r>
          </w:p>
          <w:p>
            <w:pPr>
              <w:pStyle w:val="TableParagraph"/>
              <w:spacing w:line="259" w:lineRule="auto"/>
              <w:ind w:left="6" w:right="156"/>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经营性现金净</w:t>
            </w:r>
            <w:r>
              <w:rPr>
                <w:rFonts w:ascii="宋体" w:hAnsi="宋体" w:cs="宋体" w:eastAsia="宋体" w:hint="default"/>
                <w:w w:val="99"/>
                <w:sz w:val="22"/>
                <w:szCs w:val="22"/>
              </w:rPr>
              <w:t> </w:t>
            </w:r>
            <w:r>
              <w:rPr>
                <w:rFonts w:ascii="宋体" w:hAnsi="宋体" w:cs="宋体" w:eastAsia="宋体" w:hint="default"/>
                <w:sz w:val="22"/>
                <w:szCs w:val="22"/>
              </w:rPr>
              <w:t>流量</w:t>
            </w:r>
            <w:r>
              <w:rPr>
                <w:rFonts w:ascii="Times New Roman" w:hAnsi="Times New Roman" w:cs="Times New Roman" w:eastAsia="Times New Roman" w:hint="default"/>
                <w:sz w:val="22"/>
                <w:szCs w:val="22"/>
              </w:rPr>
              <w:t>&gt;720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158"/>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&gt;1,441.00</w:t>
            </w:r>
          </w:p>
          <w:p>
            <w:pPr>
              <w:pStyle w:val="TableParagraph"/>
              <w:spacing w:line="259" w:lineRule="auto"/>
              <w:ind w:left="4" w:right="158"/>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经营性现金净</w:t>
            </w:r>
            <w:r>
              <w:rPr>
                <w:rFonts w:ascii="宋体" w:hAnsi="宋体" w:cs="宋体" w:eastAsia="宋体" w:hint="default"/>
                <w:w w:val="99"/>
                <w:sz w:val="22"/>
                <w:szCs w:val="22"/>
              </w:rPr>
              <w:t> </w:t>
            </w:r>
            <w:r>
              <w:rPr>
                <w:rFonts w:ascii="宋体" w:hAnsi="宋体" w:cs="宋体" w:eastAsia="宋体" w:hint="default"/>
                <w:sz w:val="22"/>
                <w:szCs w:val="22"/>
              </w:rPr>
              <w:t>流量</w:t>
            </w:r>
            <w:r>
              <w:rPr>
                <w:rFonts w:ascii="Times New Roman" w:hAnsi="Times New Roman" w:cs="Times New Roman" w:eastAsia="Times New Roman" w:hint="default"/>
                <w:sz w:val="22"/>
                <w:szCs w:val="22"/>
              </w:rPr>
              <w:t>&gt;792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6" w:right="95"/>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spacing w:val="1"/>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&gt;1,585.10</w:t>
            </w:r>
          </w:p>
          <w:p>
            <w:pPr>
              <w:pStyle w:val="TableParagraph"/>
              <w:spacing w:line="259" w:lineRule="auto"/>
              <w:ind w:left="6" w:right="110"/>
              <w:jc w:val="left"/>
              <w:rPr>
                <w:rFonts w:ascii="Times New Roman" w:hAnsi="Times New Roman" w:cs="Times New Roman" w:eastAsia="Times New Roman" w:hint="default"/>
                <w:sz w:val="22"/>
                <w:szCs w:val="22"/>
              </w:rPr>
            </w:pPr>
            <w:r>
              <w:rPr>
                <w:rFonts w:ascii="宋体" w:hAnsi="宋体" w:cs="宋体" w:eastAsia="宋体" w:hint="default"/>
                <w:sz w:val="22"/>
                <w:szCs w:val="22"/>
              </w:rPr>
              <w:t>经营性现金</w:t>
            </w:r>
            <w:r>
              <w:rPr>
                <w:rFonts w:ascii="宋体" w:hAnsi="宋体" w:cs="宋体" w:eastAsia="宋体" w:hint="default"/>
                <w:w w:val="99"/>
                <w:sz w:val="22"/>
                <w:szCs w:val="22"/>
              </w:rPr>
              <w:t> </w:t>
            </w:r>
            <w:r>
              <w:rPr>
                <w:rFonts w:ascii="宋体" w:hAnsi="宋体" w:cs="宋体" w:eastAsia="宋体" w:hint="default"/>
                <w:sz w:val="22"/>
                <w:szCs w:val="22"/>
              </w:rPr>
              <w:t>净流</w:t>
            </w:r>
            <w:r>
              <w:rPr>
                <w:rFonts w:ascii="宋体" w:hAnsi="宋体" w:cs="宋体" w:eastAsia="宋体" w:hint="default"/>
                <w:w w:val="99"/>
                <w:sz w:val="22"/>
                <w:szCs w:val="22"/>
              </w:rPr>
              <w:t> </w:t>
            </w:r>
            <w:r>
              <w:rPr>
                <w:rFonts w:ascii="宋体" w:hAnsi="宋体" w:cs="宋体" w:eastAsia="宋体" w:hint="default"/>
                <w:sz w:val="22"/>
                <w:szCs w:val="22"/>
              </w:rPr>
              <w:t>量</w:t>
            </w:r>
            <w:r>
              <w:rPr>
                <w:rFonts w:ascii="Times New Roman" w:hAnsi="Times New Roman" w:cs="Times New Roman" w:eastAsia="Times New Roman" w:hint="default"/>
                <w:sz w:val="22"/>
                <w:szCs w:val="22"/>
              </w:rPr>
              <w:t>&gt;871.20</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Datatool Hongkong</w:t>
            </w:r>
            <w:r>
              <w:rPr>
                <w:rFonts w:ascii="Times New Roman"/>
                <w:spacing w:val="-5"/>
                <w:sz w:val="21"/>
              </w:rPr>
              <w:t> </w:t>
            </w:r>
            <w:r>
              <w:rPr>
                <w:rFonts w:ascii="Times New Roman"/>
                <w:sz w:val="21"/>
              </w:rPr>
              <w:t>Limited</w:t>
            </w:r>
          </w:p>
        </w:tc>
        <w:tc>
          <w:tcPr>
            <w:tcW w:w="1493" w:type="dxa"/>
            <w:vMerge w:val="restart"/>
            <w:tcBorders>
              <w:top w:val="single" w:sz="4" w:space="0" w:color="000000"/>
              <w:left w:val="single" w:sz="4" w:space="0" w:color="000000"/>
              <w:right w:val="single" w:sz="4" w:space="0" w:color="000000"/>
            </w:tcBorders>
          </w:tcPr>
          <w:p>
            <w:pPr>
              <w:pStyle w:val="TableParagraph"/>
              <w:spacing w:line="259" w:lineRule="auto"/>
              <w:ind w:left="6" w:right="156"/>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&gt;2,029.87</w:t>
            </w:r>
          </w:p>
        </w:tc>
        <w:tc>
          <w:tcPr>
            <w:tcW w:w="1494" w:type="dxa"/>
            <w:vMerge w:val="restart"/>
            <w:tcBorders>
              <w:top w:val="single" w:sz="4" w:space="0" w:color="000000"/>
              <w:left w:val="single" w:sz="4" w:space="0" w:color="000000"/>
              <w:right w:val="single" w:sz="4" w:space="0" w:color="000000"/>
            </w:tcBorders>
          </w:tcPr>
          <w:p>
            <w:pPr>
              <w:pStyle w:val="TableParagraph"/>
              <w:spacing w:line="259" w:lineRule="auto"/>
              <w:ind w:left="4" w:right="158"/>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&gt;2,551.03</w:t>
            </w:r>
          </w:p>
        </w:tc>
        <w:tc>
          <w:tcPr>
            <w:tcW w:w="1227" w:type="dxa"/>
            <w:vMerge w:val="restart"/>
            <w:tcBorders>
              <w:top w:val="single" w:sz="4" w:space="0" w:color="000000"/>
              <w:left w:val="single" w:sz="4" w:space="0" w:color="000000"/>
              <w:right w:val="single" w:sz="4" w:space="0" w:color="000000"/>
            </w:tcBorders>
          </w:tcPr>
          <w:p>
            <w:pPr>
              <w:pStyle w:val="TableParagraph"/>
              <w:spacing w:line="259" w:lineRule="auto"/>
              <w:ind w:left="6" w:right="95"/>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&gt;3,391.69</w:t>
            </w:r>
          </w:p>
        </w:tc>
        <w:tc>
          <w:tcPr>
            <w:tcW w:w="1318" w:type="dxa"/>
            <w:vMerge w:val="restart"/>
            <w:tcBorders>
              <w:top w:val="single" w:sz="4" w:space="0" w:color="000000"/>
              <w:left w:val="single" w:sz="4" w:space="0" w:color="000000"/>
              <w:right w:val="single" w:sz="4" w:space="0" w:color="000000"/>
            </w:tcBorders>
          </w:tcPr>
          <w:p>
            <w:pP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Datatool China</w:t>
            </w:r>
            <w:r>
              <w:rPr>
                <w:rFonts w:ascii="Times New Roman"/>
                <w:spacing w:val="-6"/>
                <w:sz w:val="21"/>
              </w:rPr>
              <w:t> </w:t>
            </w:r>
            <w:r>
              <w:rPr>
                <w:rFonts w:ascii="Times New Roman"/>
                <w:sz w:val="21"/>
              </w:rPr>
              <w:t>Limited</w:t>
            </w:r>
          </w:p>
        </w:tc>
        <w:tc>
          <w:tcPr>
            <w:tcW w:w="1493" w:type="dxa"/>
            <w:vMerge/>
            <w:tcBorders>
              <w:left w:val="single" w:sz="4" w:space="0" w:color="000000"/>
              <w:right w:val="single" w:sz="4" w:space="0" w:color="000000"/>
            </w:tcBorders>
          </w:tcPr>
          <w:p>
            <w:pPr/>
          </w:p>
        </w:tc>
        <w:tc>
          <w:tcPr>
            <w:tcW w:w="1494" w:type="dxa"/>
            <w:vMerge/>
            <w:tcBorders>
              <w:left w:val="single" w:sz="4" w:space="0" w:color="000000"/>
              <w:right w:val="single" w:sz="4" w:space="0" w:color="000000"/>
            </w:tcBorders>
          </w:tcPr>
          <w:p>
            <w:pPr/>
          </w:p>
        </w:tc>
        <w:tc>
          <w:tcPr>
            <w:tcW w:w="1227"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eSOON China</w:t>
            </w:r>
            <w:r>
              <w:rPr>
                <w:rFonts w:ascii="Times New Roman"/>
                <w:spacing w:val="-6"/>
                <w:sz w:val="21"/>
              </w:rPr>
              <w:t> </w:t>
            </w:r>
            <w:r>
              <w:rPr>
                <w:rFonts w:ascii="Times New Roman"/>
                <w:sz w:val="21"/>
              </w:rPr>
              <w:t>Limited</w:t>
            </w:r>
          </w:p>
        </w:tc>
        <w:tc>
          <w:tcPr>
            <w:tcW w:w="1493" w:type="dxa"/>
            <w:vMerge/>
            <w:tcBorders>
              <w:left w:val="single" w:sz="4" w:space="0" w:color="000000"/>
              <w:right w:val="single" w:sz="4" w:space="0" w:color="000000"/>
            </w:tcBorders>
          </w:tcPr>
          <w:p>
            <w:pPr/>
          </w:p>
        </w:tc>
        <w:tc>
          <w:tcPr>
            <w:tcW w:w="1494" w:type="dxa"/>
            <w:vMerge/>
            <w:tcBorders>
              <w:left w:val="single" w:sz="4" w:space="0" w:color="000000"/>
              <w:right w:val="single" w:sz="4" w:space="0" w:color="000000"/>
            </w:tcBorders>
          </w:tcPr>
          <w:p>
            <w:pPr/>
          </w:p>
        </w:tc>
        <w:tc>
          <w:tcPr>
            <w:tcW w:w="1227"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宝东信息技术有限公司</w:t>
            </w:r>
          </w:p>
        </w:tc>
        <w:tc>
          <w:tcPr>
            <w:tcW w:w="1493" w:type="dxa"/>
            <w:vMerge/>
            <w:tcBorders>
              <w:left w:val="single" w:sz="4" w:space="0" w:color="000000"/>
              <w:right w:val="single" w:sz="4" w:space="0" w:color="000000"/>
            </w:tcBorders>
          </w:tcPr>
          <w:p>
            <w:pPr/>
          </w:p>
        </w:tc>
        <w:tc>
          <w:tcPr>
            <w:tcW w:w="1494" w:type="dxa"/>
            <w:vMerge/>
            <w:tcBorders>
              <w:left w:val="single" w:sz="4" w:space="0" w:color="000000"/>
              <w:right w:val="single" w:sz="4" w:space="0" w:color="000000"/>
            </w:tcBorders>
          </w:tcPr>
          <w:p>
            <w:pPr/>
          </w:p>
        </w:tc>
        <w:tc>
          <w:tcPr>
            <w:tcW w:w="1227" w:type="dxa"/>
            <w:vMerge/>
            <w:tcBorders>
              <w:left w:val="single" w:sz="4" w:space="0" w:color="000000"/>
              <w:right w:val="single" w:sz="4" w:space="0" w:color="000000"/>
            </w:tcBorders>
          </w:tcPr>
          <w:p>
            <w:pPr/>
          </w:p>
        </w:tc>
        <w:tc>
          <w:tcPr>
            <w:tcW w:w="1318" w:type="dxa"/>
            <w:vMerge/>
            <w:tcBorders>
              <w:left w:val="single" w:sz="4" w:space="0" w:color="000000"/>
              <w:right w:val="single" w:sz="4" w:space="0" w:color="000000"/>
            </w:tcBorders>
          </w:tcPr>
          <w:p>
            <w:pP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亿迅信息技术有限公司</w:t>
            </w:r>
          </w:p>
        </w:tc>
        <w:tc>
          <w:tcPr>
            <w:tcW w:w="1493" w:type="dxa"/>
            <w:vMerge/>
            <w:tcBorders>
              <w:left w:val="single" w:sz="4" w:space="0" w:color="000000"/>
              <w:bottom w:val="single" w:sz="4" w:space="0" w:color="000000"/>
              <w:right w:val="single" w:sz="4" w:space="0" w:color="000000"/>
            </w:tcBorders>
          </w:tcPr>
          <w:p>
            <w:pPr/>
          </w:p>
        </w:tc>
        <w:tc>
          <w:tcPr>
            <w:tcW w:w="1494" w:type="dxa"/>
            <w:vMerge/>
            <w:tcBorders>
              <w:left w:val="single" w:sz="4" w:space="0" w:color="000000"/>
              <w:bottom w:val="single" w:sz="4" w:space="0" w:color="000000"/>
              <w:right w:val="single" w:sz="4" w:space="0" w:color="000000"/>
            </w:tcBorders>
          </w:tcPr>
          <w:p>
            <w:pPr/>
          </w:p>
        </w:tc>
        <w:tc>
          <w:tcPr>
            <w:tcW w:w="1227"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r>
      <w:tr>
        <w:trPr>
          <w:trHeight w:val="966"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湖北司马彦文化科技有限公司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81" w:right="80"/>
              <w:jc w:val="center"/>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&gt;4,000.00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81" w:right="81"/>
              <w:jc w:val="center"/>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&gt;5,000.00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51" w:right="49" w:firstLine="7"/>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&gt;6,000.00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97" w:right="94" w:firstLine="6"/>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&gt;6,000.00</w:t>
            </w:r>
          </w:p>
        </w:tc>
      </w:tr>
      <w:tr>
        <w:trPr>
          <w:trHeight w:val="342"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富银消费金融有限责任公司</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3160"/>
        <w:gridCol w:w="1493"/>
        <w:gridCol w:w="1495"/>
        <w:gridCol w:w="1226"/>
        <w:gridCol w:w="1319"/>
      </w:tblGrid>
      <w:tr>
        <w:trPr>
          <w:trHeight w:val="342" w:hRule="exact"/>
        </w:trPr>
        <w:tc>
          <w:tcPr>
            <w:tcW w:w="3160" w:type="dxa"/>
            <w:vMerge w:val="restart"/>
            <w:tcBorders>
              <w:top w:val="single" w:sz="4" w:space="0" w:color="000000"/>
              <w:left w:val="single" w:sz="4" w:space="0" w:color="000000"/>
              <w:right w:val="single" w:sz="4" w:space="0" w:color="000000"/>
            </w:tcBorders>
          </w:tcPr>
          <w:p>
            <w:pPr>
              <w:pStyle w:val="TableParagraph"/>
              <w:spacing w:line="271" w:lineRule="exact"/>
              <w:ind w:left="1050"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55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77" w:right="0"/>
              <w:jc w:val="left"/>
              <w:rPr>
                <w:rFonts w:ascii="宋体" w:hAnsi="宋体" w:cs="宋体" w:eastAsia="宋体" w:hint="default"/>
                <w:sz w:val="21"/>
                <w:szCs w:val="21"/>
              </w:rPr>
            </w:pPr>
            <w:r>
              <w:rPr>
                <w:rFonts w:ascii="宋体" w:hAnsi="宋体" w:cs="宋体" w:eastAsia="宋体" w:hint="default"/>
                <w:sz w:val="21"/>
                <w:szCs w:val="21"/>
              </w:rPr>
              <w:t>原股东在股权出让时业绩承诺（万元）</w:t>
            </w:r>
          </w:p>
        </w:tc>
      </w:tr>
      <w:tr>
        <w:trPr>
          <w:trHeight w:val="342" w:hRule="exact"/>
        </w:trPr>
        <w:tc>
          <w:tcPr>
            <w:tcW w:w="3160"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年度</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2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年度</w:t>
            </w:r>
          </w:p>
        </w:tc>
      </w:tr>
      <w:tr>
        <w:trPr>
          <w:trHeight w:val="966" w:hRule="exact"/>
        </w:trPr>
        <w:tc>
          <w:tcPr>
            <w:tcW w:w="31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广东易教优培教育科技有限公司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6" w:right="156"/>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&gt;3,300.00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159"/>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扣除非经常性</w:t>
            </w:r>
            <w:r>
              <w:rPr>
                <w:rFonts w:ascii="宋体" w:hAnsi="宋体" w:cs="宋体" w:eastAsia="宋体" w:hint="default"/>
                <w:w w:val="99"/>
                <w:sz w:val="22"/>
                <w:szCs w:val="22"/>
              </w:rPr>
              <w:t> </w:t>
            </w:r>
            <w:r>
              <w:rPr>
                <w:rFonts w:ascii="宋体" w:hAnsi="宋体" w:cs="宋体" w:eastAsia="宋体" w:hint="default"/>
                <w:sz w:val="22"/>
                <w:szCs w:val="22"/>
              </w:rPr>
              <w:t>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&gt;4,300.00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95"/>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&gt;5,300.00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188"/>
              <w:jc w:val="both"/>
              <w:rPr>
                <w:rFonts w:ascii="Times New Roman" w:hAnsi="Times New Roman" w:cs="Times New Roman" w:eastAsia="Times New Roman" w:hint="default"/>
                <w:sz w:val="22"/>
                <w:szCs w:val="22"/>
              </w:rPr>
            </w:pPr>
            <w:r>
              <w:rPr>
                <w:rFonts w:ascii="宋体" w:hAnsi="宋体" w:cs="宋体" w:eastAsia="宋体" w:hint="default"/>
                <w:sz w:val="22"/>
                <w:szCs w:val="22"/>
              </w:rPr>
              <w:t>扣除非经常</w:t>
            </w:r>
            <w:r>
              <w:rPr>
                <w:rFonts w:ascii="宋体" w:hAnsi="宋体" w:cs="宋体" w:eastAsia="宋体" w:hint="default"/>
                <w:w w:val="99"/>
                <w:sz w:val="22"/>
                <w:szCs w:val="22"/>
              </w:rPr>
              <w:t> </w:t>
            </w:r>
            <w:r>
              <w:rPr>
                <w:rFonts w:ascii="宋体" w:hAnsi="宋体" w:cs="宋体" w:eastAsia="宋体" w:hint="default"/>
                <w:sz w:val="22"/>
                <w:szCs w:val="22"/>
              </w:rPr>
              <w:t>性损益净利</w:t>
            </w:r>
            <w:r>
              <w:rPr>
                <w:rFonts w:ascii="宋体" w:hAnsi="宋体" w:cs="宋体" w:eastAsia="宋体" w:hint="default"/>
                <w:w w:val="99"/>
                <w:sz w:val="22"/>
                <w:szCs w:val="22"/>
              </w:rPr>
              <w:t> </w:t>
            </w:r>
            <w:r>
              <w:rPr>
                <w:rFonts w:ascii="宋体" w:hAnsi="宋体" w:cs="宋体" w:eastAsia="宋体" w:hint="default"/>
                <w:sz w:val="22"/>
                <w:szCs w:val="22"/>
              </w:rPr>
              <w:t>润</w:t>
            </w:r>
            <w:r>
              <w:rPr>
                <w:rFonts w:ascii="Times New Roman" w:hAnsi="Times New Roman" w:cs="Times New Roman" w:eastAsia="Times New Roman" w:hint="default"/>
                <w:sz w:val="22"/>
                <w:szCs w:val="22"/>
              </w:rPr>
              <w:t>&gt;6,150.00</w:t>
            </w:r>
          </w:p>
        </w:tc>
      </w:tr>
    </w:tbl>
    <w:p>
      <w:pPr>
        <w:spacing w:after="0" w:line="259" w:lineRule="auto"/>
        <w:jc w:val="both"/>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573" w:right="0"/>
        <w:jc w:val="left"/>
      </w:pPr>
      <w:r>
        <w:rPr/>
        <w:t>注：</w:t>
      </w:r>
    </w:p>
    <w:p>
      <w:pPr>
        <w:pStyle w:val="Heading4"/>
        <w:spacing w:line="256" w:lineRule="auto" w:before="37"/>
        <w:ind w:right="1133" w:firstLine="420"/>
        <w:jc w:val="both"/>
      </w:pPr>
      <w:r>
        <w:rPr>
          <w:rFonts w:ascii="Times New Roman" w:hAnsi="Times New Roman" w:cs="Times New Roman" w:eastAsia="Times New Roman" w:hint="default"/>
        </w:rPr>
        <w:t>A</w:t>
      </w:r>
      <w:r>
        <w:rPr/>
        <w:t>、根据公司子公司汉华易美图片有限公司与自然人苗青、贾丽军、吉安市正鼎投资管理签订的《投 </w:t>
      </w:r>
      <w:r>
        <w:rPr>
          <w:spacing w:val="14"/>
        </w:rPr>
        <w:t>资协议》，北京汉华易美图片有限公司受让上海卓越形象广告传播有限公司</w:t>
      </w:r>
      <w:r>
        <w:rPr>
          <w:rFonts w:ascii="Times New Roman" w:hAnsi="Times New Roman" w:cs="Times New Roman" w:eastAsia="Times New Roman" w:hint="default"/>
          <w:spacing w:val="14"/>
        </w:rPr>
        <w:t>51%</w:t>
      </w:r>
      <w:r>
        <w:rPr>
          <w:spacing w:val="14"/>
        </w:rPr>
        <w:t>需支付股权转让款</w:t>
      </w:r>
      <w:r>
        <w:rPr/>
        <w:t> </w:t>
      </w:r>
      <w:r>
        <w:rPr>
          <w:rFonts w:ascii="Times New Roman" w:hAnsi="Times New Roman" w:cs="Times New Roman" w:eastAsia="Times New Roman" w:hint="default"/>
        </w:rPr>
        <w:t>78,800,000.00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日累计已支付</w:t>
      </w:r>
      <w:r>
        <w:rPr>
          <w:rFonts w:ascii="Times New Roman" w:hAnsi="Times New Roman" w:cs="Times New Roman" w:eastAsia="Times New Roman" w:hint="default"/>
        </w:rPr>
        <w:t>56,540,000.00</w:t>
      </w:r>
      <w:r>
        <w:rPr/>
        <w:t>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22,260,000.00</w:t>
      </w:r>
      <w:r>
        <w:rPr/>
        <w:t>元。</w:t>
      </w:r>
    </w:p>
    <w:p>
      <w:pPr>
        <w:pStyle w:val="Heading4"/>
        <w:spacing w:line="261" w:lineRule="auto" w:before="5"/>
        <w:ind w:right="1024" w:firstLine="420"/>
        <w:jc w:val="left"/>
      </w:pPr>
      <w:r>
        <w:rPr>
          <w:rFonts w:ascii="Times New Roman" w:hAnsi="Times New Roman" w:cs="Times New Roman" w:eastAsia="Times New Roman" w:hint="default"/>
        </w:rPr>
        <w:t>B</w:t>
      </w:r>
      <w:r>
        <w:rPr/>
        <w:t>、根据公司之子公司常州远东文化产业有限公司及其子公司视觉中国香港有限公司与亿迅（中国） </w:t>
      </w:r>
      <w:r>
        <w:rPr>
          <w:spacing w:val="-3"/>
        </w:rPr>
        <w:t>软件有限公司、上海宝东信息技术有限公司签订的《关于亿迅信息技术有限公司、宝东信息技术有限公司、</w:t>
      </w:r>
      <w:r>
        <w:rPr>
          <w:spacing w:val="-90"/>
        </w:rPr>
        <w:t> </w:t>
      </w:r>
      <w:r>
        <w:rPr>
          <w:spacing w:val="-90"/>
        </w:rPr>
      </w:r>
      <w:r>
        <w:rPr>
          <w:rFonts w:ascii="Times New Roman" w:hAnsi="Times New Roman" w:cs="Times New Roman" w:eastAsia="Times New Roman" w:hint="default"/>
        </w:rPr>
        <w:t>eSOONChinaLimited</w:t>
      </w:r>
      <w:r>
        <w:rPr/>
        <w:t>、</w:t>
      </w:r>
      <w:r>
        <w:rPr>
          <w:rFonts w:ascii="Times New Roman" w:hAnsi="Times New Roman" w:cs="Times New Roman" w:eastAsia="Times New Roman" w:hint="default"/>
        </w:rPr>
        <w:t>DatatoolChinaLimited</w:t>
      </w:r>
      <w:r>
        <w:rPr/>
        <w:t>、</w:t>
      </w:r>
      <w:r>
        <w:rPr>
          <w:rFonts w:ascii="Times New Roman" w:hAnsi="Times New Roman" w:cs="Times New Roman" w:eastAsia="Times New Roman" w:hint="default"/>
        </w:rPr>
        <w:t>DatatoolHongkongLimited</w:t>
      </w:r>
      <w:r>
        <w:rPr/>
        <w:t>股权转让协议》的约定，常州远东</w:t>
      </w:r>
      <w:r>
        <w:rPr>
          <w:spacing w:val="-55"/>
        </w:rPr>
        <w:t> </w:t>
      </w:r>
      <w:r>
        <w:rPr>
          <w:spacing w:val="-55"/>
        </w:rPr>
      </w:r>
      <w:r>
        <w:rPr>
          <w:spacing w:val="-3"/>
        </w:rPr>
        <w:t>文化产业有限公司、视觉中国香港有限公司收购上述资产</w:t>
      </w:r>
      <w:r>
        <w:rPr>
          <w:rFonts w:ascii="Times New Roman" w:hAnsi="Times New Roman" w:cs="Times New Roman" w:eastAsia="Times New Roman" w:hint="default"/>
          <w:spacing w:val="-3"/>
        </w:rPr>
        <w:t>73%</w:t>
      </w:r>
      <w:r>
        <w:rPr>
          <w:spacing w:val="-3"/>
        </w:rPr>
        <w:t>的股权，需支付股权转让款</w:t>
      </w:r>
      <w:r>
        <w:rPr>
          <w:rFonts w:ascii="Times New Roman" w:hAnsi="Times New Roman" w:cs="Times New Roman" w:eastAsia="Times New Roman" w:hint="default"/>
          <w:spacing w:val="-3"/>
        </w:rPr>
        <w:t>188,210,000.00</w:t>
      </w:r>
      <w:r>
        <w:rPr>
          <w:spacing w:val="-3"/>
        </w:rPr>
        <w:t>元，</w:t>
      </w:r>
      <w:r>
        <w:rPr>
          <w:spacing w:val="-86"/>
        </w:rPr>
        <w:t> </w:t>
      </w:r>
      <w:r>
        <w:rPr/>
        <w:t>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日前支付完毕投资款</w:t>
      </w:r>
      <w:r>
        <w:rPr>
          <w:rFonts w:ascii="Times New Roman" w:hAnsi="Times New Roman" w:cs="Times New Roman" w:eastAsia="Times New Roman" w:hint="default"/>
        </w:rPr>
        <w:t>188,210,000.00</w:t>
      </w:r>
      <w:r>
        <w:rPr/>
        <w:t>元。</w:t>
      </w:r>
    </w:p>
    <w:p>
      <w:pPr>
        <w:pStyle w:val="Heading4"/>
        <w:spacing w:line="264" w:lineRule="auto" w:before="0"/>
        <w:ind w:right="1131" w:firstLine="420"/>
        <w:jc w:val="both"/>
      </w:pPr>
      <w:r>
        <w:rPr>
          <w:rFonts w:ascii="Times New Roman" w:hAnsi="Times New Roman" w:cs="Times New Roman" w:eastAsia="Times New Roman" w:hint="default"/>
        </w:rPr>
        <w:t>C</w:t>
      </w:r>
      <w:r>
        <w:rPr/>
        <w:t>、根据公司子公司北京汉华易美图片有限公司与湖北天福星科技有限公司、武汉鑫泰和商贸有限公 </w:t>
      </w:r>
      <w:r>
        <w:rPr>
          <w:spacing w:val="-1"/>
        </w:rPr>
        <w:t>司、武汉菲林格装饰设计工程有限公司、自然人司马彦、李先娥、司马新星、天津飞远信商务信息咨询有</w:t>
      </w:r>
      <w:r>
        <w:rPr>
          <w:spacing w:val="-83"/>
        </w:rPr>
        <w:t> </w:t>
      </w:r>
      <w:r>
        <w:rPr>
          <w:spacing w:val="-83"/>
        </w:rPr>
      </w:r>
      <w:r>
        <w:rPr>
          <w:spacing w:val="-1"/>
        </w:rPr>
        <w:t>限公司签订的《关于湖北司马彦文化科技有限公司之股权转让协议》，北京汉华易美图片有限公司受让湖</w:t>
      </w:r>
      <w:r>
        <w:rPr>
          <w:spacing w:val="-83"/>
        </w:rPr>
        <w:t> </w:t>
      </w:r>
      <w:r>
        <w:rPr>
          <w:spacing w:val="-83"/>
        </w:rPr>
      </w:r>
      <w:r>
        <w:rPr>
          <w:spacing w:val="6"/>
        </w:rPr>
        <w:t>北司马彦文化科技有限公司</w:t>
      </w:r>
      <w:r>
        <w:rPr>
          <w:rFonts w:ascii="Times New Roman" w:hAnsi="Times New Roman" w:cs="Times New Roman" w:eastAsia="Times New Roman" w:hint="default"/>
          <w:spacing w:val="6"/>
        </w:rPr>
        <w:t>49%</w:t>
      </w:r>
      <w:r>
        <w:rPr>
          <w:spacing w:val="6"/>
        </w:rPr>
        <w:t>需支付股权转让款</w:t>
      </w:r>
      <w:r>
        <w:rPr>
          <w:rFonts w:ascii="Times New Roman" w:hAnsi="Times New Roman" w:cs="Times New Roman" w:eastAsia="Times New Roman" w:hint="default"/>
          <w:spacing w:val="6"/>
        </w:rPr>
        <w:t>300,000,000.00</w:t>
      </w:r>
      <w:r>
        <w:rPr>
          <w:spacing w:val="6"/>
        </w:rPr>
        <w:t>元，截至</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日累计已支付</w:t>
      </w:r>
      <w:r>
        <w:rPr>
          <w:spacing w:val="-85"/>
        </w:rPr>
        <w:t> </w:t>
      </w:r>
      <w:r>
        <w:rPr>
          <w:spacing w:val="-85"/>
        </w:rPr>
      </w:r>
      <w:r>
        <w:rPr>
          <w:rFonts w:ascii="Times New Roman" w:hAnsi="Times New Roman" w:cs="Times New Roman" w:eastAsia="Times New Roman" w:hint="default"/>
        </w:rPr>
        <w:t>128,580,000.00</w:t>
      </w:r>
      <w:r>
        <w:rPr/>
        <w:t>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85,710,000.00</w:t>
      </w:r>
      <w:r>
        <w:rPr/>
        <w:t>元，</w:t>
      </w:r>
      <w:r>
        <w:rPr>
          <w:rFonts w:ascii="Times New Roman" w:hAnsi="Times New Roman" w:cs="Times New Roman" w:eastAsia="Times New Roman" w:hint="default"/>
        </w:rPr>
        <w:t>2019</w:t>
      </w:r>
      <w:r>
        <w:rPr/>
        <w:t>年需支付</w:t>
      </w:r>
      <w:r>
        <w:rPr>
          <w:rFonts w:ascii="Times New Roman" w:hAnsi="Times New Roman" w:cs="Times New Roman" w:eastAsia="Times New Roman" w:hint="default"/>
        </w:rPr>
        <w:t>85,710,000.00</w:t>
      </w:r>
      <w:r>
        <w:rPr/>
        <w:t>元。</w:t>
      </w:r>
    </w:p>
    <w:p>
      <w:pPr>
        <w:pStyle w:val="Heading4"/>
        <w:spacing w:line="256" w:lineRule="auto" w:before="0"/>
        <w:ind w:right="1132" w:firstLine="420"/>
        <w:jc w:val="both"/>
      </w:pPr>
      <w:r>
        <w:rPr>
          <w:rFonts w:ascii="Times New Roman" w:hAnsi="Times New Roman" w:cs="Times New Roman" w:eastAsia="Times New Roman" w:hint="default"/>
        </w:rPr>
        <w:t>D</w:t>
      </w: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日与富滇银行股份有限公司、广东网金控股股份有限公司、昆明顺城诺普 商贸有限公司签订的《富银消费金融有限责任公司出资协议》，公司拟出资</w:t>
      </w:r>
      <w:r>
        <w:rPr>
          <w:rFonts w:ascii="Times New Roman" w:hAnsi="Times New Roman" w:cs="Times New Roman" w:eastAsia="Times New Roman" w:hint="default"/>
        </w:rPr>
        <w:t>8,100.00</w:t>
      </w:r>
      <w:r>
        <w:rPr/>
        <w:t>万元，认购拟设立的</w:t>
      </w:r>
      <w:r>
        <w:rPr>
          <w:spacing w:val="-29"/>
        </w:rPr>
        <w:t> </w:t>
      </w:r>
      <w:r>
        <w:rPr>
          <w:spacing w:val="-29"/>
        </w:rPr>
      </w:r>
      <w:r>
        <w:rPr/>
        <w:t>富银消费金融有限责任公司</w:t>
      </w:r>
      <w:r>
        <w:rPr>
          <w:rFonts w:ascii="Times New Roman" w:hAnsi="Times New Roman" w:cs="Times New Roman" w:eastAsia="Times New Roman" w:hint="default"/>
        </w:rPr>
        <w:t>3</w:t>
      </w:r>
      <w:r>
        <w:rPr/>
        <w:t>亿注册资本的</w:t>
      </w:r>
      <w:r>
        <w:rPr>
          <w:rFonts w:ascii="Times New Roman" w:hAnsi="Times New Roman" w:cs="Times New Roman" w:eastAsia="Times New Roman" w:hint="default"/>
        </w:rPr>
        <w:t>27%</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日已预付出资保证金</w:t>
      </w:r>
      <w:r>
        <w:rPr>
          <w:rFonts w:ascii="Times New Roman" w:hAnsi="Times New Roman" w:cs="Times New Roman" w:eastAsia="Times New Roman" w:hint="default"/>
        </w:rPr>
        <w:t>8,100</w:t>
      </w:r>
      <w:r>
        <w:rPr/>
        <w:t>万元，待该</w:t>
      </w:r>
      <w:r>
        <w:rPr>
          <w:spacing w:val="-56"/>
        </w:rPr>
        <w:t> </w:t>
      </w:r>
      <w:r>
        <w:rPr>
          <w:spacing w:val="-56"/>
        </w:rPr>
      </w:r>
      <w:r>
        <w:rPr/>
        <w:t>设立事项经银监会审核批准后转注册资本。</w:t>
      </w:r>
    </w:p>
    <w:p>
      <w:pPr>
        <w:pStyle w:val="Heading4"/>
        <w:spacing w:line="256" w:lineRule="auto" w:before="22"/>
        <w:ind w:right="1131" w:firstLine="405"/>
        <w:jc w:val="both"/>
      </w:pPr>
      <w:r>
        <w:rPr>
          <w:rFonts w:ascii="Times New Roman" w:hAnsi="Times New Roman" w:cs="Times New Roman" w:eastAsia="Times New Roman" w:hint="default"/>
        </w:rPr>
        <w:t>E</w:t>
      </w:r>
      <w:r>
        <w:rPr/>
        <w:t>、根据公司子公司常州远东文化产业有限公司与广州远程教育中心有限公司签订《投资协议》，远 东文化以人民币</w:t>
      </w:r>
      <w:r>
        <w:rPr>
          <w:rFonts w:ascii="Times New Roman" w:hAnsi="Times New Roman" w:cs="Times New Roman" w:eastAsia="Times New Roman" w:hint="default"/>
        </w:rPr>
        <w:t>11,000</w:t>
      </w:r>
      <w:r>
        <w:rPr/>
        <w:t>万元购买广州远程教育中心有限公司持有的广东易教优培教育科技有限公司</w:t>
      </w:r>
      <w:r>
        <w:rPr>
          <w:rFonts w:ascii="Times New Roman" w:hAnsi="Times New Roman" w:cs="Times New Roman" w:eastAsia="Times New Roman" w:hint="default"/>
        </w:rPr>
        <w:t>35%</w:t>
      </w:r>
      <w:r>
        <w:rPr/>
        <w:t>，</w:t>
      </w:r>
      <w:r>
        <w:rPr>
          <w:spacing w:val="-46"/>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日累计已支付</w:t>
      </w:r>
      <w:r>
        <w:rPr>
          <w:rFonts w:ascii="Times New Roman" w:hAnsi="Times New Roman" w:cs="Times New Roman" w:eastAsia="Times New Roman" w:hint="default"/>
        </w:rPr>
        <w:t>66,00</w:t>
      </w:r>
      <w:r>
        <w:rPr/>
        <w:t>万元，</w:t>
      </w:r>
      <w:r>
        <w:rPr>
          <w:rFonts w:ascii="Times New Roman" w:hAnsi="Times New Roman" w:cs="Times New Roman" w:eastAsia="Times New Roman" w:hint="default"/>
        </w:rPr>
        <w:t>2018</w:t>
      </w:r>
      <w:r>
        <w:rPr/>
        <w:t>年需支付</w:t>
      </w:r>
      <w:r>
        <w:rPr>
          <w:rFonts w:ascii="Times New Roman" w:hAnsi="Times New Roman" w:cs="Times New Roman" w:eastAsia="Times New Roman" w:hint="default"/>
        </w:rPr>
        <w:t>19,000,000.00</w:t>
      </w:r>
      <w:r>
        <w:rPr/>
        <w:t>万元、</w:t>
      </w:r>
      <w:r>
        <w:rPr>
          <w:rFonts w:ascii="Times New Roman" w:hAnsi="Times New Roman" w:cs="Times New Roman" w:eastAsia="Times New Roman" w:hint="default"/>
        </w:rPr>
        <w:t>2019</w:t>
      </w:r>
      <w:r>
        <w:rPr/>
        <w:t>年需支付</w:t>
      </w:r>
      <w:r>
        <w:rPr>
          <w:rFonts w:ascii="Times New Roman" w:hAnsi="Times New Roman" w:cs="Times New Roman" w:eastAsia="Times New Roman" w:hint="default"/>
        </w:rPr>
        <w:t>15,000,000.00</w:t>
      </w:r>
      <w:r>
        <w:rPr>
          <w:rFonts w:ascii="Times New Roman" w:hAnsi="Times New Roman" w:cs="Times New Roman" w:eastAsia="Times New Roman" w:hint="default"/>
          <w:spacing w:val="-31"/>
        </w:rPr>
        <w:t> </w:t>
      </w:r>
      <w:r>
        <w:rPr/>
        <w:t>万元、</w:t>
      </w:r>
      <w:r>
        <w:rPr>
          <w:rFonts w:ascii="Times New Roman" w:hAnsi="Times New Roman" w:cs="Times New Roman" w:eastAsia="Times New Roman" w:hint="default"/>
        </w:rPr>
        <w:t>2020</w:t>
      </w:r>
      <w:r>
        <w:rPr/>
        <w:t>年需支付</w:t>
      </w:r>
      <w:r>
        <w:rPr>
          <w:rFonts w:ascii="Times New Roman" w:hAnsi="Times New Roman" w:cs="Times New Roman" w:eastAsia="Times New Roman" w:hint="default"/>
        </w:rPr>
        <w:t>5,000,000.00</w:t>
      </w:r>
      <w:r>
        <w:rPr/>
        <w:t>万元、</w:t>
      </w:r>
      <w:r>
        <w:rPr>
          <w:rFonts w:ascii="Times New Roman" w:hAnsi="Times New Roman" w:cs="Times New Roman" w:eastAsia="Times New Roman" w:hint="default"/>
        </w:rPr>
        <w:t>2021</w:t>
      </w:r>
      <w:r>
        <w:rPr/>
        <w:t>年需支付</w:t>
      </w:r>
      <w:r>
        <w:rPr>
          <w:rFonts w:ascii="Times New Roman" w:hAnsi="Times New Roman" w:cs="Times New Roman" w:eastAsia="Times New Roman" w:hint="default"/>
        </w:rPr>
        <w:t>5,000,000.00</w:t>
      </w:r>
      <w:r>
        <w:rPr/>
        <w:t>万元。</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2、 或有事项" w:id="370"/>
      <w:bookmarkEnd w:id="370"/>
      <w:r>
        <w:rPr>
          <w:b w:val="0"/>
          <w:bCs w:val="0"/>
        </w:rPr>
      </w:r>
      <w:r>
        <w:rPr>
          <w:rFonts w:ascii="Times New Roman" w:hAnsi="Times New Roman" w:cs="Times New Roman" w:eastAsia="Times New Roman" w:hint="default"/>
        </w:rPr>
        <w:t>2</w:t>
      </w:r>
      <w:r>
        <w:rPr/>
        <w:t>、</w:t>
      </w:r>
      <w:r>
        <w:rPr>
          <w:spacing w:val="-4"/>
        </w:rPr>
        <w:t> </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本公司与子公司以及子公司之间的担保事项详见附注十二、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bookmarkStart w:name="3、 股权质押" w:id="371"/>
      <w:bookmarkEnd w:id="371"/>
      <w:r>
        <w:rPr>
          <w:b w:val="0"/>
          <w:bCs w:val="0"/>
        </w:rPr>
      </w:r>
      <w:r>
        <w:rPr>
          <w:rFonts w:ascii="Times New Roman" w:hAnsi="Times New Roman" w:cs="Times New Roman" w:eastAsia="Times New Roman" w:hint="default"/>
        </w:rPr>
        <w:t>3</w:t>
      </w:r>
      <w:r>
        <w:rPr/>
        <w:t>、</w:t>
      </w:r>
      <w:r>
        <w:rPr>
          <w:spacing w:val="-4"/>
        </w:rPr>
        <w:t> </w:t>
      </w:r>
      <w:r>
        <w:rPr/>
        <w:t>股权质押</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129" w:firstLine="420"/>
        <w:jc w:val="both"/>
      </w:pPr>
      <w:r>
        <w:rPr>
          <w:spacing w:val="-1"/>
        </w:rPr>
        <w:t>截至资产负债表日，公司控制人中廖道训、吴玉瑞、吴春红、柴继军合计持有本公司</w:t>
      </w:r>
      <w:r>
        <w:rPr>
          <w:rFonts w:ascii="Times New Roman" w:hAnsi="Times New Roman" w:cs="Times New Roman" w:eastAsia="Times New Roman" w:hint="default"/>
          <w:spacing w:val="-1"/>
        </w:rPr>
        <w:t>25,619.10</w:t>
      </w:r>
      <w:r>
        <w:rPr>
          <w:spacing w:val="-1"/>
        </w:rPr>
        <w:t>万股已</w:t>
      </w:r>
      <w:r>
        <w:rPr>
          <w:spacing w:val="1"/>
        </w:rPr>
        <w:t> </w:t>
      </w:r>
      <w:r>
        <w:rPr/>
        <w:t>质押。</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十四、 资产负债表日后事项" w:id="372"/>
      <w:bookmarkEnd w:id="372"/>
      <w:r>
        <w:rPr>
          <w:b w:val="0"/>
          <w:bCs w:val="0"/>
        </w:rPr>
      </w:r>
      <w:r>
        <w:rPr/>
        <w:t>十四、</w:t>
      </w:r>
      <w:r>
        <w:rPr>
          <w:spacing w:val="-10"/>
        </w:rPr>
        <w:t> </w:t>
      </w:r>
      <w:r>
        <w:rPr/>
        <w:t>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rFonts w:ascii="Times New Roman" w:hAnsi="Times New Roman" w:cs="Times New Roman" w:eastAsia="Times New Roman" w:hint="default"/>
        </w:rPr>
        <w:t>1</w:t>
      </w:r>
      <w:r>
        <w:rPr/>
        <w:t>、利润分配预案</w:t>
      </w:r>
    </w:p>
    <w:p>
      <w:pPr>
        <w:pStyle w:val="Heading4"/>
        <w:spacing w:line="256" w:lineRule="auto" w:before="21"/>
        <w:ind w:right="113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日，经本公司第八届董事会第</w:t>
      </w:r>
      <w:r>
        <w:rPr>
          <w:rFonts w:ascii="Times New Roman" w:hAnsi="Times New Roman" w:cs="Times New Roman" w:eastAsia="Times New Roman" w:hint="default"/>
        </w:rPr>
        <w:t>35</w:t>
      </w:r>
      <w:r>
        <w:rPr/>
        <w:t>次会议决议，通过了</w:t>
      </w:r>
      <w:r>
        <w:rPr>
          <w:rFonts w:ascii="Times New Roman" w:hAnsi="Times New Roman" w:cs="Times New Roman" w:eastAsia="Times New Roman" w:hint="default"/>
        </w:rPr>
        <w:t>2017</w:t>
      </w:r>
      <w:r>
        <w:rPr/>
        <w:t>年度利润分配预案为：拟以</w:t>
      </w:r>
      <w:r>
        <w:rPr>
          <w:rFonts w:ascii="Times New Roman" w:hAnsi="Times New Roman" w:cs="Times New Roman" w:eastAsia="Times New Roman" w:hint="default"/>
        </w:rPr>
        <w:t>2017</w:t>
      </w:r>
      <w:r>
        <w:rPr/>
        <w:t>年</w:t>
      </w:r>
      <w:r>
        <w:rPr>
          <w:spacing w:val="-31"/>
        </w:rPr>
        <w:t> </w:t>
      </w:r>
      <w:r>
        <w:rPr/>
        <w:t>年末总股本</w:t>
      </w:r>
      <w:r>
        <w:rPr>
          <w:rFonts w:ascii="Times New Roman" w:hAnsi="Times New Roman" w:cs="Times New Roman" w:eastAsia="Times New Roman" w:hint="default"/>
        </w:rPr>
        <w:t>700,577,436</w:t>
      </w:r>
      <w:r>
        <w:rPr>
          <w:rFonts w:ascii="Times New Roman" w:hAnsi="Times New Roman" w:cs="Times New Roman" w:eastAsia="Times New Roman" w:hint="default"/>
          <w:spacing w:val="-20"/>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0.42</w:t>
      </w:r>
      <w:r>
        <w:rPr/>
        <w:t>元（含税），派发现金股利总额为 </w:t>
      </w:r>
      <w:r>
        <w:rPr>
          <w:rFonts w:ascii="Times New Roman" w:hAnsi="Times New Roman" w:cs="Times New Roman" w:eastAsia="Times New Roman" w:hint="default"/>
        </w:rPr>
        <w:t>29,424,252.31</w:t>
      </w:r>
      <w:r>
        <w:rPr/>
        <w:t>元，剩余未分配利润结转下一年度。本预案将经股东大会批准后实施。</w:t>
      </w:r>
    </w:p>
    <w:p>
      <w:pPr>
        <w:pStyle w:val="Heading4"/>
        <w:spacing w:line="240" w:lineRule="auto" w:before="5"/>
        <w:ind w:left="573" w:right="0"/>
        <w:jc w:val="left"/>
      </w:pPr>
      <w:r>
        <w:rPr>
          <w:rFonts w:ascii="Times New Roman" w:hAnsi="Times New Roman" w:cs="Times New Roman" w:eastAsia="Times New Roman" w:hint="default"/>
        </w:rPr>
        <w:t>2</w:t>
      </w:r>
      <w:r>
        <w:rPr/>
        <w:t>、企业合并</w:t>
      </w:r>
    </w:p>
    <w:p>
      <w:pPr>
        <w:pStyle w:val="Heading4"/>
        <w:spacing w:line="256" w:lineRule="auto" w:before="21"/>
        <w:ind w:right="1031"/>
        <w:jc w:val="both"/>
      </w:pPr>
      <w:r>
        <w:rPr/>
        <w:t>于</w:t>
      </w:r>
      <w:r>
        <w:rPr>
          <w:spacing w:val="-1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t>年</w:t>
      </w:r>
      <w:r>
        <w:rPr>
          <w:spacing w:val="-16"/>
        </w:rPr>
        <w:t> </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36"/>
        </w:rPr>
        <w:t> </w:t>
      </w:r>
      <w:r>
        <w:rPr/>
        <w:t>日，本公司第八届董事会第三十四次会议审议通过了《关于收购</w:t>
      </w:r>
      <w:r>
        <w:rPr>
          <w:spacing w:val="-11"/>
        </w:rPr>
        <w:t> </w:t>
      </w:r>
      <w:r>
        <w:rPr>
          <w:rFonts w:ascii="Times New Roman" w:hAnsi="Times New Roman" w:cs="Times New Roman" w:eastAsia="Times New Roman" w:hint="default"/>
        </w:rPr>
        <w:t>500px</w:t>
      </w:r>
      <w:r>
        <w:rPr>
          <w:rFonts w:ascii="Times New Roman" w:hAnsi="Times New Roman" w:cs="Times New Roman" w:eastAsia="Times New Roman" w:hint="default"/>
          <w:spacing w:val="36"/>
        </w:rPr>
        <w:t> </w:t>
      </w:r>
      <w:r>
        <w:rPr>
          <w:rFonts w:ascii="Times New Roman" w:hAnsi="Times New Roman" w:cs="Times New Roman" w:eastAsia="Times New Roman" w:hint="default"/>
        </w:rPr>
        <w:t>Inc.100%</w:t>
      </w:r>
      <w:r>
        <w:rPr/>
        <w:t>股权</w:t>
      </w:r>
      <w:r>
        <w:rPr>
          <w:spacing w:val="-101"/>
        </w:rPr>
        <w:t> </w:t>
      </w:r>
      <w:r>
        <w:rPr/>
        <w:t>的议案》，同意公司全资子公司视觉中国香港有限公司以现金方式收购</w:t>
      </w:r>
      <w:r>
        <w:rPr>
          <w:rFonts w:ascii="Times New Roman" w:hAnsi="Times New Roman" w:cs="Times New Roman" w:eastAsia="Times New Roman" w:hint="default"/>
        </w:rPr>
        <w:t>500PX,INC.100%</w:t>
      </w:r>
      <w:r>
        <w:rPr/>
        <w:t>股权。截至</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日，公司收购 </w:t>
      </w:r>
      <w:r>
        <w:rPr>
          <w:rFonts w:ascii="Times New Roman" w:hAnsi="Times New Roman" w:cs="Times New Roman" w:eastAsia="Times New Roman" w:hint="default"/>
        </w:rPr>
        <w:t>500PX,INC.100% </w:t>
      </w:r>
      <w:r>
        <w:rPr/>
        <w:t>股权交割手续已办理完毕。（详情请见公司于 </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 刊登于巨潮资讯网的《视觉中国：关于收购</w:t>
      </w:r>
      <w:r>
        <w:rPr>
          <w:spacing w:val="-67"/>
        </w:rPr>
        <w:t> </w:t>
      </w:r>
      <w:r>
        <w:rPr>
          <w:rFonts w:ascii="Times New Roman" w:hAnsi="Times New Roman" w:cs="Times New Roman" w:eastAsia="Times New Roman" w:hint="default"/>
        </w:rPr>
        <w:t>500PX,INC.100%</w:t>
      </w:r>
      <w:r>
        <w:rPr/>
        <w:t>股权完成的公告》（公告编号：</w:t>
      </w:r>
      <w:r>
        <w:rPr>
          <w:rFonts w:ascii="Times New Roman" w:hAnsi="Times New Roman" w:cs="Times New Roman" w:eastAsia="Times New Roman" w:hint="default"/>
        </w:rPr>
        <w:t>2018-020</w:t>
      </w:r>
      <w:r>
        <w:rPr/>
        <w:t>））</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十五、其他重要事项" w:id="373"/>
      <w:bookmarkEnd w:id="37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573" w:right="5713" w:hanging="420"/>
        <w:jc w:val="left"/>
        <w:rPr>
          <w:rFonts w:ascii="宋体" w:hAnsi="宋体" w:cs="宋体" w:eastAsia="宋体" w:hint="default"/>
          <w:sz w:val="21"/>
          <w:szCs w:val="21"/>
        </w:rPr>
      </w:pPr>
      <w:bookmarkStart w:name="1、 重要前期会计差错更正" w:id="374"/>
      <w:bookmarkEnd w:id="3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本报告期，本集团未发生前期会计差错更正事项。</w:t>
      </w:r>
    </w:p>
    <w:p>
      <w:pPr>
        <w:pStyle w:val="Heading3"/>
        <w:spacing w:line="240" w:lineRule="auto" w:before="105"/>
        <w:ind w:right="0"/>
        <w:jc w:val="both"/>
        <w:rPr>
          <w:b w:val="0"/>
          <w:bCs w:val="0"/>
        </w:rPr>
      </w:pPr>
      <w:bookmarkStart w:name="2、 分部报告" w:id="375"/>
      <w:bookmarkEnd w:id="375"/>
      <w:r>
        <w:rPr>
          <w:b w:val="0"/>
          <w:bCs w:val="0"/>
        </w:rPr>
      </w:r>
      <w:r>
        <w:rPr>
          <w:rFonts w:ascii="Times New Roman" w:hAnsi="Times New Roman" w:cs="Times New Roman" w:eastAsia="Times New Roman" w:hint="default"/>
        </w:rPr>
        <w:t>2</w:t>
      </w:r>
      <w:r>
        <w:rPr/>
        <w:t>、</w:t>
      </w:r>
      <w:r>
        <w:rPr>
          <w:spacing w:val="-4"/>
        </w:rPr>
        <w:t> </w:t>
      </w:r>
      <w:r>
        <w:rPr/>
        <w:t>分部报告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经营分部基本情况</w:t>
      </w:r>
    </w:p>
    <w:p>
      <w:pPr>
        <w:pStyle w:val="Heading4"/>
        <w:spacing w:line="256" w:lineRule="auto" w:before="37"/>
        <w:ind w:left="573" w:right="0"/>
        <w:jc w:val="left"/>
      </w:pPr>
      <w:r>
        <w:rPr/>
        <w:t>（</w:t>
      </w:r>
      <w:r>
        <w:rPr>
          <w:rFonts w:ascii="Times New Roman" w:hAnsi="Times New Roman" w:cs="Times New Roman" w:eastAsia="Times New Roman" w:hint="default"/>
        </w:rPr>
        <w:t>1</w:t>
      </w:r>
      <w:r>
        <w:rPr/>
        <w:t>）报告分部的确定依据与会计政策 </w:t>
      </w:r>
      <w:r>
        <w:rPr>
          <w:spacing w:val="-1"/>
        </w:rPr>
        <w:t>本集团以内部组织结构、管理要求、内部报告制度为依据确定经营分部，以经营分部为基础确定报告</w:t>
      </w:r>
    </w:p>
    <w:p>
      <w:pPr>
        <w:pStyle w:val="Heading4"/>
        <w:spacing w:line="256" w:lineRule="auto" w:before="22"/>
        <w:ind w:right="1132"/>
        <w:jc w:val="both"/>
      </w:pPr>
      <w:r>
        <w:rPr/>
        <w:t>分部并披露分部信息。经营分部是指视觉中国内同时满足下列条件的组成部分：</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该组成部分能够在日</w:t>
      </w:r>
      <w:r>
        <w:rPr>
          <w:spacing w:val="-97"/>
        </w:rPr>
        <w:t> </w:t>
      </w:r>
      <w:r>
        <w:rPr>
          <w:spacing w:val="-97"/>
        </w:rPr>
      </w:r>
      <w:r>
        <w:rPr>
          <w:spacing w:val="-2"/>
        </w:rPr>
        <w:t>常活动中产生收入、发生费用；</w:t>
      </w:r>
      <w:r>
        <w:rPr>
          <w:rFonts w:ascii="Times New Roman" w:hAnsi="Times New Roman" w:cs="Times New Roman" w:eastAsia="Times New Roman" w:hint="default"/>
          <w:spacing w:val="-2"/>
        </w:rPr>
        <w:t>(2)</w:t>
      </w:r>
      <w:r>
        <w:rPr>
          <w:spacing w:val="-2"/>
        </w:rPr>
        <w:t>本集团管理层能够定期评价该组成部分的经营成果，以决定向其配置资</w:t>
      </w:r>
      <w:r>
        <w:rPr>
          <w:spacing w:val="-68"/>
        </w:rPr>
        <w:t> </w:t>
      </w:r>
      <w:r>
        <w:rPr>
          <w:spacing w:val="-68"/>
        </w:rPr>
      </w:r>
      <w:r>
        <w:rPr/>
        <w:t>源、评价其业绩；</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本集团能够取得该组成部分的财务状况、经营成果和现金流量等有关会计信息。两</w:t>
      </w:r>
      <w:r>
        <w:rPr>
          <w:spacing w:val="-95"/>
        </w:rPr>
        <w:t> </w:t>
      </w:r>
      <w:r>
        <w:rPr>
          <w:spacing w:val="-95"/>
        </w:rPr>
      </w:r>
      <w:r>
        <w:rPr/>
        <w:t>个或多个经营分部具有相似的经济特征，并且满足一定条件的，则可合并为一个经营分部。</w:t>
      </w:r>
    </w:p>
    <w:p>
      <w:pPr>
        <w:pStyle w:val="Heading4"/>
        <w:spacing w:line="273" w:lineRule="auto" w:before="22"/>
        <w:ind w:right="1110" w:firstLine="420"/>
        <w:jc w:val="both"/>
      </w:pPr>
      <w:r>
        <w:rPr>
          <w:spacing w:val="-1"/>
        </w:rPr>
        <w:t>本集团考虑重要性原则，以经营分部为基础，确定报告分部。视觉中国的报告分部是提供不同产品或</w:t>
      </w:r>
      <w:r>
        <w:rPr/>
        <w:t> </w:t>
      </w:r>
      <w:r>
        <w:rPr>
          <w:spacing w:val="-1"/>
        </w:rPr>
        <w:t>服务、或在不同地区经营的业务单元。由于各种业务或地区需要不同的技术和市场战略，因此，视觉中国</w:t>
      </w:r>
      <w:r>
        <w:rPr>
          <w:spacing w:val="-86"/>
        </w:rPr>
        <w:t> </w:t>
      </w:r>
      <w:r>
        <w:rPr>
          <w:spacing w:val="-86"/>
        </w:rPr>
      </w:r>
      <w:r>
        <w:rPr/>
        <w:t>分别独立管理各个报告分部的生产经营活动，分别评价其经营成果，以决定向其配置资源并评价其业绩。</w:t>
      </w:r>
    </w:p>
    <w:p>
      <w:pPr>
        <w:pStyle w:val="Heading4"/>
        <w:spacing w:line="240" w:lineRule="auto"/>
        <w:ind w:left="573" w:right="0"/>
        <w:jc w:val="left"/>
      </w:pPr>
      <w:r>
        <w:rPr/>
        <w:t>本集团有</w:t>
      </w:r>
      <w:r>
        <w:rPr>
          <w:rFonts w:ascii="Times New Roman" w:hAnsi="Times New Roman" w:cs="Times New Roman" w:eastAsia="Times New Roman" w:hint="default"/>
        </w:rPr>
        <w:t>2</w:t>
      </w:r>
      <w:r>
        <w:rPr/>
        <w:t>个报告分部，分别为：</w:t>
      </w:r>
    </w:p>
    <w:p>
      <w:pPr>
        <w:pStyle w:val="Heading4"/>
        <w:spacing w:line="256" w:lineRule="auto" w:before="21"/>
        <w:ind w:right="1131"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互联网传媒：主要经营图片（含版权）及广告创意策划业务。主要涉及公司：华夏视觉、汉华易</w:t>
      </w:r>
      <w:r>
        <w:rPr>
          <w:w w:val="99"/>
        </w:rPr>
        <w:t> </w:t>
      </w:r>
      <w:r>
        <w:rPr/>
        <w:t>美、上海卓越</w:t>
      </w:r>
    </w:p>
    <w:p>
      <w:pPr>
        <w:pStyle w:val="Heading4"/>
        <w:spacing w:line="256" w:lineRule="auto" w:before="22"/>
        <w:ind w:right="1132" w:firstLine="42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旅游及其他：主要旅游项目集成服务及软件信息服务。主要涉及公司：艾特凡斯、江苏视觉、亿</w:t>
      </w:r>
      <w:r>
        <w:rPr>
          <w:w w:val="99"/>
        </w:rPr>
        <w:t> </w:t>
      </w:r>
      <w:r>
        <w:rPr/>
        <w:t>迅资产组、本公司</w:t>
      </w:r>
    </w:p>
    <w:p>
      <w:pPr>
        <w:pStyle w:val="Heading4"/>
        <w:spacing w:line="240" w:lineRule="auto" w:before="22"/>
        <w:ind w:left="573" w:right="0"/>
        <w:jc w:val="left"/>
      </w:pPr>
      <w:r>
        <w:rPr/>
        <w:t>（</w:t>
      </w:r>
      <w:r>
        <w:rPr>
          <w:rFonts w:ascii="Times New Roman" w:hAnsi="Times New Roman" w:cs="Times New Roman" w:eastAsia="Times New Roman" w:hint="default"/>
        </w:rPr>
        <w:t>2</w:t>
      </w:r>
      <w:r>
        <w:rPr/>
        <w:t>）报告分部的财务信息</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236"/>
        <w:gridCol w:w="1593"/>
        <w:gridCol w:w="1702"/>
        <w:gridCol w:w="1559"/>
        <w:gridCol w:w="1867"/>
      </w:tblGrid>
      <w:tr>
        <w:trPr>
          <w:trHeight w:val="342" w:hRule="exact"/>
        </w:trPr>
        <w:tc>
          <w:tcPr>
            <w:tcW w:w="2236" w:type="dxa"/>
            <w:vMerge w:val="restart"/>
            <w:tcBorders>
              <w:top w:val="single" w:sz="4" w:space="0" w:color="000000"/>
              <w:left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7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r>
      <w:tr>
        <w:trPr>
          <w:trHeight w:val="342" w:hRule="exact"/>
        </w:trPr>
        <w:tc>
          <w:tcPr>
            <w:tcW w:w="2236" w:type="dxa"/>
            <w:vMerge/>
            <w:tcBorders>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0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2"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49" w:right="0"/>
              <w:jc w:val="left"/>
              <w:rPr>
                <w:rFonts w:ascii="宋体" w:hAnsi="宋体" w:cs="宋体" w:eastAsia="宋体" w:hint="default"/>
                <w:sz w:val="21"/>
                <w:szCs w:val="21"/>
              </w:rPr>
            </w:pPr>
            <w:r>
              <w:rPr>
                <w:rFonts w:ascii="宋体" w:hAnsi="宋体" w:cs="宋体" w:eastAsia="宋体" w:hint="default"/>
                <w:sz w:val="21"/>
                <w:szCs w:val="21"/>
              </w:rPr>
              <w:t>负债总额</w:t>
            </w:r>
          </w:p>
        </w:tc>
      </w:tr>
      <w:tr>
        <w:trPr>
          <w:trHeight w:val="654"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互联网传媒</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3"/>
              <w:jc w:val="right"/>
              <w:rPr>
                <w:rFonts w:ascii="Times New Roman" w:hAnsi="Times New Roman" w:cs="Times New Roman" w:eastAsia="Times New Roman" w:hint="default"/>
                <w:sz w:val="18"/>
                <w:szCs w:val="18"/>
              </w:rPr>
            </w:pPr>
            <w:r>
              <w:rPr>
                <w:rFonts w:ascii="Times New Roman"/>
                <w:spacing w:val="-1"/>
                <w:sz w:val="18"/>
              </w:rPr>
              <w:t>652,609,419.01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spacing w:val="-1"/>
                <w:sz w:val="18"/>
              </w:rPr>
              <w:t>202,822,602.63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center"/>
              <w:rPr>
                <w:rFonts w:ascii="Times New Roman" w:hAnsi="Times New Roman" w:cs="Times New Roman" w:eastAsia="Times New Roman" w:hint="default"/>
                <w:sz w:val="18"/>
                <w:szCs w:val="18"/>
              </w:rPr>
            </w:pPr>
            <w:r>
              <w:rPr>
                <w:rFonts w:ascii="Times New Roman"/>
                <w:sz w:val="18"/>
              </w:rPr>
              <w:t>3,002,481,657.04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2,230,572,065.98</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旅游及其他</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158,584,142.83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72,236,676.64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center"/>
              <w:rPr>
                <w:rFonts w:ascii="Times New Roman" w:hAnsi="Times New Roman" w:cs="Times New Roman" w:eastAsia="Times New Roman" w:hint="default"/>
                <w:sz w:val="18"/>
                <w:szCs w:val="18"/>
              </w:rPr>
            </w:pPr>
            <w:r>
              <w:rPr>
                <w:rFonts w:ascii="Times New Roman"/>
                <w:sz w:val="18"/>
              </w:rPr>
              <w:t>4,482,616,269.65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867,083,299.80</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5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6" w:right="0"/>
              <w:jc w:val="center"/>
              <w:rPr>
                <w:rFonts w:ascii="Times New Roman" w:hAnsi="Times New Roman" w:cs="Times New Roman" w:eastAsia="Times New Roman" w:hint="default"/>
                <w:sz w:val="18"/>
                <w:szCs w:val="18"/>
              </w:rPr>
            </w:pPr>
            <w:r>
              <w:rPr>
                <w:rFonts w:ascii="Times New Roman"/>
                <w:sz w:val="18"/>
              </w:rPr>
              <w:t>-3,387,777,681.58</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-1,594,854,100.25</w:t>
            </w:r>
          </w:p>
        </w:tc>
      </w:tr>
      <w:tr>
        <w:trPr>
          <w:trHeight w:val="655"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8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811,193,561.84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4"/>
              <w:jc w:val="right"/>
              <w:rPr>
                <w:rFonts w:ascii="Times New Roman" w:hAnsi="Times New Roman" w:cs="Times New Roman" w:eastAsia="Times New Roman" w:hint="default"/>
                <w:sz w:val="18"/>
                <w:szCs w:val="18"/>
              </w:rPr>
            </w:pPr>
            <w:r>
              <w:rPr>
                <w:rFonts w:ascii="Times New Roman"/>
                <w:spacing w:val="-1"/>
                <w:sz w:val="18"/>
              </w:rPr>
              <w:t>275,059,279.27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5" w:right="0"/>
              <w:jc w:val="center"/>
              <w:rPr>
                <w:rFonts w:ascii="Times New Roman" w:hAnsi="Times New Roman" w:cs="Times New Roman" w:eastAsia="Times New Roman" w:hint="default"/>
                <w:sz w:val="18"/>
                <w:szCs w:val="18"/>
              </w:rPr>
            </w:pPr>
            <w:r>
              <w:rPr>
                <w:rFonts w:ascii="Times New Roman"/>
                <w:sz w:val="18"/>
              </w:rPr>
              <w:t>4,097,320,245.11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1,502,801,265.53</w:t>
            </w:r>
          </w:p>
        </w:tc>
      </w:tr>
    </w:tbl>
    <w:p>
      <w:pPr>
        <w:pStyle w:val="Heading4"/>
        <w:spacing w:line="260" w:lineRule="exact" w:before="0"/>
        <w:ind w:left="574" w:right="0"/>
        <w:jc w:val="left"/>
      </w:pPr>
      <w:r>
        <w:rPr/>
        <w:t>续</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36"/>
        <w:gridCol w:w="1701"/>
        <w:gridCol w:w="1702"/>
        <w:gridCol w:w="1701"/>
        <w:gridCol w:w="1702"/>
      </w:tblGrid>
      <w:tr>
        <w:trPr>
          <w:trHeight w:val="342" w:hRule="exact"/>
        </w:trPr>
        <w:tc>
          <w:tcPr>
            <w:tcW w:w="2236" w:type="dxa"/>
            <w:vMerge w:val="restart"/>
            <w:tcBorders>
              <w:top w:val="single" w:sz="4" w:space="0" w:color="000000"/>
              <w:left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342" w:hRule="exact"/>
        </w:trPr>
        <w:tc>
          <w:tcPr>
            <w:tcW w:w="2236"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5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5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2"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66" w:right="0"/>
              <w:jc w:val="left"/>
              <w:rPr>
                <w:rFonts w:ascii="宋体" w:hAnsi="宋体" w:cs="宋体" w:eastAsia="宋体" w:hint="default"/>
                <w:sz w:val="21"/>
                <w:szCs w:val="21"/>
              </w:rPr>
            </w:pPr>
            <w:r>
              <w:rPr>
                <w:rFonts w:ascii="宋体" w:hAnsi="宋体" w:cs="宋体" w:eastAsia="宋体" w:hint="default"/>
                <w:sz w:val="21"/>
                <w:szCs w:val="21"/>
              </w:rPr>
              <w:t>负债总额</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互联网传媒</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563,515,810.30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208,987,730.07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9" w:right="0"/>
              <w:jc w:val="center"/>
              <w:rPr>
                <w:rFonts w:ascii="Times New Roman" w:hAnsi="Times New Roman" w:cs="Times New Roman" w:eastAsia="Times New Roman" w:hint="default"/>
                <w:sz w:val="21"/>
                <w:szCs w:val="21"/>
              </w:rPr>
            </w:pPr>
            <w:r>
              <w:rPr>
                <w:rFonts w:ascii="Times New Roman"/>
                <w:sz w:val="21"/>
              </w:rPr>
              <w:t>2,279,651,503.19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1,822,936,565.41</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旅游及其他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pacing w:val="-1"/>
                <w:sz w:val="21"/>
              </w:rPr>
              <w:t>168,875,371.44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92,340,964.43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0" w:right="0"/>
              <w:jc w:val="center"/>
              <w:rPr>
                <w:rFonts w:ascii="Times New Roman" w:hAnsi="Times New Roman" w:cs="Times New Roman" w:eastAsia="Times New Roman" w:hint="default"/>
                <w:sz w:val="21"/>
                <w:szCs w:val="21"/>
              </w:rPr>
            </w:pPr>
            <w:r>
              <w:rPr>
                <w:rFonts w:ascii="Times New Roman"/>
                <w:sz w:val="21"/>
              </w:rPr>
              <w:t>4,067,572,817.47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630,309,145.31</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1" w:right="0"/>
              <w:jc w:val="center"/>
              <w:rPr>
                <w:rFonts w:ascii="Times New Roman" w:hAnsi="Times New Roman" w:cs="Times New Roman" w:eastAsia="Times New Roman" w:hint="default"/>
                <w:sz w:val="21"/>
                <w:szCs w:val="21"/>
              </w:rPr>
            </w:pPr>
            <w:r>
              <w:rPr>
                <w:rFonts w:ascii="Times New Roman"/>
                <w:sz w:val="21"/>
              </w:rPr>
              <w:t>-2,823,657,825.47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-1,262,638,806.94</w:t>
            </w:r>
          </w:p>
        </w:tc>
      </w:tr>
      <w:tr>
        <w:trPr>
          <w:trHeight w:val="34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732,391,181.74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301,328,694.50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09" w:right="0"/>
              <w:jc w:val="center"/>
              <w:rPr>
                <w:rFonts w:ascii="Times New Roman" w:hAnsi="Times New Roman" w:cs="Times New Roman" w:eastAsia="Times New Roman" w:hint="default"/>
                <w:sz w:val="21"/>
                <w:szCs w:val="21"/>
              </w:rPr>
            </w:pPr>
            <w:r>
              <w:rPr>
                <w:rFonts w:ascii="Times New Roman"/>
                <w:sz w:val="21"/>
              </w:rPr>
              <w:t>3,523,566,495.19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1,190,606,903.78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 租赁" w:id="376"/>
      <w:bookmarkEnd w:id="376"/>
      <w:r>
        <w:rPr>
          <w:b w:val="0"/>
          <w:bCs w:val="0"/>
        </w:rPr>
      </w:r>
      <w:r>
        <w:rPr>
          <w:rFonts w:ascii="Times New Roman" w:hAnsi="Times New Roman" w:cs="Times New Roman" w:eastAsia="Times New Roman" w:hint="default"/>
        </w:rPr>
        <w:t>3</w:t>
      </w:r>
      <w:r>
        <w:rPr/>
        <w:t>、</w:t>
      </w:r>
      <w:r>
        <w:rPr>
          <w:spacing w:val="-3"/>
        </w:rPr>
        <w:t> </w:t>
      </w:r>
      <w:r>
        <w:rPr/>
        <w:t>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7" w:right="0"/>
        <w:jc w:val="left"/>
      </w:pPr>
      <w:r>
        <w:rPr/>
        <w:t>本集团作为经营租赁承租人，相关信息如下：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98"/>
        <w:gridCol w:w="3395"/>
      </w:tblGrid>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剩余租赁期</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958" w:right="0"/>
              <w:jc w:val="left"/>
              <w:rPr>
                <w:rFonts w:ascii="宋体" w:hAnsi="宋体" w:cs="宋体" w:eastAsia="宋体" w:hint="default"/>
                <w:sz w:val="21"/>
                <w:szCs w:val="21"/>
              </w:rPr>
            </w:pPr>
            <w:r>
              <w:rPr>
                <w:rFonts w:ascii="宋体" w:hAnsi="宋体" w:cs="宋体" w:eastAsia="宋体" w:hint="default"/>
                <w:sz w:val="21"/>
                <w:szCs w:val="21"/>
              </w:rPr>
              <w:t>最低租赁付款额</w:t>
            </w:r>
          </w:p>
        </w:tc>
      </w:tr>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6,485,589.00</w:t>
            </w:r>
          </w:p>
        </w:tc>
      </w:tr>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年以上</w:t>
            </w:r>
            <w:r>
              <w:rPr>
                <w:rFonts w:ascii="Times New Roman" w:hAnsi="Times New Roman" w:cs="Times New Roman" w:eastAsia="Times New Roman" w:hint="default"/>
                <w:sz w:val="21"/>
                <w:szCs w:val="21"/>
              </w:rPr>
              <w:t>2</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7,075,188.00</w:t>
            </w:r>
          </w:p>
        </w:tc>
      </w:tr>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r>
              <w:rPr>
                <w:rFonts w:ascii="Times New Roman" w:hAnsi="Times New Roman" w:cs="Times New Roman" w:eastAsia="Times New Roman" w:hint="default"/>
                <w:sz w:val="21"/>
                <w:szCs w:val="21"/>
              </w:rPr>
              <w:t>3</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7,198,546.80</w:t>
            </w:r>
          </w:p>
        </w:tc>
      </w:tr>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14,328,124.80</w:t>
            </w:r>
          </w:p>
        </w:tc>
      </w:tr>
      <w:tr>
        <w:trPr>
          <w:trHeight w:val="342" w:hRule="exact"/>
        </w:trPr>
        <w:tc>
          <w:tcPr>
            <w:tcW w:w="529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35,087,448.60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4、 政府补助" w:id="377"/>
      <w:bookmarkEnd w:id="377"/>
      <w:r>
        <w:rPr>
          <w:b w:val="0"/>
          <w:bCs w:val="0"/>
        </w:rPr>
      </w:r>
      <w:r>
        <w:rPr>
          <w:rFonts w:ascii="Times New Roman" w:hAnsi="Times New Roman" w:cs="Times New Roman" w:eastAsia="Times New Roman" w:hint="default"/>
        </w:rPr>
        <w:t>4</w:t>
      </w:r>
      <w:r>
        <w:rPr/>
        <w:t>、</w:t>
      </w:r>
      <w:r>
        <w:rPr>
          <w:spacing w:val="-4"/>
        </w:rPr>
        <w:t> </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573" w:right="1198" w:firstLine="2"/>
        <w:jc w:val="left"/>
      </w:pPr>
      <w:r>
        <w:rPr/>
        <w:t>（</w:t>
      </w:r>
      <w:r>
        <w:rPr>
          <w:rFonts w:ascii="宋体" w:hAnsi="宋体" w:cs="宋体" w:eastAsia="宋体" w:hint="default"/>
        </w:rPr>
        <w:t>1</w:t>
      </w:r>
      <w:r>
        <w:rPr/>
        <w:t>）与收益相关的政府补助 </w:t>
      </w:r>
      <w:r>
        <w:rPr>
          <w:rFonts w:ascii="宋体" w:hAnsi="宋体" w:cs="宋体" w:eastAsia="宋体" w:hint="default"/>
        </w:rPr>
        <w:t>A</w:t>
      </w:r>
      <w:r>
        <w:rPr/>
        <w:t>、用于补偿以后期间的相关成本费用或损失的政府补助详见附注七、</w:t>
      </w:r>
      <w:r>
        <w:rPr>
          <w:rFonts w:ascii="宋体" w:hAnsi="宋体" w:cs="宋体" w:eastAsia="宋体" w:hint="default"/>
        </w:rPr>
        <w:t>46</w:t>
      </w:r>
      <w:r>
        <w:rPr/>
        <w:t>。 </w:t>
      </w:r>
      <w:r>
        <w:rPr>
          <w:rFonts w:ascii="宋体" w:hAnsi="宋体" w:cs="宋体" w:eastAsia="宋体" w:hint="default"/>
        </w:rPr>
        <w:t>B</w:t>
      </w:r>
      <w:r>
        <w:rPr/>
        <w:t>、用于补偿已发生的相关成本费用或损失的政府补助的本期发生额共计</w:t>
      </w:r>
      <w:r>
        <w:rPr>
          <w:rFonts w:ascii="宋体" w:hAnsi="宋体" w:cs="宋体" w:eastAsia="宋体" w:hint="default"/>
        </w:rPr>
        <w:t>4,360,953.66</w:t>
      </w:r>
      <w:r>
        <w:rPr/>
        <w:t>元（上年发生</w:t>
      </w:r>
    </w:p>
    <w:p>
      <w:pPr>
        <w:pStyle w:val="Heading4"/>
        <w:spacing w:line="273" w:lineRule="auto"/>
        <w:ind w:right="1093"/>
        <w:jc w:val="left"/>
      </w:pPr>
      <w:r>
        <w:rPr/>
        <w:t>额共计</w:t>
      </w:r>
      <w:r>
        <w:rPr>
          <w:rFonts w:ascii="宋体" w:hAnsi="宋体" w:cs="宋体" w:eastAsia="宋体" w:hint="default"/>
        </w:rPr>
        <w:t>7,627,664.73</w:t>
      </w:r>
      <w:r>
        <w:rPr/>
        <w:t>元），其中计入其他收益</w:t>
      </w:r>
      <w:r>
        <w:rPr>
          <w:rFonts w:ascii="宋体" w:hAnsi="宋体" w:cs="宋体" w:eastAsia="宋体" w:hint="default"/>
        </w:rPr>
        <w:t>4,360,953.66</w:t>
      </w:r>
      <w:r>
        <w:rPr/>
        <w:t>元（上年发生额</w:t>
      </w:r>
      <w:r>
        <w:rPr>
          <w:rFonts w:ascii="宋体" w:hAnsi="宋体" w:cs="宋体" w:eastAsia="宋体" w:hint="default"/>
        </w:rPr>
        <w:t>0.00</w:t>
      </w:r>
      <w:r>
        <w:rPr/>
        <w:t>元），详见附注七、</w:t>
      </w:r>
      <w:r>
        <w:rPr>
          <w:rFonts w:ascii="宋体" w:hAnsi="宋体" w:cs="宋体" w:eastAsia="宋体" w:hint="default"/>
        </w:rPr>
        <w:t>46</w:t>
      </w:r>
      <w:r>
        <w:rPr/>
        <w:t>； 计入营业外收入</w:t>
      </w:r>
      <w:r>
        <w:rPr>
          <w:rFonts w:ascii="宋体" w:hAnsi="宋体" w:cs="宋体" w:eastAsia="宋体" w:hint="default"/>
        </w:rPr>
        <w:t>0.00</w:t>
      </w:r>
      <w:r>
        <w:rPr/>
        <w:t>元（上年发生额</w:t>
      </w:r>
      <w:r>
        <w:rPr>
          <w:rFonts w:ascii="宋体" w:hAnsi="宋体" w:cs="宋体" w:eastAsia="宋体" w:hint="default"/>
        </w:rPr>
        <w:t>7,627,664.73</w:t>
      </w:r>
      <w:r>
        <w:rPr/>
        <w:t>元），详见附注七、</w:t>
      </w:r>
      <w:r>
        <w:rPr>
          <w:rFonts w:ascii="宋体" w:hAnsi="宋体" w:cs="宋体" w:eastAsia="宋体" w:hint="default"/>
        </w:rPr>
        <w:t>46</w:t>
      </w:r>
      <w:r>
        <w:rPr/>
        <w:t>；无冲减相关成本费用事项。</w:t>
      </w:r>
    </w:p>
    <w:p>
      <w:pPr>
        <w:pStyle w:val="Heading4"/>
        <w:spacing w:line="273" w:lineRule="auto"/>
        <w:ind w:left="573" w:right="1198" w:firstLine="2"/>
        <w:jc w:val="left"/>
      </w:pPr>
      <w:r>
        <w:rPr/>
        <w:t>（</w:t>
      </w:r>
      <w:r>
        <w:rPr>
          <w:rFonts w:ascii="宋体" w:hAnsi="宋体" w:cs="宋体" w:eastAsia="宋体" w:hint="default"/>
        </w:rPr>
        <w:t>2</w:t>
      </w:r>
      <w:r>
        <w:rPr/>
        <w:t>）与资产相关的政府补助 </w:t>
      </w:r>
      <w:r>
        <w:rPr>
          <w:rFonts w:ascii="宋体" w:hAnsi="宋体" w:cs="宋体" w:eastAsia="宋体" w:hint="default"/>
        </w:rPr>
        <w:t>A</w:t>
      </w:r>
      <w:r>
        <w:rPr/>
        <w:t>、确认为递延收益，并在相关资产使用寿命内按照合理、系统的方法分期计入当期损益的金额合计</w:t>
      </w:r>
    </w:p>
    <w:p>
      <w:pPr>
        <w:pStyle w:val="Heading4"/>
        <w:spacing w:line="240" w:lineRule="auto"/>
        <w:ind w:right="0"/>
        <w:jc w:val="left"/>
      </w:pPr>
      <w:r>
        <w:rPr/>
        <w:t>为</w:t>
      </w:r>
      <w:r>
        <w:rPr>
          <w:rFonts w:ascii="宋体" w:hAnsi="宋体" w:cs="宋体" w:eastAsia="宋体" w:hint="default"/>
        </w:rPr>
        <w:t>0</w:t>
      </w:r>
      <w:r>
        <w:rPr/>
        <w:t>元。</w:t>
      </w:r>
    </w:p>
    <w:p>
      <w:pPr>
        <w:pStyle w:val="Heading4"/>
        <w:spacing w:line="273" w:lineRule="auto" w:before="37"/>
        <w:ind w:left="574" w:right="1302"/>
        <w:jc w:val="left"/>
      </w:pPr>
      <w:r>
        <w:rPr>
          <w:rFonts w:ascii="宋体" w:hAnsi="宋体" w:cs="宋体" w:eastAsia="宋体" w:hint="default"/>
        </w:rPr>
        <w:t>B</w:t>
      </w:r>
      <w:r>
        <w:rPr/>
        <w:t>、冲减相关资产的账面价值的情况 本期收到的与资产相关的政府补助并冲减相关资产账面价值的金额合计为</w:t>
      </w:r>
      <w:r>
        <w:rPr>
          <w:rFonts w:ascii="宋体" w:hAnsi="宋体" w:cs="宋体" w:eastAsia="宋体" w:hint="default"/>
        </w:rPr>
        <w:t>0.00</w:t>
      </w:r>
      <w:r>
        <w:rPr/>
        <w:t>元（上年合计金额为</w:t>
      </w:r>
    </w:p>
    <w:p>
      <w:pPr>
        <w:pStyle w:val="Heading4"/>
        <w:spacing w:line="240" w:lineRule="auto"/>
        <w:ind w:right="0"/>
        <w:jc w:val="left"/>
      </w:pPr>
      <w:r>
        <w:rPr>
          <w:rFonts w:ascii="宋体" w:hAnsi="宋体" w:cs="宋体" w:eastAsia="宋体" w:hint="default"/>
        </w:rPr>
        <w:t>0.00</w:t>
      </w:r>
      <w:r>
        <w:rPr/>
        <w:t>元）。</w:t>
      </w:r>
    </w:p>
    <w:p>
      <w:pPr>
        <w:pStyle w:val="Heading4"/>
        <w:spacing w:line="240" w:lineRule="auto" w:before="37"/>
        <w:ind w:left="576" w:right="0"/>
        <w:jc w:val="left"/>
      </w:pPr>
      <w:r>
        <w:rPr/>
        <w:t>（</w:t>
      </w:r>
      <w:r>
        <w:rPr>
          <w:rFonts w:ascii="Times New Roman" w:hAnsi="Times New Roman" w:cs="Times New Roman" w:eastAsia="Times New Roman" w:hint="default"/>
        </w:rPr>
        <w:t>3</w:t>
      </w:r>
      <w:r>
        <w:rPr/>
        <w:t>）计入当期损益的政府补助金额</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754"/>
        <w:gridCol w:w="2056"/>
        <w:gridCol w:w="2074"/>
        <w:gridCol w:w="1799"/>
      </w:tblGrid>
      <w:tr>
        <w:trPr>
          <w:trHeight w:val="342" w:hRule="exact"/>
        </w:trPr>
        <w:tc>
          <w:tcPr>
            <w:tcW w:w="2754" w:type="dxa"/>
            <w:vMerge w:val="restart"/>
            <w:tcBorders>
              <w:top w:val="single" w:sz="4" w:space="0" w:color="000000"/>
              <w:left w:val="single" w:sz="4" w:space="0" w:color="000000"/>
              <w:right w:val="single" w:sz="4" w:space="0" w:color="000000"/>
            </w:tcBorders>
          </w:tcPr>
          <w:p>
            <w:pPr>
              <w:pStyle w:val="TableParagraph"/>
              <w:spacing w:line="240" w:lineRule="auto" w:before="21"/>
              <w:ind w:left="562" w:right="0"/>
              <w:jc w:val="left"/>
              <w:rPr>
                <w:rFonts w:ascii="宋体" w:hAnsi="宋体" w:cs="宋体" w:eastAsia="宋体" w:hint="default"/>
                <w:sz w:val="18"/>
                <w:szCs w:val="18"/>
              </w:rPr>
            </w:pPr>
            <w:r>
              <w:rPr>
                <w:rFonts w:ascii="宋体" w:hAnsi="宋体" w:cs="宋体" w:eastAsia="宋体" w:hint="default"/>
                <w:sz w:val="18"/>
                <w:szCs w:val="18"/>
              </w:rPr>
              <w:t>计入当期损益的方式</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r>
      <w:tr>
        <w:trPr>
          <w:trHeight w:val="342" w:hRule="exact"/>
        </w:trPr>
        <w:tc>
          <w:tcPr>
            <w:tcW w:w="2754" w:type="dxa"/>
            <w:vMerge/>
            <w:tcBorders>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1"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4,360,953.66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3" w:right="0"/>
              <w:jc w:val="left"/>
              <w:rPr>
                <w:rFonts w:ascii="Times New Roman" w:hAnsi="Times New Roman" w:cs="Times New Roman" w:eastAsia="Times New Roman" w:hint="default"/>
                <w:sz w:val="20"/>
                <w:szCs w:val="20"/>
              </w:rPr>
            </w:pPr>
            <w:r>
              <w:rPr>
                <w:rFonts w:ascii="Times New Roman"/>
                <w:sz w:val="20"/>
              </w:rPr>
              <w:t>4,360,953.66</w:t>
            </w:r>
          </w:p>
        </w:tc>
      </w:tr>
      <w:tr>
        <w:trPr>
          <w:trHeight w:val="343"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4,360,953.66</w:t>
            </w:r>
          </w:p>
        </w:tc>
        <w:tc>
          <w:tcPr>
            <w:tcW w:w="2074"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3" w:right="0"/>
              <w:jc w:val="left"/>
              <w:rPr>
                <w:rFonts w:ascii="Times New Roman" w:hAnsi="Times New Roman" w:cs="Times New Roman" w:eastAsia="Times New Roman" w:hint="default"/>
                <w:sz w:val="20"/>
                <w:szCs w:val="20"/>
              </w:rPr>
            </w:pPr>
            <w:r>
              <w:rPr>
                <w:rFonts w:ascii="Times New Roman"/>
                <w:sz w:val="20"/>
              </w:rPr>
              <w:t>4,360,953.66</w:t>
            </w:r>
          </w:p>
        </w:tc>
      </w:tr>
    </w:tbl>
    <w:p>
      <w:pPr>
        <w:spacing w:line="240" w:lineRule="auto" w:before="11"/>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754"/>
        <w:gridCol w:w="2056"/>
        <w:gridCol w:w="2074"/>
        <w:gridCol w:w="1799"/>
      </w:tblGrid>
      <w:tr>
        <w:trPr>
          <w:trHeight w:val="342" w:hRule="exact"/>
        </w:trPr>
        <w:tc>
          <w:tcPr>
            <w:tcW w:w="2754" w:type="dxa"/>
            <w:vMerge w:val="restart"/>
            <w:tcBorders>
              <w:top w:val="single" w:sz="4" w:space="0" w:color="000000"/>
              <w:left w:val="single" w:sz="4" w:space="0" w:color="000000"/>
              <w:right w:val="single" w:sz="4" w:space="0" w:color="000000"/>
            </w:tcBorders>
          </w:tcPr>
          <w:p>
            <w:pPr>
              <w:pStyle w:val="TableParagraph"/>
              <w:spacing w:line="240" w:lineRule="auto" w:before="20"/>
              <w:ind w:left="562" w:right="0"/>
              <w:jc w:val="left"/>
              <w:rPr>
                <w:rFonts w:ascii="宋体" w:hAnsi="宋体" w:cs="宋体" w:eastAsia="宋体" w:hint="default"/>
                <w:sz w:val="18"/>
                <w:szCs w:val="18"/>
              </w:rPr>
            </w:pPr>
            <w:r>
              <w:rPr>
                <w:rFonts w:ascii="宋体" w:hAnsi="宋体" w:cs="宋体" w:eastAsia="宋体" w:hint="default"/>
                <w:sz w:val="18"/>
                <w:szCs w:val="18"/>
              </w:rPr>
              <w:t>计入当期损益的方式</w:t>
            </w:r>
          </w:p>
        </w:tc>
        <w:tc>
          <w:tcPr>
            <w:tcW w:w="59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2754" w:type="dxa"/>
            <w:vMerge/>
            <w:tcBorders>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1"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计入营业外收入</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7,627,664.73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7,627,664.73</w:t>
            </w:r>
          </w:p>
        </w:tc>
      </w:tr>
      <w:tr>
        <w:trPr>
          <w:trHeight w:val="34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7,627,664.73</w:t>
            </w:r>
          </w:p>
        </w:tc>
        <w:tc>
          <w:tcPr>
            <w:tcW w:w="2074" w:type="dxa"/>
            <w:tcBorders>
              <w:top w:val="single" w:sz="4" w:space="0" w:color="000000"/>
              <w:left w:val="single" w:sz="4" w:space="0" w:color="000000"/>
              <w:bottom w:val="single" w:sz="4" w:space="0" w:color="000000"/>
              <w:right w:val="single" w:sz="4" w:space="0" w:color="000000"/>
            </w:tcBorders>
          </w:tcPr>
          <w:p>
            <w:pP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7,627,664.73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母公司财务报表主要项目注释" w:id="378"/>
      <w:bookmarkEnd w:id="378"/>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 w:id="379"/>
      <w:bookmarkEnd w:id="37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80"/>
      <w:bookmarkEnd w:id="38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138,405,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863.04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945,043.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137,460,8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19.41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51,221,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312,855.6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50,908,152.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138,405,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863.04</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945,043.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137,460,8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19.41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51,221,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007.85</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312,855.6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50,908,152.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9,008,725.00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45,043.63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12,008,725.00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945,043.63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确定该组合依据的说明：</w:t>
      </w:r>
    </w:p>
    <w:p>
      <w:pPr>
        <w:pStyle w:val="Heading4"/>
        <w:spacing w:line="240" w:lineRule="auto" w:before="90"/>
        <w:ind w:left="574" w:right="0"/>
        <w:jc w:val="left"/>
      </w:pPr>
      <w:r>
        <w:rPr/>
        <w:t>确定该组合的依据详见附注五、</w:t>
      </w:r>
      <w:r>
        <w:rPr>
          <w:rFonts w:ascii="Times New Roman" w:hAnsi="Times New Roman" w:cs="Times New Roman" w:eastAsia="Times New Roman" w:hint="default"/>
        </w:rPr>
        <w:t>11</w:t>
      </w:r>
      <w:r>
        <w:rPr/>
        <w:t>。</w:t>
      </w:r>
    </w:p>
    <w:p>
      <w:pPr>
        <w:pStyle w:val="BodyText"/>
        <w:spacing w:line="240" w:lineRule="auto" w:before="88"/>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18"/>
        <w:gridCol w:w="1660"/>
        <w:gridCol w:w="1522"/>
        <w:gridCol w:w="1393"/>
      </w:tblGrid>
      <w:tr>
        <w:trPr>
          <w:trHeight w:val="342" w:hRule="exact"/>
        </w:trPr>
        <w:tc>
          <w:tcPr>
            <w:tcW w:w="4118" w:type="dxa"/>
            <w:vMerge w:val="restart"/>
            <w:tcBorders>
              <w:top w:val="single" w:sz="4" w:space="0" w:color="000000"/>
              <w:left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2" w:hRule="exact"/>
        </w:trPr>
        <w:tc>
          <w:tcPr>
            <w:tcW w:w="4118" w:type="dxa"/>
            <w:vMerge/>
            <w:tcBorders>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2" w:hRule="exact"/>
        </w:trPr>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2"/>
                <w:szCs w:val="22"/>
              </w:rPr>
            </w:pPr>
            <w:r>
              <w:rPr>
                <w:rFonts w:ascii="宋体" w:hAnsi="宋体" w:cs="宋体" w:eastAsia="宋体" w:hint="default"/>
                <w:i/>
                <w:sz w:val="22"/>
                <w:szCs w:val="22"/>
              </w:rPr>
              <w:t>保证金、押金及关联方款项</w:t>
            </w:r>
            <w:r>
              <w:rPr>
                <w:rFonts w:ascii="宋体" w:hAnsi="宋体" w:cs="宋体" w:eastAsia="宋体" w:hint="default"/>
                <w:sz w:val="22"/>
                <w:szCs w:val="22"/>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5" w:right="0"/>
              <w:jc w:val="left"/>
              <w:rPr>
                <w:rFonts w:ascii="Times New Roman" w:hAnsi="Times New Roman" w:cs="Times New Roman" w:eastAsia="Times New Roman" w:hint="default"/>
                <w:sz w:val="20"/>
                <w:szCs w:val="20"/>
              </w:rPr>
            </w:pPr>
            <w:r>
              <w:rPr>
                <w:rFonts w:ascii="Times New Roman"/>
                <w:sz w:val="20"/>
              </w:rPr>
              <w:t>126,397,138.04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5" w:right="0"/>
              <w:jc w:val="left"/>
              <w:rPr>
                <w:rFonts w:ascii="Times New Roman" w:hAnsi="Times New Roman" w:cs="Times New Roman" w:eastAsia="Times New Roman" w:hint="default"/>
                <w:sz w:val="20"/>
                <w:szCs w:val="20"/>
              </w:rPr>
            </w:pPr>
            <w:r>
              <w:rPr>
                <w:rFonts w:ascii="Times New Roman"/>
                <w:sz w:val="20"/>
              </w:rPr>
              <w:t>126,397,138.04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计提、收回或转回的坏账准备情况" w:id="381"/>
      <w:bookmarkEnd w:id="3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632,187.97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line="506" w:lineRule="auto" w:before="35"/>
        <w:ind w:left="574" w:right="5974" w:hanging="420"/>
        <w:jc w:val="left"/>
        <w:rPr>
          <w:rFonts w:ascii="宋体" w:hAnsi="宋体" w:cs="宋体" w:eastAsia="宋体" w:hint="default"/>
          <w:sz w:val="21"/>
          <w:szCs w:val="21"/>
        </w:rPr>
      </w:pPr>
      <w:bookmarkStart w:name="（3） 本报告期实际核销的其他应收款情况"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本报告期实际核销的其他应收款情况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t>本报告期实际核销的其他应收款金额为</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spacing w:after="0" w:line="506"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其他应收款按款项性质分类情况" w:id="383"/>
      <w:bookmarkEnd w:id="38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120,927,171.60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45,497,115.34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611,269.57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120,300.00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4,867,421.87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2,603,592.51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138,405,863.04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51,221,007.85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384"/>
      <w:bookmarkEnd w:id="38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011"/>
        <w:gridCol w:w="1134"/>
        <w:gridCol w:w="992"/>
        <w:gridCol w:w="1614"/>
        <w:gridCol w:w="1079"/>
      </w:tblGrid>
      <w:tr>
        <w:trPr>
          <w:trHeight w:val="75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75" w:right="173"/>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洛克互娱智能科技有限公司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z w:val="18"/>
              </w:rPr>
              <w:t>6.50%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上海翡翠滨江艺术发展有限公司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租赁诚意金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c>
          <w:tcPr>
            <w:tcW w:w="10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常州市新世纪房地产开发有限公司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拆迁款项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北京京城电通投资管理有限责任公司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1,519,155.43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c>
          <w:tcPr>
            <w:tcW w:w="10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北京英赫世纪置业有限公司</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1,414,157.40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c>
          <w:tcPr>
            <w:tcW w:w="10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17,933,312.83</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12.96%</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长期股权投资" w:id="385"/>
      <w:bookmarkEnd w:id="385"/>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2,681,130,000.00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2,681,130,000.00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2,825,454,779.29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2,825,454,779.29</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133,076,382.32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133,076,382.32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118,988,917.06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118,988,917.06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2,814,206,382.32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2,814,206,382.32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2,944,443,696.35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2,944,443,696.35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86"/>
      <w:bookmarkEnd w:id="38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336"/>
        <w:gridCol w:w="1336"/>
        <w:gridCol w:w="1334"/>
        <w:gridCol w:w="1336"/>
        <w:gridCol w:w="1389"/>
        <w:gridCol w:w="139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336"/>
        <w:gridCol w:w="1336"/>
        <w:gridCol w:w="1334"/>
        <w:gridCol w:w="1336"/>
        <w:gridCol w:w="1389"/>
        <w:gridCol w:w="139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北京汉华易美图片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1,325,570,000.00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1,325,570,000.00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华夏视觉（北京） 图像技术有限公司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1,205,560,000.00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1,205,560,000.00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深圳艾特凡斯智能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144,324,779.29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144,324,779.29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常州远东文化产业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2,825,454,779.29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144,324,779.29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387"/>
      <w:bookmarkEnd w:id="38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北京华盖 映月影视 文化投资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12,986,19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-72,062.8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12,914,13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华融创新 资本投资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106,002,7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23.78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16,320,50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-2,160,98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120,162,2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51.89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118,988,9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17.06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16,248,44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133,076,3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82.32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118,988,9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17.06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16,248,44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-2,160,98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133,076,3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82.32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营业收入和营业成本" w:id="388"/>
      <w:bookmarkEnd w:id="388"/>
      <w:r>
        <w:rPr>
          <w:b w:val="0"/>
          <w:bCs w:val="0"/>
        </w:rPr>
      </w:r>
      <w:r>
        <w:rPr>
          <w:rFonts w:ascii="Times New Roman" w:hAnsi="Times New Roman" w:cs="Times New Roman" w:eastAsia="Times New Roman" w:hint="default"/>
        </w:rPr>
        <w:t>3</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5,364,266.35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1,159,097.58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6,786,558.33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3,191,652.88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5,364,266.35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1,159,097.58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6,786,558.33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3,191,652.88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投资收益" w:id="389"/>
      <w:bookmarkEnd w:id="389"/>
      <w:r>
        <w:rPr>
          <w:b w:val="0"/>
          <w:bCs w:val="0"/>
        </w:rPr>
      </w:r>
      <w:r>
        <w:rPr>
          <w:rFonts w:ascii="Times New Roman" w:hAnsi="Times New Roman" w:cs="Times New Roman" w:eastAsia="Times New Roman" w:hint="default"/>
        </w:rPr>
        <w:t>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298,200,000.00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16,248,445.82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4,224,195.01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675,220.71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2,243,270.21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3,646,900.79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1,762,161.33</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318,770,567.32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8,229,626.55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补充资料" w:id="390"/>
      <w:bookmarkEnd w:id="390"/>
      <w:r>
        <w:rPr>
          <w:b w:val="0"/>
          <w:bCs w:val="0"/>
        </w:rPr>
      </w: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1"/>
      <w:bookmarkEnd w:id="39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1,264,123.38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2,015,066.46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-628,740.00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-275,145.18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1,673,866.57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932,965.44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540,071.77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2,576,134.02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65"/>
        <w:ind w:left="0" w:right="1139"/>
        <w:jc w:val="right"/>
      </w:pPr>
      <w:r>
        <w:rPr/>
        <w:pict>
          <v:shape style="position:absolute;margin-left:56.459999pt;margin-top:-20.918282pt;width:479.25pt;height:40.7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2,345,887.20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9"/>
                          <w:jc w:val="center"/>
                          <w:rPr>
                            <w:rFonts w:ascii="宋体" w:hAnsi="宋体" w:cs="宋体" w:eastAsia="宋体" w:hint="default"/>
                            <w:sz w:val="18"/>
                            <w:szCs w:val="18"/>
                          </w:rPr>
                        </w:pPr>
                        <w:r>
                          <w:rPr>
                            <w:rFonts w:ascii="宋体" w:hAnsi="宋体" w:cs="宋体" w:eastAsia="宋体" w:hint="default"/>
                            <w:spacing w:val="-2"/>
                            <w:sz w:val="18"/>
                            <w:szCs w:val="18"/>
                          </w:rPr>
                          <w:t>根据《关于软件产品增值税政策的通知</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674" w:hRule="exact"/>
        </w:trPr>
        <w:tc>
          <w:tcPr>
            <w:tcW w:w="3324"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pacing w:val="-1"/>
                <w:sz w:val="18"/>
                <w:szCs w:val="18"/>
              </w:rPr>
              <w:t>（财税</w:t>
            </w:r>
            <w:r>
              <w:rPr>
                <w:rFonts w:ascii="Times New Roman" w:hAnsi="Times New Roman" w:cs="Times New Roman" w:eastAsia="Times New Roman" w:hint="default"/>
                <w:spacing w:val="-1"/>
                <w:sz w:val="18"/>
                <w:szCs w:val="18"/>
              </w:rPr>
              <w:t>[2011]100</w:t>
            </w:r>
            <w:r>
              <w:rPr>
                <w:rFonts w:ascii="Times New Roman" w:hAnsi="Times New Roman" w:cs="Times New Roman" w:eastAsia="Times New Roman" w:hint="default"/>
                <w:spacing w:val="7"/>
                <w:sz w:val="18"/>
                <w:szCs w:val="18"/>
              </w:rPr>
              <w:t> </w:t>
            </w:r>
            <w:r>
              <w:rPr>
                <w:rFonts w:ascii="宋体" w:hAnsi="宋体" w:cs="宋体" w:eastAsia="宋体" w:hint="default"/>
                <w:spacing w:val="-17"/>
                <w:sz w:val="18"/>
                <w:szCs w:val="18"/>
              </w:rPr>
              <w:t>号），对增值税实际税负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2,345,887.20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 净资产收益率及每股收益" w:id="392"/>
      <w:bookmarkEnd w:id="392"/>
      <w:r>
        <w:rPr>
          <w:b w:val="0"/>
          <w:bCs w:val="0"/>
        </w:rPr>
      </w:r>
      <w:r>
        <w:rPr>
          <w:rFonts w:ascii="Times New Roman" w:hAnsi="Times New Roman" w:cs="Times New Roman" w:eastAsia="Times New Roman" w:hint="default"/>
        </w:rPr>
        <w:t>2</w:t>
      </w:r>
      <w:r>
        <w:rPr/>
        <w:t>、</w:t>
      </w:r>
      <w:r>
        <w:rPr>
          <w:spacing w:val="-4"/>
        </w:rPr>
        <w:t> </w:t>
      </w:r>
      <w:r>
        <w:rPr/>
        <w:t>净资产收益率及每股收益</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1198" w:firstLine="420"/>
        <w:jc w:val="left"/>
      </w:pPr>
      <w:r>
        <w:rPr/>
        <w:t>根据中国证监会《公开发行证券的公司信息披露编报规则第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净资产收益率和每股收益的计算 及披露》（</w:t>
      </w:r>
      <w:r>
        <w:rPr>
          <w:rFonts w:ascii="Times New Roman" w:hAnsi="Times New Roman" w:cs="Times New Roman" w:eastAsia="Times New Roman" w:hint="default"/>
        </w:rPr>
        <w:t>2010</w:t>
      </w:r>
      <w:r>
        <w:rPr/>
        <w:t>年修订）的要求计算净资产收益率、每股收益：</w:t>
      </w:r>
    </w:p>
    <w:tbl>
      <w:tblPr>
        <w:tblW w:w="0" w:type="auto"/>
        <w:jc w:val="left"/>
        <w:tblInd w:w="149" w:type="dxa"/>
        <w:tblLayout w:type="fixed"/>
        <w:tblCellMar>
          <w:top w:w="0" w:type="dxa"/>
          <w:left w:w="0" w:type="dxa"/>
          <w:bottom w:w="0" w:type="dxa"/>
          <w:right w:w="0" w:type="dxa"/>
        </w:tblCellMar>
        <w:tblLook w:val="01E0"/>
      </w:tblPr>
      <w:tblGrid>
        <w:gridCol w:w="5274"/>
        <w:gridCol w:w="1816"/>
        <w:gridCol w:w="1104"/>
        <w:gridCol w:w="1102"/>
      </w:tblGrid>
      <w:tr>
        <w:trPr>
          <w:trHeight w:val="342" w:hRule="exact"/>
        </w:trPr>
        <w:tc>
          <w:tcPr>
            <w:tcW w:w="5274" w:type="dxa"/>
            <w:vMerge w:val="restart"/>
            <w:tcBorders>
              <w:top w:val="single" w:sz="4" w:space="0" w:color="000000"/>
              <w:left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16" w:type="dxa"/>
            <w:vMerge w:val="restart"/>
            <w:tcBorders>
              <w:top w:val="single" w:sz="4" w:space="0" w:color="000000"/>
              <w:left w:val="single" w:sz="4" w:space="0" w:color="000000"/>
              <w:right w:val="single" w:sz="4" w:space="0" w:color="000000"/>
            </w:tcBorders>
          </w:tcPr>
          <w:p>
            <w:pPr>
              <w:pStyle w:val="TableParagraph"/>
              <w:spacing w:line="273" w:lineRule="auto"/>
              <w:ind w:left="429" w:right="167"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 收益率</w:t>
            </w:r>
            <w:r>
              <w:rPr>
                <w:rFonts w:ascii="Times New Roman" w:hAnsi="Times New Roman" w:cs="Times New Roman" w:eastAsia="Times New Roman" w:hint="default"/>
                <w:sz w:val="21"/>
                <w:szCs w:val="21"/>
              </w:rPr>
              <w:t>(%)</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654" w:hRule="exact"/>
        </w:trPr>
        <w:tc>
          <w:tcPr>
            <w:tcW w:w="5274" w:type="dxa"/>
            <w:vMerge/>
            <w:tcBorders>
              <w:left w:val="single" w:sz="4" w:space="0" w:color="000000"/>
              <w:bottom w:val="single" w:sz="4" w:space="0" w:color="000000"/>
              <w:right w:val="single" w:sz="4" w:space="0" w:color="000000"/>
            </w:tcBorders>
          </w:tcPr>
          <w:p>
            <w:pPr/>
          </w:p>
        </w:tc>
        <w:tc>
          <w:tcPr>
            <w:tcW w:w="1816" w:type="dxa"/>
            <w:vMerge/>
            <w:tcBorders>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6" w:right="126" w:hanging="210"/>
              <w:jc w:val="left"/>
              <w:rPr>
                <w:rFonts w:ascii="宋体" w:hAnsi="宋体" w:cs="宋体" w:eastAsia="宋体" w:hint="default"/>
                <w:sz w:val="21"/>
                <w:szCs w:val="21"/>
              </w:rPr>
            </w:pPr>
            <w:r>
              <w:rPr>
                <w:rFonts w:ascii="宋体" w:hAnsi="宋体" w:cs="宋体" w:eastAsia="宋体" w:hint="default"/>
                <w:sz w:val="21"/>
                <w:szCs w:val="21"/>
              </w:rPr>
              <w:t>基本每股 收益</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6" w:right="125" w:hanging="210"/>
              <w:jc w:val="left"/>
              <w:rPr>
                <w:rFonts w:ascii="宋体" w:hAnsi="宋体" w:cs="宋体" w:eastAsia="宋体" w:hint="default"/>
                <w:sz w:val="21"/>
                <w:szCs w:val="21"/>
              </w:rPr>
            </w:pPr>
            <w:r>
              <w:rPr>
                <w:rFonts w:ascii="宋体" w:hAnsi="宋体" w:cs="宋体" w:eastAsia="宋体" w:hint="default"/>
                <w:sz w:val="21"/>
                <w:szCs w:val="21"/>
              </w:rPr>
              <w:t>稀释每股 收益</w:t>
            </w:r>
          </w:p>
        </w:tc>
      </w:tr>
      <w:tr>
        <w:trPr>
          <w:trHeight w:val="342"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11.95%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0.4151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0.4151</w:t>
            </w:r>
          </w:p>
        </w:tc>
      </w:tr>
      <w:tr>
        <w:trPr>
          <w:trHeight w:val="342" w:hRule="exact"/>
        </w:trPr>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11.84%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0.4114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0.4114</w:t>
            </w:r>
          </w:p>
        </w:tc>
      </w:tr>
    </w:tbl>
    <w:p>
      <w:pPr>
        <w:pStyle w:val="Heading4"/>
        <w:spacing w:line="240" w:lineRule="auto" w:before="5"/>
        <w:ind w:left="574" w:right="0"/>
        <w:jc w:val="left"/>
      </w:pPr>
      <w:r>
        <w:rPr/>
        <w:t>（</w:t>
      </w:r>
      <w:r>
        <w:rPr>
          <w:rFonts w:ascii="Times New Roman" w:hAnsi="Times New Roman" w:cs="Times New Roman" w:eastAsia="Times New Roman" w:hint="default"/>
        </w:rPr>
        <w:t>1</w:t>
      </w:r>
      <w:r>
        <w:rPr/>
        <w:t>）加权平均净资产收益率</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570"/>
        <w:gridCol w:w="2404"/>
        <w:gridCol w:w="2243"/>
      </w:tblGrid>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0"/>
                <w:sz w:val="20"/>
                <w:szCs w:val="20"/>
              </w:rPr>
              <w:t> </w:t>
            </w:r>
            <w:r>
              <w:rPr>
                <w:rFonts w:ascii="宋体" w:hAnsi="宋体" w:cs="宋体" w:eastAsia="宋体" w:hint="default"/>
                <w:sz w:val="20"/>
                <w:szCs w:val="20"/>
              </w:rPr>
              <w:t>目</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本期数</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1</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353,553,857.98</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2(P)</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290,820,917.16</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非经常性损益</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100"/>
                <w:sz w:val="20"/>
              </w:rPr>
              <w:t>3</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2,576,134.02</w:t>
            </w: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7"/>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扣除非经常性损益后归属于公司普通股股东的净利</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润</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4=2-3(P)</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288,244,783.14</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归属于公司普通股股东的期末净资产</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5(E)</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2,572,499,032.90</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归属于公司普通股股东的期初净资产</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w:t>
            </w:r>
            <w:r>
              <w:rPr>
                <w:rFonts w:ascii="Times New Roman" w:hAnsi="Times New Roman" w:cs="Times New Roman" w:eastAsia="Times New Roman" w:hint="default"/>
                <w:sz w:val="20"/>
                <w:szCs w:val="20"/>
              </w:rPr>
              <w:t>Eo</w:t>
            </w:r>
            <w:r>
              <w:rPr>
                <w:rFonts w:ascii="宋体" w:hAnsi="宋体" w:cs="宋体" w:eastAsia="宋体" w:hint="default"/>
                <w:sz w:val="20"/>
                <w:szCs w:val="20"/>
              </w:rPr>
              <w:t>）</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
              <w:jc w:val="right"/>
              <w:rPr>
                <w:rFonts w:ascii="Times New Roman" w:hAnsi="Times New Roman" w:cs="Times New Roman" w:eastAsia="Times New Roman" w:hint="default"/>
                <w:sz w:val="20"/>
                <w:szCs w:val="20"/>
              </w:rPr>
            </w:pPr>
            <w:r>
              <w:rPr>
                <w:rFonts w:ascii="Times New Roman"/>
                <w:spacing w:val="-1"/>
                <w:sz w:val="20"/>
              </w:rPr>
              <w:t>2,296,778,132.27</w:t>
            </w: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3"/>
                <w:sz w:val="20"/>
                <w:szCs w:val="20"/>
              </w:rPr>
              <w:t>报告期发行新股或债转股等新增的、归属于公司普通</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股股东的净资产</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7(Ei)</w:t>
            </w:r>
          </w:p>
        </w:tc>
        <w:tc>
          <w:tcPr>
            <w:tcW w:w="2243"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3"/>
                <w:sz w:val="20"/>
                <w:szCs w:val="20"/>
              </w:rPr>
              <w:t>报告期回购或现金分红等减少的、归属于公司普通股</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股东的净资产</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8(Ej)</w:t>
            </w:r>
          </w:p>
        </w:tc>
        <w:tc>
          <w:tcPr>
            <w:tcW w:w="22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9(Mo)</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12</w:t>
            </w: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3"/>
                <w:sz w:val="20"/>
                <w:szCs w:val="20"/>
              </w:rPr>
              <w:t>归属于公司普通股股东的、新增净资产下一月份起至</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报告期期末的月份数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10(Mi)</w:t>
            </w:r>
          </w:p>
        </w:tc>
        <w:tc>
          <w:tcPr>
            <w:tcW w:w="2243"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4"/>
              <w:jc w:val="left"/>
              <w:rPr>
                <w:rFonts w:ascii="宋体" w:hAnsi="宋体" w:cs="宋体" w:eastAsia="宋体" w:hint="default"/>
                <w:sz w:val="20"/>
                <w:szCs w:val="20"/>
              </w:rPr>
            </w:pPr>
            <w:r>
              <w:rPr>
                <w:rFonts w:ascii="宋体" w:hAnsi="宋体" w:cs="宋体" w:eastAsia="宋体" w:hint="default"/>
                <w:spacing w:val="-3"/>
                <w:sz w:val="20"/>
                <w:szCs w:val="20"/>
              </w:rPr>
              <w:t>归属于公司普通股股东的、减少净资产下一月份起至</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报告期期末的月份数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11(Mj)</w:t>
            </w:r>
          </w:p>
        </w:tc>
        <w:tc>
          <w:tcPr>
            <w:tcW w:w="224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其他交易或事项引起的净资产增减变动</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w:t>
            </w:r>
            <w:r>
              <w:rPr>
                <w:rFonts w:ascii="Times New Roman" w:hAnsi="Times New Roman" w:cs="Times New Roman" w:eastAsia="Times New Roman" w:hint="default"/>
                <w:sz w:val="20"/>
                <w:szCs w:val="20"/>
              </w:rPr>
              <w:t>Ek</w:t>
            </w:r>
            <w:r>
              <w:rPr>
                <w:rFonts w:ascii="宋体" w:hAnsi="宋体" w:cs="宋体" w:eastAsia="宋体" w:hint="default"/>
                <w:sz w:val="20"/>
                <w:szCs w:val="20"/>
              </w:rPr>
              <w:t>）</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-15,100,016.53</w:t>
            </w: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7"/>
              <w:jc w:val="left"/>
              <w:rPr>
                <w:rFonts w:ascii="宋体" w:hAnsi="宋体" w:cs="宋体" w:eastAsia="宋体" w:hint="default"/>
                <w:sz w:val="20"/>
                <w:szCs w:val="20"/>
              </w:rPr>
            </w:pPr>
            <w:r>
              <w:rPr>
                <w:rFonts w:ascii="宋体" w:hAnsi="宋体" w:cs="宋体" w:eastAsia="宋体" w:hint="default"/>
                <w:spacing w:val="5"/>
                <w:sz w:val="20"/>
                <w:szCs w:val="20"/>
              </w:rPr>
              <w:t>发生其他净资产增减变动下一月份起至报告期期末</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的月份数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宋体" w:hAnsi="宋体" w:cs="宋体" w:eastAsia="宋体" w:hint="default"/>
                <w:sz w:val="20"/>
                <w:szCs w:val="20"/>
              </w:rPr>
              <w:t>（</w:t>
            </w:r>
            <w:r>
              <w:rPr>
                <w:rFonts w:ascii="Times New Roman" w:hAnsi="Times New Roman" w:cs="Times New Roman" w:eastAsia="Times New Roman" w:hint="default"/>
                <w:sz w:val="20"/>
                <w:szCs w:val="20"/>
              </w:rPr>
              <w:t>Mk</w:t>
            </w:r>
            <w:r>
              <w:rPr>
                <w:rFonts w:ascii="宋体" w:hAnsi="宋体" w:cs="宋体" w:eastAsia="宋体" w:hint="default"/>
                <w:sz w:val="20"/>
                <w:szCs w:val="20"/>
              </w:rPr>
              <w:t>）</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6</w:t>
            </w:r>
          </w:p>
        </w:tc>
      </w:tr>
      <w:tr>
        <w:trPr>
          <w:trHeight w:val="65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归属于公司普通股股东的净资产加权平均数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14= Eo + P÷2+</w:t>
            </w:r>
            <w:r>
              <w:rPr>
                <w:rFonts w:ascii="Times New Roman" w:hAnsi="Times New Roman" w:cs="Times New Roman" w:eastAsia="Times New Roman" w:hint="default"/>
                <w:spacing w:val="-12"/>
                <w:sz w:val="20"/>
                <w:szCs w:val="20"/>
              </w:rPr>
              <w:t> </w:t>
            </w:r>
            <w:r>
              <w:rPr>
                <w:rFonts w:ascii="Times New Roman" w:hAnsi="Times New Roman" w:cs="Times New Roman" w:eastAsia="Times New Roman" w:hint="default"/>
                <w:sz w:val="20"/>
                <w:szCs w:val="20"/>
              </w:rPr>
              <w:t>Ei×Mi÷Mo</w:t>
            </w:r>
            <w:r>
              <w:rPr>
                <w:rFonts w:ascii="宋体" w:hAnsi="宋体" w:cs="宋体" w:eastAsia="宋体" w:hint="default"/>
                <w:sz w:val="20"/>
                <w:szCs w:val="20"/>
              </w:rPr>
              <w:t>－</w:t>
            </w:r>
          </w:p>
          <w:p>
            <w:pPr>
              <w:pStyle w:val="TableParagraph"/>
              <w:spacing w:line="240" w:lineRule="auto" w:before="81"/>
              <w:ind w:left="1"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Ej×Mj÷Mo±Ek×Mk÷Mo</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2,434,638,582.59</w:t>
            </w:r>
          </w:p>
        </w:tc>
      </w:tr>
      <w:tr>
        <w:trPr>
          <w:trHeight w:val="342"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加权平均净资产收益率（Ⅰ）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15=2÷14</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11.95%</w:t>
            </w:r>
          </w:p>
        </w:tc>
      </w:tr>
      <w:tr>
        <w:trPr>
          <w:trHeight w:val="344" w:hRule="exact"/>
        </w:trPr>
        <w:tc>
          <w:tcPr>
            <w:tcW w:w="4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加权平均净资产收益率（Ⅱ）</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16=4÷14</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11.84%</w:t>
            </w:r>
          </w:p>
        </w:tc>
      </w:tr>
    </w:tbl>
    <w:p>
      <w:pPr>
        <w:pStyle w:val="Heading4"/>
        <w:spacing w:line="276" w:lineRule="exact" w:before="0"/>
        <w:ind w:left="574" w:right="0"/>
        <w:jc w:val="left"/>
      </w:pPr>
      <w:r>
        <w:rPr/>
        <w:t>注：</w:t>
      </w:r>
      <w:r>
        <w:rPr>
          <w:rFonts w:ascii="Times New Roman" w:hAnsi="Times New Roman" w:cs="Times New Roman" w:eastAsia="Times New Roman" w:hint="default"/>
        </w:rPr>
        <w:t>12</w:t>
      </w:r>
      <w:r>
        <w:rPr/>
        <w:t>（</w:t>
      </w:r>
      <w:r>
        <w:rPr>
          <w:rFonts w:ascii="Times New Roman" w:hAnsi="Times New Roman" w:cs="Times New Roman" w:eastAsia="Times New Roman" w:hint="default"/>
        </w:rPr>
        <w:t>Ek</w:t>
      </w:r>
      <w:r>
        <w:rPr/>
        <w:t>）为其他综合收益。</w:t>
      </w:r>
    </w:p>
    <w:p>
      <w:pPr>
        <w:pStyle w:val="Heading4"/>
        <w:spacing w:line="240" w:lineRule="auto" w:before="21"/>
        <w:ind w:left="574" w:right="0"/>
        <w:jc w:val="left"/>
      </w:pPr>
      <w:r>
        <w:rPr/>
        <w:t>（</w:t>
      </w:r>
      <w:r>
        <w:rPr>
          <w:rFonts w:ascii="Times New Roman" w:hAnsi="Times New Roman" w:cs="Times New Roman" w:eastAsia="Times New Roman" w:hint="default"/>
        </w:rPr>
        <w:t>2</w:t>
      </w:r>
      <w:r>
        <w:rPr/>
        <w:t>）基本每股收益和稀释每股收益的计算见附注七、</w:t>
      </w:r>
      <w:r>
        <w:rPr>
          <w:rFonts w:ascii="Times New Roman" w:hAnsi="Times New Roman" w:cs="Times New Roman" w:eastAsia="Times New Roman" w:hint="default"/>
        </w:rPr>
        <w:t>51</w:t>
      </w:r>
      <w:r>
        <w:rPr/>
        <w:t>。</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393"/>
      <w:bookmarkEnd w:id="393"/>
      <w:r>
        <w:rPr>
          <w:b w:val="0"/>
          <w:bCs w:val="0"/>
        </w:rPr>
      </w:r>
      <w:bookmarkStart w:name="_bookmark10" w:id="394"/>
      <w:bookmarkEnd w:id="394"/>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载有公司负责人、主管会计工作负责人、会计机构负责人（会计主管人员）签名并盖章的财务报表。</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报告期内在中国证监会指定网站上公开披露过的所有公司文件的正本及公告的原稿。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316" w:lineRule="auto"/>
        <w:ind w:left="7084" w:right="1932" w:hanging="990"/>
        <w:jc w:val="left"/>
      </w:pPr>
      <w:r>
        <w:rPr/>
        <w:t>视觉（中国）文化发展股份有限公司 董事长：廖杰</w:t>
      </w:r>
    </w:p>
    <w:p>
      <w:pPr>
        <w:pStyle w:val="BodyText"/>
        <w:spacing w:line="240" w:lineRule="auto" w:before="59"/>
        <w:ind w:left="6634" w:right="0"/>
        <w:jc w:val="left"/>
      </w:pPr>
      <w:r>
        <w:rPr/>
        <w:t>二〇一八年四月二十四日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704" type="#_x0000_t75" stroked="false">
          <v:imagedata r:id="rId1" o:title=""/>
        </v:shape>
      </w:pict>
    </w:r>
    <w:r>
      <w:rPr/>
      <w:pict>
        <v:shape style="position:absolute;margin-left:533.179993pt;margin-top:795.517944pt;width:6.5pt;height:11pt;mso-position-horizontal-relative:page;mso-position-vertical-relative:page;z-index:-1031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656" type="#_x0000_t75" stroked="false">
          <v:imagedata r:id="rId1" o:title=""/>
        </v:shape>
      </w:pict>
    </w:r>
    <w:r>
      <w:rPr/>
      <w:pict>
        <v:shape style="position:absolute;margin-left:527.679993pt;margin-top:781.957947pt;width:13pt;height:11pt;mso-position-horizontal-relative:page;mso-position-vertical-relative:page;z-index:-1031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608" type="#_x0000_t75" stroked="false">
          <v:imagedata r:id="rId1" o:title=""/>
        </v:shape>
      </w:pict>
    </w:r>
    <w:r>
      <w:rPr/>
      <w:pict>
        <v:shape style="position:absolute;margin-left:524.179993pt;margin-top:781.957947pt;width:15.5pt;height:11pt;mso-position-horizontal-relative:page;mso-position-vertical-relative:page;z-index:-1031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31560" type="#_x0000_t75" stroked="false">
          <v:imagedata r:id="rId1" o:title=""/>
        </v:shape>
      </w:pict>
    </w:r>
    <w:r>
      <w:rPr/>
      <w:pict>
        <v:shape style="position:absolute;margin-left:523.179993pt;margin-top:781.957947pt;width:17.5pt;height:11pt;mso-position-horizontal-relative:page;mso-position-vertical-relative:page;z-index:-1031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031728" type="#_x0000_t202" filled="false" stroked="false">
          <v:textbox inset="0,0,0,0">
            <w:txbxContent>
              <w:p>
                <w:pPr>
                  <w:pStyle w:val="BodyText"/>
                  <w:spacing w:line="214" w:lineRule="exact"/>
                  <w:ind w:left="20" w:right="0"/>
                  <w:jc w:val="left"/>
                </w:pPr>
                <w:r>
                  <w:rPr/>
                  <w:t>视觉（中国）文化发展股份有限公司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49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7"/>
      <w:ind w:left="153"/>
      <w:outlineLvl w:val="4"/>
    </w:pPr>
    <w:rPr>
      <w:rFonts w:ascii="宋体" w:hAnsi="宋体" w:eastAsia="宋体"/>
      <w:sz w:val="21"/>
      <w:szCs w:val="21"/>
    </w:rPr>
  </w:style>
  <w:style w:styleId="Heading5" w:type="paragraph">
    <w:name w:val="Heading 5"/>
    <w:basedOn w:val="Normal"/>
    <w:uiPriority w:val="1"/>
    <w:qFormat/>
    <w:pPr>
      <w:spacing w:before="19"/>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vcg.com/" TargetMode="External"/><Relationship Id="rId9" Type="http://schemas.openxmlformats.org/officeDocument/2006/relationships/hyperlink" Target="mailto:ss000681@163.com"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hyperlink" Target="http://www.cnsphoto.com/" TargetMode="External"/><Relationship Id="rId13" Type="http://schemas.openxmlformats.org/officeDocument/2006/relationships/hyperlink" Target="http://www.veer.com/" TargetMode="Externa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视觉（中国）文化发展股份有限公司</dc:creator>
  <dc:title>视觉（中国）文化发展股份有限公司2017年年度报告全文</dc:title>
  <dcterms:created xsi:type="dcterms:W3CDTF">2020-05-02T19:57:36Z</dcterms:created>
  <dcterms:modified xsi:type="dcterms:W3CDTF">2020-05-02T19:57:36Z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