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063" w:right="3039"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视觉（中国）文化发展股份有限公司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060"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06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4"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公司负责人廖杰、主管会计工作负责人梁军及会计机构负责人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卢文菁声明：保证年度报告中财务报告的真实、准确、完整。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本报告中涉及的未来计划等前瞻性陈述，不构成公司对投资者的实质承诺，</w:t>
      </w:r>
      <w:r>
        <w:rPr>
          <w:rFonts w:ascii="宋体" w:hAnsi="宋体" w:cs="宋体" w:eastAsia="宋体" w:hint="default"/>
          <w:spacing w:val="-2"/>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投资者及相关人士均应当对此保持足够的风险认识，并且应当理解计划、预测</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与承诺之间的差异，请投资者注意投资风险。</w:t>
      </w:r>
      <w:r>
        <w:rPr>
          <w:rFonts w:ascii="宋体" w:hAnsi="宋体" w:cs="宋体" w:eastAsia="宋体" w:hint="default"/>
          <w:sz w:val="28"/>
          <w:szCs w:val="28"/>
        </w:rPr>
      </w:r>
    </w:p>
    <w:p>
      <w:pPr>
        <w:spacing w:before="15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700,577,436</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0.46</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209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240" w:lineRule="auto" w:before="0"/>
        <w:ind w:left="0" w:right="1139"/>
        <w:jc w:val="right"/>
      </w:pPr>
      <w:r>
        <w:rPr/>
        <w:pict>
          <v:shape style="position:absolute;margin-left:56.459999pt;margin-top:-83.448318pt;width:479.25pt;height:48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公司、本公司、上市公司、视觉中国</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名一致行动人、实际控制人</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112"/>
                          <w:jc w:val="left"/>
                          <w:rPr>
                            <w:rFonts w:ascii="宋体" w:hAnsi="宋体" w:cs="宋体" w:eastAsia="宋体" w:hint="default"/>
                            <w:sz w:val="18"/>
                            <w:szCs w:val="18"/>
                          </w:rPr>
                        </w:pPr>
                        <w:r>
                          <w:rPr>
                            <w:rFonts w:ascii="宋体" w:hAnsi="宋体" w:cs="宋体" w:eastAsia="宋体" w:hint="default"/>
                            <w:spacing w:val="-5"/>
                            <w:sz w:val="18"/>
                            <w:szCs w:val="18"/>
                          </w:rPr>
                          <w:t>廖道训、吴玉瑞、吴春红、柴继军、姜海林、陈智华、袁闯、李学凌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高玮、梁世平</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华夏视觉（北京）图像技术有限公司，公司全资子公司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汉华易美</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远东文化</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常州远东文化产业有限公司，公司全资子公司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28" w:lineRule="auto" w:before="51"/>
                          <w:ind w:left="16"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亿迅资产组包括亿迅信息技术有限公司、宝东信息技术有限公司、 </w:t>
                        </w:r>
                        <w:r>
                          <w:rPr>
                            <w:rFonts w:ascii="Times New Roman" w:hAnsi="Times New Roman" w:cs="Times New Roman" w:eastAsia="Times New Roman" w:hint="default"/>
                            <w:sz w:val="18"/>
                            <w:szCs w:val="18"/>
                          </w:rPr>
                          <w:t>DataTool China Limited</w:t>
                        </w:r>
                        <w:r>
                          <w:rPr>
                            <w:rFonts w:ascii="宋体" w:hAnsi="宋体" w:cs="宋体" w:eastAsia="宋体" w:hint="default"/>
                            <w:sz w:val="18"/>
                            <w:szCs w:val="18"/>
                          </w:rPr>
                          <w:t>、</w:t>
                        </w:r>
                        <w:r>
                          <w:rPr>
                            <w:rFonts w:ascii="Times New Roman" w:hAnsi="Times New Roman" w:cs="Times New Roman" w:eastAsia="Times New Roman" w:hint="default"/>
                            <w:sz w:val="18"/>
                            <w:szCs w:val="18"/>
                          </w:rPr>
                          <w:t>eSOON China Limited</w:t>
                        </w:r>
                        <w:r>
                          <w:rPr>
                            <w:rFonts w:ascii="宋体" w:hAnsi="宋体" w:cs="宋体" w:eastAsia="宋体" w:hint="default"/>
                            <w:sz w:val="18"/>
                            <w:szCs w:val="18"/>
                          </w:rPr>
                          <w:t>、</w:t>
                        </w:r>
                        <w:r>
                          <w:rPr>
                            <w:rFonts w:ascii="Times New Roman" w:hAnsi="Times New Roman" w:cs="Times New Roman" w:eastAsia="Times New Roman" w:hint="default"/>
                            <w:sz w:val="18"/>
                            <w:szCs w:val="18"/>
                          </w:rPr>
                          <w:t>DataTool Hong</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z w:val="18"/>
                            <w:szCs w:val="18"/>
                          </w:rPr>
                          <w:t> Limited</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湖北司马彦</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湖北司马彦文化科技有限公司，公司通过汉华易美持股 </w:t>
                        </w:r>
                        <w:r>
                          <w:rPr>
                            <w:rFonts w:ascii="Times New Roman" w:hAnsi="Times New Roman" w:cs="Times New Roman" w:eastAsia="Times New Roman" w:hint="default"/>
                            <w:sz w:val="18"/>
                            <w:szCs w:val="18"/>
                          </w:rPr>
                          <w:t>49%</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上海卓越</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上海卓越形象广告传播有限公司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合一基金</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常州合一科文投资合伙企业（有限合伙）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映月基金</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北京华盖映月影视文化投资合伙企业（有限合伙）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辽宁基金</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辽宁新兴文化创业投资基金合伙企业（有限合伙）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安鹭基金</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华盖安鹭（厦门）文化产业投资合伙企业（有限合伙）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唱游公司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唱游信息技术有限公司，公司通过远东文化持股 </w:t>
                        </w:r>
                        <w:r>
                          <w:rPr>
                            <w:rFonts w:ascii="Times New Roman" w:hAnsi="Times New Roman" w:cs="Times New Roman" w:eastAsia="Times New Roman" w:hint="default"/>
                            <w:sz w:val="18"/>
                            <w:szCs w:val="18"/>
                          </w:rPr>
                          <w:t>45%</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易教优培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广东易教优培教育科技有限公司，公司通过远东文化持股 </w:t>
                        </w:r>
                        <w:r>
                          <w:rPr>
                            <w:rFonts w:ascii="Times New Roman" w:hAnsi="Times New Roman" w:cs="Times New Roman" w:eastAsia="Times New Roman" w:hint="default"/>
                            <w:sz w:val="18"/>
                            <w:szCs w:val="18"/>
                          </w:rPr>
                          <w:t>30%</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Getty SEA</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Getty Images SEA Holdings Co.,Limited</w:t>
                        </w:r>
                        <w:r>
                          <w:rPr>
                            <w:rFonts w:ascii="宋体" w:hAnsi="宋体" w:cs="宋体" w:eastAsia="宋体" w:hint="default"/>
                            <w:sz w:val="18"/>
                            <w:szCs w:val="18"/>
                          </w:rPr>
                          <w:t>，公司间接参股</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50%</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500px</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500px, Inc.</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公司全资孙公司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华融创新</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11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华融创新资本投资有限公司（已更名为华融创新投资股份有限公司）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公司参股 </w:t>
                        </w:r>
                        <w:r>
                          <w:rPr>
                            <w:rFonts w:ascii="Times New Roman" w:hAnsi="Times New Roman" w:cs="Times New Roman" w:eastAsia="Times New Roman" w:hint="default"/>
                            <w:sz w:val="18"/>
                            <w:szCs w:val="18"/>
                          </w:rPr>
                          <w:t>20%</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0"/>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779968pt;width:361.5pt;height:19.6pt;mso-position-horizontal-relative:page;mso-position-vertical-relative:page;z-index:-124717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000681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VISUAL CHINA GROUP</w:t>
            </w:r>
            <w:r>
              <w:rPr>
                <w:rFonts w:ascii="Times New Roman"/>
                <w:spacing w:val="-2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VCG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廖杰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常州市武进区西太湖科技产业园禾香路 </w:t>
            </w:r>
            <w:r>
              <w:rPr>
                <w:rFonts w:ascii="Times New Roman" w:hAnsi="Times New Roman" w:cs="Times New Roman" w:eastAsia="Times New Roman" w:hint="default"/>
                <w:sz w:val="18"/>
                <w:szCs w:val="18"/>
              </w:rPr>
              <w:t>123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213161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北京市朝阳区酒仙桥路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号院恒通国际商务园，</w:t>
            </w:r>
            <w:r>
              <w:rPr>
                <w:rFonts w:ascii="Times New Roman" w:hAnsi="Times New Roman" w:cs="Times New Roman" w:eastAsia="Times New Roman" w:hint="default"/>
                <w:sz w:val="18"/>
                <w:szCs w:val="18"/>
              </w:rPr>
              <w:t>B5/B8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www.vcg.com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000681@vcg.com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蒋蕾</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北京市朝阳区酒仙桥路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号院恒通国际 商务园，</w:t>
            </w:r>
            <w:r>
              <w:rPr>
                <w:rFonts w:ascii="Times New Roman" w:hAnsi="Times New Roman" w:cs="Times New Roman" w:eastAsia="Times New Roman" w:hint="default"/>
                <w:sz w:val="18"/>
                <w:szCs w:val="18"/>
              </w:rPr>
              <w:t>B5&amp;B8  </w:t>
            </w:r>
            <w:r>
              <w:rPr>
                <w:rFonts w:ascii="宋体" w:hAnsi="宋体" w:cs="宋体" w:eastAsia="宋体" w:hint="default"/>
                <w:sz w:val="18"/>
                <w:szCs w:val="18"/>
              </w:rPr>
              <w:t>座</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北京市朝阳区酒仙桥路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号院恒通国际 商务园，</w:t>
            </w:r>
            <w:r>
              <w:rPr>
                <w:rFonts w:ascii="Times New Roman" w:hAnsi="Times New Roman" w:cs="Times New Roman" w:eastAsia="Times New Roman" w:hint="default"/>
                <w:sz w:val="18"/>
                <w:szCs w:val="18"/>
              </w:rPr>
              <w:t>B5&amp;B8  </w:t>
            </w:r>
            <w:r>
              <w:rPr>
                <w:rFonts w:ascii="宋体" w:hAnsi="宋体" w:cs="宋体" w:eastAsia="宋体" w:hint="default"/>
                <w:sz w:val="18"/>
                <w:szCs w:val="18"/>
              </w:rPr>
              <w:t>座</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010-57950209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010-57950209</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010-57950213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010-57950213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9">
              <w:r>
                <w:rPr>
                  <w:rFonts w:ascii="Times New Roman"/>
                  <w:sz w:val="18"/>
                </w:rPr>
                <w:t>000681@vcg.com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000681@vcg.com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北京市朝阳区酒仙桥路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号院恒通国际商务园 </w:t>
            </w:r>
            <w:r>
              <w:rPr>
                <w:rFonts w:ascii="Times New Roman" w:hAnsi="Times New Roman" w:cs="Times New Roman" w:eastAsia="Times New Roman" w:hint="default"/>
                <w:sz w:val="18"/>
                <w:szCs w:val="18"/>
              </w:rPr>
              <w:t>B5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91320400608117856C</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中审众环会计师事务所（特殊有限合伙）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北京市朝阳区工体北路甲 </w:t>
            </w:r>
            <w:r>
              <w:rPr>
                <w:rFonts w:ascii="Times New Roman" w:hAnsi="Times New Roman" w:cs="Times New Roman" w:eastAsia="Times New Roman" w:hint="default"/>
                <w:sz w:val="18"/>
                <w:szCs w:val="18"/>
              </w:rPr>
              <w:t>2  </w:t>
            </w:r>
            <w:r>
              <w:rPr>
                <w:rFonts w:ascii="宋体" w:hAnsi="宋体" w:cs="宋体" w:eastAsia="宋体" w:hint="default"/>
                <w:sz w:val="18"/>
                <w:szCs w:val="18"/>
              </w:rPr>
              <w:t>号盈科中心 </w:t>
            </w:r>
            <w:r>
              <w:rPr>
                <w:rFonts w:ascii="Times New Roman" w:hAnsi="Times New Roman" w:cs="Times New Roman" w:eastAsia="Times New Roman" w:hint="default"/>
                <w:sz w:val="18"/>
                <w:szCs w:val="18"/>
              </w:rPr>
              <w:t>A  </w:t>
            </w:r>
            <w:r>
              <w:rPr>
                <w:rFonts w:ascii="宋体" w:hAnsi="宋体" w:cs="宋体" w:eastAsia="宋体" w:hint="default"/>
                <w:sz w:val="18"/>
                <w:szCs w:val="18"/>
              </w:rPr>
              <w:t>栋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黄丽琼 安素强</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348" w:lineRule="auto" w:before="116"/>
        <w:ind w:right="9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会计政策变更</w:t>
      </w:r>
    </w:p>
    <w:tbl>
      <w:tblPr>
        <w:tblW w:w="0" w:type="auto"/>
        <w:jc w:val="left"/>
        <w:tblInd w:w="160" w:type="dxa"/>
        <w:tblLayout w:type="fixed"/>
        <w:tblCellMar>
          <w:top w:w="0" w:type="dxa"/>
          <w:left w:w="0" w:type="dxa"/>
          <w:bottom w:w="0" w:type="dxa"/>
          <w:right w:w="0" w:type="dxa"/>
        </w:tblCellMar>
        <w:tblLook w:val="01E0"/>
      </w:tblPr>
      <w:tblGrid>
        <w:gridCol w:w="2337"/>
        <w:gridCol w:w="1212"/>
        <w:gridCol w:w="1202"/>
        <w:gridCol w:w="1200"/>
        <w:gridCol w:w="1202"/>
        <w:gridCol w:w="1202"/>
        <w:gridCol w:w="1202"/>
      </w:tblGrid>
      <w:tr>
        <w:trPr>
          <w:trHeight w:val="161" w:hRule="exact"/>
        </w:trPr>
        <w:tc>
          <w:tcPr>
            <w:tcW w:w="2337"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FFFFFF"/>
            </w:tcBorders>
            <w:shd w:val="clear" w:color="auto" w:fill="D2D2D2"/>
          </w:tcPr>
          <w:p>
            <w:pPr/>
          </w:p>
        </w:tc>
        <w:tc>
          <w:tcPr>
            <w:tcW w:w="2402" w:type="dxa"/>
            <w:gridSpan w:val="2"/>
            <w:tcBorders>
              <w:top w:val="single" w:sz="4" w:space="0" w:color="000000"/>
              <w:left w:val="single" w:sz="4" w:space="0" w:color="FFFFFF"/>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FFFFFF"/>
            </w:tcBorders>
            <w:shd w:val="clear" w:color="auto" w:fill="D2D2D2"/>
          </w:tcPr>
          <w:p>
            <w:pPr/>
          </w:p>
        </w:tc>
        <w:tc>
          <w:tcPr>
            <w:tcW w:w="2402" w:type="dxa"/>
            <w:gridSpan w:val="2"/>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37"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FFFFFF"/>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FFFFFF"/>
            </w:tcBorders>
            <w:shd w:val="clear" w:color="auto" w:fill="D2D2D2"/>
          </w:tcPr>
          <w:p>
            <w:pPr/>
          </w:p>
        </w:tc>
        <w:tc>
          <w:tcPr>
            <w:tcW w:w="2402" w:type="dxa"/>
            <w:gridSpan w:val="2"/>
            <w:tcBorders>
              <w:top w:val="nil" w:sz="6" w:space="0" w:color="auto"/>
              <w:left w:val="single" w:sz="4" w:space="0" w:color="FFFFFF"/>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FFFFFF"/>
            </w:tcBorders>
            <w:shd w:val="clear" w:color="auto" w:fill="D2D2D2"/>
          </w:tcPr>
          <w:p>
            <w:pPr/>
          </w:p>
        </w:tc>
        <w:tc>
          <w:tcPr>
            <w:tcW w:w="1202"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987,837,517.43</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814,570,532.71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814,550,615.82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735,497,004.94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735,497,004.94</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321,211,367.56</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290,820,917.16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290,820,917.16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214,659,215.55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214,659,215.55</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333,168,439.75</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288,244,783.14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288,244,783.14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211,869,959.87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211,869,959.87</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291,049,483.11</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250,127,629.88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250,127,629.88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234,484,510.92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234,484,510.90</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0.4585</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0.3064</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0.4585</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0.3064</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11.80%</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w:t>
            </w:r>
          </w:p>
        </w:tc>
      </w:tr>
      <w:tr>
        <w:trPr>
          <w:trHeight w:val="161" w:hRule="exact"/>
        </w:trPr>
        <w:tc>
          <w:tcPr>
            <w:tcW w:w="2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tcBorders>
              <w:top w:val="single" w:sz="4" w:space="0" w:color="000000"/>
              <w:left w:val="single" w:sz="4" w:space="0" w:color="000000"/>
              <w:bottom w:val="nil" w:sz="6" w:space="0" w:color="auto"/>
              <w:right w:val="single" w:sz="4" w:space="0" w:color="FFFFFF"/>
            </w:tcBorders>
            <w:shd w:val="clear" w:color="auto" w:fill="D2D2D2"/>
          </w:tcPr>
          <w:p>
            <w:pPr/>
          </w:p>
        </w:tc>
        <w:tc>
          <w:tcPr>
            <w:tcW w:w="2402" w:type="dxa"/>
            <w:gridSpan w:val="2"/>
            <w:tcBorders>
              <w:top w:val="single" w:sz="4" w:space="0" w:color="000000"/>
              <w:left w:val="single" w:sz="4" w:space="0" w:color="FFFFFF"/>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337" w:type="dxa"/>
            <w:tcBorders>
              <w:top w:val="nil" w:sz="6" w:space="0" w:color="auto"/>
              <w:left w:val="single" w:sz="4" w:space="0" w:color="000000"/>
              <w:bottom w:val="nil" w:sz="6" w:space="0" w:color="auto"/>
              <w:right w:val="single" w:sz="4" w:space="0" w:color="000000"/>
            </w:tcBorders>
            <w:shd w:val="clear" w:color="auto" w:fill="D2D2D2"/>
          </w:tcPr>
          <w:p>
            <w:pPr/>
          </w:p>
        </w:tc>
        <w:tc>
          <w:tcPr>
            <w:tcW w:w="1212"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FFFFFF"/>
            </w:tcBorders>
            <w:shd w:val="clear" w:color="auto" w:fill="D2D2D2"/>
          </w:tcPr>
          <w:p>
            <w:pPr/>
          </w:p>
        </w:tc>
        <w:tc>
          <w:tcPr>
            <w:tcW w:w="2402" w:type="dxa"/>
            <w:gridSpan w:val="2"/>
            <w:tcBorders>
              <w:top w:val="nil" w:sz="6" w:space="0" w:color="auto"/>
              <w:left w:val="single" w:sz="4" w:space="0" w:color="FFFFFF"/>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4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4,230,024,683.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4,099,465,288.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4,093,379,032.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4" w:right="0"/>
              <w:jc w:val="left"/>
              <w:rPr>
                <w:rFonts w:ascii="Times New Roman" w:hAnsi="Times New Roman" w:cs="Times New Roman" w:eastAsia="Times New Roman" w:hint="default"/>
                <w:sz w:val="18"/>
                <w:szCs w:val="18"/>
              </w:rPr>
            </w:pPr>
            <w:r>
              <w:rPr>
                <w:rFonts w:ascii="Times New Roman"/>
                <w:sz w:val="18"/>
              </w:rPr>
              <w:t>3.34%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3,523,566,495.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3,523,566,495.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2,890,114,062.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2,572,499,032.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2,566,412,776.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12.61%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2,296,778,132.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2,296,778,132.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bl>
    <w:p>
      <w:pPr>
        <w:pStyle w:val="BodyText"/>
        <w:spacing w:line="240" w:lineRule="auto" w:before="51"/>
        <w:ind w:left="234" w:right="0"/>
        <w:jc w:val="left"/>
      </w:pPr>
      <w:r>
        <w:rPr/>
        <w:t>会计政策变更的原因及会计差错更正的情况</w:t>
      </w:r>
    </w:p>
    <w:p>
      <w:pPr>
        <w:spacing w:line="240" w:lineRule="auto" w:before="1"/>
        <w:rPr>
          <w:rFonts w:ascii="宋体" w:hAnsi="宋体" w:cs="宋体" w:eastAsia="宋体" w:hint="default"/>
          <w:sz w:val="23"/>
          <w:szCs w:val="23"/>
        </w:rPr>
      </w:pPr>
    </w:p>
    <w:p>
      <w:pPr>
        <w:pStyle w:val="BodyText"/>
        <w:spacing w:line="240" w:lineRule="auto" w:before="0"/>
        <w:ind w:left="594" w:right="0"/>
        <w:jc w:val="left"/>
      </w:pPr>
      <w:r>
        <w:rPr>
          <w:rFonts w:ascii="Arial Narrow" w:hAnsi="Arial Narrow" w:cs="Arial Narrow" w:eastAsia="Arial Narrow" w:hint="default"/>
        </w:rPr>
        <w:t>1.</w:t>
      </w:r>
      <w:r>
        <w:rPr/>
        <w:t>会计政策变更</w:t>
      </w:r>
    </w:p>
    <w:p>
      <w:pPr>
        <w:spacing w:line="240" w:lineRule="auto" w:before="4"/>
        <w:rPr>
          <w:rFonts w:ascii="宋体" w:hAnsi="宋体" w:cs="宋体" w:eastAsia="宋体" w:hint="default"/>
          <w:sz w:val="19"/>
          <w:szCs w:val="19"/>
        </w:rPr>
      </w:pPr>
    </w:p>
    <w:p>
      <w:pPr>
        <w:pStyle w:val="BodyText"/>
        <w:spacing w:line="240" w:lineRule="auto" w:before="0"/>
        <w:ind w:left="594" w:right="0"/>
        <w:jc w:val="left"/>
      </w:pPr>
      <w:r>
        <w:rPr/>
        <w:t>（</w:t>
      </w:r>
      <w:r>
        <w:rPr>
          <w:rFonts w:ascii="Arial Narrow" w:hAnsi="Arial Narrow" w:cs="Arial Narrow" w:eastAsia="Arial Narrow" w:hint="default"/>
        </w:rPr>
        <w:t>1</w:t>
      </w:r>
      <w:r>
        <w:rPr/>
        <w:t>）联营企业执行新金融工具准则</w:t>
      </w:r>
    </w:p>
    <w:p>
      <w:pPr>
        <w:spacing w:line="240" w:lineRule="auto" w:before="2"/>
        <w:rPr>
          <w:rFonts w:ascii="宋体" w:hAnsi="宋体" w:cs="宋体" w:eastAsia="宋体" w:hint="default"/>
          <w:sz w:val="19"/>
          <w:szCs w:val="19"/>
        </w:rPr>
      </w:pPr>
    </w:p>
    <w:p>
      <w:pPr>
        <w:pStyle w:val="BodyText"/>
        <w:spacing w:line="240" w:lineRule="auto" w:before="0"/>
        <w:ind w:left="594" w:right="0"/>
        <w:jc w:val="left"/>
      </w:pPr>
      <w:r>
        <w:rPr>
          <w:rFonts w:ascii="Arial Narrow" w:hAnsi="Arial Narrow" w:cs="Arial Narrow" w:eastAsia="Arial Narrow" w:hint="default"/>
        </w:rPr>
        <w:t>2</w:t>
      </w:r>
      <w:r>
        <w:rPr>
          <w:rFonts w:ascii="Arial Narrow" w:hAnsi="Arial Narrow" w:cs="Arial Narrow" w:eastAsia="Arial Narrow" w:hint="default"/>
          <w:spacing w:val="-1"/>
        </w:rPr>
        <w:t>0</w:t>
      </w:r>
      <w:r>
        <w:rPr>
          <w:rFonts w:ascii="Arial Narrow" w:hAnsi="Arial Narrow" w:cs="Arial Narrow" w:eastAsia="Arial Narrow" w:hint="default"/>
        </w:rPr>
        <w:t>17</w:t>
      </w:r>
      <w:r>
        <w:rPr/>
        <w:t>年</w:t>
      </w:r>
      <w:r>
        <w:rPr>
          <w:spacing w:val="-83"/>
        </w:rPr>
        <w:t>，</w:t>
      </w:r>
      <w:r>
        <w:rPr/>
        <w:t>财政部颁布了修订</w:t>
      </w:r>
      <w:r>
        <w:rPr>
          <w:spacing w:val="-83"/>
        </w:rPr>
        <w:t>的</w:t>
      </w:r>
      <w:r>
        <w:rPr/>
        <w:t>《企业会计准则第</w:t>
      </w:r>
      <w:r>
        <w:rPr>
          <w:rFonts w:ascii="Arial Narrow" w:hAnsi="Arial Narrow" w:cs="Arial Narrow" w:eastAsia="Arial Narrow" w:hint="default"/>
          <w:spacing w:val="-1"/>
        </w:rPr>
        <w:t>22</w:t>
      </w:r>
      <w:r>
        <w:rPr/>
        <w:t>号</w:t>
      </w:r>
      <w:r>
        <w:rPr>
          <w:rFonts w:ascii="Arial Narrow" w:hAnsi="Arial Narrow" w:cs="Arial Narrow" w:eastAsia="Arial Narrow" w:hint="default"/>
          <w:w w:val="100"/>
        </w:rPr>
        <w:t>——</w:t>
      </w:r>
      <w:r>
        <w:rPr/>
        <w:t>金</w:t>
      </w:r>
      <w:r>
        <w:rPr>
          <w:spacing w:val="1"/>
        </w:rPr>
        <w:t>融</w:t>
      </w:r>
      <w:r>
        <w:rPr/>
        <w:t>工具确认和计量</w:t>
      </w:r>
      <w:r>
        <w:rPr>
          <w:spacing w:val="-90"/>
        </w:rPr>
        <w:t>》</w:t>
      </w:r>
      <w:r>
        <w:rPr>
          <w:spacing w:val="-173"/>
        </w:rPr>
        <w:t>、</w:t>
      </w:r>
      <w:r>
        <w:rPr/>
        <w:t>《企业会计准则第</w:t>
      </w:r>
      <w:r>
        <w:rPr>
          <w:rFonts w:ascii="Arial Narrow" w:hAnsi="Arial Narrow" w:cs="Arial Narrow" w:eastAsia="Arial Narrow" w:hint="default"/>
          <w:spacing w:val="-1"/>
        </w:rPr>
        <w:t>23</w:t>
      </w:r>
      <w:r>
        <w:rPr/>
        <w:t>号</w:t>
      </w:r>
      <w:r>
        <w:rPr>
          <w:rFonts w:ascii="Arial Narrow" w:hAnsi="Arial Narrow" w:cs="Arial Narrow" w:eastAsia="Arial Narrow" w:hint="default"/>
          <w:w w:val="100"/>
        </w:rPr>
        <w:t>—</w:t>
      </w:r>
      <w:r>
        <w:rPr>
          <w:rFonts w:ascii="Arial Narrow" w:hAnsi="Arial Narrow" w:cs="Arial Narrow" w:eastAsia="Arial Narrow" w:hint="default"/>
          <w:spacing w:val="1"/>
          <w:w w:val="100"/>
        </w:rPr>
        <w:t>—</w:t>
      </w:r>
      <w:r>
        <w:rPr/>
        <w:t>金融资产转移</w:t>
      </w:r>
      <w:r>
        <w:rPr>
          <w:spacing w:val="-90"/>
        </w:rPr>
        <w:t>》</w:t>
      </w:r>
      <w:r>
        <w:rPr/>
        <w:t>、</w:t>
      </w:r>
    </w:p>
    <w:p>
      <w:pPr>
        <w:spacing w:line="240" w:lineRule="auto" w:before="3"/>
        <w:rPr>
          <w:rFonts w:ascii="宋体" w:hAnsi="宋体" w:cs="宋体" w:eastAsia="宋体" w:hint="default"/>
          <w:sz w:val="16"/>
          <w:szCs w:val="16"/>
        </w:rPr>
      </w:pPr>
    </w:p>
    <w:p>
      <w:pPr>
        <w:pStyle w:val="BodyText"/>
        <w:spacing w:line="444" w:lineRule="auto" w:before="0"/>
        <w:ind w:left="234" w:right="1119"/>
        <w:jc w:val="left"/>
      </w:pPr>
      <w:r>
        <w:rPr>
          <w:spacing w:val="1"/>
        </w:rPr>
        <w:t>《企</w:t>
      </w:r>
      <w:r>
        <w:rPr/>
        <w:t>业</w:t>
      </w:r>
      <w:r>
        <w:rPr>
          <w:spacing w:val="1"/>
        </w:rPr>
        <w:t>会计</w:t>
      </w:r>
      <w:r>
        <w:rPr/>
        <w:t>准</w:t>
      </w:r>
      <w:r>
        <w:rPr>
          <w:spacing w:val="1"/>
        </w:rPr>
        <w:t>则</w:t>
      </w:r>
      <w:r>
        <w:rPr>
          <w:spacing w:val="2"/>
        </w:rPr>
        <w:t>第</w:t>
      </w:r>
      <w:r>
        <w:rPr>
          <w:rFonts w:ascii="Arial Narrow" w:hAnsi="Arial Narrow" w:cs="Arial Narrow" w:eastAsia="Arial Narrow" w:hint="default"/>
          <w:spacing w:val="-1"/>
        </w:rPr>
        <w:t>2</w:t>
      </w:r>
      <w:r>
        <w:rPr>
          <w:rFonts w:ascii="Arial Narrow" w:hAnsi="Arial Narrow" w:cs="Arial Narrow" w:eastAsia="Arial Narrow" w:hint="default"/>
        </w:rPr>
        <w:t>4</w:t>
      </w:r>
      <w:r>
        <w:rPr>
          <w:spacing w:val="1"/>
        </w:rPr>
        <w:t>号</w:t>
      </w:r>
      <w:r>
        <w:rPr>
          <w:rFonts w:ascii="Arial Narrow" w:hAnsi="Arial Narrow" w:cs="Arial Narrow" w:eastAsia="Arial Narrow" w:hint="default"/>
          <w:w w:val="100"/>
        </w:rPr>
        <w:t>——</w:t>
      </w:r>
      <w:r>
        <w:rPr/>
        <w:t>套</w:t>
      </w:r>
      <w:r>
        <w:rPr>
          <w:spacing w:val="1"/>
        </w:rPr>
        <w:t>期保</w:t>
      </w:r>
      <w:r>
        <w:rPr/>
        <w:t>值</w:t>
      </w:r>
      <w:r>
        <w:rPr>
          <w:spacing w:val="1"/>
        </w:rPr>
        <w:t>》以</w:t>
      </w:r>
      <w:r>
        <w:rPr/>
        <w:t>及</w:t>
      </w:r>
      <w:r>
        <w:rPr>
          <w:spacing w:val="1"/>
        </w:rPr>
        <w:t>《企</w:t>
      </w:r>
      <w:r>
        <w:rPr/>
        <w:t>业</w:t>
      </w:r>
      <w:r>
        <w:rPr>
          <w:spacing w:val="1"/>
        </w:rPr>
        <w:t>会计</w:t>
      </w:r>
      <w:r>
        <w:rPr/>
        <w:t>准</w:t>
      </w:r>
      <w:r>
        <w:rPr>
          <w:spacing w:val="1"/>
        </w:rPr>
        <w:t>则</w:t>
      </w:r>
      <w:r>
        <w:rPr>
          <w:spacing w:val="2"/>
        </w:rPr>
        <w:t>第</w:t>
      </w:r>
      <w:r>
        <w:rPr>
          <w:rFonts w:ascii="Arial Narrow" w:hAnsi="Arial Narrow" w:cs="Arial Narrow" w:eastAsia="Arial Narrow" w:hint="default"/>
          <w:spacing w:val="-1"/>
        </w:rPr>
        <w:t>3</w:t>
      </w:r>
      <w:r>
        <w:rPr>
          <w:rFonts w:ascii="Arial Narrow" w:hAnsi="Arial Narrow" w:cs="Arial Narrow" w:eastAsia="Arial Narrow" w:hint="default"/>
        </w:rPr>
        <w:t>7</w:t>
      </w:r>
      <w:r>
        <w:rPr>
          <w:spacing w:val="1"/>
        </w:rPr>
        <w:t>号</w:t>
      </w:r>
      <w:r>
        <w:rPr>
          <w:rFonts w:ascii="Arial Narrow" w:hAnsi="Arial Narrow" w:cs="Arial Narrow" w:eastAsia="Arial Narrow" w:hint="default"/>
          <w:w w:val="100"/>
        </w:rPr>
        <w:t>——</w:t>
      </w:r>
      <w:r>
        <w:rPr/>
        <w:t>金</w:t>
      </w:r>
      <w:r>
        <w:rPr>
          <w:spacing w:val="1"/>
        </w:rPr>
        <w:t>融工</w:t>
      </w:r>
      <w:r>
        <w:rPr/>
        <w:t>具</w:t>
      </w:r>
      <w:r>
        <w:rPr>
          <w:spacing w:val="1"/>
        </w:rPr>
        <w:t>列报</w:t>
      </w:r>
      <w:r>
        <w:rPr>
          <w:spacing w:val="-90"/>
        </w:rPr>
        <w:t>》</w:t>
      </w:r>
      <w:r>
        <w:rPr/>
        <w:t>（</w:t>
      </w:r>
      <w:r>
        <w:rPr>
          <w:spacing w:val="1"/>
        </w:rPr>
        <w:t>以</w:t>
      </w:r>
      <w:r>
        <w:rPr>
          <w:spacing w:val="2"/>
        </w:rPr>
        <w:t>上</w:t>
      </w:r>
      <w:r>
        <w:rPr>
          <w:rFonts w:ascii="Arial Narrow" w:hAnsi="Arial Narrow" w:cs="Arial Narrow" w:eastAsia="Arial Narrow" w:hint="default"/>
        </w:rPr>
        <w:t>4</w:t>
      </w:r>
      <w:r>
        <w:rPr/>
        <w:t>项</w:t>
      </w:r>
      <w:r>
        <w:rPr>
          <w:spacing w:val="1"/>
        </w:rPr>
        <w:t>准则</w:t>
      </w:r>
      <w:r>
        <w:rPr/>
        <w:t>以</w:t>
      </w:r>
      <w:r>
        <w:rPr>
          <w:spacing w:val="1"/>
        </w:rPr>
        <w:t>下统</w:t>
      </w:r>
      <w:r>
        <w:rPr/>
        <w:t>称</w:t>
      </w:r>
      <w:r>
        <w:rPr>
          <w:rFonts w:ascii="Arial Narrow" w:hAnsi="Arial Narrow" w:cs="Arial Narrow" w:eastAsia="Arial Narrow" w:hint="default"/>
          <w:spacing w:val="1"/>
          <w:w w:val="100"/>
        </w:rPr>
        <w:t>“</w:t>
      </w:r>
      <w:r>
        <w:rPr>
          <w:spacing w:val="1"/>
        </w:rPr>
        <w:t>新</w:t>
      </w:r>
      <w:r>
        <w:rPr/>
        <w:t>金融</w:t>
      </w:r>
      <w:r>
        <w:rPr>
          <w:spacing w:val="1"/>
        </w:rPr>
        <w:t>工具</w:t>
      </w:r>
      <w:r>
        <w:rPr/>
        <w:t>准</w:t>
      </w:r>
      <w:r>
        <w:rPr/>
        <w:t> 则</w:t>
      </w:r>
      <w:r>
        <w:rPr>
          <w:rFonts w:ascii="Arial Narrow" w:hAnsi="Arial Narrow" w:cs="Arial Narrow" w:eastAsia="Arial Narrow" w:hint="default"/>
          <w:spacing w:val="1"/>
          <w:w w:val="100"/>
        </w:rPr>
        <w:t>”</w:t>
      </w:r>
      <w:r>
        <w:rPr>
          <w:spacing w:val="-90"/>
        </w:rPr>
        <w:t>）</w:t>
      </w:r>
      <w:r>
        <w:rPr/>
        <w:t>。本公司</w:t>
      </w:r>
      <w:r>
        <w:rPr>
          <w:spacing w:val="-2"/>
        </w:rPr>
        <w:t>之</w:t>
      </w:r>
      <w:r>
        <w:rPr/>
        <w:t>联营企业</w:t>
      </w:r>
      <w:r>
        <w:rPr>
          <w:rFonts w:ascii="Arial Narrow" w:hAnsi="Arial Narrow" w:cs="Arial Narrow" w:eastAsia="Arial Narrow" w:hint="default"/>
          <w:w w:val="100"/>
        </w:rPr>
        <w:t>——</w:t>
      </w:r>
      <w:r>
        <w:rPr/>
        <w:t>华融创新资本投资有限公司已于</w:t>
      </w:r>
      <w:r>
        <w:rPr>
          <w:rFonts w:ascii="Arial Narrow" w:hAnsi="Arial Narrow" w:cs="Arial Narrow" w:eastAsia="Arial Narrow" w:hint="default"/>
        </w:rPr>
        <w:t>2</w:t>
      </w:r>
      <w:r>
        <w:rPr>
          <w:rFonts w:ascii="Arial Narrow" w:hAnsi="Arial Narrow" w:cs="Arial Narrow" w:eastAsia="Arial Narrow" w:hint="default"/>
          <w:spacing w:val="-1"/>
        </w:rPr>
        <w:t>0</w:t>
      </w:r>
      <w:r>
        <w:rPr>
          <w:rFonts w:ascii="Arial Narrow" w:hAnsi="Arial Narrow" w:cs="Arial Narrow" w:eastAsia="Arial Narrow" w:hint="default"/>
        </w:rPr>
        <w:t>1</w:t>
      </w:r>
      <w:r>
        <w:rPr>
          <w:rFonts w:ascii="Arial Narrow" w:hAnsi="Arial Narrow" w:cs="Arial Narrow" w:eastAsia="Arial Narrow" w:hint="default"/>
          <w:spacing w:val="-1"/>
        </w:rPr>
        <w:t>8</w:t>
      </w:r>
      <w:r>
        <w:rPr/>
        <w:t>年</w:t>
      </w:r>
      <w:r>
        <w:rPr>
          <w:rFonts w:ascii="Arial Narrow" w:hAnsi="Arial Narrow" w:cs="Arial Narrow" w:eastAsia="Arial Narrow" w:hint="default"/>
          <w:spacing w:val="-1"/>
        </w:rPr>
        <w:t>1</w:t>
      </w:r>
      <w:r>
        <w:rPr/>
        <w:t>月</w:t>
      </w:r>
      <w:r>
        <w:rPr>
          <w:rFonts w:ascii="Arial Narrow" w:hAnsi="Arial Narrow" w:cs="Arial Narrow" w:eastAsia="Arial Narrow" w:hint="default"/>
          <w:spacing w:val="-1"/>
        </w:rPr>
        <w:t>1</w:t>
      </w:r>
      <w:r>
        <w:rPr>
          <w:spacing w:val="1"/>
        </w:rPr>
        <w:t>日</w:t>
      </w:r>
      <w:r>
        <w:rPr/>
        <w:t>起施行新金融工具准则。</w:t>
      </w:r>
    </w:p>
    <w:p>
      <w:pPr>
        <w:pStyle w:val="BodyText"/>
        <w:spacing w:line="444" w:lineRule="auto" w:before="79"/>
        <w:ind w:left="234" w:right="1100" w:firstLine="360"/>
        <w:jc w:val="left"/>
      </w:pPr>
      <w:r>
        <w:rPr/>
        <w:t>联营企业</w:t>
      </w:r>
      <w:r>
        <w:rPr>
          <w:rFonts w:ascii="Arial Narrow" w:hAnsi="Arial Narrow" w:cs="Arial Narrow" w:eastAsia="Arial Narrow" w:hint="default"/>
        </w:rPr>
        <w:t>——</w:t>
      </w:r>
      <w:r>
        <w:rPr/>
        <w:t>华融创新资本投资有限公司因实施新金融工具准则，调整减少</w:t>
      </w:r>
      <w:r>
        <w:rPr>
          <w:rFonts w:ascii="Arial Narrow" w:hAnsi="Arial Narrow" w:cs="Arial Narrow" w:eastAsia="Arial Narrow" w:hint="default"/>
        </w:rPr>
        <w:t>2018</w:t>
      </w:r>
      <w:r>
        <w:rPr/>
        <w:t>年</w:t>
      </w:r>
      <w:r>
        <w:rPr>
          <w:rFonts w:ascii="Arial Narrow" w:hAnsi="Arial Narrow" w:cs="Arial Narrow" w:eastAsia="Arial Narrow" w:hint="default"/>
        </w:rPr>
        <w:t>1</w:t>
      </w:r>
      <w:r>
        <w:rPr/>
        <w:t>月</w:t>
      </w:r>
      <w:r>
        <w:rPr>
          <w:rFonts w:ascii="Arial Narrow" w:hAnsi="Arial Narrow" w:cs="Arial Narrow" w:eastAsia="Arial Narrow" w:hint="default"/>
        </w:rPr>
        <w:t>1</w:t>
      </w:r>
      <w:r>
        <w:rPr/>
        <w:t>日的未分配利润</w:t>
      </w:r>
      <w:r>
        <w:rPr>
          <w:rFonts w:ascii="Arial Narrow" w:hAnsi="Arial Narrow" w:cs="Arial Narrow" w:eastAsia="Arial Narrow" w:hint="default"/>
        </w:rPr>
        <w:t>30,431,281.86</w:t>
      </w:r>
      <w:r>
        <w:rPr/>
        <w:t>元， 因此影响本集团</w:t>
      </w:r>
      <w:r>
        <w:rPr>
          <w:rFonts w:ascii="Arial Narrow" w:hAnsi="Arial Narrow" w:cs="Arial Narrow" w:eastAsia="Arial Narrow" w:hint="default"/>
        </w:rPr>
        <w:t>2018</w:t>
      </w:r>
      <w:r>
        <w:rPr/>
        <w:t>年</w:t>
      </w:r>
      <w:r>
        <w:rPr>
          <w:rFonts w:ascii="Arial Narrow" w:hAnsi="Arial Narrow" w:cs="Arial Narrow" w:eastAsia="Arial Narrow" w:hint="default"/>
        </w:rPr>
        <w:t>1</w:t>
      </w:r>
      <w:r>
        <w:rPr/>
        <w:t>月</w:t>
      </w:r>
      <w:r>
        <w:rPr>
          <w:rFonts w:ascii="Arial Narrow" w:hAnsi="Arial Narrow" w:cs="Arial Narrow" w:eastAsia="Arial Narrow" w:hint="default"/>
        </w:rPr>
        <w:t>1</w:t>
      </w:r>
      <w:r>
        <w:rPr/>
        <w:t>日未分配利润减少金额为</w:t>
      </w:r>
      <w:r>
        <w:rPr>
          <w:rFonts w:ascii="Arial Narrow" w:hAnsi="Arial Narrow" w:cs="Arial Narrow" w:eastAsia="Arial Narrow" w:hint="default"/>
        </w:rPr>
        <w:t>6,086,256.37</w:t>
      </w:r>
      <w:r>
        <w:rPr/>
        <w:t>元、长期股权投资减少金额为</w:t>
      </w:r>
      <w:r>
        <w:rPr>
          <w:rFonts w:ascii="Arial Narrow" w:hAnsi="Arial Narrow" w:cs="Arial Narrow" w:eastAsia="Arial Narrow" w:hint="default"/>
        </w:rPr>
        <w:t>6,086,256.37</w:t>
      </w:r>
      <w:r>
        <w:rPr/>
        <w:t>元。</w:t>
      </w:r>
    </w:p>
    <w:p>
      <w:pPr>
        <w:pStyle w:val="BodyText"/>
        <w:spacing w:line="482" w:lineRule="auto" w:before="79"/>
        <w:ind w:left="594" w:right="1127"/>
        <w:jc w:val="left"/>
      </w:pPr>
      <w:r>
        <w:rPr/>
        <w:t>（</w:t>
      </w:r>
      <w:r>
        <w:rPr>
          <w:rFonts w:ascii="Arial Narrow" w:hAnsi="Arial Narrow" w:cs="Arial Narrow" w:eastAsia="Arial Narrow" w:hint="default"/>
        </w:rPr>
        <w:t>2</w:t>
      </w:r>
      <w:r>
        <w:rPr/>
        <w:t>）个人所得税手续费返还 </w:t>
      </w:r>
      <w:r>
        <w:rPr>
          <w:spacing w:val="-2"/>
        </w:rPr>
        <w:t>财政部于</w:t>
      </w:r>
      <w:r>
        <w:rPr>
          <w:rFonts w:ascii="Arial Narrow" w:hAnsi="Arial Narrow" w:cs="Arial Narrow" w:eastAsia="Arial Narrow" w:hint="default"/>
          <w:spacing w:val="-2"/>
        </w:rPr>
        <w:t>2018</w:t>
      </w:r>
      <w:r>
        <w:rPr>
          <w:spacing w:val="-2"/>
        </w:rPr>
        <w:t>年</w:t>
      </w:r>
      <w:r>
        <w:rPr>
          <w:rFonts w:ascii="Arial Narrow" w:hAnsi="Arial Narrow" w:cs="Arial Narrow" w:eastAsia="Arial Narrow" w:hint="default"/>
          <w:spacing w:val="-2"/>
        </w:rPr>
        <w:t>9</w:t>
      </w:r>
      <w:r>
        <w:rPr>
          <w:spacing w:val="-2"/>
        </w:rPr>
        <w:t>月发布了《关于</w:t>
      </w:r>
      <w:r>
        <w:rPr>
          <w:rFonts w:ascii="Arial Narrow" w:hAnsi="Arial Narrow" w:cs="Arial Narrow" w:eastAsia="Arial Narrow" w:hint="default"/>
          <w:spacing w:val="-2"/>
        </w:rPr>
        <w:t>2018</w:t>
      </w:r>
      <w:r>
        <w:rPr>
          <w:spacing w:val="-2"/>
        </w:rPr>
        <w:t>年度一般企业财务报表格式有关问题的解读》，根据《中华人民共和国个人所得税</w:t>
      </w:r>
    </w:p>
    <w:p>
      <w:pPr>
        <w:pStyle w:val="BodyText"/>
        <w:spacing w:line="444" w:lineRule="auto" w:before="7"/>
        <w:ind w:left="234" w:right="1114"/>
        <w:jc w:val="left"/>
      </w:pPr>
      <w:r>
        <w:rPr/>
        <w:pict>
          <v:shape style="position:absolute;margin-left:50.580002pt;margin-top:38.521732pt;width:469.45pt;height:12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4"/>
                    <w:gridCol w:w="1700"/>
                    <w:gridCol w:w="1276"/>
                    <w:gridCol w:w="1560"/>
                    <w:gridCol w:w="930"/>
                    <w:gridCol w:w="1048"/>
                    <w:gridCol w:w="1050"/>
                  </w:tblGrid>
                  <w:tr>
                    <w:trPr>
                      <w:trHeight w:val="646" w:hRule="exact"/>
                    </w:trPr>
                    <w:tc>
                      <w:tcPr>
                        <w:tcW w:w="182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4536" w:type="dxa"/>
                        <w:gridSpan w:val="3"/>
                        <w:tcBorders>
                          <w:top w:val="single" w:sz="12" w:space="0" w:color="000000"/>
                          <w:left w:val="single" w:sz="2" w:space="0" w:color="000000"/>
                          <w:bottom w:val="single" w:sz="6"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本集团</w:t>
                        </w:r>
                      </w:p>
                    </w:tc>
                    <w:tc>
                      <w:tcPr>
                        <w:tcW w:w="3028" w:type="dxa"/>
                        <w:gridSpan w:val="3"/>
                        <w:tcBorders>
                          <w:top w:val="single" w:sz="12" w:space="0" w:color="000000"/>
                          <w:left w:val="single" w:sz="2"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636" w:hRule="exact"/>
                    </w:trPr>
                    <w:tc>
                      <w:tcPr>
                        <w:tcW w:w="1824" w:type="dxa"/>
                        <w:vMerge/>
                        <w:tcBorders>
                          <w:left w:val="nil" w:sz="6" w:space="0" w:color="auto"/>
                          <w:bottom w:val="single" w:sz="4" w:space="0" w:color="000000"/>
                          <w:right w:val="single" w:sz="2" w:space="0" w:color="000000"/>
                        </w:tcBorders>
                      </w:tcPr>
                      <w:p>
                        <w:pPr/>
                      </w:p>
                    </w:tc>
                    <w:tc>
                      <w:tcPr>
                        <w:tcW w:w="1700" w:type="dxa"/>
                        <w:tcBorders>
                          <w:top w:val="single" w:sz="6"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76" w:type="dxa"/>
                        <w:tcBorders>
                          <w:top w:val="single" w:sz="6"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560" w:type="dxa"/>
                        <w:tcBorders>
                          <w:top w:val="single" w:sz="6"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30" w:type="dxa"/>
                        <w:tcBorders>
                          <w:top w:val="single" w:sz="6"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8" w:type="dxa"/>
                        <w:tcBorders>
                          <w:top w:val="single" w:sz="6"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050" w:type="dxa"/>
                        <w:tcBorders>
                          <w:top w:val="single" w:sz="6" w:space="0" w:color="000000"/>
                          <w:left w:val="single" w:sz="2"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632" w:hRule="exact"/>
                    </w:trPr>
                    <w:tc>
                      <w:tcPr>
                        <w:tcW w:w="1824" w:type="dxa"/>
                        <w:tcBorders>
                          <w:top w:val="single" w:sz="4" w:space="0" w:color="000000"/>
                          <w:left w:val="nil" w:sz="6" w:space="0" w:color="auto"/>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00"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4,360,953.66</w:t>
                        </w:r>
                      </w:p>
                    </w:tc>
                    <w:tc>
                      <w:tcPr>
                        <w:tcW w:w="1276"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19,916.89</w:t>
                        </w:r>
                      </w:p>
                    </w:tc>
                    <w:tc>
                      <w:tcPr>
                        <w:tcW w:w="1560"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4,380,870.55</w:t>
                        </w:r>
                      </w:p>
                    </w:tc>
                    <w:tc>
                      <w:tcPr>
                        <w:tcW w:w="930" w:type="dxa"/>
                        <w:vMerge w:val="restart"/>
                        <w:tcBorders>
                          <w:top w:val="single" w:sz="4" w:space="0" w:color="000000"/>
                          <w:left w:val="single" w:sz="2" w:space="0" w:color="000000"/>
                          <w:right w:val="single" w:sz="2" w:space="0" w:color="000000"/>
                        </w:tcBorders>
                      </w:tcPr>
                      <w:p>
                        <w:pPr/>
                      </w:p>
                    </w:tc>
                    <w:tc>
                      <w:tcPr>
                        <w:tcW w:w="1048" w:type="dxa"/>
                        <w:vMerge w:val="restart"/>
                        <w:tcBorders>
                          <w:top w:val="single" w:sz="4" w:space="0" w:color="000000"/>
                          <w:left w:val="single" w:sz="2" w:space="0" w:color="000000"/>
                          <w:right w:val="single" w:sz="2" w:space="0" w:color="000000"/>
                        </w:tcBorders>
                      </w:tcPr>
                      <w:p>
                        <w:pPr/>
                      </w:p>
                    </w:tc>
                    <w:tc>
                      <w:tcPr>
                        <w:tcW w:w="1050" w:type="dxa"/>
                        <w:vMerge w:val="restart"/>
                        <w:tcBorders>
                          <w:top w:val="single" w:sz="4" w:space="0" w:color="000000"/>
                          <w:left w:val="single" w:sz="2" w:space="0" w:color="000000"/>
                          <w:right w:val="nil" w:sz="6" w:space="0" w:color="auto"/>
                        </w:tcBorders>
                      </w:tcPr>
                      <w:p>
                        <w:pPr/>
                      </w:p>
                    </w:tc>
                  </w:tr>
                  <w:tr>
                    <w:trPr>
                      <w:trHeight w:val="636" w:hRule="exact"/>
                    </w:trPr>
                    <w:tc>
                      <w:tcPr>
                        <w:tcW w:w="1824" w:type="dxa"/>
                        <w:tcBorders>
                          <w:top w:val="nil" w:sz="6" w:space="0" w:color="auto"/>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814,570,532.71</w:t>
                        </w:r>
                      </w:p>
                    </w:tc>
                    <w:tc>
                      <w:tcPr>
                        <w:tcW w:w="1276"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-19,916.89</w:t>
                        </w:r>
                      </w:p>
                    </w:tc>
                    <w:tc>
                      <w:tcPr>
                        <w:tcW w:w="156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814,550,615.82</w:t>
                        </w:r>
                      </w:p>
                    </w:tc>
                    <w:tc>
                      <w:tcPr>
                        <w:tcW w:w="930" w:type="dxa"/>
                        <w:vMerge/>
                        <w:tcBorders>
                          <w:left w:val="single" w:sz="2" w:space="0" w:color="000000"/>
                          <w:bottom w:val="single" w:sz="12" w:space="0" w:color="000000"/>
                          <w:right w:val="single" w:sz="2" w:space="0" w:color="000000"/>
                        </w:tcBorders>
                      </w:tcPr>
                      <w:p>
                        <w:pPr/>
                      </w:p>
                    </w:tc>
                    <w:tc>
                      <w:tcPr>
                        <w:tcW w:w="1048" w:type="dxa"/>
                        <w:vMerge/>
                        <w:tcBorders>
                          <w:left w:val="single" w:sz="2" w:space="0" w:color="000000"/>
                          <w:bottom w:val="single" w:sz="12" w:space="0" w:color="000000"/>
                          <w:right w:val="single" w:sz="2" w:space="0" w:color="000000"/>
                        </w:tcBorders>
                      </w:tcPr>
                      <w:p>
                        <w:pPr/>
                      </w:p>
                    </w:tc>
                    <w:tc>
                      <w:tcPr>
                        <w:tcW w:w="1050" w:type="dxa"/>
                        <w:vMerge/>
                        <w:tcBorders>
                          <w:left w:val="single" w:sz="2" w:space="0" w:color="000000"/>
                          <w:bottom w:val="single" w:sz="12" w:space="0" w:color="000000"/>
                          <w:right w:val="nil" w:sz="6" w:space="0" w:color="auto"/>
                        </w:tcBorders>
                      </w:tcPr>
                      <w:p>
                        <w:pPr/>
                      </w:p>
                    </w:tc>
                  </w:tr>
                </w:tbl>
                <w:p>
                  <w:pPr/>
                </w:p>
              </w:txbxContent>
            </v:textbox>
            <w10:wrap type="none"/>
          </v:shape>
        </w:pict>
      </w:r>
      <w:r>
        <w:rPr/>
        <w:t>法》收到的扣缴税款手续费，应作为其他与日常活动相关的项目在利润表的</w:t>
      </w:r>
      <w:r>
        <w:rPr>
          <w:rFonts w:ascii="Arial Narrow" w:hAnsi="Arial Narrow" w:cs="Arial Narrow" w:eastAsia="Arial Narrow" w:hint="default"/>
        </w:rPr>
        <w:t>“</w:t>
      </w:r>
      <w:r>
        <w:rPr/>
        <w:t>其他收益</w:t>
      </w:r>
      <w:r>
        <w:rPr>
          <w:rFonts w:ascii="Arial Narrow" w:hAnsi="Arial Narrow" w:cs="Arial Narrow" w:eastAsia="Arial Narrow" w:hint="default"/>
        </w:rPr>
        <w:t>”</w:t>
      </w:r>
      <w:r>
        <w:rPr/>
        <w:t>项目中填列。本集团据此调整可比期 间列报项目，具体如下表：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2"/>
        <w:spacing w:line="240" w:lineRule="auto" w:before="26"/>
        <w:ind w:left="23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234"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234"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after="0" w:line="340" w:lineRule="auto"/>
        <w:jc w:val="left"/>
        <w:sectPr>
          <w:pgSz w:w="11910" w:h="16840"/>
          <w:pgMar w:header="747" w:footer="979" w:top="1060" w:bottom="1160" w:left="90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155,306,141.52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326,253,546.36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219,662,522.30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286,615,307.25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39,910,374.07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96,887,797.55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83,261,952.74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101,151,243.20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38,072,874.07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95,655,446.71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83,469,136.29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115,970,982.68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-8,874,852.24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71,450,712.67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100,798,478.42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127,675,156.74</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72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-16,035,402.13</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1,264,123.38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6,985,523.05</w:t>
            </w:r>
          </w:p>
        </w:tc>
        <w:tc>
          <w:tcPr>
            <w:tcW w:w="171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主要系本期以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4" w:lineRule="auto" w:before="6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日作为处置 亿迅资产组的财务分 割日及评估基准日， 确定了该股权处置的 交易对价，股权交割 完成日为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4" w:lineRule="auto" w:before="1"/>
              <w:ind w:left="23"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日。基准日至交</w:t>
            </w:r>
            <w:r>
              <w:rPr>
                <w:rFonts w:ascii="宋体" w:hAnsi="宋体" w:cs="宋体" w:eastAsia="宋体" w:hint="default"/>
                <w:sz w:val="18"/>
                <w:szCs w:val="18"/>
              </w:rPr>
              <w:t> 割日期间亿迅资产组 所实现的归属于本公 司净利润形成了该项 投资损失的主要组成 部分。</w:t>
            </w:r>
          </w:p>
        </w:tc>
      </w:tr>
      <w:tr>
        <w:trPr>
          <w:trHeight w:val="704"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72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5"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2,015,066.46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4,234,858.00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675,471.03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4,533,489.10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-194,575.84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-275,145.18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-1,378,509.67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1,673,866.57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-14,110,126.61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1,023,329.48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932,965.44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-2,555,199.40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139,235.77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540,071.77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31,177.59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-11,957,072.19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2,576,134.02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2,789,255.68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6,315,974.42</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5"/>
              <w:jc w:val="left"/>
              <w:rPr>
                <w:rFonts w:ascii="宋体" w:hAnsi="宋体" w:cs="宋体" w:eastAsia="宋体" w:hint="default"/>
                <w:sz w:val="18"/>
                <w:szCs w:val="18"/>
              </w:rPr>
            </w:pPr>
            <w:r>
              <w:rPr>
                <w:rFonts w:ascii="宋体" w:hAnsi="宋体" w:cs="宋体" w:eastAsia="宋体" w:hint="default"/>
                <w:spacing w:val="-4"/>
                <w:sz w:val="18"/>
                <w:szCs w:val="18"/>
              </w:rPr>
              <w:t>根据《关于软件产品增值税政策的通知》（财税</w:t>
            </w:r>
            <w:r>
              <w:rPr>
                <w:rFonts w:ascii="Times New Roman" w:hAnsi="Times New Roman" w:cs="Times New Roman" w:eastAsia="Times New Roman" w:hint="default"/>
                <w:spacing w:val="-4"/>
                <w:sz w:val="18"/>
                <w:szCs w:val="18"/>
              </w:rPr>
              <w:t>[2011]100</w:t>
            </w:r>
            <w:r>
              <w:rPr>
                <w:rFonts w:ascii="Times New Roman" w:hAnsi="Times New Roman" w:cs="Times New Roman" w:eastAsia="Times New Roman" w:hint="default"/>
                <w:spacing w:val="17"/>
                <w:sz w:val="18"/>
                <w:szCs w:val="18"/>
              </w:rPr>
              <w:t> </w:t>
            </w:r>
            <w:r>
              <w:rPr>
                <w:rFonts w:ascii="宋体" w:hAnsi="宋体" w:cs="宋体" w:eastAsia="宋体" w:hint="default"/>
                <w:spacing w:val="-23"/>
                <w:sz w:val="18"/>
                <w:szCs w:val="18"/>
              </w:rPr>
              <w:t>号），对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增值税实际税负超过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6,315,974.42</w:t>
            </w:r>
          </w:p>
        </w:tc>
        <w:tc>
          <w:tcPr>
            <w:tcW w:w="51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Heading7"/>
        <w:spacing w:line="240" w:lineRule="auto" w:before="26"/>
        <w:ind w:right="0"/>
        <w:jc w:val="left"/>
        <w:rPr>
          <w:b w:val="0"/>
          <w:bCs w:val="0"/>
        </w:rPr>
      </w:pPr>
      <w:r>
        <w:rPr/>
        <w:t>（一）主要产品、业务及经营模式</w:t>
      </w:r>
      <w:r>
        <w:rPr>
          <w:b w:val="0"/>
          <w:bCs w:val="0"/>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7"/>
          <w:szCs w:val="17"/>
        </w:rPr>
      </w:pPr>
    </w:p>
    <w:p>
      <w:pPr>
        <w:pStyle w:val="Heading7"/>
        <w:spacing w:line="240" w:lineRule="auto"/>
        <w:ind w:right="0"/>
        <w:jc w:val="left"/>
        <w:rPr>
          <w:b w:val="0"/>
          <w:bCs w:val="0"/>
        </w:rPr>
      </w:pPr>
      <w:r>
        <w:rPr>
          <w:w w:val="99"/>
        </w:rPr>
      </w:r>
      <w:r>
        <w:rPr>
          <w:u w:val="single" w:color="000000"/>
        </w:rPr>
        <w:t>基本业务介绍</w:t>
      </w:r>
      <w:r>
        <w:rPr/>
      </w:r>
      <w:r>
        <w:rPr>
          <w:b w:val="0"/>
          <w:bCs w:val="0"/>
        </w:rPr>
      </w:r>
    </w:p>
    <w:p>
      <w:pPr>
        <w:pStyle w:val="BodyText"/>
        <w:spacing w:line="316" w:lineRule="auto" w:before="115"/>
        <w:ind w:right="1131" w:firstLine="360"/>
        <w:jc w:val="both"/>
      </w:pPr>
      <w:r>
        <w:rPr/>
        <w:t>视觉中国成立于</w:t>
      </w:r>
      <w:r>
        <w:rPr>
          <w:spacing w:val="-46"/>
        </w:rPr>
        <w:t> </w:t>
      </w:r>
      <w:r>
        <w:rPr>
          <w:rFonts w:ascii="宋体" w:hAnsi="宋体" w:cs="宋体" w:eastAsia="宋体" w:hint="default"/>
        </w:rPr>
        <w:t>2000</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月，是国内最早将互联网技术应用于版权视觉内容服务平台的技术型企业。公司通过整合全 </w:t>
      </w:r>
      <w:r>
        <w:rPr>
          <w:spacing w:val="-2"/>
        </w:rPr>
        <w:t>球及本土海量优质全面的图片、视频、音乐、矢量、插画、字体等版权素材内容，通过业内领先的大数据与人工智能、搜索</w:t>
      </w:r>
      <w:r>
        <w:rPr>
          <w:spacing w:val="-72"/>
        </w:rPr>
        <w:t> </w:t>
      </w:r>
      <w:r>
        <w:rPr>
          <w:spacing w:val="-72"/>
        </w:rPr>
      </w:r>
      <w:r>
        <w:rPr>
          <w:spacing w:val="-2"/>
        </w:rPr>
        <w:t>与图像识别等技术为支撑的互联网技术平台，结合国际化的实践及本土的市场情况打造产品与服务体系，为“视觉内容”的</w:t>
      </w:r>
      <w:r>
        <w:rPr>
          <w:spacing w:val="-66"/>
        </w:rPr>
        <w:t> </w:t>
      </w:r>
      <w:r>
        <w:rPr>
          <w:spacing w:val="-66"/>
        </w:rPr>
      </w:r>
      <w:r>
        <w:rPr>
          <w:spacing w:val="-2"/>
        </w:rPr>
        <w:t>供稿方与使用方提供内容生产、内容运营、搜索、交付、内容管理、版权保护、社区分享与会员服务等全方位支持，打造服</w:t>
      </w:r>
      <w:r>
        <w:rPr>
          <w:spacing w:val="-71"/>
        </w:rPr>
        <w:t> </w:t>
      </w:r>
      <w:r>
        <w:rPr>
          <w:spacing w:val="-71"/>
        </w:rPr>
      </w:r>
      <w:r>
        <w:rPr/>
        <w:t>务于内容生态的“基础设施”。</w:t>
      </w:r>
    </w:p>
    <w:p>
      <w:pPr>
        <w:spacing w:line="240" w:lineRule="auto" w:before="4"/>
        <w:rPr>
          <w:rFonts w:ascii="宋体" w:hAnsi="宋体" w:cs="宋体" w:eastAsia="宋体" w:hint="default"/>
          <w:sz w:val="25"/>
          <w:szCs w:val="25"/>
        </w:rPr>
      </w:pPr>
    </w:p>
    <w:p>
      <w:pPr>
        <w:pStyle w:val="BodyText"/>
        <w:spacing w:line="316" w:lineRule="auto" w:before="0"/>
        <w:ind w:right="1042" w:firstLine="360"/>
        <w:jc w:val="both"/>
      </w:pPr>
      <w:r>
        <w:rPr/>
        <w:t>公司拥有的</w:t>
      </w:r>
      <w:r>
        <w:rPr>
          <w:spacing w:val="-46"/>
        </w:rPr>
        <w:t> </w:t>
      </w:r>
      <w:r>
        <w:rPr>
          <w:rFonts w:ascii="宋体" w:hAnsi="宋体" w:cs="宋体" w:eastAsia="宋体" w:hint="default"/>
        </w:rPr>
        <w:t>PGC</w:t>
      </w:r>
      <w:r>
        <w:rPr>
          <w:rFonts w:ascii="宋体" w:hAnsi="宋体" w:cs="宋体" w:eastAsia="宋体" w:hint="default"/>
          <w:spacing w:val="-46"/>
        </w:rPr>
        <w:t> </w:t>
      </w:r>
      <w:r>
        <w:rPr/>
        <w:t>视觉内容包括代理内容与自有内容，其中以代理内容为主。代理内容来源于全球顶级的超过</w:t>
      </w:r>
      <w:r>
        <w:rPr>
          <w:spacing w:val="-46"/>
        </w:rPr>
        <w:t> </w:t>
      </w:r>
      <w:r>
        <w:rPr>
          <w:rFonts w:ascii="宋体" w:hAnsi="宋体" w:cs="宋体" w:eastAsia="宋体" w:hint="default"/>
        </w:rPr>
        <w:t>40</w:t>
      </w:r>
      <w:r>
        <w:rPr>
          <w:rFonts w:ascii="宋体" w:hAnsi="宋体" w:cs="宋体" w:eastAsia="宋体" w:hint="default"/>
          <w:spacing w:val="-46"/>
        </w:rPr>
        <w:t> </w:t>
      </w:r>
      <w:r>
        <w:rPr/>
        <w:t>万名签 约供稿方以及</w:t>
      </w:r>
      <w:r>
        <w:rPr>
          <w:spacing w:val="-51"/>
        </w:rPr>
        <w:t> </w:t>
      </w:r>
      <w:r>
        <w:rPr>
          <w:rFonts w:ascii="宋体" w:hAnsi="宋体" w:cs="宋体" w:eastAsia="宋体" w:hint="default"/>
        </w:rPr>
        <w:t>240</w:t>
      </w:r>
      <w:r>
        <w:rPr>
          <w:rFonts w:ascii="宋体" w:hAnsi="宋体" w:cs="宋体" w:eastAsia="宋体" w:hint="default"/>
          <w:spacing w:val="-51"/>
        </w:rPr>
        <w:t> </w:t>
      </w:r>
      <w:r>
        <w:rPr/>
        <w:t>余家专业版权内容机构，公司的互联网内容交易平台在线提供并每日更新超过</w:t>
      </w:r>
      <w:r>
        <w:rPr>
          <w:spacing w:val="-51"/>
        </w:rPr>
        <w:t> </w:t>
      </w:r>
      <w:r>
        <w:rPr>
          <w:rFonts w:ascii="宋体" w:hAnsi="宋体" w:cs="宋体" w:eastAsia="宋体" w:hint="default"/>
        </w:rPr>
        <w:t>2</w:t>
      </w:r>
      <w:r>
        <w:rPr>
          <w:rFonts w:ascii="宋体" w:hAnsi="宋体" w:cs="宋体" w:eastAsia="宋体" w:hint="default"/>
          <w:spacing w:val="-51"/>
        </w:rPr>
        <w:t> </w:t>
      </w:r>
      <w:r>
        <w:rPr/>
        <w:t>亿张图片、</w:t>
      </w:r>
      <w:r>
        <w:rPr>
          <w:rFonts w:ascii="宋体" w:hAnsi="宋体" w:cs="宋体" w:eastAsia="宋体" w:hint="default"/>
        </w:rPr>
        <w:t>1,500</w:t>
      </w:r>
      <w:r>
        <w:rPr>
          <w:rFonts w:ascii="宋体" w:hAnsi="宋体" w:cs="宋体" w:eastAsia="宋体" w:hint="default"/>
          <w:spacing w:val="-51"/>
        </w:rPr>
        <w:t> </w:t>
      </w:r>
      <w:r>
        <w:rPr/>
        <w:t>万条视 频素材和</w:t>
      </w:r>
      <w:r>
        <w:rPr>
          <w:spacing w:val="-41"/>
        </w:rPr>
        <w:t> </w:t>
      </w:r>
      <w:r>
        <w:rPr>
          <w:rFonts w:ascii="宋体" w:hAnsi="宋体" w:cs="宋体" w:eastAsia="宋体" w:hint="default"/>
        </w:rPr>
        <w:t>35</w:t>
      </w:r>
      <w:r>
        <w:rPr>
          <w:rFonts w:ascii="宋体" w:hAnsi="宋体" w:cs="宋体" w:eastAsia="宋体" w:hint="default"/>
          <w:spacing w:val="-41"/>
        </w:rPr>
        <w:t> </w:t>
      </w:r>
      <w:r>
        <w:rPr>
          <w:spacing w:val="-3"/>
        </w:rPr>
        <w:t>万首音乐素材，是全球最大的同类数字内容平台之一，且平台提供的内容超过</w:t>
      </w:r>
      <w:r>
        <w:rPr>
          <w:spacing w:val="-41"/>
        </w:rPr>
        <w:t> </w:t>
      </w:r>
      <w:r>
        <w:rPr>
          <w:rFonts w:ascii="宋体" w:hAnsi="宋体" w:cs="宋体" w:eastAsia="宋体" w:hint="default"/>
        </w:rPr>
        <w:t>2/3</w:t>
      </w:r>
      <w:r>
        <w:rPr>
          <w:rFonts w:ascii="宋体" w:hAnsi="宋体" w:cs="宋体" w:eastAsia="宋体" w:hint="default"/>
          <w:spacing w:val="-41"/>
        </w:rPr>
        <w:t> </w:t>
      </w:r>
      <w:r>
        <w:rPr/>
        <w:t>为高水准的自有或独家内容。</w:t>
      </w:r>
    </w:p>
    <w:p>
      <w:pPr>
        <w:spacing w:line="240" w:lineRule="auto" w:before="4"/>
        <w:rPr>
          <w:rFonts w:ascii="宋体" w:hAnsi="宋体" w:cs="宋体" w:eastAsia="宋体" w:hint="default"/>
          <w:sz w:val="25"/>
          <w:szCs w:val="25"/>
        </w:rPr>
      </w:pPr>
    </w:p>
    <w:p>
      <w:pPr>
        <w:pStyle w:val="BodyText"/>
        <w:spacing w:line="316" w:lineRule="auto" w:before="0"/>
        <w:ind w:right="1131" w:firstLine="360"/>
        <w:jc w:val="both"/>
      </w:pPr>
      <w:r>
        <w:rPr>
          <w:spacing w:val="-2"/>
        </w:rPr>
        <w:t>公司的客户包括所有需将“视觉内容”用于公开媒介发布或用于设计、展示及推广的最终材料的客户，包括广告营销服</w:t>
      </w:r>
      <w:r>
        <w:rPr/>
        <w:t> </w:t>
      </w:r>
      <w:r>
        <w:rPr>
          <w:spacing w:val="-2"/>
        </w:rPr>
        <w:t>务公司、传媒、企业、政府机构及海量的自媒体群体等；也包括百度、腾讯、阿里巴巴等互联网平台，通过与互联网平台的</w:t>
      </w:r>
      <w:r>
        <w:rPr>
          <w:spacing w:val="-72"/>
        </w:rPr>
        <w:t> </w:t>
      </w:r>
      <w:r>
        <w:rPr>
          <w:spacing w:val="-72"/>
        </w:rPr>
      </w:r>
      <w:r>
        <w:rPr>
          <w:spacing w:val="-2"/>
        </w:rPr>
        <w:t>对接，为平台上海量的自媒体及商家企业等长尾用户提供优质的内容与服务。获得公司内容授权的客户可将内容用于广告及</w:t>
      </w:r>
      <w:r>
        <w:rPr>
          <w:spacing w:val="-64"/>
        </w:rPr>
        <w:t> </w:t>
      </w:r>
      <w:r>
        <w:rPr>
          <w:spacing w:val="-64"/>
        </w:rPr>
      </w:r>
      <w:r>
        <w:rPr>
          <w:spacing w:val="-3"/>
        </w:rPr>
        <w:t>营销推广、影视制作、出版、媒体、产品设计、网站及</w:t>
      </w:r>
      <w:r>
        <w:rPr>
          <w:spacing w:val="-53"/>
        </w:rPr>
        <w:t> </w:t>
      </w:r>
      <w:r>
        <w:rPr>
          <w:rFonts w:ascii="宋体" w:hAnsi="宋体" w:cs="宋体" w:eastAsia="宋体" w:hint="default"/>
        </w:rPr>
        <w:t>APP</w:t>
      </w:r>
      <w:r>
        <w:rPr>
          <w:rFonts w:ascii="宋体" w:hAnsi="宋体" w:cs="宋体" w:eastAsia="宋体" w:hint="default"/>
          <w:spacing w:val="-54"/>
        </w:rPr>
        <w:t> </w:t>
      </w:r>
      <w:r>
        <w:rPr/>
        <w:t>及装饰展示等各种用途，公司还为客户提供内容获取、企业内容 </w:t>
      </w:r>
      <w:r>
        <w:rPr>
          <w:spacing w:val="-2"/>
        </w:rPr>
        <w:t>资产管理，版权风控、行业图库、企业内容使用管理平台等技术增值服务；除素材内容服务外，公司也提供满足客户个性化</w:t>
      </w:r>
      <w:r>
        <w:rPr>
          <w:spacing w:val="-66"/>
        </w:rPr>
        <w:t> </w:t>
      </w:r>
      <w:r>
        <w:rPr>
          <w:spacing w:val="-66"/>
        </w:rPr>
      </w:r>
      <w:r>
        <w:rPr/>
        <w:t>需求的定制服务，包括权利清除、委托拍摄、创意众包、媒体宣推、广告创意等整合营销增值服务。（详见附图一）</w:t>
      </w:r>
    </w:p>
    <w:p>
      <w:pPr>
        <w:spacing w:line="240" w:lineRule="auto" w:before="0"/>
        <w:rPr>
          <w:rFonts w:ascii="宋体" w:hAnsi="宋体" w:cs="宋体" w:eastAsia="宋体" w:hint="default"/>
          <w:sz w:val="6"/>
          <w:szCs w:val="6"/>
        </w:rPr>
      </w:pPr>
    </w:p>
    <w:p>
      <w:pPr>
        <w:spacing w:line="3946" w:lineRule="exact"/>
        <w:ind w:left="514"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5319790" cy="250621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1" cstate="print"/>
                    <a:stretch>
                      <a:fillRect/>
                    </a:stretch>
                  </pic:blipFill>
                  <pic:spPr>
                    <a:xfrm>
                      <a:off x="0" y="0"/>
                      <a:ext cx="5319790" cy="2506218"/>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9"/>
        <w:rPr>
          <w:rFonts w:ascii="宋体" w:hAnsi="宋体" w:cs="宋体" w:eastAsia="宋体" w:hint="default"/>
          <w:sz w:val="5"/>
          <w:szCs w:val="5"/>
        </w:rPr>
      </w:pPr>
    </w:p>
    <w:p>
      <w:pPr>
        <w:spacing w:line="243" w:lineRule="exact"/>
        <w:ind w:left="514"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5pt;height:12.2pt;mso-position-horizontal-relative:char;mso-position-vertical-relative:line" coordorigin="0,0" coordsize="9,244">
            <v:group style="position:absolute;left:4;top:4;width:2;height:236" coordorigin="4,4" coordsize="2,236">
              <v:shape style="position:absolute;left:4;top:4;width:2;height:236" coordorigin="4,4" coordsize="0,236" path="m4,4l4,239e" filled="false" stroked="true" strokeweight=".42pt" strokecolor="#000000">
                <v:path arrowok="t"/>
              </v:shape>
            </v:group>
          </v:group>
        </w:pict>
      </w:r>
      <w:r>
        <w:rPr>
          <w:rFonts w:ascii="宋体" w:hAnsi="宋体" w:cs="宋体" w:eastAsia="宋体" w:hint="default"/>
          <w:position w:val="-4"/>
          <w:sz w:val="20"/>
          <w:szCs w:val="20"/>
        </w:rPr>
      </w:r>
    </w:p>
    <w:p>
      <w:pPr>
        <w:spacing w:before="33"/>
        <w:ind w:left="513" w:right="0" w:firstLine="0"/>
        <w:jc w:val="left"/>
        <w:rPr>
          <w:rFonts w:ascii="宋体" w:hAnsi="宋体" w:cs="宋体" w:eastAsia="宋体" w:hint="default"/>
          <w:sz w:val="19"/>
          <w:szCs w:val="19"/>
        </w:rPr>
      </w:pPr>
      <w:r>
        <w:rPr>
          <w:rFonts w:ascii="宋体" w:hAnsi="宋体" w:cs="宋体" w:eastAsia="宋体" w:hint="default"/>
          <w:i/>
          <w:sz w:val="19"/>
          <w:szCs w:val="19"/>
        </w:rPr>
        <w:t>（附图一）</w:t>
      </w:r>
      <w:r>
        <w:rPr>
          <w:rFonts w:ascii="宋体" w:hAnsi="宋体" w:cs="宋体" w:eastAsia="宋体" w:hint="default"/>
          <w:sz w:val="19"/>
          <w:szCs w:val="19"/>
        </w:rPr>
      </w:r>
    </w:p>
    <w:p>
      <w:pPr>
        <w:spacing w:after="0"/>
        <w:jc w:val="left"/>
        <w:rPr>
          <w:rFonts w:ascii="宋体" w:hAnsi="宋体" w:cs="宋体" w:eastAsia="宋体" w:hint="default"/>
          <w:sz w:val="19"/>
          <w:szCs w:val="19"/>
        </w:rPr>
        <w:sectPr>
          <w:pgSz w:w="11910" w:h="16840"/>
          <w:pgMar w:header="747" w:footer="979" w:top="1060" w:bottom="1160" w:left="980" w:right="0"/>
        </w:sectPr>
      </w:pPr>
    </w:p>
    <w:p>
      <w:pPr>
        <w:spacing w:line="240" w:lineRule="auto" w:before="12"/>
        <w:rPr>
          <w:rFonts w:ascii="宋体" w:hAnsi="宋体" w:cs="宋体" w:eastAsia="宋体" w:hint="default"/>
          <w:i/>
          <w:sz w:val="25"/>
          <w:szCs w:val="25"/>
        </w:rPr>
      </w:pPr>
    </w:p>
    <w:p>
      <w:pPr>
        <w:pStyle w:val="BodyText"/>
        <w:spacing w:line="312" w:lineRule="auto"/>
        <w:ind w:right="0" w:firstLine="360"/>
        <w:jc w:val="left"/>
      </w:pPr>
      <w:r>
        <w:rPr>
          <w:spacing w:val="-2"/>
        </w:rPr>
        <w:t>行业发展趋势给公司带来了巨大的市场空间。公司持续加强对各细分领域用户的应用场景、用户行为及内容需求、相关</w:t>
      </w:r>
      <w:r>
        <w:rPr/>
        <w:t> </w:t>
      </w:r>
      <w:r>
        <w:rPr>
          <w:spacing w:val="-4"/>
        </w:rPr>
        <w:t>技术工具系统等的全方位研究，紧跟趋势，持续创新，致力于为广大客户提供优质、高效、便捷、安全、智能化的“一站式”</w:t>
      </w:r>
      <w:r>
        <w:rPr>
          <w:spacing w:val="-46"/>
        </w:rPr>
        <w:t> </w:t>
      </w:r>
      <w:r>
        <w:rPr>
          <w:spacing w:val="-46"/>
        </w:rPr>
      </w:r>
      <w:r>
        <w:rPr/>
        <w:t>的“视觉内容与服务”。公司持续优化业务策略、组织结构、市场销售及运营体系，不断加强对全球优质的</w:t>
      </w:r>
      <w:r>
        <w:rPr>
          <w:spacing w:val="-46"/>
        </w:rPr>
        <w:t> </w:t>
      </w:r>
      <w:r>
        <w:rPr>
          <w:rFonts w:ascii="Times New Roman" w:hAnsi="Times New Roman" w:cs="Times New Roman" w:eastAsia="Times New Roman" w:hint="default"/>
        </w:rPr>
        <w:t>PGC</w:t>
      </w:r>
      <w:r>
        <w:rPr>
          <w:rFonts w:ascii="Times New Roman" w:hAnsi="Times New Roman" w:cs="Times New Roman" w:eastAsia="Times New Roman" w:hint="default"/>
          <w:spacing w:val="-1"/>
        </w:rPr>
        <w:t> </w:t>
      </w:r>
      <w:r>
        <w:rPr/>
        <w:t>视觉内容 的核心优势，通过丰富多样的产品与服务模式组合、智能服务技术、以及持续增强的获客能力，驱动主营业务快速增长。</w:t>
      </w:r>
    </w:p>
    <w:p>
      <w:pPr>
        <w:pStyle w:val="BodyText"/>
        <w:spacing w:line="316" w:lineRule="auto" w:before="23"/>
        <w:ind w:right="1130" w:firstLine="360"/>
        <w:jc w:val="both"/>
      </w:pPr>
      <w:r>
        <w:rPr>
          <w:spacing w:val="-2"/>
        </w:rPr>
        <w:t>老客户的高度粘性及新客户的有效开发带来的客户数量增长，优质内容、增值服务、智能交付带来的客户素材应用数量</w:t>
      </w:r>
      <w:r>
        <w:rPr/>
        <w:t> </w:t>
      </w:r>
      <w:r>
        <w:rPr>
          <w:spacing w:val="-2"/>
        </w:rPr>
        <w:t>的增长，及与互联网平台客户的合作实现对海量长尾市场的覆盖将是公司主营业务增长的核心驱动力。公司加大技术研究和</w:t>
      </w:r>
      <w:r>
        <w:rPr>
          <w:spacing w:val="-64"/>
        </w:rPr>
        <w:t> </w:t>
      </w:r>
      <w:r>
        <w:rPr>
          <w:spacing w:val="-64"/>
        </w:rPr>
      </w:r>
      <w:r>
        <w:rPr/>
        <w:t>创新，强化服务客户的技术能力，以大数据加人工智能技术促进提升整个生态链的技术水平及智能化服务程度。</w:t>
      </w:r>
    </w:p>
    <w:p>
      <w:pPr>
        <w:spacing w:line="240" w:lineRule="auto" w:before="4"/>
        <w:rPr>
          <w:rFonts w:ascii="宋体" w:hAnsi="宋体" w:cs="宋体" w:eastAsia="宋体" w:hint="default"/>
          <w:sz w:val="25"/>
          <w:szCs w:val="25"/>
        </w:rPr>
      </w:pPr>
    </w:p>
    <w:p>
      <w:pPr>
        <w:pStyle w:val="BodyText"/>
        <w:spacing w:line="316" w:lineRule="auto" w:before="0"/>
        <w:ind w:right="1031" w:firstLine="360"/>
        <w:jc w:val="left"/>
      </w:pPr>
      <w:r>
        <w:rPr>
          <w:spacing w:val="-2"/>
        </w:rPr>
        <w:t>公司的核心主业为以视觉内容为核心的版权内容服务、技术服务及整合营销增值服务。除服务本土客户的网站平台及业</w:t>
      </w:r>
      <w:r>
        <w:rPr/>
        <w:t> 务体系之外，公司还基于其整合全球优质内容及发展全球战略伙伴的全球化策略，继</w:t>
      </w:r>
      <w:r>
        <w:rPr>
          <w:spacing w:val="-45"/>
        </w:rPr>
        <w:t> </w:t>
      </w:r>
      <w:r>
        <w:rPr>
          <w:rFonts w:ascii="宋体" w:hAnsi="宋体" w:cs="宋体" w:eastAsia="宋体" w:hint="default"/>
        </w:rPr>
        <w:t>2016</w:t>
      </w:r>
      <w:r>
        <w:rPr>
          <w:rFonts w:ascii="宋体" w:hAnsi="宋体" w:cs="宋体" w:eastAsia="宋体" w:hint="default"/>
          <w:spacing w:val="-46"/>
        </w:rPr>
        <w:t> </w:t>
      </w:r>
      <w:r>
        <w:rPr/>
        <w:t>年公司收购全球知名图片品牌 </w:t>
      </w:r>
      <w:r>
        <w:rPr>
          <w:rFonts w:ascii="宋体" w:hAnsi="宋体" w:cs="宋体" w:eastAsia="宋体" w:hint="default"/>
        </w:rPr>
        <w:t>Corbis</w:t>
      </w:r>
      <w:r>
        <w:rPr>
          <w:rFonts w:ascii="宋体" w:hAnsi="宋体" w:cs="宋体" w:eastAsia="宋体" w:hint="default"/>
          <w:spacing w:val="-46"/>
        </w:rPr>
        <w:t> </w:t>
      </w:r>
      <w:r>
        <w:rPr>
          <w:spacing w:val="-5"/>
        </w:rPr>
        <w:t>后，又在</w:t>
      </w:r>
      <w:r>
        <w:rPr>
          <w:spacing w:val="-46"/>
        </w:rPr>
        <w:t> </w:t>
      </w:r>
      <w:r>
        <w:rPr>
          <w:rFonts w:ascii="宋体" w:hAnsi="宋体" w:cs="宋体" w:eastAsia="宋体" w:hint="default"/>
        </w:rPr>
        <w:t>2018</w:t>
      </w:r>
      <w:r>
        <w:rPr>
          <w:rFonts w:ascii="宋体" w:hAnsi="宋体" w:cs="宋体" w:eastAsia="宋体" w:hint="default"/>
          <w:spacing w:val="-46"/>
        </w:rPr>
        <w:t> </w:t>
      </w:r>
      <w:r>
        <w:rPr/>
        <w:t>年收购并经营全球领先的摄影师社区</w:t>
      </w:r>
      <w:r>
        <w:rPr>
          <w:spacing w:val="-46"/>
        </w:rPr>
        <w:t> </w:t>
      </w:r>
      <w:r>
        <w:rPr>
          <w:rFonts w:ascii="宋体" w:hAnsi="宋体" w:cs="宋体" w:eastAsia="宋体" w:hint="default"/>
        </w:rPr>
        <w:t>500px</w:t>
      </w:r>
      <w:r>
        <w:rPr/>
        <w:t>，</w:t>
      </w:r>
      <w:r>
        <w:rPr>
          <w:spacing w:val="-18"/>
        </w:rPr>
        <w:t> </w:t>
      </w:r>
      <w:r>
        <w:rPr/>
        <w:t>并与</w:t>
      </w:r>
      <w:r>
        <w:rPr>
          <w:spacing w:val="-46"/>
        </w:rPr>
        <w:t> </w:t>
      </w:r>
      <w:r>
        <w:rPr>
          <w:rFonts w:ascii="宋体" w:hAnsi="宋体" w:cs="宋体" w:eastAsia="宋体" w:hint="default"/>
        </w:rPr>
        <w:t>Getty</w:t>
      </w:r>
      <w:r>
        <w:rPr>
          <w:rFonts w:ascii="宋体" w:hAnsi="宋体" w:cs="宋体" w:eastAsia="宋体" w:hint="default"/>
          <w:spacing w:val="-45"/>
        </w:rPr>
        <w:t> </w:t>
      </w:r>
      <w:r>
        <w:rPr>
          <w:rFonts w:ascii="宋体" w:hAnsi="宋体" w:cs="宋体" w:eastAsia="宋体" w:hint="default"/>
        </w:rPr>
        <w:t>Images</w:t>
      </w:r>
      <w:r>
        <w:rPr>
          <w:rFonts w:ascii="宋体" w:hAnsi="宋体" w:cs="宋体" w:eastAsia="宋体" w:hint="default"/>
          <w:spacing w:val="-46"/>
        </w:rPr>
        <w:t> </w:t>
      </w:r>
      <w:r>
        <w:rPr/>
        <w:t>等海外合作伙伴建立双向紧密合作， 稳固公司的核心竞争力，实现公司自有内容的全球化变现。</w:t>
      </w:r>
    </w:p>
    <w:p>
      <w:pPr>
        <w:spacing w:line="240" w:lineRule="auto" w:before="4"/>
        <w:rPr>
          <w:rFonts w:ascii="宋体" w:hAnsi="宋体" w:cs="宋体" w:eastAsia="宋体" w:hint="default"/>
          <w:sz w:val="25"/>
          <w:szCs w:val="25"/>
        </w:rPr>
      </w:pPr>
    </w:p>
    <w:p>
      <w:pPr>
        <w:pStyle w:val="BodyText"/>
        <w:spacing w:line="316" w:lineRule="auto" w:before="0"/>
        <w:ind w:right="0" w:firstLine="360"/>
        <w:jc w:val="left"/>
      </w:pPr>
      <w:r>
        <w:rPr>
          <w:spacing w:val="-4"/>
        </w:rPr>
        <w:t>公司本着“以客户为中心，为客户创造价值”的经营宗旨，紧跟互联网技术发展及内容生态的演进变化，不断创新进取，</w:t>
      </w:r>
      <w:r>
        <w:rPr/>
        <w:t> </w:t>
      </w:r>
      <w:r>
        <w:rPr>
          <w:spacing w:val="-2"/>
        </w:rPr>
        <w:t>保持技术领先，以服务赢得用户，以价值赢得市场。公司以世界领先水平为标准打造核心竞争力，并结合在中国本土市场的</w:t>
      </w:r>
      <w:r>
        <w:rPr>
          <w:spacing w:val="-66"/>
        </w:rPr>
        <w:t> </w:t>
      </w:r>
      <w:r>
        <w:rPr>
          <w:spacing w:val="-66"/>
        </w:rPr>
      </w:r>
      <w:r>
        <w:rPr/>
        <w:t>发展与实践，打造一个以科技创新为核心竞争力的新型传媒科技企业。</w:t>
      </w:r>
    </w:p>
    <w:p>
      <w:pPr>
        <w:spacing w:line="240" w:lineRule="auto" w:before="4"/>
        <w:rPr>
          <w:rFonts w:ascii="宋体" w:hAnsi="宋体" w:cs="宋体" w:eastAsia="宋体" w:hint="default"/>
          <w:sz w:val="25"/>
          <w:szCs w:val="25"/>
        </w:rPr>
      </w:pPr>
    </w:p>
    <w:p>
      <w:pPr>
        <w:pStyle w:val="BodyText"/>
        <w:spacing w:line="316" w:lineRule="auto" w:before="0"/>
        <w:ind w:left="514" w:right="2832"/>
        <w:jc w:val="left"/>
      </w:pPr>
      <w:r>
        <w:rPr>
          <w:rFonts w:ascii="宋体" w:hAnsi="宋体" w:cs="宋体" w:eastAsia="宋体" w:hint="default"/>
          <w:b/>
          <w:bCs/>
          <w:w w:val="99"/>
        </w:rPr>
      </w:r>
      <w:r>
        <w:rPr>
          <w:rFonts w:ascii="宋体" w:hAnsi="宋体" w:cs="宋体" w:eastAsia="宋体" w:hint="default"/>
          <w:b/>
          <w:bCs/>
          <w:u w:val="single" w:color="000000"/>
        </w:rPr>
        <w:t>优质内容</w:t>
      </w:r>
      <w:r>
        <w:rPr>
          <w:rFonts w:ascii="宋体" w:hAnsi="宋体" w:cs="宋体" w:eastAsia="宋体" w:hint="default"/>
          <w:b/>
          <w:bCs/>
          <w:w w:val="99"/>
        </w:rPr>
      </w:r>
      <w:r>
        <w:rPr>
          <w:rFonts w:ascii="宋体" w:hAnsi="宋体" w:cs="宋体" w:eastAsia="宋体" w:hint="default"/>
          <w:b/>
          <w:bCs/>
          <w:w w:val="99"/>
        </w:rPr>
        <w:t> </w:t>
      </w:r>
      <w:r>
        <w:rPr/>
        <w:t>视觉内容的数量、质量、丰富度、全面性以及独家性是公司核心业务增长的关键驱动因素之一。</w:t>
      </w:r>
    </w:p>
    <w:p>
      <w:pPr>
        <w:pStyle w:val="BodyText"/>
        <w:spacing w:line="319" w:lineRule="auto" w:before="19"/>
        <w:ind w:right="0" w:firstLine="360"/>
        <w:jc w:val="left"/>
      </w:pPr>
      <w:r>
        <w:rPr/>
        <w:t>公司多年来通过收购</w:t>
      </w:r>
      <w:r>
        <w:rPr>
          <w:spacing w:val="-46"/>
        </w:rPr>
        <w:t> </w:t>
      </w:r>
      <w:r>
        <w:rPr>
          <w:rFonts w:ascii="宋体" w:hAnsi="宋体" w:cs="宋体" w:eastAsia="宋体" w:hint="default"/>
        </w:rPr>
        <w:t>Corbis</w:t>
      </w:r>
      <w:r>
        <w:rPr>
          <w:rFonts w:ascii="宋体" w:hAnsi="宋体" w:cs="宋体" w:eastAsia="宋体" w:hint="default"/>
          <w:spacing w:val="-45"/>
        </w:rPr>
        <w:t> </w:t>
      </w:r>
      <w:r>
        <w:rPr/>
        <w:t>与</w:t>
      </w:r>
      <w:r>
        <w:rPr>
          <w:spacing w:val="-46"/>
        </w:rPr>
        <w:t> </w:t>
      </w:r>
      <w:r>
        <w:rPr>
          <w:rFonts w:ascii="宋体" w:hAnsi="宋体" w:cs="宋体" w:eastAsia="宋体" w:hint="default"/>
        </w:rPr>
        <w:t>500px</w:t>
      </w:r>
      <w:r>
        <w:rPr/>
        <w:t>，及与</w:t>
      </w:r>
      <w:r>
        <w:rPr>
          <w:spacing w:val="-46"/>
        </w:rPr>
        <w:t> </w:t>
      </w:r>
      <w:r>
        <w:rPr>
          <w:rFonts w:ascii="宋体" w:hAnsi="宋体" w:cs="宋体" w:eastAsia="宋体" w:hint="default"/>
        </w:rPr>
        <w:t>Getty</w:t>
      </w:r>
      <w:r>
        <w:rPr>
          <w:rFonts w:ascii="宋体" w:hAnsi="宋体" w:cs="宋体" w:eastAsia="宋体" w:hint="default"/>
          <w:spacing w:val="-38"/>
        </w:rPr>
        <w:t> </w:t>
      </w:r>
      <w:r>
        <w:rPr>
          <w:rFonts w:ascii="宋体" w:hAnsi="宋体" w:cs="宋体" w:eastAsia="宋体" w:hint="default"/>
        </w:rPr>
        <w:t>Images</w:t>
      </w:r>
      <w:r>
        <w:rPr>
          <w:rFonts w:ascii="宋体" w:hAnsi="宋体" w:cs="宋体" w:eastAsia="宋体" w:hint="default"/>
          <w:spacing w:val="-46"/>
        </w:rPr>
        <w:t> </w:t>
      </w:r>
      <w:r>
        <w:rPr/>
        <w:t>独家双向战略合作等方式，持续整合全球优质的</w:t>
      </w:r>
      <w:r>
        <w:rPr>
          <w:spacing w:val="-46"/>
        </w:rPr>
        <w:t> </w:t>
      </w:r>
      <w:r>
        <w:rPr>
          <w:rFonts w:ascii="宋体" w:hAnsi="宋体" w:cs="宋体" w:eastAsia="宋体" w:hint="default"/>
        </w:rPr>
        <w:t>PGC</w:t>
      </w:r>
      <w:r>
        <w:rPr>
          <w:rFonts w:ascii="宋体" w:hAnsi="宋体" w:cs="宋体" w:eastAsia="宋体" w:hint="default"/>
          <w:spacing w:val="-46"/>
        </w:rPr>
        <w:t> </w:t>
      </w:r>
      <w:r>
        <w:rPr/>
        <w:t>视觉内 </w:t>
      </w:r>
      <w:r>
        <w:rPr>
          <w:spacing w:val="-4"/>
        </w:rPr>
        <w:t>容资源。公司目前在编辑类与创意类、图片、视频与音乐、国际与本土、高端与微利等各个方面，拥有较大的内容竞争优势，</w:t>
      </w:r>
      <w:r>
        <w:rPr>
          <w:spacing w:val="-44"/>
        </w:rPr>
        <w:t> </w:t>
      </w:r>
      <w:r>
        <w:rPr>
          <w:spacing w:val="-44"/>
        </w:rPr>
      </w:r>
      <w:r>
        <w:rPr/>
        <w:t>内容全面涵盖了建党九十周年、新中国成立七十周年、改革开放四十周年、扶贫攻坚、一带一路、奥运会、</w:t>
      </w:r>
      <w:r>
        <w:rPr>
          <w:rFonts w:ascii="宋体" w:hAnsi="宋体" w:cs="宋体" w:eastAsia="宋体" w:hint="default"/>
        </w:rPr>
        <w:t>NBA</w:t>
      </w:r>
      <w:r>
        <w:rPr/>
        <w:t>、世界杯、 奥斯卡等热门题材；近年来公司不断加强</w:t>
      </w:r>
      <w:r>
        <w:rPr>
          <w:spacing w:val="-66"/>
        </w:rPr>
        <w:t> </w:t>
      </w:r>
      <w:r>
        <w:rPr>
          <w:rFonts w:ascii="宋体" w:hAnsi="宋体" w:cs="宋体" w:eastAsia="宋体" w:hint="default"/>
        </w:rPr>
        <w:t>Corbis</w:t>
      </w:r>
      <w:r>
        <w:rPr/>
        <w:t>、</w:t>
      </w:r>
      <w:r>
        <w:rPr>
          <w:rFonts w:ascii="宋体" w:hAnsi="宋体" w:cs="宋体" w:eastAsia="宋体" w:hint="default"/>
        </w:rPr>
        <w:t>500px</w:t>
      </w:r>
      <w:r>
        <w:rPr>
          <w:rFonts w:ascii="宋体" w:hAnsi="宋体" w:cs="宋体" w:eastAsia="宋体" w:hint="default"/>
          <w:spacing w:val="-66"/>
        </w:rPr>
        <w:t> </w:t>
      </w:r>
      <w:r>
        <w:rPr/>
        <w:t>等自有品牌的建设，平台汇集包罗万象的优质正版内容。可为客户 提供可信赖的“一站式”的服务，提高客户使用内容的效率及效果，并帮客户规避内容使用中的版权风险。</w:t>
      </w:r>
    </w:p>
    <w:p>
      <w:pPr>
        <w:pStyle w:val="BodyText"/>
        <w:spacing w:line="316" w:lineRule="auto" w:before="17"/>
        <w:ind w:right="0" w:firstLine="360"/>
        <w:jc w:val="left"/>
      </w:pPr>
      <w:r>
        <w:rPr>
          <w:spacing w:val="-2"/>
        </w:rPr>
        <w:t>供稿方的内容经过评估、筛选、分类、加关键词与标注、存储等工作上线，通过高效的智能化搜索、行业图库、智能配</w:t>
      </w:r>
      <w:r>
        <w:rPr/>
        <w:t> 图等服务及多种技术交付手段，方便客户获取所需的图片，应用在其所需的应用场景。</w:t>
      </w:r>
    </w:p>
    <w:p>
      <w:pPr>
        <w:pStyle w:val="BodyText"/>
        <w:spacing w:line="316" w:lineRule="auto" w:before="19"/>
        <w:ind w:right="1032" w:firstLine="360"/>
        <w:jc w:val="left"/>
      </w:pPr>
      <w:r>
        <w:rPr/>
        <w:t>在代理内容方面，为保证内容的权属清晰，公司与版权内容机构及供稿方者签署了相关协议，在权利义务、权利归属、 </w:t>
      </w:r>
      <w:r>
        <w:rPr>
          <w:spacing w:val="-4"/>
        </w:rPr>
        <w:t>授权内容、涉及的第三方权利、分成等方面进行明确约定，保证网站内容均获得合法授权。根据不同版权性质或属性的内容，</w:t>
      </w:r>
      <w:r>
        <w:rPr>
          <w:spacing w:val="-46"/>
        </w:rPr>
        <w:t> </w:t>
      </w:r>
      <w:r>
        <w:rPr>
          <w:spacing w:val="-46"/>
        </w:rPr>
      </w:r>
      <w:r>
        <w:rPr/>
        <w:t>公司收取相应的内容服务费（包括版权内容的授权费、针对特殊权属图片的内容获取费 </w:t>
      </w:r>
      <w:r>
        <w:rPr>
          <w:rFonts w:ascii="宋体" w:hAnsi="宋体" w:cs="宋体" w:eastAsia="宋体" w:hint="default"/>
        </w:rPr>
        <w:t>Access Fee,</w:t>
      </w:r>
      <w:r>
        <w:rPr>
          <w:rFonts w:ascii="宋体" w:hAnsi="宋体" w:cs="宋体" w:eastAsia="宋体" w:hint="default"/>
          <w:spacing w:val="-46"/>
        </w:rPr>
        <w:t> </w:t>
      </w:r>
      <w:r>
        <w:rPr/>
        <w:t>及技术服务费等）。 </w:t>
      </w:r>
      <w:r>
        <w:rPr>
          <w:spacing w:val="-2"/>
        </w:rPr>
        <w:t>公司不断提升对海量内容及数据的技术加人工的审核能力，遵循相关法律法规，加强完善编审机制，保证内容运营及授权的</w:t>
      </w:r>
      <w:r>
        <w:rPr>
          <w:spacing w:val="-66"/>
        </w:rPr>
        <w:t> </w:t>
      </w:r>
      <w:r>
        <w:rPr>
          <w:spacing w:val="-66"/>
        </w:rPr>
      </w:r>
      <w:r>
        <w:rPr/>
        <w:t>合法合规。</w:t>
      </w:r>
    </w:p>
    <w:p>
      <w:pPr>
        <w:spacing w:line="240" w:lineRule="auto" w:before="4"/>
        <w:rPr>
          <w:rFonts w:ascii="宋体" w:hAnsi="宋体" w:cs="宋体" w:eastAsia="宋体" w:hint="default"/>
          <w:sz w:val="25"/>
          <w:szCs w:val="25"/>
        </w:rPr>
      </w:pPr>
    </w:p>
    <w:p>
      <w:pPr>
        <w:pStyle w:val="Heading7"/>
        <w:spacing w:line="240" w:lineRule="auto"/>
        <w:ind w:left="514" w:right="0"/>
        <w:jc w:val="left"/>
        <w:rPr>
          <w:b w:val="0"/>
          <w:bCs w:val="0"/>
        </w:rPr>
      </w:pPr>
      <w:r>
        <w:rPr>
          <w:w w:val="99"/>
        </w:rPr>
      </w:r>
      <w:r>
        <w:rPr>
          <w:u w:val="single" w:color="000000"/>
        </w:rPr>
        <w:t>供稿方服务</w:t>
      </w:r>
      <w:r>
        <w:rPr/>
      </w:r>
      <w:r>
        <w:rPr>
          <w:b w:val="0"/>
          <w:bCs w:val="0"/>
        </w:rPr>
      </w:r>
    </w:p>
    <w:p>
      <w:pPr>
        <w:pStyle w:val="BodyText"/>
        <w:spacing w:line="316" w:lineRule="auto" w:before="76"/>
        <w:ind w:right="1126" w:firstLine="360"/>
        <w:jc w:val="left"/>
      </w:pPr>
      <w:r>
        <w:rPr/>
        <w:t>公司的供稿方包括全球及本土顶级的超过</w:t>
      </w:r>
      <w:r>
        <w:rPr>
          <w:spacing w:val="-46"/>
        </w:rPr>
        <w:t> </w:t>
      </w:r>
      <w:r>
        <w:rPr>
          <w:rFonts w:ascii="宋体" w:hAnsi="宋体" w:cs="宋体" w:eastAsia="宋体" w:hint="default"/>
        </w:rPr>
        <w:t>40</w:t>
      </w:r>
      <w:r>
        <w:rPr>
          <w:rFonts w:ascii="宋体" w:hAnsi="宋体" w:cs="宋体" w:eastAsia="宋体" w:hint="default"/>
          <w:spacing w:val="-46"/>
        </w:rPr>
        <w:t> </w:t>
      </w:r>
      <w:r>
        <w:rPr/>
        <w:t>万名签约供稿方以及</w:t>
      </w:r>
      <w:r>
        <w:rPr>
          <w:spacing w:val="-46"/>
        </w:rPr>
        <w:t> </w:t>
      </w:r>
      <w:r>
        <w:rPr>
          <w:rFonts w:ascii="宋体" w:hAnsi="宋体" w:cs="宋体" w:eastAsia="宋体" w:hint="default"/>
        </w:rPr>
        <w:t>240</w:t>
      </w:r>
      <w:r>
        <w:rPr>
          <w:rFonts w:ascii="宋体" w:hAnsi="宋体" w:cs="宋体" w:eastAsia="宋体" w:hint="default"/>
          <w:spacing w:val="-46"/>
        </w:rPr>
        <w:t> </w:t>
      </w:r>
      <w:r>
        <w:rPr/>
        <w:t>余家专业版权内容机构。公司持续加强对供稿方 的维护及服务。</w:t>
      </w:r>
    </w:p>
    <w:p>
      <w:pPr>
        <w:pStyle w:val="BodyText"/>
        <w:spacing w:line="316" w:lineRule="auto" w:before="19"/>
        <w:ind w:right="0" w:firstLine="360"/>
        <w:jc w:val="left"/>
      </w:pPr>
      <w:r>
        <w:rPr>
          <w:spacing w:val="-2"/>
        </w:rPr>
        <w:t>公司与供稿方签署代理协议，获得内容的分销权；内容使用方签署服务协议付费获得内容服务；公司与供稿方采取分成</w:t>
      </w:r>
      <w:r>
        <w:rPr/>
        <w:t> </w:t>
      </w:r>
      <w:r>
        <w:rPr>
          <w:spacing w:val="-4"/>
        </w:rPr>
        <w:t>的合作模式，公司将收取的授权和服务费按代理协议约定的分成比例支付给相应的内容供稿方；如果是公司的自有版权内容，</w:t>
      </w:r>
      <w:r>
        <w:rPr>
          <w:spacing w:val="-44"/>
        </w:rPr>
        <w:t> </w:t>
      </w:r>
      <w:r>
        <w:rPr>
          <w:spacing w:val="-44"/>
        </w:rPr>
      </w:r>
      <w:r>
        <w:rPr/>
        <w:t>则公司无需支付分成。自</w:t>
      </w:r>
      <w:r>
        <w:rPr>
          <w:spacing w:val="-54"/>
        </w:rPr>
        <w:t> </w:t>
      </w:r>
      <w:r>
        <w:rPr>
          <w:rFonts w:ascii="宋体" w:hAnsi="宋体" w:cs="宋体" w:eastAsia="宋体" w:hint="default"/>
        </w:rPr>
        <w:t>2014</w:t>
      </w:r>
      <w:r>
        <w:rPr>
          <w:rFonts w:ascii="宋体" w:hAnsi="宋体" w:cs="宋体" w:eastAsia="宋体" w:hint="default"/>
          <w:spacing w:val="-54"/>
        </w:rPr>
        <w:t> </w:t>
      </w:r>
      <w:r>
        <w:rPr/>
        <w:t>年以来，公司累计向全球内容供稿方支付版权许可和服务费超过</w:t>
      </w:r>
      <w:r>
        <w:rPr>
          <w:spacing w:val="-53"/>
        </w:rPr>
        <w:t> </w:t>
      </w:r>
      <w:r>
        <w:rPr>
          <w:rFonts w:ascii="宋体" w:hAnsi="宋体" w:cs="宋体" w:eastAsia="宋体" w:hint="default"/>
        </w:rPr>
        <w:t>9</w:t>
      </w:r>
      <w:r>
        <w:rPr>
          <w:rFonts w:ascii="宋体" w:hAnsi="宋体" w:cs="宋体" w:eastAsia="宋体" w:hint="default"/>
          <w:spacing w:val="-54"/>
        </w:rPr>
        <w:t> </w:t>
      </w:r>
      <w:r>
        <w:rPr/>
        <w:t>亿元；</w:t>
      </w:r>
      <w:r>
        <w:rPr>
          <w:rFonts w:ascii="宋体" w:hAnsi="宋体" w:cs="宋体" w:eastAsia="宋体" w:hint="default"/>
        </w:rPr>
        <w:t>2018</w:t>
      </w:r>
      <w:r>
        <w:rPr>
          <w:rFonts w:ascii="宋体" w:hAnsi="宋体" w:cs="宋体" w:eastAsia="宋体" w:hint="default"/>
          <w:spacing w:val="-54"/>
        </w:rPr>
        <w:t> </w:t>
      </w:r>
      <w:r>
        <w:rPr/>
        <w:t>年，向全球内</w:t>
      </w:r>
    </w:p>
    <w:p>
      <w:pPr>
        <w:pStyle w:val="BodyText"/>
        <w:spacing w:line="316" w:lineRule="auto" w:before="19"/>
        <w:ind w:left="514" w:right="0" w:hanging="360"/>
        <w:jc w:val="left"/>
      </w:pPr>
      <w:r>
        <w:rPr/>
        <w:t>容供稿方支付版权许可和服务费近</w:t>
      </w:r>
      <w:r>
        <w:rPr>
          <w:spacing w:val="-46"/>
        </w:rPr>
        <w:t> </w:t>
      </w:r>
      <w:r>
        <w:rPr>
          <w:rFonts w:ascii="宋体" w:hAnsi="宋体" w:cs="宋体" w:eastAsia="宋体" w:hint="default"/>
        </w:rPr>
        <w:t>2.5</w:t>
      </w:r>
      <w:r>
        <w:rPr>
          <w:rFonts w:ascii="宋体" w:hAnsi="宋体" w:cs="宋体" w:eastAsia="宋体" w:hint="default"/>
          <w:spacing w:val="-46"/>
        </w:rPr>
        <w:t> </w:t>
      </w:r>
      <w:r>
        <w:rPr/>
        <w:t>亿元。 </w:t>
      </w:r>
      <w:r>
        <w:rPr>
          <w:spacing w:val="-2"/>
        </w:rPr>
        <w:t>公司为供应商及供稿方提供在线的内容评估、上传、自动标签、存储、内容管理、在线查询销售分成等技术服务，降低</w:t>
      </w:r>
    </w:p>
    <w:p>
      <w:pPr>
        <w:pStyle w:val="BodyText"/>
        <w:spacing w:line="316" w:lineRule="auto" w:before="19"/>
        <w:ind w:right="0"/>
        <w:jc w:val="left"/>
      </w:pPr>
      <w:r>
        <w:rPr>
          <w:spacing w:val="-2"/>
        </w:rPr>
        <w:t>内容创作者的创作成本和提高收益效率。公司还为内容创作者提供创意分享、市场信息、创意趋势、创作基金以及工作坊等</w:t>
      </w:r>
      <w:r>
        <w:rPr>
          <w:spacing w:val="-66"/>
        </w:rPr>
        <w:t> </w:t>
      </w:r>
      <w:r>
        <w:rPr>
          <w:spacing w:val="-66"/>
        </w:rPr>
      </w:r>
      <w:r>
        <w:rPr/>
        <w:t>服务，激励他们不断创作出更多的优秀作品。</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1" w:firstLine="360"/>
        <w:jc w:val="both"/>
      </w:pPr>
      <w:r>
        <w:rPr>
          <w:spacing w:val="-2"/>
        </w:rPr>
        <w:t>为保护内容创作者的合法权益，推动内容生态的正版化，公司还建立及不断探索完善基于国际实践与本土市场相结合的</w:t>
      </w:r>
      <w:r>
        <w:rPr/>
        <w:t> </w:t>
      </w:r>
      <w:r>
        <w:rPr>
          <w:spacing w:val="-2"/>
        </w:rPr>
        <w:t>版权保护体系，包括发现未经授权使用客户，推进正版化转化，并将获得的收益按协议与供稿方分成，保护供稿方的创作成</w:t>
      </w:r>
      <w:r>
        <w:rPr>
          <w:spacing w:val="-66"/>
        </w:rPr>
        <w:t> </w:t>
      </w:r>
      <w:r>
        <w:rPr>
          <w:spacing w:val="-66"/>
        </w:rPr>
      </w:r>
      <w:r>
        <w:rPr/>
        <w:t>果及利益。</w:t>
      </w:r>
    </w:p>
    <w:p>
      <w:pPr>
        <w:spacing w:line="240" w:lineRule="auto" w:before="4"/>
        <w:rPr>
          <w:rFonts w:ascii="宋体" w:hAnsi="宋体" w:cs="宋体" w:eastAsia="宋体" w:hint="default"/>
          <w:sz w:val="25"/>
          <w:szCs w:val="25"/>
        </w:rPr>
      </w:pPr>
    </w:p>
    <w:p>
      <w:pPr>
        <w:pStyle w:val="BodyText"/>
        <w:spacing w:line="316" w:lineRule="auto" w:before="0"/>
        <w:ind w:left="514" w:right="1121"/>
        <w:jc w:val="left"/>
      </w:pPr>
      <w:r>
        <w:rPr>
          <w:rFonts w:ascii="宋体" w:hAnsi="宋体" w:cs="宋体" w:eastAsia="宋体" w:hint="default"/>
          <w:b/>
          <w:bCs/>
          <w:w w:val="99"/>
        </w:rPr>
      </w:r>
      <w:r>
        <w:rPr>
          <w:rFonts w:ascii="宋体" w:hAnsi="宋体" w:cs="宋体" w:eastAsia="宋体" w:hint="default"/>
          <w:b/>
          <w:bCs/>
          <w:u w:val="single" w:color="000000"/>
        </w:rPr>
        <w:t>产品与客户服务</w:t>
      </w:r>
      <w:r>
        <w:rPr>
          <w:rFonts w:ascii="宋体" w:hAnsi="宋体" w:cs="宋体" w:eastAsia="宋体" w:hint="default"/>
          <w:b/>
          <w:bCs/>
          <w:w w:val="99"/>
        </w:rPr>
      </w:r>
      <w:r>
        <w:rPr>
          <w:rFonts w:ascii="宋体" w:hAnsi="宋体" w:cs="宋体" w:eastAsia="宋体" w:hint="default"/>
          <w:b/>
          <w:bCs/>
          <w:w w:val="99"/>
        </w:rPr>
        <w:t> </w:t>
      </w:r>
      <w:r>
        <w:rPr/>
        <w:t>基于全面海量的优质内容，公司提供丰富多样的的产品、增值服务和价格体系，以满足各类客户的需求。</w:t>
      </w:r>
      <w:r>
        <w:rPr>
          <w:spacing w:val="1"/>
        </w:rPr>
        <w:t> </w:t>
      </w:r>
      <w:r>
        <w:rPr/>
        <w:t>公司借鉴采</w:t>
      </w:r>
    </w:p>
    <w:p>
      <w:pPr>
        <w:pStyle w:val="BodyText"/>
        <w:spacing w:line="316" w:lineRule="auto" w:before="19"/>
        <w:ind w:right="1122"/>
        <w:jc w:val="left"/>
      </w:pPr>
      <w:r>
        <w:rPr/>
        <w:t>纳国际主流的图片授权价格体系（定价因素包括不同的内容，应用场景及用途、尺寸、时长、使用范围、购买方式等）</w:t>
      </w:r>
      <w:r>
        <w:rPr>
          <w:rFonts w:ascii="宋体" w:hAnsi="宋体" w:cs="宋体" w:eastAsia="宋体" w:hint="default"/>
        </w:rPr>
        <w:t>,</w:t>
      </w:r>
      <w:r>
        <w:rPr/>
        <w:t>基 于中国市场不同客户群的用图特点及需求，不断优化价格体系，以适应行业的发展趋势、市场及客户行为的变化。</w:t>
      </w:r>
    </w:p>
    <w:p>
      <w:pPr>
        <w:pStyle w:val="BodyText"/>
        <w:spacing w:line="316" w:lineRule="auto" w:before="19"/>
        <w:ind w:right="1132" w:firstLine="360"/>
        <w:jc w:val="both"/>
      </w:pPr>
      <w:r>
        <w:rPr>
          <w:spacing w:val="-2"/>
        </w:rPr>
        <w:t>客户既可以采取零售的购买方式获得授权与服务，满足项目型的工作需要；也可以通过年度长期合作协议的方式获得授</w:t>
      </w:r>
      <w:r>
        <w:rPr/>
        <w:t> </w:t>
      </w:r>
      <w:r>
        <w:rPr>
          <w:spacing w:val="-2"/>
        </w:rPr>
        <w:t>权与服务，以满足客户持续稳定的内容需求。公司除提供优质的“视觉内容”产品和服务外，还提供满足个性化需求的定制</w:t>
      </w:r>
      <w:r>
        <w:rPr>
          <w:spacing w:val="-66"/>
        </w:rPr>
        <w:t> </w:t>
      </w:r>
      <w:r>
        <w:rPr>
          <w:spacing w:val="-66"/>
        </w:rPr>
      </w:r>
      <w:r>
        <w:rPr>
          <w:spacing w:val="-2"/>
        </w:rPr>
        <w:t>服务，例如权利清除、委托拍摄、创意众包、媒体宣推、广告创意等整合营销增值服务，为客户提供全面的“一站式”产品</w:t>
      </w:r>
      <w:r>
        <w:rPr>
          <w:spacing w:val="-67"/>
        </w:rPr>
        <w:t> </w:t>
      </w:r>
      <w:r>
        <w:rPr>
          <w:spacing w:val="-67"/>
        </w:rPr>
      </w:r>
      <w:r>
        <w:rPr/>
        <w:t>与服务，增加客户的满意度。</w:t>
      </w:r>
    </w:p>
    <w:p>
      <w:pPr>
        <w:pStyle w:val="BodyText"/>
        <w:spacing w:line="316" w:lineRule="auto" w:before="19"/>
        <w:ind w:right="1129" w:firstLine="360"/>
        <w:jc w:val="both"/>
      </w:pPr>
      <w:r>
        <w:rPr>
          <w:spacing w:val="-2"/>
        </w:rPr>
        <w:t>公司针对企业大客户和中小企业，采取不同的服务策略。公司充分挖掘企业大客户的全产品线（图片、矢量、插图、视</w:t>
      </w:r>
      <w:r>
        <w:rPr/>
        <w:t> </w:t>
      </w:r>
      <w:r>
        <w:rPr>
          <w:spacing w:val="-2"/>
        </w:rPr>
        <w:t>频、音乐、字体以及增值服务）和全应用场景的需求，分布在北上广深的专业人员提供本地化的客户接触与顾问服务，满足</w:t>
      </w:r>
      <w:r>
        <w:rPr>
          <w:spacing w:val="-66"/>
        </w:rPr>
        <w:t> </w:t>
      </w:r>
      <w:r>
        <w:rPr>
          <w:spacing w:val="-66"/>
        </w:rPr>
      </w:r>
      <w:r>
        <w:rPr>
          <w:spacing w:val="-2"/>
        </w:rPr>
        <w:t>客户特定的内容需求、工作流程及内容管理等增值服务的需求。对于长尾型或简单需求的客户（如小微企业、自媒体等）推</w:t>
      </w:r>
      <w:r>
        <w:rPr>
          <w:spacing w:val="-66"/>
        </w:rPr>
        <w:t> </w:t>
      </w:r>
      <w:r>
        <w:rPr>
          <w:spacing w:val="-66"/>
        </w:rPr>
      </w:r>
      <w:r>
        <w:rPr/>
        <w:t>出针对性满足其需求及预算的内容产品，提供高效简单的自助化程度高的交易服务。</w:t>
      </w:r>
    </w:p>
    <w:p>
      <w:pPr>
        <w:pStyle w:val="BodyText"/>
        <w:spacing w:line="316" w:lineRule="auto" w:before="19"/>
        <w:ind w:right="1032" w:firstLine="360"/>
        <w:jc w:val="left"/>
      </w:pPr>
      <w:r>
        <w:rPr/>
        <w:t>为顺应互联网时代智能化服务的趋势，实现对客户在各种平台、各种应用场景下的内容获取、交付、内容管理的需求， 公司以业界领先的技术能力为支撑</w:t>
      </w:r>
      <w:r>
        <w:rPr>
          <w:rFonts w:ascii="宋体" w:hAnsi="宋体" w:cs="宋体" w:eastAsia="宋体" w:hint="default"/>
        </w:rPr>
        <w:t>,</w:t>
      </w:r>
      <w:r>
        <w:rPr/>
        <w:t>为用户提供一系列智能化服务，如智能图搜、个性推荐、图片</w:t>
      </w:r>
      <w:r>
        <w:rPr>
          <w:rFonts w:ascii="宋体" w:hAnsi="宋体" w:cs="宋体" w:eastAsia="宋体" w:hint="default"/>
        </w:rPr>
        <w:t>/</w:t>
      </w:r>
      <w:r>
        <w:rPr/>
        <w:t>视频识别、</w:t>
      </w:r>
      <w:r>
        <w:rPr>
          <w:rFonts w:ascii="宋体" w:hAnsi="宋体" w:cs="宋体" w:eastAsia="宋体" w:hint="default"/>
        </w:rPr>
        <w:t>API</w:t>
      </w:r>
      <w:r>
        <w:rPr/>
        <w:t>、智能文 章配图、行业图库、版权风控、内容资产管理等， 能满足海量客户与时俱进的使用视觉内容的需求。</w:t>
      </w:r>
    </w:p>
    <w:p>
      <w:pPr>
        <w:spacing w:line="240" w:lineRule="auto" w:before="4"/>
        <w:rPr>
          <w:rFonts w:ascii="宋体" w:hAnsi="宋体" w:cs="宋体" w:eastAsia="宋体" w:hint="default"/>
          <w:sz w:val="25"/>
          <w:szCs w:val="25"/>
        </w:rPr>
      </w:pPr>
    </w:p>
    <w:p>
      <w:pPr>
        <w:pStyle w:val="BodyText"/>
        <w:spacing w:line="316" w:lineRule="auto" w:before="0"/>
        <w:ind w:left="514" w:right="0"/>
        <w:jc w:val="left"/>
      </w:pPr>
      <w:r>
        <w:rPr>
          <w:rFonts w:ascii="宋体" w:hAnsi="宋体" w:cs="宋体" w:eastAsia="宋体" w:hint="default"/>
          <w:b/>
          <w:bCs/>
          <w:w w:val="99"/>
        </w:rPr>
      </w:r>
      <w:r>
        <w:rPr>
          <w:rFonts w:ascii="宋体" w:hAnsi="宋体" w:cs="宋体" w:eastAsia="宋体" w:hint="default"/>
          <w:b/>
          <w:bCs/>
          <w:u w:val="single" w:color="000000"/>
        </w:rPr>
        <w:t>人工智能与技术能力</w:t>
      </w:r>
      <w:r>
        <w:rPr>
          <w:rFonts w:ascii="宋体" w:hAnsi="宋体" w:cs="宋体" w:eastAsia="宋体" w:hint="default"/>
          <w:b/>
          <w:bCs/>
          <w:w w:val="99"/>
        </w:rPr>
      </w:r>
      <w:r>
        <w:rPr>
          <w:rFonts w:ascii="宋体" w:hAnsi="宋体" w:cs="宋体" w:eastAsia="宋体" w:hint="default"/>
          <w:b/>
          <w:bCs/>
          <w:w w:val="99"/>
        </w:rPr>
        <w:t> </w:t>
      </w:r>
      <w:r>
        <w:rPr>
          <w:spacing w:val="-2"/>
        </w:rPr>
        <w:t>公司的核心主业是依托大数据、人工智能等互联网技术，建设以“视觉内容”为核心的智能服务平台。公司基于客户的</w:t>
      </w:r>
    </w:p>
    <w:p>
      <w:pPr>
        <w:pStyle w:val="BodyText"/>
        <w:spacing w:line="314" w:lineRule="auto" w:before="19"/>
        <w:ind w:right="1032"/>
        <w:jc w:val="left"/>
      </w:pPr>
      <w:r>
        <w:rPr>
          <w:spacing w:val="-2"/>
        </w:rPr>
        <w:t>内容需求及应用场景，运用大数据、人工智能等互联网技术自主研发了业内领先的智能服务技术，例如，智能图搜、个性推</w:t>
      </w:r>
      <w:r>
        <w:rPr>
          <w:spacing w:val="-66"/>
        </w:rPr>
        <w:t> </w:t>
      </w:r>
      <w:r>
        <w:rPr>
          <w:spacing w:val="-66"/>
        </w:rPr>
      </w:r>
      <w:r>
        <w:rPr/>
        <w:t>荐、图片</w:t>
      </w:r>
      <w:r>
        <w:rPr>
          <w:rFonts w:ascii="宋体" w:hAnsi="宋体" w:cs="宋体" w:eastAsia="宋体" w:hint="default"/>
        </w:rPr>
        <w:t>/</w:t>
      </w:r>
      <w:r>
        <w:rPr/>
        <w:t>视频识别、自动标签、智能文章配图、行业图库、版权风控等，强化对平台两端海量用户的 “智能”技术服务， </w:t>
      </w:r>
      <w:r>
        <w:rPr>
          <w:spacing w:val="-2"/>
        </w:rPr>
        <w:t>将智能技术应用于内容生产、内容运营、内容推荐、内容搜索、客户获取等全流程环节，提高撮合交易的效率。平台的供需</w:t>
      </w:r>
      <w:r>
        <w:rPr>
          <w:spacing w:val="-66"/>
        </w:rPr>
        <w:t> </w:t>
      </w:r>
      <w:r>
        <w:rPr>
          <w:spacing w:val="-66"/>
        </w:rPr>
      </w:r>
      <w:r>
        <w:rPr>
          <w:spacing w:val="-2"/>
        </w:rPr>
        <w:t>两端碎片化程度越高、数量越大、市场覆盖范围越广，公司平台的“数据化、智能化”的服务能力也越强，形成自我加强的</w:t>
      </w:r>
      <w:r>
        <w:rPr>
          <w:spacing w:val="-72"/>
        </w:rPr>
        <w:t> </w:t>
      </w:r>
      <w:r>
        <w:rPr>
          <w:spacing w:val="-72"/>
        </w:rPr>
      </w:r>
      <w:r>
        <w:rPr/>
        <w:t>平台效应。</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年，公司将继续坚持由“内容驱动”转型为“内容、技术”双轮驱动，加大技术研发投入，不断提升公司 平台的服务交付效率，提升用户高效获取优质内容的体验。</w:t>
      </w:r>
    </w:p>
    <w:p>
      <w:pPr>
        <w:pStyle w:val="BodyText"/>
        <w:spacing w:line="314" w:lineRule="auto" w:before="20"/>
        <w:ind w:right="1129" w:firstLine="360"/>
        <w:jc w:val="both"/>
      </w:pPr>
      <w:r>
        <w:rPr>
          <w:spacing w:val="-1"/>
        </w:rPr>
        <w:t>针对</w:t>
      </w:r>
      <w:r>
        <w:rPr>
          <w:rFonts w:ascii="Times New Roman" w:hAnsi="Times New Roman" w:cs="Times New Roman" w:eastAsia="Times New Roman" w:hint="default"/>
          <w:spacing w:val="-1"/>
        </w:rPr>
        <w:t>“</w:t>
      </w:r>
      <w:r>
        <w:rPr>
          <w:spacing w:val="-1"/>
        </w:rPr>
        <w:t>数据、技术、服务</w:t>
      </w:r>
      <w:r>
        <w:rPr>
          <w:rFonts w:ascii="Times New Roman" w:hAnsi="Times New Roman" w:cs="Times New Roman" w:eastAsia="Times New Roman" w:hint="default"/>
          <w:spacing w:val="-1"/>
        </w:rPr>
        <w:t>”</w:t>
      </w:r>
      <w:r>
        <w:rPr>
          <w:spacing w:val="-1"/>
        </w:rPr>
        <w:t>三个方向的不断运营，形成了</w:t>
      </w:r>
      <w:r>
        <w:rPr>
          <w:rFonts w:ascii="Times New Roman" w:hAnsi="Times New Roman" w:cs="Times New Roman" w:eastAsia="Times New Roman" w:hint="default"/>
          <w:spacing w:val="-1"/>
        </w:rPr>
        <w:t>“</w:t>
      </w:r>
      <w:r>
        <w:rPr>
          <w:spacing w:val="-1"/>
        </w:rPr>
        <w:t>数据提升技术、技术驱动服务、服务回馈数据</w:t>
      </w:r>
      <w:r>
        <w:rPr>
          <w:rFonts w:ascii="Times New Roman" w:hAnsi="Times New Roman" w:cs="Times New Roman" w:eastAsia="Times New Roman" w:hint="default"/>
          <w:spacing w:val="-1"/>
        </w:rPr>
        <w:t>”</w:t>
      </w:r>
      <w:r>
        <w:rPr>
          <w:spacing w:val="-1"/>
        </w:rPr>
        <w:t>的独特的闭环运</w:t>
      </w:r>
      <w:r>
        <w:rPr/>
        <w:t> </w:t>
      </w:r>
      <w:r>
        <w:rPr>
          <w:spacing w:val="-2"/>
        </w:rPr>
        <w:t>行模式。以技术手段应用于提升用户获取内容、使用内容的效率与体验、客户的留存与转化等的所有环节，公司与互联网平</w:t>
      </w:r>
      <w:r>
        <w:rPr>
          <w:spacing w:val="-64"/>
        </w:rPr>
        <w:t> </w:t>
      </w:r>
      <w:r>
        <w:rPr>
          <w:spacing w:val="-64"/>
        </w:rPr>
      </w:r>
      <w:r>
        <w:rPr>
          <w:spacing w:val="-2"/>
        </w:rPr>
        <w:t>台的合作将内容运营、智能服务能力逐步接入到用户使用场景，提供更高效便捷的交付服务，促进用户的内容消费全方位覆</w:t>
      </w:r>
      <w:r>
        <w:rPr>
          <w:spacing w:val="-65"/>
        </w:rPr>
        <w:t> </w:t>
      </w:r>
      <w:r>
        <w:rPr>
          <w:spacing w:val="-65"/>
        </w:rPr>
      </w:r>
      <w:r>
        <w:rPr>
          <w:spacing w:val="-2"/>
        </w:rPr>
        <w:t>盖持续增长的海量用户的多样性内容需求，实现老客户的高度粘性及新客户的快速转化，使公司能实现主营业务规模的快速</w:t>
      </w:r>
      <w:r>
        <w:rPr>
          <w:spacing w:val="-64"/>
        </w:rPr>
        <w:t> </w:t>
      </w:r>
      <w:r>
        <w:rPr>
          <w:spacing w:val="-64"/>
        </w:rPr>
      </w:r>
      <w:r>
        <w:rPr>
          <w:spacing w:val="-2"/>
        </w:rPr>
        <w:t>增长。公司的“白金视觉大数据”的持续增加和优化、智能技术的全面提升以及用户服务的超越体验，将成为公司高速发展</w:t>
      </w:r>
      <w:r>
        <w:rPr>
          <w:spacing w:val="-66"/>
        </w:rPr>
        <w:t> </w:t>
      </w:r>
      <w:r>
        <w:rPr>
          <w:spacing w:val="-66"/>
        </w:rPr>
      </w:r>
      <w:r>
        <w:rPr/>
        <w:t>的核心驱动力，在行业内建立更高的技术壁垒。</w:t>
      </w:r>
    </w:p>
    <w:p>
      <w:pPr>
        <w:spacing w:line="240" w:lineRule="auto" w:before="6"/>
        <w:rPr>
          <w:rFonts w:ascii="宋体" w:hAnsi="宋体" w:cs="宋体" w:eastAsia="宋体" w:hint="default"/>
          <w:sz w:val="25"/>
          <w:szCs w:val="25"/>
        </w:rPr>
      </w:pPr>
    </w:p>
    <w:p>
      <w:pPr>
        <w:pStyle w:val="BodyText"/>
        <w:spacing w:line="316" w:lineRule="auto" w:before="0"/>
        <w:ind w:left="514" w:right="1032"/>
        <w:jc w:val="left"/>
      </w:pPr>
      <w:r>
        <w:rPr>
          <w:rFonts w:ascii="宋体" w:hAnsi="宋体" w:cs="宋体" w:eastAsia="宋体" w:hint="default"/>
          <w:b/>
          <w:bCs/>
          <w:w w:val="99"/>
        </w:rPr>
      </w:r>
      <w:r>
        <w:rPr>
          <w:rFonts w:ascii="宋体" w:hAnsi="宋体" w:cs="宋体" w:eastAsia="宋体" w:hint="default"/>
          <w:b/>
          <w:bCs/>
          <w:u w:val="single" w:color="000000"/>
        </w:rPr>
        <w:t>客户获取与市场覆盖</w:t>
      </w:r>
      <w:r>
        <w:rPr>
          <w:rFonts w:ascii="宋体" w:hAnsi="宋体" w:cs="宋体" w:eastAsia="宋体" w:hint="default"/>
          <w:b/>
          <w:bCs/>
          <w:w w:val="99"/>
        </w:rPr>
      </w:r>
      <w:r>
        <w:rPr>
          <w:rFonts w:ascii="宋体" w:hAnsi="宋体" w:cs="宋体" w:eastAsia="宋体" w:hint="default"/>
          <w:b/>
          <w:bCs/>
          <w:w w:val="99"/>
        </w:rPr>
        <w:t> </w:t>
      </w:r>
      <w:r>
        <w:rPr/>
        <w:t>公司核心主业增长的主要驱动力之一是客户数量的增长。近年来，随着移动互联网、人工智能、大数据等技术的发展，</w:t>
      </w:r>
    </w:p>
    <w:p>
      <w:pPr>
        <w:pStyle w:val="BodyText"/>
        <w:spacing w:line="316" w:lineRule="auto" w:before="19"/>
        <w:ind w:left="514" w:right="0" w:hanging="360"/>
        <w:jc w:val="left"/>
      </w:pPr>
      <w:r>
        <w:rPr/>
        <w:t>公司的目标市场已从原先的小众专业市场变成了大众的海量市场，给公司主营业务带来了巨大的发展空间。 </w:t>
      </w:r>
      <w:r>
        <w:rPr>
          <w:spacing w:val="-4"/>
        </w:rPr>
        <w:t>基于行业和市场的发展趋势，公司持续加强对各细分领域的用户应用场景、用户行为及内容需求的差异化的全方位研究，</w:t>
      </w:r>
    </w:p>
    <w:p>
      <w:pPr>
        <w:pStyle w:val="BodyText"/>
        <w:spacing w:line="319" w:lineRule="auto" w:before="19"/>
        <w:ind w:right="0"/>
        <w:jc w:val="left"/>
      </w:pPr>
      <w:r>
        <w:rPr>
          <w:spacing w:val="-2"/>
        </w:rPr>
        <w:t>持续提升公司对内容生态的连接和全面深度覆盖市场的能力。公司通过技术创新、战略合作、市场营销等各种方式全方位地</w:t>
      </w:r>
      <w:r>
        <w:rPr>
          <w:spacing w:val="-66"/>
        </w:rPr>
        <w:t> </w:t>
      </w:r>
      <w:r>
        <w:rPr>
          <w:spacing w:val="-66"/>
        </w:rPr>
      </w:r>
      <w:r>
        <w:rPr/>
        <w:t>提升触达客户的能力和范围，提升客户的服务体验。</w:t>
      </w:r>
    </w:p>
    <w:p>
      <w:pPr>
        <w:pStyle w:val="BodyText"/>
        <w:spacing w:line="316" w:lineRule="auto" w:before="17"/>
        <w:ind w:right="1130" w:firstLine="360"/>
        <w:jc w:val="both"/>
      </w:pPr>
      <w:r>
        <w:rPr>
          <w:spacing w:val="-2"/>
        </w:rPr>
        <w:t>公司一方面大力加强市场开发，通过市场营销的方式获客。公司依托多年积累的用户行为数据分析，对潜在用户进行精</w:t>
      </w:r>
      <w:r>
        <w:rPr/>
        <w:t> </w:t>
      </w:r>
      <w:r>
        <w:rPr>
          <w:spacing w:val="-2"/>
        </w:rPr>
        <w:t>准画像，通过各种品牌活动、市场营销，尤其是在线数字营销，包括搜索营销、联盟营销、内容营销以及社交媒体等方式高</w:t>
      </w:r>
      <w:r>
        <w:rPr>
          <w:spacing w:val="-67"/>
        </w:rPr>
        <w:t> </w:t>
      </w:r>
      <w:r>
        <w:rPr>
          <w:spacing w:val="-67"/>
        </w:rPr>
      </w:r>
      <w:r>
        <w:rPr>
          <w:spacing w:val="-1"/>
        </w:rPr>
        <w:t>性价比的获取签约客户；另一方面，公司先后与百度、腾讯、阿里巴巴、微博、一点资讯、搜狗、</w:t>
      </w:r>
      <w:r>
        <w:rPr>
          <w:rFonts w:ascii="宋体" w:hAnsi="宋体" w:cs="宋体" w:eastAsia="宋体" w:hint="default"/>
          <w:spacing w:val="-1"/>
        </w:rPr>
        <w:t>360</w:t>
      </w:r>
      <w:r>
        <w:rPr>
          <w:rFonts w:ascii="宋体" w:hAnsi="宋体" w:cs="宋体" w:eastAsia="宋体" w:hint="default"/>
          <w:spacing w:val="-38"/>
        </w:rPr>
        <w:t> </w:t>
      </w:r>
      <w:r>
        <w:rPr/>
        <w:t>等互联网平台结成战</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3"/>
        <w:jc w:val="both"/>
      </w:pPr>
      <w:r>
        <w:rPr>
          <w:spacing w:val="-2"/>
        </w:rPr>
        <w:t>略合作伙伴，基于内容和数据的技术对接，使得公司内容和服务能覆盖到互联网平台所聚集的海量的自媒体、中小广告主及</w:t>
      </w:r>
      <w:r>
        <w:rPr>
          <w:spacing w:val="-66"/>
        </w:rPr>
        <w:t> </w:t>
      </w:r>
      <w:r>
        <w:rPr>
          <w:spacing w:val="-66"/>
        </w:rPr>
      </w:r>
      <w:r>
        <w:rPr>
          <w:spacing w:val="-2"/>
        </w:rPr>
        <w:t>商家等长尾用户；同时公司还通过版权追踪系统，了解潜在客户对内容的需求，将未经授权的使用行为转化为合法合规的版</w:t>
      </w:r>
      <w:r>
        <w:rPr>
          <w:spacing w:val="-66"/>
        </w:rPr>
        <w:t> </w:t>
      </w:r>
      <w:r>
        <w:rPr>
          <w:spacing w:val="-66"/>
        </w:rPr>
      </w:r>
      <w:r>
        <w:rPr/>
        <w:t>权使用行为，在保护供稿者权益的同时，推动整个内容生态环境里合法合规用户群体的增长。</w:t>
      </w:r>
      <w:r>
        <w:rPr>
          <w:rFonts w:ascii="宋体" w:hAnsi="宋体" w:cs="宋体" w:eastAsia="宋体" w:hint="default"/>
        </w:rPr>
        <w:t>2018</w:t>
      </w:r>
      <w:r>
        <w:rPr>
          <w:rFonts w:ascii="宋体" w:hAnsi="宋体" w:cs="宋体" w:eastAsia="宋体" w:hint="default"/>
          <w:spacing w:val="-46"/>
        </w:rPr>
        <w:t> </w:t>
      </w:r>
      <w:r>
        <w:rPr/>
        <w:t>年，公司通过法律诉讼 胜诉的判决金额占比小于主营业务收入的</w:t>
      </w:r>
      <w:r>
        <w:rPr>
          <w:spacing w:val="-46"/>
        </w:rPr>
        <w:t> </w:t>
      </w:r>
      <w:r>
        <w:rPr>
          <w:rFonts w:ascii="宋体" w:hAnsi="宋体" w:cs="宋体" w:eastAsia="宋体" w:hint="default"/>
        </w:rPr>
        <w:t>1%</w:t>
      </w:r>
      <w:r>
        <w:rPr/>
        <w:t>。截至</w:t>
      </w:r>
      <w:r>
        <w:rPr>
          <w:spacing w:val="-46"/>
        </w:rPr>
        <w:t> </w:t>
      </w:r>
      <w:r>
        <w:rPr>
          <w:rFonts w:ascii="宋体" w:hAnsi="宋体" w:cs="宋体" w:eastAsia="宋体" w:hint="default"/>
        </w:rPr>
        <w:t>2018</w:t>
      </w:r>
      <w:r>
        <w:rPr>
          <w:rFonts w:ascii="宋体" w:hAnsi="宋体" w:cs="宋体" w:eastAsia="宋体" w:hint="default"/>
          <w:spacing w:val="-45"/>
        </w:rPr>
        <w:t> </w:t>
      </w:r>
      <w:r>
        <w:rPr/>
        <w:t>年末，公司直接签约客户数量超过</w:t>
      </w:r>
      <w:r>
        <w:rPr>
          <w:spacing w:val="-46"/>
        </w:rPr>
        <w:t> </w:t>
      </w:r>
      <w:r>
        <w:rPr>
          <w:rFonts w:ascii="宋体" w:hAnsi="宋体" w:cs="宋体" w:eastAsia="宋体" w:hint="default"/>
        </w:rPr>
        <w:t>14,000</w:t>
      </w:r>
      <w:r>
        <w:rPr>
          <w:rFonts w:ascii="宋体" w:hAnsi="宋体" w:cs="宋体" w:eastAsia="宋体" w:hint="default"/>
          <w:spacing w:val="-45"/>
        </w:rPr>
        <w:t> </w:t>
      </w:r>
      <w:r>
        <w:rPr/>
        <w:t>家，通过互联网平台进</w:t>
      </w:r>
    </w:p>
    <w:p>
      <w:pPr>
        <w:pStyle w:val="BodyText"/>
        <w:spacing w:line="316" w:lineRule="auto" w:before="19"/>
        <w:ind w:left="514" w:right="8504" w:hanging="360"/>
        <w:jc w:val="left"/>
        <w:rPr>
          <w:rFonts w:ascii="宋体" w:hAnsi="宋体" w:cs="宋体" w:eastAsia="宋体" w:hint="default"/>
        </w:rPr>
      </w:pPr>
      <w:r>
        <w:rPr/>
        <w:t>行内容授权的用户近</w:t>
      </w:r>
      <w:r>
        <w:rPr>
          <w:spacing w:val="-46"/>
        </w:rPr>
        <w:t> </w:t>
      </w:r>
      <w:r>
        <w:rPr>
          <w:rFonts w:ascii="宋体" w:hAnsi="宋体" w:cs="宋体" w:eastAsia="宋体" w:hint="default"/>
        </w:rPr>
        <w:t>33</w:t>
      </w:r>
      <w:r>
        <w:rPr>
          <w:rFonts w:ascii="宋体" w:hAnsi="宋体" w:cs="宋体" w:eastAsia="宋体" w:hint="default"/>
          <w:spacing w:val="-46"/>
        </w:rPr>
        <w:t> </w:t>
      </w:r>
      <w:r>
        <w:rPr/>
        <w:t>万。 </w:t>
      </w:r>
      <w:r>
        <w:rPr>
          <w:rFonts w:ascii="宋体" w:hAnsi="宋体" w:cs="宋体" w:eastAsia="宋体" w:hint="default"/>
          <w:b/>
          <w:bCs/>
          <w:w w:val="99"/>
        </w:rPr>
      </w:r>
      <w:r>
        <w:rPr>
          <w:rFonts w:ascii="宋体" w:hAnsi="宋体" w:cs="宋体" w:eastAsia="宋体" w:hint="default"/>
          <w:b/>
          <w:bCs/>
          <w:u w:val="single" w:color="000000"/>
        </w:rPr>
        <w:t>生态打造</w:t>
      </w:r>
      <w:r>
        <w:rPr>
          <w:rFonts w:ascii="宋体" w:hAnsi="宋体" w:cs="宋体" w:eastAsia="宋体" w:hint="default"/>
          <w:b/>
          <w:bCs/>
        </w:rPr>
      </w:r>
      <w:r>
        <w:rPr>
          <w:rFonts w:ascii="宋体" w:hAnsi="宋体" w:cs="宋体" w:eastAsia="宋体" w:hint="default"/>
        </w:rPr>
      </w:r>
    </w:p>
    <w:p>
      <w:pPr>
        <w:pStyle w:val="BodyText"/>
        <w:spacing w:line="300" w:lineRule="auto" w:before="19"/>
        <w:ind w:right="1130" w:firstLine="360"/>
        <w:jc w:val="both"/>
      </w:pPr>
      <w:r>
        <w:rPr>
          <w:spacing w:val="-2"/>
        </w:rPr>
        <w:t>基于公司从“平台”到“生态”的发展战略，公司致力于</w:t>
      </w:r>
      <w:r>
        <w:rPr>
          <w:rFonts w:ascii="Times New Roman" w:hAnsi="Times New Roman" w:cs="Times New Roman" w:eastAsia="Times New Roman" w:hint="default"/>
          <w:spacing w:val="-2"/>
        </w:rPr>
        <w:t>“</w:t>
      </w:r>
      <w:r>
        <w:rPr>
          <w:spacing w:val="-2"/>
        </w:rPr>
        <w:t>社区</w:t>
      </w:r>
      <w:r>
        <w:rPr>
          <w:rFonts w:ascii="宋体" w:hAnsi="宋体" w:cs="宋体" w:eastAsia="宋体" w:hint="default"/>
          <w:spacing w:val="-2"/>
        </w:rPr>
        <w:t>+</w:t>
      </w:r>
      <w:r>
        <w:rPr>
          <w:spacing w:val="-2"/>
        </w:rPr>
        <w:t>工具</w:t>
      </w:r>
      <w:r>
        <w:rPr>
          <w:rFonts w:ascii="宋体" w:hAnsi="宋体" w:cs="宋体" w:eastAsia="宋体" w:hint="default"/>
          <w:spacing w:val="-2"/>
        </w:rPr>
        <w:t>+</w:t>
      </w:r>
      <w:r>
        <w:rPr>
          <w:spacing w:val="-2"/>
        </w:rPr>
        <w:t>交易</w:t>
      </w:r>
      <w:r>
        <w:rPr>
          <w:rFonts w:ascii="Times New Roman" w:hAnsi="Times New Roman" w:cs="Times New Roman" w:eastAsia="Times New Roman" w:hint="default"/>
          <w:spacing w:val="-2"/>
        </w:rPr>
        <w:t>”</w:t>
      </w:r>
      <w:r>
        <w:rPr>
          <w:spacing w:val="-2"/>
        </w:rPr>
        <w:t>的生态打造，巩固内容核心优质资源，深入</w:t>
      </w:r>
      <w:r>
        <w:rPr/>
        <w:t> 内容创作者的工作流程，提供内容生产、消费、分发的全流程服务，加强了公司作为视觉行业基础设施的作用和价值。</w:t>
      </w:r>
    </w:p>
    <w:p>
      <w:pPr>
        <w:pStyle w:val="BodyText"/>
        <w:spacing w:line="316" w:lineRule="auto" w:before="31"/>
        <w:ind w:right="1131" w:firstLine="360"/>
        <w:jc w:val="both"/>
      </w:pPr>
      <w:r>
        <w:rPr/>
        <w:t>公司于</w:t>
      </w:r>
      <w:r>
        <w:rPr>
          <w:spacing w:val="-46"/>
        </w:rPr>
        <w:t> </w:t>
      </w:r>
      <w:r>
        <w:rPr>
          <w:rFonts w:ascii="宋体" w:hAnsi="宋体" w:cs="宋体" w:eastAsia="宋体" w:hint="default"/>
        </w:rPr>
        <w:t>2018</w:t>
      </w:r>
      <w:r>
        <w:rPr>
          <w:rFonts w:ascii="宋体" w:hAnsi="宋体" w:cs="宋体" w:eastAsia="宋体" w:hint="default"/>
          <w:spacing w:val="-46"/>
        </w:rPr>
        <w:t> </w:t>
      </w:r>
      <w:r>
        <w:rPr/>
        <w:t>年通过收购</w:t>
      </w:r>
      <w:r>
        <w:rPr>
          <w:spacing w:val="-46"/>
        </w:rPr>
        <w:t> </w:t>
      </w:r>
      <w:r>
        <w:rPr>
          <w:rFonts w:ascii="宋体" w:hAnsi="宋体" w:cs="宋体" w:eastAsia="宋体" w:hint="default"/>
        </w:rPr>
        <w:t>500px</w:t>
      </w:r>
      <w:r>
        <w:rPr>
          <w:rFonts w:ascii="宋体" w:hAnsi="宋体" w:cs="宋体" w:eastAsia="宋体" w:hint="default"/>
          <w:spacing w:val="-46"/>
        </w:rPr>
        <w:t> </w:t>
      </w:r>
      <w:r>
        <w:rPr/>
        <w:t>拥有了全球性的摄影创作社交网络平台。收购</w:t>
      </w:r>
      <w:r>
        <w:rPr>
          <w:spacing w:val="-46"/>
        </w:rPr>
        <w:t> </w:t>
      </w:r>
      <w:r>
        <w:rPr>
          <w:rFonts w:ascii="宋体" w:hAnsi="宋体" w:cs="宋体" w:eastAsia="宋体" w:hint="default"/>
        </w:rPr>
        <w:t>500px</w:t>
      </w:r>
      <w:r>
        <w:rPr>
          <w:rFonts w:ascii="宋体" w:hAnsi="宋体" w:cs="宋体" w:eastAsia="宋体" w:hint="default"/>
          <w:spacing w:val="-46"/>
        </w:rPr>
        <w:t> </w:t>
      </w:r>
      <w:r>
        <w:rPr/>
        <w:t>大大拓展了公司不断生产海量全球 </w:t>
      </w:r>
      <w:r>
        <w:rPr>
          <w:spacing w:val="-2"/>
        </w:rPr>
        <w:t>优质视觉内容的能力，巩固和强化了公司内容的核心竞争力，完善了公司的平台生态。通过</w:t>
      </w:r>
      <w:r>
        <w:rPr>
          <w:spacing w:val="-37"/>
        </w:rPr>
        <w:t> </w:t>
      </w:r>
      <w:r>
        <w:rPr>
          <w:rFonts w:ascii="宋体" w:hAnsi="宋体" w:cs="宋体" w:eastAsia="宋体" w:hint="default"/>
        </w:rPr>
        <w:t>500px</w:t>
      </w:r>
      <w:r>
        <w:rPr>
          <w:rFonts w:ascii="宋体" w:hAnsi="宋体" w:cs="宋体" w:eastAsia="宋体" w:hint="default"/>
          <w:spacing w:val="-38"/>
        </w:rPr>
        <w:t> </w:t>
      </w:r>
      <w:r>
        <w:rPr>
          <w:spacing w:val="-2"/>
        </w:rPr>
        <w:t>全球化的社交平台，公司</w:t>
      </w:r>
      <w:r>
        <w:rPr/>
        <w:t> </w:t>
      </w:r>
      <w:r>
        <w:rPr>
          <w:spacing w:val="-2"/>
        </w:rPr>
        <w:t>不仅为全球千万级内容供稿方提供版权交易服务，还将提供社交互动、知识付费、工具服务、衍生品电商、版权保护等的全</w:t>
      </w:r>
      <w:r>
        <w:rPr>
          <w:spacing w:val="-66"/>
        </w:rPr>
        <w:t> </w:t>
      </w:r>
      <w:r>
        <w:rPr>
          <w:spacing w:val="-66"/>
        </w:rPr>
      </w:r>
      <w:r>
        <w:rPr/>
        <w:t>链条、“一站式”的各类增值服务。</w:t>
      </w:r>
    </w:p>
    <w:p>
      <w:pPr>
        <w:pStyle w:val="BodyText"/>
        <w:spacing w:line="300" w:lineRule="auto" w:before="19"/>
        <w:ind w:right="1130" w:firstLine="360"/>
        <w:jc w:val="both"/>
      </w:pPr>
      <w:r>
        <w:rPr>
          <w:spacing w:val="-2"/>
        </w:rPr>
        <w:t>未来公司还将持续围绕</w:t>
      </w:r>
      <w:r>
        <w:rPr>
          <w:rFonts w:ascii="Times New Roman" w:hAnsi="Times New Roman" w:cs="Times New Roman" w:eastAsia="Times New Roman" w:hint="default"/>
          <w:spacing w:val="-2"/>
        </w:rPr>
        <w:t>“</w:t>
      </w:r>
      <w:r>
        <w:rPr>
          <w:spacing w:val="-2"/>
        </w:rPr>
        <w:t>社区</w:t>
      </w:r>
      <w:r>
        <w:rPr>
          <w:rFonts w:ascii="Times New Roman" w:hAnsi="Times New Roman" w:cs="Times New Roman" w:eastAsia="Times New Roman" w:hint="default"/>
          <w:spacing w:val="-2"/>
        </w:rPr>
        <w:t>+</w:t>
      </w:r>
      <w:r>
        <w:rPr>
          <w:spacing w:val="-2"/>
        </w:rPr>
        <w:t>工具</w:t>
      </w:r>
      <w:r>
        <w:rPr>
          <w:rFonts w:ascii="Times New Roman" w:hAnsi="Times New Roman" w:cs="Times New Roman" w:eastAsia="Times New Roman" w:hint="default"/>
          <w:spacing w:val="-2"/>
        </w:rPr>
        <w:t>+</w:t>
      </w:r>
      <w:r>
        <w:rPr>
          <w:spacing w:val="-2"/>
        </w:rPr>
        <w:t>交易</w:t>
      </w:r>
      <w:r>
        <w:rPr>
          <w:rFonts w:ascii="Times New Roman" w:hAnsi="Times New Roman" w:cs="Times New Roman" w:eastAsia="Times New Roman" w:hint="default"/>
          <w:spacing w:val="-2"/>
        </w:rPr>
        <w:t>”</w:t>
      </w:r>
      <w:r>
        <w:rPr>
          <w:spacing w:val="-2"/>
        </w:rPr>
        <w:t>的策略，通过收并购、战略投资等方式提升公司的核心竞争力及全面服务平台</w:t>
      </w:r>
      <w:r>
        <w:rPr/>
        <w:t> 两端的内容创作者及内容使用方的能力。</w:t>
      </w:r>
    </w:p>
    <w:p>
      <w:pPr>
        <w:spacing w:line="240" w:lineRule="auto" w:before="0"/>
        <w:rPr>
          <w:rFonts w:ascii="宋体" w:hAnsi="宋体" w:cs="宋体" w:eastAsia="宋体" w:hint="default"/>
          <w:sz w:val="18"/>
          <w:szCs w:val="18"/>
        </w:rPr>
      </w:pPr>
    </w:p>
    <w:p>
      <w:pPr>
        <w:pStyle w:val="BodyText"/>
        <w:spacing w:line="357" w:lineRule="auto" w:before="148"/>
        <w:ind w:left="514" w:right="0" w:firstLine="1"/>
        <w:jc w:val="left"/>
      </w:pPr>
      <w:r>
        <w:rPr>
          <w:rFonts w:ascii="宋体" w:hAnsi="宋体" w:cs="宋体" w:eastAsia="宋体" w:hint="default"/>
          <w:b/>
          <w:bCs/>
          <w:w w:val="99"/>
        </w:rPr>
      </w:r>
      <w:r>
        <w:rPr>
          <w:rFonts w:ascii="宋体" w:hAnsi="宋体" w:cs="宋体" w:eastAsia="宋体" w:hint="default"/>
          <w:b/>
          <w:bCs/>
          <w:u w:val="single" w:color="000000"/>
        </w:rPr>
        <w:t>视觉内容和行业的结合</w:t>
      </w:r>
      <w:r>
        <w:rPr>
          <w:rFonts w:ascii="宋体" w:hAnsi="宋体" w:cs="宋体" w:eastAsia="宋体" w:hint="default"/>
          <w:b/>
          <w:bCs/>
          <w:w w:val="99"/>
        </w:rPr>
      </w:r>
      <w:r>
        <w:rPr>
          <w:rFonts w:ascii="宋体" w:hAnsi="宋体" w:cs="宋体" w:eastAsia="宋体" w:hint="default"/>
          <w:b/>
          <w:bCs/>
          <w:w w:val="99"/>
        </w:rPr>
        <w:t> </w:t>
      </w:r>
      <w:r>
        <w:rPr>
          <w:spacing w:val="-2"/>
        </w:rPr>
        <w:t>公司在聚焦核心主业前提下，将平台的核心竞争力与以视觉内容为重度使用场景的垂直行业如旅游、教育等相结合，以</w:t>
      </w:r>
    </w:p>
    <w:p>
      <w:pPr>
        <w:pStyle w:val="BodyText"/>
        <w:spacing w:line="224" w:lineRule="exact" w:before="0"/>
        <w:ind w:right="0"/>
        <w:jc w:val="both"/>
      </w:pPr>
      <w:r>
        <w:rPr/>
        <w:t>经济有效的方式进入 </w:t>
      </w:r>
      <w:r>
        <w:rPr>
          <w:rFonts w:ascii="宋体" w:hAnsi="宋体" w:cs="宋体" w:eastAsia="宋体" w:hint="default"/>
        </w:rPr>
        <w:t>2C </w:t>
      </w:r>
      <w:r>
        <w:rPr/>
        <w:t>的垂直行业，充分发挥优质内容、科技创新与旅游、教育等行业的协同效应，构建“视觉</w:t>
      </w:r>
      <w:r>
        <w:rPr>
          <w:rFonts w:ascii="宋体" w:hAnsi="宋体" w:cs="宋体" w:eastAsia="宋体" w:hint="default"/>
        </w:rPr>
        <w:t>+</w:t>
      </w:r>
      <w:r>
        <w:rPr/>
        <w:t>行业”</w:t>
      </w:r>
    </w:p>
    <w:p>
      <w:pPr>
        <w:pStyle w:val="BodyText"/>
        <w:spacing w:line="240" w:lineRule="auto" w:before="77"/>
        <w:ind w:right="0"/>
        <w:jc w:val="both"/>
      </w:pPr>
      <w:r>
        <w:rPr/>
        <w:t>的战略布局，完善及延展上市公司的业务生态，最终实现“视觉无处不在，视觉服务中国”的企业愿景。</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7"/>
        <w:spacing w:line="240" w:lineRule="auto"/>
        <w:ind w:right="0"/>
        <w:jc w:val="left"/>
        <w:rPr>
          <w:b w:val="0"/>
          <w:bCs w:val="0"/>
        </w:rPr>
      </w:pPr>
      <w:r>
        <w:rPr/>
        <w:t>（二）行业发展介绍</w:t>
      </w:r>
      <w:r>
        <w:rPr>
          <w:b w:val="0"/>
          <w:bCs w:val="0"/>
        </w:rPr>
      </w:r>
    </w:p>
    <w:p>
      <w:pPr>
        <w:pStyle w:val="BodyText"/>
        <w:spacing w:line="300" w:lineRule="auto" w:before="115"/>
        <w:ind w:right="1139" w:firstLine="360"/>
        <w:jc w:val="both"/>
      </w:pPr>
      <w:r>
        <w:rPr/>
        <w:t>视觉内容产业在</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世纪</w:t>
      </w:r>
      <w:r>
        <w:rPr>
          <w:spacing w:val="-46"/>
        </w:rPr>
        <w:t> </w:t>
      </w:r>
      <w:r>
        <w:rPr>
          <w:rFonts w:ascii="Times New Roman" w:hAnsi="Times New Roman" w:cs="Times New Roman" w:eastAsia="Times New Roman" w:hint="default"/>
        </w:rPr>
        <w:t>90 </w:t>
      </w:r>
      <w:r>
        <w:rPr/>
        <w:t>年代进入数字时代后进入了高速增长的快车道，在经历了近</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年互联网时代的飞速发展， 目前进入了智能服务时代。技术变革、科技创新对整个产业起到了革命性的作用。</w:t>
      </w:r>
    </w:p>
    <w:p>
      <w:pPr>
        <w:pStyle w:val="BodyText"/>
        <w:spacing w:line="314" w:lineRule="auto" w:before="31"/>
        <w:ind w:right="1130" w:firstLine="360"/>
        <w:jc w:val="both"/>
      </w:pPr>
      <w:r>
        <w:rPr>
          <w:rFonts w:ascii="宋体" w:hAnsi="宋体" w:cs="宋体" w:eastAsia="宋体" w:hint="default"/>
          <w:b/>
          <w:bCs/>
        </w:rPr>
        <w:t>内容视觉化</w:t>
      </w:r>
      <w:r>
        <w:rPr>
          <w:rFonts w:ascii="宋体" w:hAnsi="宋体" w:cs="宋体" w:eastAsia="宋体" w:hint="default"/>
          <w:b/>
          <w:bCs/>
          <w:spacing w:val="-13"/>
        </w:rPr>
        <w:t> </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互联网的发展已经从流量竞争进入内容竞争，流量是入口，内容则是制高点。信息传播从</w:t>
      </w:r>
      <w:r>
        <w:rPr>
          <w:spacing w:val="-53"/>
        </w:rPr>
        <w:t> </w:t>
      </w:r>
      <w:r>
        <w:rPr>
          <w:rFonts w:ascii="宋体" w:hAnsi="宋体" w:cs="宋体" w:eastAsia="宋体" w:hint="default"/>
        </w:rPr>
        <w:t>PC</w:t>
      </w:r>
      <w:r>
        <w:rPr>
          <w:rFonts w:ascii="宋体" w:hAnsi="宋体" w:cs="宋体" w:eastAsia="宋体" w:hint="default"/>
          <w:spacing w:val="-53"/>
        </w:rPr>
        <w:t> </w:t>
      </w:r>
      <w:r>
        <w:rPr>
          <w:spacing w:val="-3"/>
        </w:rPr>
        <w:t>时代的“人</w:t>
      </w:r>
      <w:r>
        <w:rPr/>
        <w:t> 找信息”演变为移动时代的“信息找人”。以腾讯、阿里巴巴、百度为代表的</w:t>
      </w:r>
      <w:r>
        <w:rPr>
          <w:spacing w:val="-46"/>
        </w:rPr>
        <w:t> </w:t>
      </w:r>
      <w:r>
        <w:rPr>
          <w:rFonts w:ascii="宋体" w:hAnsi="宋体" w:cs="宋体" w:eastAsia="宋体" w:hint="default"/>
        </w:rPr>
        <w:t>BAT</w:t>
      </w:r>
      <w:r>
        <w:rPr/>
        <w:t>，终端硬件、浏览器，以及超级</w:t>
      </w:r>
      <w:r>
        <w:rPr>
          <w:spacing w:val="-46"/>
        </w:rPr>
        <w:t> </w:t>
      </w:r>
      <w:r>
        <w:rPr>
          <w:rFonts w:ascii="宋体" w:hAnsi="宋体" w:cs="宋体" w:eastAsia="宋体" w:hint="default"/>
        </w:rPr>
        <w:t>APP</w:t>
      </w:r>
      <w:r>
        <w:rPr/>
        <w:t>，如 </w:t>
      </w:r>
      <w:r>
        <w:rPr>
          <w:spacing w:val="-2"/>
        </w:rPr>
        <w:t>电商（京东、美团点评）、</w:t>
      </w:r>
      <w:r>
        <w:rPr>
          <w:rFonts w:ascii="宋体" w:hAnsi="宋体" w:cs="宋体" w:eastAsia="宋体" w:hint="default"/>
          <w:spacing w:val="-2"/>
        </w:rPr>
        <w:t>OTA</w:t>
      </w:r>
      <w:r>
        <w:rPr>
          <w:spacing w:val="-2"/>
        </w:rPr>
        <w:t>、</w:t>
      </w:r>
      <w:r>
        <w:rPr>
          <w:rFonts w:ascii="宋体" w:hAnsi="宋体" w:cs="宋体" w:eastAsia="宋体" w:hint="default"/>
          <w:spacing w:val="-2"/>
        </w:rPr>
        <w:t>wifi</w:t>
      </w:r>
      <w:r>
        <w:rPr>
          <w:rFonts w:ascii="宋体" w:hAnsi="宋体" w:cs="宋体" w:eastAsia="宋体" w:hint="default"/>
          <w:spacing w:val="-15"/>
        </w:rPr>
        <w:t> </w:t>
      </w:r>
      <w:r>
        <w:rPr>
          <w:spacing w:val="-1"/>
        </w:rPr>
        <w:t>等互联网平台都呈现优质内容驱动流量的趋势。在所有的内容载体中，图片依然是性</w:t>
      </w:r>
      <w:r>
        <w:rPr>
          <w:spacing w:val="-83"/>
        </w:rPr>
        <w:t> </w:t>
      </w:r>
      <w:r>
        <w:rPr>
          <w:spacing w:val="-83"/>
        </w:rPr>
      </w:r>
      <w:r>
        <w:rPr/>
        <w:t>价比以及传播效率最高的媒介；</w:t>
      </w:r>
      <w:r>
        <w:rPr>
          <w:rFonts w:ascii="宋体" w:hAnsi="宋体" w:cs="宋体" w:eastAsia="宋体" w:hint="default"/>
        </w:rPr>
        <w:t>2018</w:t>
      </w:r>
      <w:r>
        <w:rPr>
          <w:rFonts w:ascii="宋体" w:hAnsi="宋体" w:cs="宋体" w:eastAsia="宋体" w:hint="default"/>
          <w:spacing w:val="-52"/>
        </w:rPr>
        <w:t> </w:t>
      </w:r>
      <w:r>
        <w:rPr/>
        <w:t>年，短视频则进入爆发阶段；随着</w:t>
      </w:r>
      <w:r>
        <w:rPr>
          <w:spacing w:val="-52"/>
        </w:rPr>
        <w:t> </w:t>
      </w:r>
      <w:r>
        <w:rPr>
          <w:rFonts w:ascii="宋体" w:hAnsi="宋体" w:cs="宋体" w:eastAsia="宋体" w:hint="default"/>
        </w:rPr>
        <w:t>5G</w:t>
      </w:r>
      <w:r>
        <w:rPr>
          <w:rFonts w:ascii="宋体" w:hAnsi="宋体" w:cs="宋体" w:eastAsia="宋体" w:hint="default"/>
          <w:spacing w:val="-52"/>
        </w:rPr>
        <w:t> </w:t>
      </w:r>
      <w:r>
        <w:rPr>
          <w:spacing w:val="-3"/>
        </w:rPr>
        <w:t>时代的到来，视频、</w:t>
      </w:r>
      <w:r>
        <w:rPr>
          <w:rFonts w:ascii="宋体" w:hAnsi="宋体" w:cs="宋体" w:eastAsia="宋体" w:hint="default"/>
          <w:spacing w:val="-3"/>
        </w:rPr>
        <w:t>3D</w:t>
      </w:r>
      <w:r>
        <w:rPr>
          <w:spacing w:val="-3"/>
        </w:rPr>
        <w:t>、</w:t>
      </w:r>
      <w:r>
        <w:rPr>
          <w:rFonts w:ascii="宋体" w:hAnsi="宋体" w:cs="宋体" w:eastAsia="宋体" w:hint="default"/>
          <w:spacing w:val="-3"/>
        </w:rPr>
        <w:t>AR/VR/MR</w:t>
      </w:r>
      <w:r>
        <w:rPr>
          <w:rFonts w:ascii="宋体" w:hAnsi="宋体" w:cs="宋体" w:eastAsia="宋体" w:hint="default"/>
          <w:spacing w:val="-52"/>
        </w:rPr>
        <w:t> </w:t>
      </w:r>
      <w:r>
        <w:rPr/>
        <w:t>应用将成为趋 </w:t>
      </w:r>
      <w:r>
        <w:rPr>
          <w:spacing w:val="-2"/>
        </w:rPr>
        <w:t>势。总之，“一图胜万言”，视觉内容是连接媒体、品牌以及消费者的最高效的传播媒介，优质视觉内容将成为互联网稀缺</w:t>
      </w:r>
      <w:r>
        <w:rPr>
          <w:spacing w:val="-68"/>
        </w:rPr>
        <w:t> </w:t>
      </w:r>
      <w:r>
        <w:rPr>
          <w:spacing w:val="-68"/>
        </w:rPr>
      </w:r>
      <w:r>
        <w:rPr/>
        <w:t>资源！</w:t>
      </w:r>
    </w:p>
    <w:p>
      <w:pPr>
        <w:pStyle w:val="BodyText"/>
        <w:spacing w:line="316" w:lineRule="auto" w:before="20"/>
        <w:ind w:right="1030" w:firstLine="360"/>
        <w:jc w:val="left"/>
      </w:pPr>
      <w:r>
        <w:rPr>
          <w:rFonts w:ascii="宋体" w:hAnsi="宋体" w:cs="宋体" w:eastAsia="宋体" w:hint="default"/>
          <w:b/>
          <w:bCs/>
          <w:color w:val="252525"/>
        </w:rPr>
        <w:t>服务智能化 </w:t>
      </w:r>
      <w:r>
        <w:rPr>
          <w:color w:val="252525"/>
        </w:rPr>
        <w:t>–</w:t>
      </w:r>
      <w:r>
        <w:rPr>
          <w:color w:val="252525"/>
          <w:spacing w:val="-2"/>
        </w:rPr>
        <w:t> </w:t>
      </w:r>
      <w:r>
        <w:rPr>
          <w:color w:val="252525"/>
        </w:rPr>
        <w:t>大数据、人工智能、云计算、区块链等新兴技术正在全面改变视觉内容行业，并促使内容生产、分发、</w:t>
      </w:r>
      <w:r>
        <w:rPr>
          <w:color w:val="252525"/>
        </w:rPr>
        <w:t> </w:t>
      </w:r>
      <w:r>
        <w:rPr>
          <w:color w:val="252525"/>
          <w:spacing w:val="-2"/>
        </w:rPr>
        <w:t>消费等全面升级，其主要表</w:t>
      </w:r>
      <w:r>
        <w:rPr>
          <w:spacing w:val="-2"/>
        </w:rPr>
        <w:t>现为：智能化驱动的内容生产，以算法为核心的内容分发以及个性化与社交化交织、消费与生产</w:t>
      </w:r>
      <w:r>
        <w:rPr>
          <w:spacing w:val="-66"/>
        </w:rPr>
        <w:t> </w:t>
      </w:r>
      <w:r>
        <w:rPr>
          <w:spacing w:val="-66"/>
        </w:rPr>
      </w:r>
      <w:r>
        <w:rPr/>
        <w:t>一体的内容消费。智能时代，内容</w:t>
      </w:r>
      <w:r>
        <w:rPr>
          <w:color w:val="252525"/>
        </w:rPr>
        <w:t>的生产、分发与消费三者相互渗透、相互驱动。而集成了内容生产、分发与消费的平台，</w:t>
      </w:r>
      <w:r>
        <w:rPr>
          <w:color w:val="252525"/>
        </w:rPr>
        <w:t> </w:t>
      </w:r>
      <w:r>
        <w:rPr>
          <w:color w:val="252525"/>
          <w:spacing w:val="-2"/>
        </w:rPr>
        <w:t>也在逐步构建全新的内容生态。</w:t>
      </w:r>
      <w:r>
        <w:rPr>
          <w:spacing w:val="-2"/>
        </w:rPr>
        <w:t>技术提高了</w:t>
      </w:r>
      <w:r>
        <w:rPr>
          <w:color w:val="121212"/>
          <w:spacing w:val="-2"/>
        </w:rPr>
        <w:t>内容生产、分发、传播以及版权保护的效率，并且大范围应用，技术创新成为整</w:t>
      </w:r>
      <w:r>
        <w:rPr>
          <w:color w:val="121212"/>
          <w:spacing w:val="-66"/>
        </w:rPr>
        <w:t> </w:t>
      </w:r>
      <w:r>
        <w:rPr>
          <w:color w:val="121212"/>
          <w:spacing w:val="-66"/>
        </w:rPr>
      </w:r>
      <w:r>
        <w:rPr>
          <w:color w:val="121212"/>
        </w:rPr>
        <w:t>个行业加速度发展的核心驱动力。</w:t>
      </w:r>
      <w:r>
        <w:rPr/>
      </w:r>
    </w:p>
    <w:p>
      <w:pPr>
        <w:pStyle w:val="BodyText"/>
        <w:spacing w:line="319" w:lineRule="auto" w:before="59"/>
        <w:ind w:right="1133" w:firstLine="361"/>
        <w:jc w:val="both"/>
      </w:pPr>
      <w:r>
        <w:rPr>
          <w:rFonts w:ascii="宋体" w:hAnsi="宋体" w:cs="宋体" w:eastAsia="宋体" w:hint="default"/>
          <w:b/>
          <w:bCs/>
        </w:rPr>
        <w:t>用户大众化</w:t>
      </w:r>
      <w:r>
        <w:rPr>
          <w:rFonts w:ascii="宋体" w:hAnsi="宋体" w:cs="宋体" w:eastAsia="宋体" w:hint="default"/>
          <w:b/>
          <w:bCs/>
          <w:spacing w:val="1"/>
        </w:rPr>
        <w:t> </w:t>
      </w:r>
      <w:r>
        <w:rPr>
          <w:rFonts w:ascii="宋体" w:hAnsi="宋体" w:cs="宋体" w:eastAsia="宋体" w:hint="default"/>
        </w:rPr>
        <w:t>-</w:t>
      </w:r>
      <w:r>
        <w:rPr>
          <w:rFonts w:ascii="宋体" w:hAnsi="宋体" w:cs="宋体" w:eastAsia="宋体" w:hint="default"/>
          <w:spacing w:val="-2"/>
        </w:rPr>
        <w:t> </w:t>
      </w:r>
      <w:r>
        <w:rPr/>
        <w:t>伴随着移动互联网的快速发展，以微博（微博月活跃用户增至</w:t>
      </w:r>
      <w:r>
        <w:rPr>
          <w:spacing w:val="-46"/>
        </w:rPr>
        <w:t> </w:t>
      </w:r>
      <w:r>
        <w:rPr>
          <w:rFonts w:ascii="宋体" w:hAnsi="宋体" w:cs="宋体" w:eastAsia="宋体" w:hint="default"/>
        </w:rPr>
        <w:t>4.62</w:t>
      </w:r>
      <w:r>
        <w:rPr>
          <w:rFonts w:ascii="宋体" w:hAnsi="宋体" w:cs="宋体" w:eastAsia="宋体" w:hint="default"/>
          <w:spacing w:val="-46"/>
        </w:rPr>
        <w:t> </w:t>
      </w:r>
      <w:r>
        <w:rPr/>
        <w:t>亿）、微信公众号（</w:t>
      </w:r>
      <w:r>
        <w:rPr>
          <w:rFonts w:ascii="宋体" w:hAnsi="宋体" w:cs="宋体" w:eastAsia="宋体" w:hint="default"/>
        </w:rPr>
        <w:t>2000</w:t>
      </w:r>
      <w:r>
        <w:rPr>
          <w:rFonts w:ascii="宋体" w:hAnsi="宋体" w:cs="宋体" w:eastAsia="宋体" w:hint="default"/>
          <w:spacing w:val="-46"/>
        </w:rPr>
        <w:t> </w:t>
      </w:r>
      <w:r>
        <w:rPr/>
        <w:t>万公众号 中月活数量已达</w:t>
      </w:r>
      <w:r>
        <w:rPr>
          <w:spacing w:val="-46"/>
        </w:rPr>
        <w:t> </w:t>
      </w:r>
      <w:r>
        <w:rPr>
          <w:rFonts w:ascii="宋体" w:hAnsi="宋体" w:cs="宋体" w:eastAsia="宋体" w:hint="default"/>
        </w:rPr>
        <w:t>350</w:t>
      </w:r>
      <w:r>
        <w:rPr>
          <w:rFonts w:ascii="宋体" w:hAnsi="宋体" w:cs="宋体" w:eastAsia="宋体" w:hint="default"/>
          <w:spacing w:val="-46"/>
        </w:rPr>
        <w:t> </w:t>
      </w:r>
      <w:r>
        <w:rPr/>
        <w:t>万个）为代表的社交媒体蓬勃发展。</w:t>
      </w:r>
      <w:r>
        <w:rPr>
          <w:rFonts w:ascii="宋体" w:hAnsi="宋体" w:cs="宋体" w:eastAsia="宋体" w:hint="default"/>
        </w:rPr>
        <w:t>2018</w:t>
      </w:r>
      <w:r>
        <w:rPr>
          <w:rFonts w:ascii="宋体" w:hAnsi="宋体" w:cs="宋体" w:eastAsia="宋体" w:hint="default"/>
          <w:spacing w:val="-46"/>
        </w:rPr>
        <w:t> </w:t>
      </w:r>
      <w:r>
        <w:rPr/>
        <w:t>年，微信拉动的数字内容消费达</w:t>
      </w:r>
      <w:r>
        <w:rPr>
          <w:spacing w:val="-46"/>
        </w:rPr>
        <w:t> </w:t>
      </w:r>
      <w:r>
        <w:rPr>
          <w:rFonts w:ascii="宋体" w:hAnsi="宋体" w:cs="宋体" w:eastAsia="宋体" w:hint="default"/>
        </w:rPr>
        <w:t>294</w:t>
      </w:r>
      <w:r>
        <w:rPr>
          <w:rFonts w:ascii="宋体" w:hAnsi="宋体" w:cs="宋体" w:eastAsia="宋体" w:hint="default"/>
          <w:spacing w:val="-46"/>
        </w:rPr>
        <w:t> </w:t>
      </w:r>
      <w:r>
        <w:rPr/>
        <w:t>亿元。自媒体、内容电 商、信息流广告、智能内容生产等众多新兴应用服务和场景涌现，产业规模不断扩大，这些都导致了和图片、视频相关的 </w:t>
      </w:r>
      <w:r>
        <w:rPr>
          <w:rFonts w:ascii="宋体" w:hAnsi="宋体" w:cs="宋体" w:eastAsia="宋体" w:hint="default"/>
        </w:rPr>
        <w:t>PGC</w:t>
      </w:r>
      <w:r>
        <w:rPr>
          <w:rFonts w:ascii="宋体" w:hAnsi="宋体" w:cs="宋体" w:eastAsia="宋体" w:hint="default"/>
          <w:spacing w:val="-35"/>
        </w:rPr>
        <w:t> </w:t>
      </w:r>
      <w:r>
        <w:rPr>
          <w:spacing w:val="-1"/>
        </w:rPr>
        <w:t>视觉内容的需求激增，使得市场从原有的小众的专业市场变成了大众的海量市场，规模有了一个质的飞跃，达到了“池</w:t>
      </w:r>
      <w:r>
        <w:rPr/>
        <w:t> 塘变大海”的效果。</w:t>
      </w:r>
    </w:p>
    <w:p>
      <w:pPr>
        <w:pStyle w:val="BodyText"/>
        <w:spacing w:line="319" w:lineRule="auto" w:before="56"/>
        <w:ind w:right="1031" w:firstLine="361"/>
        <w:jc w:val="left"/>
      </w:pPr>
      <w:r>
        <w:rPr>
          <w:rFonts w:ascii="宋体" w:hAnsi="宋体" w:cs="宋体" w:eastAsia="宋体" w:hint="default"/>
          <w:b/>
          <w:bCs/>
          <w:color w:val="121212"/>
        </w:rPr>
        <w:t>生产社会化</w:t>
      </w:r>
      <w:r>
        <w:rPr>
          <w:rFonts w:ascii="宋体" w:hAnsi="宋体" w:cs="宋体" w:eastAsia="宋体" w:hint="default"/>
          <w:b/>
          <w:bCs/>
          <w:color w:val="121212"/>
          <w:spacing w:val="8"/>
        </w:rPr>
        <w:t> </w:t>
      </w:r>
      <w:r>
        <w:rPr>
          <w:rFonts w:ascii="宋体" w:hAnsi="宋体" w:cs="宋体" w:eastAsia="宋体" w:hint="default"/>
          <w:color w:val="121212"/>
          <w:spacing w:val="-4"/>
        </w:rPr>
        <w:t>-</w:t>
      </w:r>
      <w:r>
        <w:rPr>
          <w:color w:val="121212"/>
          <w:spacing w:val="-4"/>
        </w:rPr>
        <w:t>“人人都是创作者”。一方面，内容生产工具平民化，自媒体平台快速发展，另一方面，智能终端的普及、</w:t>
      </w:r>
      <w:r>
        <w:rPr>
          <w:color w:val="121212"/>
        </w:rPr>
        <w:t> </w:t>
      </w:r>
      <w:r>
        <w:rPr>
          <w:color w:val="121212"/>
          <w:spacing w:val="-2"/>
        </w:rPr>
        <w:t>人工智能算法技术的成熟，内容消费的个性化需求不断提升，内容生产的社会化和众包化成为行业趋势，大量的非职业内容</w:t>
      </w:r>
      <w:r>
        <w:rPr>
          <w:color w:val="121212"/>
          <w:spacing w:val="-66"/>
        </w:rPr>
        <w:t> </w:t>
      </w:r>
      <w:r>
        <w:rPr>
          <w:color w:val="121212"/>
          <w:spacing w:val="-66"/>
        </w:rPr>
      </w:r>
      <w:r>
        <w:rPr>
          <w:color w:val="121212"/>
        </w:rPr>
        <w:t>创作者进入内容生产领域，海量提供各类内容。如何为海量的创作者提供高效、专业的服务成为行业未来新的增长点。</w:t>
      </w:r>
      <w:r>
        <w:rPr/>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ind w:right="1022" w:firstLine="361"/>
        <w:jc w:val="left"/>
      </w:pPr>
      <w:r>
        <w:rPr>
          <w:rFonts w:ascii="宋体" w:hAnsi="宋体" w:cs="宋体" w:eastAsia="宋体" w:hint="default"/>
          <w:b/>
          <w:bCs/>
        </w:rPr>
        <w:t>版权规范化</w:t>
      </w:r>
      <w:r>
        <w:rPr>
          <w:rFonts w:ascii="宋体" w:hAnsi="宋体" w:cs="宋体" w:eastAsia="宋体" w:hint="default"/>
          <w:b/>
          <w:bCs/>
          <w:spacing w:val="-42"/>
        </w:rPr>
        <w:t> </w:t>
      </w:r>
      <w:r>
        <w:rPr>
          <w:rFonts w:ascii="宋体" w:hAnsi="宋体" w:cs="宋体" w:eastAsia="宋体" w:hint="default"/>
        </w:rPr>
        <w:t>-</w:t>
      </w:r>
      <w:r>
        <w:rPr>
          <w:rFonts w:ascii="宋体" w:hAnsi="宋体" w:cs="宋体" w:eastAsia="宋体" w:hint="default"/>
          <w:spacing w:val="-43"/>
        </w:rPr>
        <w:t> </w:t>
      </w:r>
      <w:r>
        <w:rPr>
          <w:color w:val="121212"/>
        </w:rPr>
        <w:t>国家对著作权保护力度不断加大，相关法律不断完善，公众版权意识不断增强，版权产业快速持续增长。 </w:t>
      </w:r>
      <w:r>
        <w:rPr>
          <w:rFonts w:ascii="宋体" w:hAnsi="宋体" w:cs="宋体" w:eastAsia="宋体" w:hint="default"/>
          <w:color w:val="121212"/>
        </w:rPr>
        <w:t>2018</w:t>
      </w:r>
      <w:r>
        <w:rPr>
          <w:rFonts w:ascii="宋体" w:hAnsi="宋体" w:cs="宋体" w:eastAsia="宋体" w:hint="default"/>
          <w:color w:val="121212"/>
          <w:spacing w:val="-66"/>
        </w:rPr>
        <w:t> </w:t>
      </w:r>
      <w:r>
        <w:rPr>
          <w:color w:val="121212"/>
        </w:rPr>
        <w:t>年第十三届全国人大《政府工作报告》中明确指出：“强化知识产权保护，实行侵权惩罚性赔偿制度”。</w:t>
      </w:r>
      <w:r>
        <w:rPr>
          <w:rFonts w:ascii="宋体" w:hAnsi="宋体" w:cs="宋体" w:eastAsia="宋体" w:hint="default"/>
          <w:color w:val="121212"/>
        </w:rPr>
        <w:t>2018</w:t>
      </w:r>
      <w:r>
        <w:rPr>
          <w:rFonts w:ascii="宋体" w:hAnsi="宋体" w:cs="宋体" w:eastAsia="宋体" w:hint="default"/>
          <w:color w:val="121212"/>
          <w:spacing w:val="-66"/>
        </w:rPr>
        <w:t> </w:t>
      </w:r>
      <w:r>
        <w:rPr>
          <w:color w:val="121212"/>
        </w:rPr>
        <w:t>年</w:t>
      </w:r>
      <w:r>
        <w:rPr>
          <w:color w:val="121212"/>
          <w:spacing w:val="-66"/>
        </w:rPr>
        <w:t> </w:t>
      </w:r>
      <w:r>
        <w:rPr>
          <w:rFonts w:ascii="宋体" w:hAnsi="宋体" w:cs="宋体" w:eastAsia="宋体" w:hint="default"/>
          <w:color w:val="121212"/>
        </w:rPr>
        <w:t>3</w:t>
      </w:r>
      <w:r>
        <w:rPr>
          <w:rFonts w:ascii="宋体" w:hAnsi="宋体" w:cs="宋体" w:eastAsia="宋体" w:hint="default"/>
          <w:color w:val="121212"/>
          <w:spacing w:val="-66"/>
        </w:rPr>
        <w:t> </w:t>
      </w:r>
      <w:r>
        <w:rPr>
          <w:color w:val="121212"/>
        </w:rPr>
        <w:t>月，</w:t>
      </w:r>
      <w:r>
        <w:rPr>
          <w:color w:val="121212"/>
          <w:spacing w:val="1"/>
        </w:rPr>
        <w:t> </w:t>
      </w:r>
      <w:r>
        <w:rPr>
          <w:color w:val="121212"/>
          <w:spacing w:val="-2"/>
        </w:rPr>
        <w:t>中共中央印发《深化党和国家机构改革方案》，党中央决定中央宣传部对外加挂国家新闻出版署（国家版权局）牌子，中宣</w:t>
      </w:r>
      <w:r>
        <w:rPr>
          <w:color w:val="121212"/>
          <w:spacing w:val="-68"/>
        </w:rPr>
        <w:t> </w:t>
      </w:r>
      <w:r>
        <w:rPr>
          <w:color w:val="121212"/>
          <w:spacing w:val="-68"/>
        </w:rPr>
      </w:r>
      <w:r>
        <w:rPr>
          <w:color w:val="121212"/>
          <w:spacing w:val="-2"/>
        </w:rPr>
        <w:t>部统一管理版权工作；充分体现了以习近平同志为核心的党中央对宣传思想和知识产权工作的高度重视，版权工作迎来重要</w:t>
      </w:r>
      <w:r>
        <w:rPr>
          <w:color w:val="121212"/>
          <w:spacing w:val="-64"/>
        </w:rPr>
        <w:t> </w:t>
      </w:r>
      <w:r>
        <w:rPr>
          <w:color w:val="121212"/>
          <w:spacing w:val="-64"/>
        </w:rPr>
      </w:r>
      <w:r>
        <w:rPr>
          <w:color w:val="121212"/>
          <w:spacing w:val="-3"/>
        </w:rPr>
        <w:t>发展新契机。</w:t>
      </w:r>
      <w:r>
        <w:rPr>
          <w:rFonts w:ascii="宋体" w:hAnsi="宋体" w:cs="宋体" w:eastAsia="宋体" w:hint="default"/>
          <w:color w:val="121212"/>
          <w:spacing w:val="-3"/>
        </w:rPr>
        <w:t>2018</w:t>
      </w:r>
      <w:r>
        <w:rPr>
          <w:rFonts w:ascii="宋体" w:hAnsi="宋体" w:cs="宋体" w:eastAsia="宋体" w:hint="default"/>
          <w:color w:val="121212"/>
          <w:spacing w:val="-51"/>
        </w:rPr>
        <w:t> </w:t>
      </w:r>
      <w:r>
        <w:rPr>
          <w:color w:val="121212"/>
        </w:rPr>
        <w:t>年</w:t>
      </w:r>
      <w:r>
        <w:rPr>
          <w:color w:val="121212"/>
          <w:spacing w:val="-51"/>
        </w:rPr>
        <w:t> </w:t>
      </w:r>
      <w:r>
        <w:rPr>
          <w:rFonts w:ascii="宋体" w:hAnsi="宋体" w:cs="宋体" w:eastAsia="宋体" w:hint="default"/>
          <w:color w:val="121212"/>
        </w:rPr>
        <w:t>12</w:t>
      </w:r>
      <w:r>
        <w:rPr>
          <w:rFonts w:ascii="宋体" w:hAnsi="宋体" w:cs="宋体" w:eastAsia="宋体" w:hint="default"/>
          <w:color w:val="121212"/>
          <w:spacing w:val="-51"/>
        </w:rPr>
        <w:t> </w:t>
      </w:r>
      <w:r>
        <w:rPr>
          <w:color w:val="121212"/>
        </w:rPr>
        <w:t>月</w:t>
      </w:r>
      <w:r>
        <w:rPr>
          <w:color w:val="121212"/>
          <w:spacing w:val="-51"/>
        </w:rPr>
        <w:t> </w:t>
      </w:r>
      <w:r>
        <w:rPr>
          <w:rFonts w:ascii="宋体" w:hAnsi="宋体" w:cs="宋体" w:eastAsia="宋体" w:hint="default"/>
          <w:color w:val="121212"/>
        </w:rPr>
        <w:t>25</w:t>
      </w:r>
      <w:r>
        <w:rPr>
          <w:rFonts w:ascii="宋体" w:hAnsi="宋体" w:cs="宋体" w:eastAsia="宋体" w:hint="default"/>
          <w:color w:val="121212"/>
          <w:spacing w:val="-51"/>
        </w:rPr>
        <w:t> </w:t>
      </w:r>
      <w:r>
        <w:rPr>
          <w:color w:val="121212"/>
        </w:rPr>
        <w:t>日，中国新闻出版研究院发布了</w:t>
      </w:r>
      <w:r>
        <w:rPr>
          <w:color w:val="121212"/>
          <w:spacing w:val="-51"/>
        </w:rPr>
        <w:t> </w:t>
      </w:r>
      <w:r>
        <w:rPr>
          <w:rFonts w:ascii="宋体" w:hAnsi="宋体" w:cs="宋体" w:eastAsia="宋体" w:hint="default"/>
          <w:color w:val="121212"/>
        </w:rPr>
        <w:t>2017</w:t>
      </w:r>
      <w:r>
        <w:rPr>
          <w:rFonts w:ascii="宋体" w:hAnsi="宋体" w:cs="宋体" w:eastAsia="宋体" w:hint="default"/>
          <w:color w:val="121212"/>
          <w:spacing w:val="-51"/>
        </w:rPr>
        <w:t> </w:t>
      </w:r>
      <w:r>
        <w:rPr>
          <w:color w:val="121212"/>
        </w:rPr>
        <w:t>年中国版权产业的经济贡献调研结果：</w:t>
      </w:r>
      <w:r>
        <w:rPr>
          <w:rFonts w:ascii="宋体" w:hAnsi="宋体" w:cs="宋体" w:eastAsia="宋体" w:hint="default"/>
          <w:color w:val="121212"/>
        </w:rPr>
        <w:t>2017</w:t>
      </w:r>
      <w:r>
        <w:rPr>
          <w:rFonts w:ascii="宋体" w:hAnsi="宋体" w:cs="宋体" w:eastAsia="宋体" w:hint="default"/>
          <w:color w:val="121212"/>
          <w:spacing w:val="-51"/>
        </w:rPr>
        <w:t> </w:t>
      </w:r>
      <w:r>
        <w:rPr>
          <w:color w:val="121212"/>
        </w:rPr>
        <w:t>年我国版权 产业的行业增加值</w:t>
      </w:r>
      <w:r>
        <w:rPr>
          <w:color w:val="121212"/>
          <w:spacing w:val="-50"/>
        </w:rPr>
        <w:t> </w:t>
      </w:r>
      <w:r>
        <w:rPr>
          <w:rFonts w:ascii="宋体" w:hAnsi="宋体" w:cs="宋体" w:eastAsia="宋体" w:hint="default"/>
          <w:color w:val="121212"/>
        </w:rPr>
        <w:t>6.08</w:t>
      </w:r>
      <w:r>
        <w:rPr>
          <w:rFonts w:ascii="宋体" w:hAnsi="宋体" w:cs="宋体" w:eastAsia="宋体" w:hint="default"/>
          <w:color w:val="121212"/>
          <w:spacing w:val="-50"/>
        </w:rPr>
        <w:t> </w:t>
      </w:r>
      <w:r>
        <w:rPr>
          <w:color w:val="121212"/>
        </w:rPr>
        <w:t>万亿元人民币，占全国</w:t>
      </w:r>
      <w:r>
        <w:rPr>
          <w:color w:val="121212"/>
          <w:spacing w:val="-50"/>
        </w:rPr>
        <w:t> </w:t>
      </w:r>
      <w:r>
        <w:rPr>
          <w:rFonts w:ascii="宋体" w:hAnsi="宋体" w:cs="宋体" w:eastAsia="宋体" w:hint="default"/>
          <w:color w:val="121212"/>
        </w:rPr>
        <w:t>GDP</w:t>
      </w:r>
      <w:r>
        <w:rPr>
          <w:rFonts w:ascii="宋体" w:hAnsi="宋体" w:cs="宋体" w:eastAsia="宋体" w:hint="default"/>
          <w:color w:val="121212"/>
          <w:spacing w:val="-50"/>
        </w:rPr>
        <w:t> </w:t>
      </w:r>
      <w:r>
        <w:rPr>
          <w:color w:val="121212"/>
        </w:rPr>
        <w:t>的</w:t>
      </w:r>
      <w:r>
        <w:rPr>
          <w:color w:val="121212"/>
          <w:spacing w:val="-50"/>
        </w:rPr>
        <w:t> </w:t>
      </w:r>
      <w:r>
        <w:rPr>
          <w:rFonts w:ascii="宋体" w:hAnsi="宋体" w:cs="宋体" w:eastAsia="宋体" w:hint="default"/>
          <w:color w:val="121212"/>
        </w:rPr>
        <w:t>7.35%</w:t>
      </w:r>
      <w:r>
        <w:rPr>
          <w:color w:val="121212"/>
        </w:rPr>
        <w:t>。其中核心版权产业行业增加值为</w:t>
      </w:r>
      <w:r>
        <w:rPr>
          <w:color w:val="121212"/>
          <w:spacing w:val="-50"/>
        </w:rPr>
        <w:t> </w:t>
      </w:r>
      <w:r>
        <w:rPr>
          <w:rFonts w:ascii="宋体" w:hAnsi="宋体" w:cs="宋体" w:eastAsia="宋体" w:hint="default"/>
          <w:color w:val="121212"/>
        </w:rPr>
        <w:t>3.81</w:t>
      </w:r>
      <w:r>
        <w:rPr>
          <w:rFonts w:ascii="宋体" w:hAnsi="宋体" w:cs="宋体" w:eastAsia="宋体" w:hint="default"/>
          <w:color w:val="121212"/>
          <w:spacing w:val="-50"/>
        </w:rPr>
        <w:t> </w:t>
      </w:r>
      <w:r>
        <w:rPr>
          <w:color w:val="121212"/>
        </w:rPr>
        <w:t>万亿元人民币，占我国 </w:t>
      </w:r>
      <w:r>
        <w:rPr>
          <w:rFonts w:ascii="宋体" w:hAnsi="宋体" w:cs="宋体" w:eastAsia="宋体" w:hint="default"/>
          <w:color w:val="121212"/>
        </w:rPr>
        <w:t>GDP</w:t>
      </w:r>
      <w:r>
        <w:rPr>
          <w:rFonts w:ascii="宋体" w:hAnsi="宋体" w:cs="宋体" w:eastAsia="宋体" w:hint="default"/>
          <w:color w:val="121212"/>
          <w:spacing w:val="-50"/>
        </w:rPr>
        <w:t> </w:t>
      </w:r>
      <w:r>
        <w:rPr>
          <w:color w:val="121212"/>
        </w:rPr>
        <w:t>的</w:t>
      </w:r>
      <w:r>
        <w:rPr>
          <w:color w:val="121212"/>
          <w:spacing w:val="-50"/>
        </w:rPr>
        <w:t> </w:t>
      </w:r>
      <w:r>
        <w:rPr>
          <w:rFonts w:ascii="宋体" w:hAnsi="宋体" w:cs="宋体" w:eastAsia="宋体" w:hint="default"/>
          <w:color w:val="121212"/>
          <w:spacing w:val="-3"/>
        </w:rPr>
        <w:t>4.61%</w:t>
      </w:r>
      <w:r>
        <w:rPr>
          <w:color w:val="121212"/>
          <w:spacing w:val="-3"/>
        </w:rPr>
        <w:t>。</w:t>
      </w:r>
      <w:r>
        <w:rPr>
          <w:rFonts w:ascii="宋体" w:hAnsi="宋体" w:cs="宋体" w:eastAsia="宋体" w:hint="default"/>
          <w:color w:val="121212"/>
          <w:spacing w:val="-3"/>
        </w:rPr>
        <w:t>2017</w:t>
      </w:r>
      <w:r>
        <w:rPr>
          <w:rFonts w:ascii="宋体" w:hAnsi="宋体" w:cs="宋体" w:eastAsia="宋体" w:hint="default"/>
          <w:color w:val="121212"/>
          <w:spacing w:val="-50"/>
        </w:rPr>
        <w:t> </w:t>
      </w:r>
      <w:r>
        <w:rPr>
          <w:color w:val="121212"/>
        </w:rPr>
        <w:t>年中国网络版权产业的市场规模达</w:t>
      </w:r>
      <w:r>
        <w:rPr>
          <w:color w:val="121212"/>
          <w:spacing w:val="-50"/>
        </w:rPr>
        <w:t> </w:t>
      </w:r>
      <w:r>
        <w:rPr>
          <w:rFonts w:ascii="宋体" w:hAnsi="宋体" w:cs="宋体" w:eastAsia="宋体" w:hint="default"/>
          <w:color w:val="121212"/>
        </w:rPr>
        <w:t>6,365</w:t>
      </w:r>
      <w:r>
        <w:rPr>
          <w:rFonts w:ascii="宋体" w:hAnsi="宋体" w:cs="宋体" w:eastAsia="宋体" w:hint="default"/>
          <w:color w:val="121212"/>
          <w:spacing w:val="-50"/>
        </w:rPr>
        <w:t> </w:t>
      </w:r>
      <w:r>
        <w:rPr>
          <w:color w:val="121212"/>
          <w:spacing w:val="-3"/>
        </w:rPr>
        <w:t>亿元人民币，同比增长</w:t>
      </w:r>
      <w:r>
        <w:rPr>
          <w:color w:val="121212"/>
          <w:spacing w:val="-50"/>
        </w:rPr>
        <w:t> </w:t>
      </w:r>
      <w:r>
        <w:rPr>
          <w:rFonts w:ascii="宋体" w:hAnsi="宋体" w:cs="宋体" w:eastAsia="宋体" w:hint="default"/>
          <w:color w:val="121212"/>
        </w:rPr>
        <w:t>27.2%</w:t>
      </w:r>
      <w:r>
        <w:rPr>
          <w:color w:val="121212"/>
        </w:rPr>
        <w:t>。我国版权产业呈持续增长态势， 网络版权产业增长较快，版权产业对促进经济社会发展的重要作用日益凸显。</w:t>
      </w:r>
      <w:r>
        <w:rPr/>
      </w:r>
    </w:p>
    <w:p>
      <w:pPr>
        <w:pStyle w:val="BodyText"/>
        <w:spacing w:line="319" w:lineRule="auto" w:before="55"/>
        <w:ind w:right="1139" w:firstLine="450"/>
        <w:jc w:val="both"/>
      </w:pPr>
      <w:r>
        <w:rPr>
          <w:color w:val="121212"/>
        </w:rPr>
        <w:t>内容视觉化、服务智能化、用户大众化、生产社会化等趋势推动整个视觉行业高速发展，特别是在版权规范化的大好 形势下，公司主营业务增长的空间巨大，优质内容</w:t>
      </w:r>
      <w:r>
        <w:rPr>
          <w:rFonts w:ascii="宋体" w:hAnsi="宋体" w:cs="宋体" w:eastAsia="宋体" w:hint="default"/>
          <w:color w:val="121212"/>
        </w:rPr>
        <w:t>+</w:t>
      </w:r>
      <w:r>
        <w:rPr>
          <w:color w:val="121212"/>
        </w:rPr>
        <w:t>智能服务，内容、技术双轮驱动公司核心主业迎来高速发展的历史机遇 期。</w:t>
      </w:r>
      <w:r>
        <w:rPr/>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spacing w:line="240" w:lineRule="auto"/>
        <w:ind w:left="0" w:right="1139"/>
        <w:jc w:val="right"/>
      </w:pPr>
      <w:r>
        <w:rPr/>
        <w:pict>
          <v:shape style="position:absolute;margin-left:56.459999pt;margin-top:-181.858292pt;width:479.2pt;height:380.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both"/>
                          <w:rPr>
                            <w:rFonts w:ascii="宋体" w:hAnsi="宋体" w:cs="宋体" w:eastAsia="宋体" w:hint="default"/>
                            <w:sz w:val="18"/>
                            <w:szCs w:val="18"/>
                          </w:rPr>
                        </w:pPr>
                        <w:r>
                          <w:rPr>
                            <w:rFonts w:ascii="宋体" w:hAnsi="宋体" w:cs="宋体" w:eastAsia="宋体" w:hint="default"/>
                            <w:spacing w:val="-4"/>
                            <w:sz w:val="18"/>
                            <w:szCs w:val="18"/>
                          </w:rPr>
                          <w:t>报告期内，可供出售金融资产中股权类投资较年初减少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5,255.58</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万元，主要系</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500px</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本期纳入合并范围，原投资处置所致；长期股权投资较年初增加</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亿元，主要系</w:t>
                        </w:r>
                        <w:r>
                          <w:rPr>
                            <w:rFonts w:ascii="宋体" w:hAnsi="宋体" w:cs="宋体" w:eastAsia="宋体" w:hint="default"/>
                            <w:sz w:val="18"/>
                            <w:szCs w:val="18"/>
                          </w:rPr>
                          <w:t> 本期投资华盖安鹭及权益法核算长期股权投资账面价值变动所致。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报告期内，固定资产较年初减少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185.45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万元，主要系本期处置亿迅资产组，合并报</w:t>
                        </w:r>
                        <w:r>
                          <w:rPr>
                            <w:rFonts w:ascii="宋体" w:hAnsi="宋体" w:cs="宋体" w:eastAsia="宋体" w:hint="default"/>
                            <w:sz w:val="18"/>
                            <w:szCs w:val="18"/>
                          </w:rPr>
                          <w:t> 表范围变更所致。</w:t>
                        </w:r>
                      </w:p>
                    </w:tc>
                  </w:tr>
                  <w:tr>
                    <w:trPr>
                      <w:trHeight w:val="39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报告期内，无形资产较年初增加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7,417.87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万元，主要系本期收购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500px</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无形资产评 估增值及内部研发资本化所致。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1"/>
                          <w:jc w:val="left"/>
                          <w:rPr>
                            <w:rFonts w:ascii="宋体" w:hAnsi="宋体" w:cs="宋体" w:eastAsia="宋体" w:hint="default"/>
                            <w:sz w:val="18"/>
                            <w:szCs w:val="18"/>
                          </w:rPr>
                        </w:pPr>
                        <w:r>
                          <w:rPr>
                            <w:rFonts w:ascii="宋体" w:hAnsi="宋体" w:cs="宋体" w:eastAsia="宋体" w:hint="default"/>
                            <w:spacing w:val="-5"/>
                            <w:sz w:val="18"/>
                            <w:szCs w:val="18"/>
                          </w:rPr>
                          <w:t>报告期内，应收票据及应收账款较年初减少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亿元，主要系本期处置亿迅资产组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合并报表范围变更所致。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报告期内，预付账款较年初增加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万元，主要系业务预付款增加所致。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报告期内，其他应收款较年初增加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亿元，主要系应收亿迅资产组对价款及应收 股利增加所致。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报告期内，存货较年初减少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2,939.49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万元，主要系本期处置亿迅资产组，合并报表 范围变更所致。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报告期内，一年内到期的非流动资产增加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亿元，主要系一年以内到期的定期存 单重分类所致。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报告期内，其他非流动资产减少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亿元，主要系一年以内到期的定期存单重分类 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240" w:lineRule="auto" w:before="29"/>
        <w:ind w:right="0"/>
        <w:jc w:val="left"/>
      </w:pPr>
      <w:r>
        <w:rPr/>
        <w:t>略，详见管理层分析。</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 概述" w:id="25"/>
      <w:bookmarkEnd w:id="25"/>
      <w:r>
        <w:rPr>
          <w:b w:val="0"/>
          <w:bCs w:val="0"/>
        </w:rPr>
      </w:r>
      <w:r>
        <w:rPr/>
        <w:t>一、</w:t>
      </w:r>
      <w:r>
        <w:rPr>
          <w:spacing w:val="-93"/>
        </w:rPr>
        <w:t> </w:t>
      </w:r>
      <w:r>
        <w:rPr/>
        <w:t>概述</w:t>
      </w:r>
      <w:r>
        <w:rPr>
          <w:b w:val="0"/>
          <w:bCs w:val="0"/>
        </w:rPr>
      </w:r>
    </w:p>
    <w:p>
      <w:pPr>
        <w:spacing w:line="240" w:lineRule="auto" w:before="6"/>
        <w:rPr>
          <w:rFonts w:ascii="宋体" w:hAnsi="宋体" w:cs="宋体" w:eastAsia="宋体" w:hint="default"/>
          <w:b/>
          <w:bCs/>
          <w:sz w:val="26"/>
          <w:szCs w:val="26"/>
        </w:rPr>
      </w:pPr>
    </w:p>
    <w:p>
      <w:pPr>
        <w:pStyle w:val="BodyText"/>
        <w:spacing w:line="302" w:lineRule="auto" w:before="0"/>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年，公司合并层面营业收入</w:t>
      </w:r>
      <w:r>
        <w:rPr>
          <w:spacing w:val="-48"/>
        </w:rPr>
        <w:t> </w:t>
      </w:r>
      <w:r>
        <w:rPr>
          <w:rFonts w:ascii="Times New Roman" w:hAnsi="Times New Roman" w:cs="Times New Roman" w:eastAsia="Times New Roman" w:hint="default"/>
        </w:rPr>
        <w:t>98,783.75</w:t>
      </w:r>
      <w:r>
        <w:rPr>
          <w:rFonts w:ascii="Times New Roman" w:hAnsi="Times New Roman" w:cs="Times New Roman" w:eastAsia="Times New Roman" w:hint="default"/>
          <w:spacing w:val="-3"/>
        </w:rPr>
        <w:t> </w:t>
      </w:r>
      <w:r>
        <w:rPr/>
        <w:t>万元，较</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年同期增长</w:t>
      </w:r>
      <w:r>
        <w:rPr>
          <w:spacing w:val="-48"/>
        </w:rPr>
        <w:t> </w:t>
      </w:r>
      <w:r>
        <w:rPr>
          <w:rFonts w:ascii="Times New Roman" w:hAnsi="Times New Roman" w:cs="Times New Roman" w:eastAsia="Times New Roman" w:hint="default"/>
        </w:rPr>
        <w:t>21.27%</w:t>
      </w:r>
      <w:r>
        <w:rPr/>
        <w:t>。公司进一步聚焦主营业务，公司核心主 业 </w:t>
      </w:r>
      <w:r>
        <w:rPr>
          <w:rFonts w:ascii="Times New Roman" w:hAnsi="Times New Roman" w:cs="Times New Roman" w:eastAsia="Times New Roman" w:hint="default"/>
        </w:rPr>
        <w:t>–</w:t>
      </w:r>
      <w:r>
        <w:rPr/>
        <w:t>“视觉内容与服务” 实现营业收入</w:t>
      </w:r>
      <w:r>
        <w:rPr>
          <w:spacing w:val="-46"/>
        </w:rPr>
        <w:t> </w:t>
      </w:r>
      <w:r>
        <w:rPr>
          <w:rFonts w:ascii="Times New Roman" w:hAnsi="Times New Roman" w:cs="Times New Roman" w:eastAsia="Times New Roman" w:hint="default"/>
        </w:rPr>
        <w:t>78,190.28 </w:t>
      </w:r>
      <w:r>
        <w:rPr/>
        <w:t>万元，同比增长</w:t>
      </w:r>
      <w:r>
        <w:rPr>
          <w:spacing w:val="-46"/>
        </w:rPr>
        <w:t> </w:t>
      </w:r>
      <w:r>
        <w:rPr>
          <w:rFonts w:ascii="Times New Roman" w:hAnsi="Times New Roman" w:cs="Times New Roman" w:eastAsia="Times New Roman" w:hint="default"/>
        </w:rPr>
        <w:t>33.95%</w:t>
      </w:r>
      <w:r>
        <w:rPr/>
        <w:t>，核心主业占上市公司总收入</w:t>
      </w:r>
      <w:r>
        <w:rPr>
          <w:spacing w:val="-46"/>
        </w:rPr>
        <w:t> </w:t>
      </w:r>
      <w:r>
        <w:rPr>
          <w:rFonts w:ascii="Times New Roman" w:hAnsi="Times New Roman" w:cs="Times New Roman" w:eastAsia="Times New Roman" w:hint="default"/>
        </w:rPr>
        <w:t>79.15%</w:t>
      </w:r>
      <w:r>
        <w:rPr/>
        <w:t>。</w:t>
      </w:r>
    </w:p>
    <w:p>
      <w:pPr>
        <w:pStyle w:val="BodyText"/>
        <w:spacing w:line="307" w:lineRule="auto" w:before="50"/>
        <w:ind w:right="1039" w:firstLine="360"/>
        <w:jc w:val="both"/>
      </w:pPr>
      <w:r>
        <w:rPr/>
        <w:t>报告期内，公司全面覆盖客户，提升核心技术，积极为客户创造价值。公司的直接签约合作客户总数超过 </w:t>
      </w:r>
      <w:r>
        <w:rPr>
          <w:rFonts w:ascii="Times New Roman" w:hAnsi="Times New Roman" w:cs="Times New Roman" w:eastAsia="Times New Roman" w:hint="default"/>
        </w:rPr>
        <w:t>14,000</w:t>
      </w:r>
      <w:r>
        <w:rPr>
          <w:rFonts w:ascii="Times New Roman" w:hAnsi="Times New Roman" w:cs="Times New Roman" w:eastAsia="Times New Roman" w:hint="default"/>
          <w:spacing w:val="8"/>
        </w:rPr>
        <w:t> </w:t>
      </w:r>
      <w:r>
        <w:rPr/>
        <w:t>家， 同比增长 </w:t>
      </w:r>
      <w:r>
        <w:rPr>
          <w:rFonts w:ascii="Times New Roman" w:hAnsi="Times New Roman" w:cs="Times New Roman" w:eastAsia="Times New Roman" w:hint="default"/>
        </w:rPr>
        <w:t>90%</w:t>
      </w:r>
      <w:r>
        <w:rPr/>
        <w:t>，通过互联网平台公司获得内容授权的用户数近 </w:t>
      </w:r>
      <w:r>
        <w:rPr>
          <w:rFonts w:ascii="Times New Roman" w:hAnsi="Times New Roman" w:cs="Times New Roman" w:eastAsia="Times New Roman" w:hint="default"/>
        </w:rPr>
        <w:t>33 </w:t>
      </w:r>
      <w:r>
        <w:rPr/>
        <w:t>万，同比增长超过</w:t>
      </w:r>
      <w:r>
        <w:rPr>
          <w:spacing w:val="-69"/>
        </w:rPr>
        <w:t> </w:t>
      </w:r>
      <w:r>
        <w:rPr>
          <w:rFonts w:ascii="Times New Roman" w:hAnsi="Times New Roman" w:cs="Times New Roman" w:eastAsia="Times New Roman" w:hint="default"/>
        </w:rPr>
        <w:t>500%</w:t>
      </w:r>
      <w:r>
        <w:rPr/>
        <w:t>。由于公司的平台规模及市场占 </w:t>
      </w:r>
      <w:r>
        <w:rPr>
          <w:spacing w:val="-2"/>
        </w:rPr>
        <w:t>有率使公司与上游的内容创作者有长期稳定的合作关系，公司的自有内容无需分成，以及公司给客户提供的技术增值服务逐</w:t>
      </w:r>
      <w:r>
        <w:rPr>
          <w:spacing w:val="-64"/>
        </w:rPr>
        <w:t> </w:t>
      </w:r>
      <w:r>
        <w:rPr>
          <w:spacing w:val="-64"/>
        </w:rPr>
      </w:r>
      <w:r>
        <w:rPr>
          <w:spacing w:val="-5"/>
        </w:rPr>
        <w:t>年增加，公司维持了较为稳定的毛利率。报告期内，公司核心主业实现营业毛利</w:t>
      </w:r>
      <w:r>
        <w:rPr>
          <w:spacing w:val="-45"/>
        </w:rPr>
        <w:t> </w:t>
      </w:r>
      <w:r>
        <w:rPr>
          <w:rFonts w:ascii="Times New Roman" w:hAnsi="Times New Roman" w:cs="Times New Roman" w:eastAsia="Times New Roman" w:hint="default"/>
        </w:rPr>
        <w:t>53,625.53</w:t>
      </w:r>
      <w:r>
        <w:rPr>
          <w:rFonts w:ascii="Times New Roman" w:hAnsi="Times New Roman" w:cs="Times New Roman" w:eastAsia="Times New Roman" w:hint="default"/>
          <w:spacing w:val="-1"/>
        </w:rPr>
        <w:t> </w:t>
      </w:r>
      <w:r>
        <w:rPr>
          <w:spacing w:val="-15"/>
        </w:rPr>
        <w:t>万元，较</w:t>
      </w:r>
      <w:r>
        <w:rPr>
          <w:spacing w:val="-46"/>
        </w:rPr>
        <w:t> </w:t>
      </w:r>
      <w:r>
        <w:rPr>
          <w:rFonts w:ascii="Times New Roman" w:hAnsi="Times New Roman" w:cs="Times New Roman" w:eastAsia="Times New Roman" w:hint="default"/>
        </w:rPr>
        <w:t>2017 </w:t>
      </w:r>
      <w:r>
        <w:rPr/>
        <w:t>年同期增长</w:t>
      </w:r>
      <w:r>
        <w:rPr>
          <w:spacing w:val="-46"/>
        </w:rPr>
        <w:t> </w:t>
      </w:r>
      <w:r>
        <w:rPr>
          <w:rFonts w:ascii="Times New Roman" w:hAnsi="Times New Roman" w:cs="Times New Roman" w:eastAsia="Times New Roman" w:hint="default"/>
        </w:rPr>
        <w:t>33.38%</w:t>
      </w:r>
      <w:r>
        <w:rPr/>
        <w:t>。</w:t>
      </w:r>
    </w:p>
    <w:p>
      <w:pPr>
        <w:pStyle w:val="BodyText"/>
        <w:spacing w:line="302" w:lineRule="auto" w:before="45"/>
        <w:ind w:right="1132" w:firstLine="360"/>
        <w:jc w:val="both"/>
      </w:pPr>
      <w:r>
        <w:rPr/>
        <w:t>报告期内，经营活动产生的现金流量净额</w:t>
      </w:r>
      <w:r>
        <w:rPr>
          <w:spacing w:val="-57"/>
        </w:rPr>
        <w:t> </w:t>
      </w:r>
      <w:r>
        <w:rPr>
          <w:rFonts w:ascii="Times New Roman" w:hAnsi="Times New Roman" w:cs="Times New Roman" w:eastAsia="Times New Roman" w:hint="default"/>
        </w:rPr>
        <w:t>29,104.95</w:t>
      </w:r>
      <w:r>
        <w:rPr>
          <w:rFonts w:ascii="Times New Roman" w:hAnsi="Times New Roman" w:cs="Times New Roman" w:eastAsia="Times New Roman" w:hint="default"/>
          <w:spacing w:val="-11"/>
        </w:rPr>
        <w:t> </w:t>
      </w:r>
      <w:r>
        <w:rPr>
          <w:spacing w:val="-3"/>
        </w:rPr>
        <w:t>万元，同比增长</w:t>
      </w:r>
      <w:r>
        <w:rPr>
          <w:spacing w:val="-57"/>
        </w:rPr>
        <w:t> </w:t>
      </w:r>
      <w:r>
        <w:rPr>
          <w:rFonts w:ascii="Times New Roman" w:hAnsi="Times New Roman" w:cs="Times New Roman" w:eastAsia="Times New Roman" w:hint="default"/>
        </w:rPr>
        <w:t>16.36%</w:t>
      </w:r>
      <w:r>
        <w:rPr/>
        <w:t>。报告期内超过一半以上的收入来自于长期 协议客户，体现出稳定的经营现金流，优化了公司从利润到现金流的整体经营成果。</w:t>
      </w:r>
    </w:p>
    <w:p>
      <w:pPr>
        <w:pStyle w:val="BodyText"/>
        <w:spacing w:line="312" w:lineRule="auto" w:before="68"/>
        <w:ind w:right="1130" w:firstLine="360"/>
        <w:jc w:val="both"/>
      </w:pPr>
      <w:r>
        <w:rPr/>
        <w:t>报告期内，公司进一步推进聚焦主业的战略。</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年底，剥离亿讯公司。受剥离非主营业务影响，公司非主营业务收 </w:t>
      </w:r>
      <w:r>
        <w:rPr>
          <w:spacing w:val="-2"/>
        </w:rPr>
        <w:t>入总额较去年同期有下降。剥离亿讯符合公司发展战略。该笔交易有助于提高公司资金使用效率、优化资产结构，更为清晰</w:t>
      </w:r>
      <w:r>
        <w:rPr>
          <w:spacing w:val="-66"/>
        </w:rPr>
        <w:t> </w:t>
      </w:r>
      <w:r>
        <w:rPr>
          <w:spacing w:val="-66"/>
        </w:rPr>
      </w:r>
      <w:r>
        <w:rPr>
          <w:spacing w:val="-2"/>
        </w:rPr>
        <w:t>的体现公司轻资产、资金周转快速的业务本质，更好的集中资源聚焦核心主业“视觉内容与服务”，持续提升公司长远价值</w:t>
      </w:r>
      <w:r>
        <w:rPr>
          <w:spacing w:val="-64"/>
        </w:rPr>
        <w:t> </w:t>
      </w:r>
      <w:r>
        <w:rPr>
          <w:spacing w:val="-64"/>
        </w:rPr>
      </w:r>
      <w:r>
        <w:rPr/>
        <w:t>的经营策略。</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32"/>
          <w:szCs w:val="32"/>
        </w:rPr>
      </w:pPr>
    </w:p>
    <w:p>
      <w:pPr>
        <w:pStyle w:val="Heading7"/>
        <w:spacing w:line="240" w:lineRule="auto"/>
        <w:ind w:left="516" w:right="0"/>
        <w:jc w:val="left"/>
        <w:rPr>
          <w:b w:val="0"/>
          <w:bCs w:val="0"/>
        </w:rPr>
      </w:pPr>
      <w:r>
        <w:rPr/>
        <w:t>（一）</w:t>
      </w:r>
      <w:r>
        <w:rPr>
          <w:spacing w:val="85"/>
        </w:rPr>
        <w:t> </w:t>
      </w:r>
      <w:r>
        <w:rPr/>
        <w:t>主营业务情况</w:t>
      </w:r>
      <w:r>
        <w:rPr>
          <w:b w:val="0"/>
          <w:bCs w:val="0"/>
        </w:rPr>
      </w:r>
    </w:p>
    <w:p>
      <w:pPr>
        <w:pStyle w:val="BodyText"/>
        <w:spacing w:line="300" w:lineRule="auto" w:before="154"/>
        <w:ind w:right="1133" w:firstLine="360"/>
        <w:jc w:val="both"/>
      </w:pPr>
      <w:r>
        <w:rPr/>
        <w:t>基于行业发展趋势及巨大市场空间，公司通过全球优质的</w:t>
      </w:r>
      <w:r>
        <w:rPr>
          <w:spacing w:val="-45"/>
        </w:rPr>
        <w:t> </w:t>
      </w:r>
      <w:r>
        <w:rPr>
          <w:rFonts w:ascii="Times New Roman" w:hAnsi="Times New Roman" w:cs="Times New Roman" w:eastAsia="Times New Roman" w:hint="default"/>
        </w:rPr>
        <w:t>PGC</w:t>
      </w:r>
      <w:r>
        <w:rPr>
          <w:rFonts w:ascii="Times New Roman" w:hAnsi="Times New Roman" w:cs="Times New Roman" w:eastAsia="Times New Roman" w:hint="default"/>
          <w:spacing w:val="-1"/>
        </w:rPr>
        <w:t> </w:t>
      </w:r>
      <w:r>
        <w:rPr/>
        <w:t>视觉内容、灵活多样的产品与服务模式、基于大数据和 </w:t>
      </w:r>
      <w:r>
        <w:rPr>
          <w:spacing w:val="-2"/>
        </w:rPr>
        <w:t>人工智能的业界领先的智能服务技术、以及持续增强的获客能力，驱动主营业务快速增长。高效获客带来的客户数量的增长</w:t>
      </w:r>
    </w:p>
    <w:p>
      <w:pPr>
        <w:pStyle w:val="BodyText"/>
        <w:spacing w:line="319" w:lineRule="auto" w:before="31"/>
        <w:ind w:right="0"/>
        <w:jc w:val="left"/>
      </w:pPr>
      <w:r>
        <w:rPr>
          <w:spacing w:val="-2"/>
        </w:rPr>
        <w:t>，优质内容、增值服务、智能交付带来的素材应用数量的增长，及与互联网平台客户的合作实现对海量长尾市场的覆盖是公</w:t>
      </w:r>
      <w:r>
        <w:rPr>
          <w:spacing w:val="-66"/>
        </w:rPr>
        <w:t> </w:t>
      </w:r>
      <w:r>
        <w:rPr>
          <w:spacing w:val="-66"/>
        </w:rPr>
      </w:r>
      <w:r>
        <w:rPr/>
        <w:t>司主营业务增长的核心驱动力。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7"/>
        <w:spacing w:line="240" w:lineRule="auto" w:before="131"/>
        <w:ind w:left="425" w:right="0"/>
        <w:jc w:val="left"/>
        <w:rPr>
          <w:b w:val="0"/>
          <w:bCs w:val="0"/>
        </w:rPr>
      </w:pPr>
      <w:r>
        <w:rPr>
          <w:w w:val="99"/>
        </w:rPr>
      </w:r>
      <w:r>
        <w:rPr>
          <w:u w:val="single" w:color="000000"/>
        </w:rPr>
        <w:t>收购并运营</w:t>
      </w:r>
      <w:r>
        <w:rPr>
          <w:spacing w:val="-46"/>
          <w:u w:val="single" w:color="000000"/>
        </w:rPr>
        <w:t> </w:t>
      </w:r>
      <w:r>
        <w:rPr>
          <w:rFonts w:ascii="宋体" w:hAnsi="宋体" w:cs="宋体" w:eastAsia="宋体" w:hint="default"/>
          <w:u w:val="single" w:color="000000"/>
        </w:rPr>
        <w:t>500px</w:t>
      </w:r>
      <w:r>
        <w:rPr>
          <w:rFonts w:ascii="宋体" w:hAnsi="宋体" w:cs="宋体" w:eastAsia="宋体" w:hint="default"/>
          <w:spacing w:val="-46"/>
          <w:u w:val="single" w:color="000000"/>
        </w:rPr>
        <w:t> </w:t>
      </w:r>
      <w:r>
        <w:rPr>
          <w:u w:val="single" w:color="000000"/>
        </w:rPr>
        <w:t>社区</w:t>
      </w:r>
      <w:r>
        <w:rPr/>
      </w:r>
      <w:r>
        <w:rPr>
          <w:b w:val="0"/>
          <w:bCs w:val="0"/>
        </w:rPr>
      </w:r>
    </w:p>
    <w:p>
      <w:pPr>
        <w:spacing w:line="240" w:lineRule="auto" w:before="6"/>
        <w:rPr>
          <w:rFonts w:ascii="宋体" w:hAnsi="宋体" w:cs="宋体" w:eastAsia="宋体" w:hint="default"/>
          <w:b/>
          <w:bCs/>
          <w:sz w:val="11"/>
          <w:szCs w:val="11"/>
        </w:rPr>
      </w:pPr>
    </w:p>
    <w:p>
      <w:pPr>
        <w:pStyle w:val="BodyText"/>
        <w:spacing w:line="316" w:lineRule="auto"/>
        <w:ind w:right="1042" w:firstLine="360"/>
        <w:jc w:val="both"/>
      </w:pPr>
      <w:r>
        <w:rPr/>
        <w:t>公司持续巩固加强扩大优质内容的核心竞争力。</w:t>
      </w:r>
      <w:r>
        <w:rPr>
          <w:rFonts w:ascii="宋体" w:hAnsi="宋体" w:cs="宋体" w:eastAsia="宋体" w:hint="default"/>
        </w:rPr>
        <w:t>2018</w:t>
      </w:r>
      <w:r>
        <w:rPr>
          <w:rFonts w:ascii="宋体" w:hAnsi="宋体" w:cs="宋体" w:eastAsia="宋体" w:hint="default"/>
          <w:spacing w:val="-46"/>
        </w:rPr>
        <w:t> </w:t>
      </w:r>
      <w:r>
        <w:rPr/>
        <w:t>年上半年，公司收购全球领先的互联网摄影社区</w:t>
      </w:r>
      <w:r>
        <w:rPr>
          <w:spacing w:val="-46"/>
        </w:rPr>
        <w:t> </w:t>
      </w:r>
      <w:r>
        <w:rPr>
          <w:rFonts w:ascii="宋体" w:hAnsi="宋体" w:cs="宋体" w:eastAsia="宋体" w:hint="default"/>
        </w:rPr>
        <w:t>500px,INC.</w:t>
      </w:r>
      <w:r>
        <w:rPr/>
        <w:t>公司 </w:t>
      </w:r>
      <w:r>
        <w:rPr>
          <w:rFonts w:ascii="宋体" w:hAnsi="宋体" w:cs="宋体" w:eastAsia="宋体" w:hint="default"/>
          <w:spacing w:val="-4"/>
        </w:rPr>
        <w:t>100%</w:t>
      </w:r>
      <w:r>
        <w:rPr>
          <w:spacing w:val="-4"/>
        </w:rPr>
        <w:t>股权。收购</w:t>
      </w:r>
      <w:r>
        <w:rPr>
          <w:spacing w:val="-44"/>
        </w:rPr>
        <w:t> </w:t>
      </w:r>
      <w:r>
        <w:rPr>
          <w:rFonts w:ascii="宋体" w:hAnsi="宋体" w:cs="宋体" w:eastAsia="宋体" w:hint="default"/>
          <w:spacing w:val="-4"/>
        </w:rPr>
        <w:t>500px</w:t>
      </w:r>
      <w:r>
        <w:rPr>
          <w:spacing w:val="-4"/>
        </w:rPr>
        <w:t>，是继收购</w:t>
      </w:r>
      <w:r>
        <w:rPr>
          <w:spacing w:val="-44"/>
        </w:rPr>
        <w:t> </w:t>
      </w:r>
      <w:r>
        <w:rPr>
          <w:rFonts w:ascii="宋体" w:hAnsi="宋体" w:cs="宋体" w:eastAsia="宋体" w:hint="default"/>
        </w:rPr>
        <w:t>Corbis</w:t>
      </w:r>
      <w:r>
        <w:rPr>
          <w:rFonts w:ascii="宋体" w:hAnsi="宋体" w:cs="宋体" w:eastAsia="宋体" w:hint="default"/>
          <w:spacing w:val="-44"/>
        </w:rPr>
        <w:t> </w:t>
      </w:r>
      <w:r>
        <w:rPr>
          <w:spacing w:val="-3"/>
        </w:rPr>
        <w:t>资产后，公司全球化战略的又一重要举措。截至</w:t>
      </w:r>
      <w:r>
        <w:rPr>
          <w:spacing w:val="-43"/>
        </w:rPr>
        <w:t> </w:t>
      </w:r>
      <w:r>
        <w:rPr>
          <w:rFonts w:ascii="宋体" w:hAnsi="宋体" w:cs="宋体" w:eastAsia="宋体" w:hint="default"/>
        </w:rPr>
        <w:t>2018</w:t>
      </w:r>
      <w:r>
        <w:rPr>
          <w:rFonts w:ascii="宋体" w:hAnsi="宋体" w:cs="宋体" w:eastAsia="宋体" w:hint="default"/>
          <w:spacing w:val="-44"/>
        </w:rPr>
        <w:t> </w:t>
      </w:r>
      <w:r>
        <w:rPr>
          <w:spacing w:val="-6"/>
        </w:rPr>
        <w:t>年末，通过网站、</w:t>
      </w:r>
      <w:r>
        <w:rPr>
          <w:rFonts w:ascii="宋体" w:hAnsi="宋体" w:cs="宋体" w:eastAsia="宋体" w:hint="default"/>
          <w:spacing w:val="-6"/>
        </w:rPr>
        <w:t>App</w:t>
      </w:r>
      <w:r>
        <w:rPr>
          <w:spacing w:val="-6"/>
        </w:rPr>
        <w:t>，</w:t>
      </w:r>
      <w:r>
        <w:rPr>
          <w:rFonts w:ascii="宋体" w:hAnsi="宋体" w:cs="宋体" w:eastAsia="宋体" w:hint="default"/>
          <w:spacing w:val="-6"/>
        </w:rPr>
        <w:t>500px</w:t>
      </w:r>
      <w:r>
        <w:rPr>
          <w:rFonts w:ascii="宋体" w:hAnsi="宋体" w:cs="宋体" w:eastAsia="宋体" w:hint="default"/>
          <w:spacing w:val="-84"/>
        </w:rPr>
        <w:t> </w:t>
      </w:r>
      <w:r>
        <w:rPr/>
        <w:t>覆盖了全球</w:t>
      </w:r>
      <w:r>
        <w:rPr>
          <w:spacing w:val="-41"/>
        </w:rPr>
        <w:t> </w:t>
      </w:r>
      <w:r>
        <w:rPr>
          <w:rFonts w:ascii="宋体" w:hAnsi="宋体" w:cs="宋体" w:eastAsia="宋体" w:hint="default"/>
        </w:rPr>
        <w:t>195</w:t>
      </w:r>
      <w:r>
        <w:rPr>
          <w:rFonts w:ascii="宋体" w:hAnsi="宋体" w:cs="宋体" w:eastAsia="宋体" w:hint="default"/>
          <w:spacing w:val="-41"/>
        </w:rPr>
        <w:t> </w:t>
      </w:r>
      <w:r>
        <w:rPr>
          <w:spacing w:val="-3"/>
        </w:rPr>
        <w:t>个国家和地区，包括专业摄影人才、摄影爱好者在内的注册用户已达</w:t>
      </w:r>
      <w:r>
        <w:rPr>
          <w:spacing w:val="-41"/>
        </w:rPr>
        <w:t> </w:t>
      </w:r>
      <w:r>
        <w:rPr>
          <w:rFonts w:ascii="宋体" w:hAnsi="宋体" w:cs="宋体" w:eastAsia="宋体" w:hint="default"/>
        </w:rPr>
        <w:t>1,700</w:t>
      </w:r>
      <w:r>
        <w:rPr>
          <w:rFonts w:ascii="宋体" w:hAnsi="宋体" w:cs="宋体" w:eastAsia="宋体" w:hint="default"/>
          <w:spacing w:val="-41"/>
        </w:rPr>
        <w:t> </w:t>
      </w:r>
      <w:r>
        <w:rPr>
          <w:spacing w:val="-7"/>
        </w:rPr>
        <w:t>万，累计社交行为（点赞、评论、</w:t>
      </w:r>
    </w:p>
    <w:p>
      <w:pPr>
        <w:pStyle w:val="BodyText"/>
        <w:spacing w:line="316" w:lineRule="auto" w:before="19"/>
        <w:ind w:right="1130"/>
        <w:jc w:val="both"/>
      </w:pPr>
      <w:r>
        <w:rPr>
          <w:spacing w:val="-3"/>
        </w:rPr>
        <w:t>分享等）数超过</w:t>
      </w:r>
      <w:r>
        <w:rPr>
          <w:spacing w:val="-48"/>
        </w:rPr>
        <w:t> </w:t>
      </w:r>
      <w:r>
        <w:rPr>
          <w:rFonts w:ascii="宋体" w:hAnsi="宋体" w:cs="宋体" w:eastAsia="宋体" w:hint="default"/>
        </w:rPr>
        <w:t>80</w:t>
      </w:r>
      <w:r>
        <w:rPr>
          <w:rFonts w:ascii="宋体" w:hAnsi="宋体" w:cs="宋体" w:eastAsia="宋体" w:hint="default"/>
          <w:spacing w:val="-48"/>
        </w:rPr>
        <w:t> </w:t>
      </w:r>
      <w:r>
        <w:rPr>
          <w:spacing w:val="-3"/>
        </w:rPr>
        <w:t>亿次，兴趣社群超过</w:t>
      </w:r>
      <w:r>
        <w:rPr>
          <w:spacing w:val="-48"/>
        </w:rPr>
        <w:t> </w:t>
      </w:r>
      <w:r>
        <w:rPr>
          <w:rFonts w:ascii="宋体" w:hAnsi="宋体" w:cs="宋体" w:eastAsia="宋体" w:hint="default"/>
        </w:rPr>
        <w:t>700</w:t>
      </w:r>
      <w:r>
        <w:rPr>
          <w:rFonts w:ascii="宋体" w:hAnsi="宋体" w:cs="宋体" w:eastAsia="宋体" w:hint="default"/>
          <w:spacing w:val="-48"/>
        </w:rPr>
        <w:t> </w:t>
      </w:r>
      <w:r>
        <w:rPr>
          <w:spacing w:val="-3"/>
        </w:rPr>
        <w:t>个，签约摄影师超过</w:t>
      </w:r>
      <w:r>
        <w:rPr>
          <w:spacing w:val="-48"/>
        </w:rPr>
        <w:t> </w:t>
      </w:r>
      <w:r>
        <w:rPr>
          <w:rFonts w:ascii="宋体" w:hAnsi="宋体" w:cs="宋体" w:eastAsia="宋体" w:hint="default"/>
        </w:rPr>
        <w:t>40</w:t>
      </w:r>
      <w:r>
        <w:rPr>
          <w:rFonts w:ascii="宋体" w:hAnsi="宋体" w:cs="宋体" w:eastAsia="宋体" w:hint="default"/>
          <w:spacing w:val="-48"/>
        </w:rPr>
        <w:t> </w:t>
      </w:r>
      <w:r>
        <w:rPr/>
        <w:t>万名，拓展了公司不断生产海量全球优质视觉内容的能 力，巩固和强化公司内容的核心竞争力，完善了公司的行业生态布局。</w:t>
      </w:r>
      <w:r>
        <w:rPr>
          <w:rFonts w:ascii="宋体" w:hAnsi="宋体" w:cs="宋体" w:eastAsia="宋体" w:hint="default"/>
        </w:rPr>
        <w:t>2018</w:t>
      </w:r>
      <w:r>
        <w:rPr>
          <w:rFonts w:ascii="宋体" w:hAnsi="宋体" w:cs="宋体" w:eastAsia="宋体" w:hint="default"/>
          <w:spacing w:val="-46"/>
        </w:rPr>
        <w:t> </w:t>
      </w:r>
      <w:r>
        <w:rPr/>
        <w:t>年，公司完成了</w:t>
      </w:r>
      <w:r>
        <w:rPr>
          <w:spacing w:val="-46"/>
        </w:rPr>
        <w:t> </w:t>
      </w:r>
      <w:r>
        <w:rPr>
          <w:rFonts w:ascii="宋体" w:hAnsi="宋体" w:cs="宋体" w:eastAsia="宋体" w:hint="default"/>
        </w:rPr>
        <w:t>500px</w:t>
      </w:r>
      <w:r>
        <w:rPr>
          <w:rFonts w:ascii="宋体" w:hAnsi="宋体" w:cs="宋体" w:eastAsia="宋体" w:hint="default"/>
          <w:spacing w:val="-46"/>
        </w:rPr>
        <w:t> </w:t>
      </w:r>
      <w:r>
        <w:rPr/>
        <w:t>公司的整合，管理团队 </w:t>
      </w:r>
      <w:r>
        <w:rPr>
          <w:spacing w:val="-13"/>
        </w:rPr>
        <w:t>稳定，业务平稳开展。截止</w:t>
      </w:r>
      <w:r>
        <w:rPr>
          <w:spacing w:val="-40"/>
        </w:rPr>
        <w:t> </w:t>
      </w:r>
      <w:r>
        <w:rPr>
          <w:rFonts w:ascii="宋体" w:hAnsi="宋体" w:cs="宋体" w:eastAsia="宋体" w:hint="default"/>
        </w:rPr>
        <w:t>2018</w:t>
      </w:r>
      <w:r>
        <w:rPr>
          <w:rFonts w:ascii="宋体" w:hAnsi="宋体" w:cs="宋体" w:eastAsia="宋体" w:hint="default"/>
          <w:spacing w:val="-40"/>
        </w:rPr>
        <w:t> </w:t>
      </w:r>
      <w:r>
        <w:rPr>
          <w:spacing w:val="-10"/>
        </w:rPr>
        <w:t>年末，</w:t>
      </w:r>
      <w:r>
        <w:rPr>
          <w:rFonts w:ascii="宋体" w:hAnsi="宋体" w:cs="宋体" w:eastAsia="宋体" w:hint="default"/>
          <w:spacing w:val="-10"/>
        </w:rPr>
        <w:t>500px</w:t>
      </w:r>
      <w:r>
        <w:rPr>
          <w:rFonts w:ascii="宋体" w:hAnsi="宋体" w:cs="宋体" w:eastAsia="宋体" w:hint="default"/>
          <w:spacing w:val="-39"/>
        </w:rPr>
        <w:t> </w:t>
      </w:r>
      <w:r>
        <w:rPr>
          <w:spacing w:val="-8"/>
        </w:rPr>
        <w:t>经营已经盈亏平衡，较上年同期亏损大幅减少。报告期内，</w:t>
      </w:r>
      <w:r>
        <w:rPr>
          <w:rFonts w:ascii="宋体" w:hAnsi="宋体" w:cs="宋体" w:eastAsia="宋体" w:hint="default"/>
          <w:spacing w:val="-8"/>
        </w:rPr>
        <w:t>500px</w:t>
      </w:r>
      <w:r>
        <w:rPr>
          <w:rFonts w:ascii="宋体" w:hAnsi="宋体" w:cs="宋体" w:eastAsia="宋体" w:hint="default"/>
          <w:spacing w:val="-40"/>
        </w:rPr>
        <w:t> </w:t>
      </w:r>
      <w:r>
        <w:rPr/>
        <w:t>与</w:t>
      </w:r>
      <w:r>
        <w:rPr>
          <w:spacing w:val="-40"/>
        </w:rPr>
        <w:t> </w:t>
      </w:r>
      <w:r>
        <w:rPr>
          <w:rFonts w:ascii="宋体" w:hAnsi="宋体" w:cs="宋体" w:eastAsia="宋体" w:hint="default"/>
        </w:rPr>
        <w:t>Getty</w:t>
      </w:r>
      <w:r>
        <w:rPr>
          <w:rFonts w:ascii="宋体" w:hAnsi="宋体" w:cs="宋体" w:eastAsia="宋体" w:hint="default"/>
          <w:spacing w:val="-39"/>
        </w:rPr>
        <w:t> </w:t>
      </w:r>
      <w:r>
        <w:rPr>
          <w:rFonts w:ascii="宋体" w:hAnsi="宋体" w:cs="宋体" w:eastAsia="宋体" w:hint="default"/>
        </w:rPr>
        <w:t>Images</w:t>
      </w:r>
      <w:r>
        <w:rPr>
          <w:rFonts w:ascii="宋体" w:hAnsi="宋体" w:cs="宋体" w:eastAsia="宋体" w:hint="default"/>
          <w:spacing w:val="-88"/>
        </w:rPr>
        <w:t> </w:t>
      </w:r>
      <w:r>
        <w:rPr>
          <w:rFonts w:ascii="宋体" w:hAnsi="宋体" w:cs="宋体" w:eastAsia="宋体" w:hint="default"/>
          <w:spacing w:val="-88"/>
        </w:rPr>
      </w:r>
      <w:r>
        <w:rPr/>
        <w:t>签署了独家的版权代理分销协议，提升其优质内容的版权变现能力。</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Heading7"/>
        <w:spacing w:line="240" w:lineRule="auto"/>
        <w:ind w:left="516" w:right="0"/>
        <w:jc w:val="left"/>
        <w:rPr>
          <w:b w:val="0"/>
          <w:bCs w:val="0"/>
        </w:rPr>
      </w:pPr>
      <w:r>
        <w:rPr>
          <w:w w:val="99"/>
        </w:rPr>
      </w:r>
      <w:r>
        <w:rPr>
          <w:u w:val="single" w:color="000000"/>
        </w:rPr>
        <w:t>优质内容</w:t>
      </w:r>
      <w:r>
        <w:rPr/>
      </w:r>
      <w:r>
        <w:rPr>
          <w:b w:val="0"/>
          <w:bCs w:val="0"/>
        </w:rPr>
      </w:r>
    </w:p>
    <w:p>
      <w:pPr>
        <w:spacing w:line="240" w:lineRule="auto" w:before="6"/>
        <w:rPr>
          <w:rFonts w:ascii="宋体" w:hAnsi="宋体" w:cs="宋体" w:eastAsia="宋体" w:hint="default"/>
          <w:b/>
          <w:bCs/>
          <w:sz w:val="11"/>
          <w:szCs w:val="11"/>
        </w:rPr>
      </w:pPr>
    </w:p>
    <w:p>
      <w:pPr>
        <w:pStyle w:val="BodyText"/>
        <w:spacing w:line="316" w:lineRule="auto"/>
        <w:ind w:right="1167" w:firstLine="360"/>
        <w:jc w:val="left"/>
      </w:pPr>
      <w:r>
        <w:rPr/>
        <w:t>随着智能手机普及和移动互联的发展，视频、交互设计成为市场最受欢迎的内容形态，为顺应市场发展趋势，</w:t>
      </w:r>
      <w:r>
        <w:rPr>
          <w:rFonts w:ascii="宋体" w:hAnsi="宋体" w:cs="宋体" w:eastAsia="宋体" w:hint="default"/>
        </w:rPr>
        <w:t>2018</w:t>
      </w:r>
      <w:r>
        <w:rPr>
          <w:rFonts w:ascii="宋体" w:hAnsi="宋体" w:cs="宋体" w:eastAsia="宋体" w:hint="default"/>
          <w:spacing w:val="-46"/>
        </w:rPr>
        <w:t> </w:t>
      </w:r>
      <w:r>
        <w:rPr/>
        <w:t>年 公司加大设计素材、视频、音乐、字体业务的投入，不断整合优质内容，满足用户内容的需求；</w:t>
      </w:r>
      <w:r>
        <w:rPr>
          <w:rFonts w:ascii="宋体" w:hAnsi="宋体" w:cs="宋体" w:eastAsia="宋体" w:hint="default"/>
        </w:rPr>
        <w:t>2018</w:t>
      </w:r>
      <w:r>
        <w:rPr>
          <w:rFonts w:ascii="宋体" w:hAnsi="宋体" w:cs="宋体" w:eastAsia="宋体" w:hint="default"/>
          <w:spacing w:val="-45"/>
        </w:rPr>
        <w:t> </w:t>
      </w:r>
      <w:r>
        <w:rPr/>
        <w:t>年一季度，公司网站</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ind w:right="1129"/>
        <w:jc w:val="both"/>
      </w:pPr>
      <w:r>
        <w:rPr/>
        <w:t>的创意视频、编辑视频、音乐素材产品全面完成上线，可以为客户提供“一站式”的内容素材服务。截止</w:t>
      </w:r>
      <w:r>
        <w:rPr>
          <w:spacing w:val="-45"/>
        </w:rPr>
        <w:t> </w:t>
      </w:r>
      <w:r>
        <w:rPr>
          <w:rFonts w:ascii="宋体" w:hAnsi="宋体" w:cs="宋体" w:eastAsia="宋体" w:hint="default"/>
        </w:rPr>
        <w:t>2018</w:t>
      </w:r>
      <w:r>
        <w:rPr>
          <w:rFonts w:ascii="宋体" w:hAnsi="宋体" w:cs="宋体" w:eastAsia="宋体" w:hint="default"/>
          <w:spacing w:val="-45"/>
        </w:rPr>
        <w:t> </w:t>
      </w:r>
      <w:r>
        <w:rPr/>
        <w:t>年末，公司 与二更、浙视频、东方今报、千龙网、</w:t>
      </w:r>
      <w:r>
        <w:rPr>
          <w:rFonts w:ascii="宋体" w:hAnsi="宋体" w:cs="宋体" w:eastAsia="宋体" w:hint="default"/>
        </w:rPr>
        <w:t>Blend Media</w:t>
      </w:r>
      <w:r>
        <w:rPr/>
        <w:t>、豆瓣音乐、幻音、纽渡文化、仓耳字体、义启字体等视频、音乐、设 计、字体公司签署了素材独家代理协议。</w:t>
      </w:r>
      <w:r>
        <w:rPr>
          <w:rFonts w:ascii="宋体" w:hAnsi="宋体" w:cs="宋体" w:eastAsia="宋体" w:hint="default"/>
        </w:rPr>
        <w:t>2018</w:t>
      </w:r>
      <w:r>
        <w:rPr>
          <w:rFonts w:ascii="宋体" w:hAnsi="宋体" w:cs="宋体" w:eastAsia="宋体" w:hint="default"/>
          <w:spacing w:val="-52"/>
        </w:rPr>
        <w:t> </w:t>
      </w:r>
      <w:r>
        <w:rPr>
          <w:spacing w:val="-3"/>
        </w:rPr>
        <w:t>年，视频、设计、音乐等素材的销售同比增长</w:t>
      </w:r>
      <w:r>
        <w:rPr>
          <w:spacing w:val="-51"/>
        </w:rPr>
        <w:t> </w:t>
      </w:r>
      <w:r>
        <w:rPr>
          <w:rFonts w:ascii="宋体" w:hAnsi="宋体" w:cs="宋体" w:eastAsia="宋体" w:hint="default"/>
        </w:rPr>
        <w:t>50%</w:t>
      </w:r>
      <w:r>
        <w:rPr/>
        <w:t>。公司继续与</w:t>
      </w:r>
      <w:r>
        <w:rPr>
          <w:spacing w:val="-52"/>
        </w:rPr>
        <w:t> </w:t>
      </w:r>
      <w:r>
        <w:rPr>
          <w:rFonts w:ascii="宋体" w:hAnsi="宋体" w:cs="宋体" w:eastAsia="宋体" w:hint="default"/>
        </w:rPr>
        <w:t>Getty</w:t>
      </w:r>
      <w:r>
        <w:rPr>
          <w:rFonts w:ascii="宋体" w:hAnsi="宋体" w:cs="宋体" w:eastAsia="宋体" w:hint="default"/>
          <w:spacing w:val="-51"/>
        </w:rPr>
        <w:t> </w:t>
      </w:r>
      <w:r>
        <w:rPr>
          <w:rFonts w:ascii="宋体" w:hAnsi="宋体" w:cs="宋体" w:eastAsia="宋体" w:hint="default"/>
        </w:rPr>
        <w:t>Images</w:t>
      </w:r>
      <w:r>
        <w:rPr>
          <w:rFonts w:ascii="宋体" w:hAnsi="宋体" w:cs="宋体" w:eastAsia="宋体" w:hint="default"/>
        </w:rPr>
        <w:t> </w:t>
      </w:r>
      <w:r>
        <w:rPr/>
        <w:t>等主要核心供应商继续保持长期的战略合作关系，与全球</w:t>
      </w:r>
      <w:r>
        <w:rPr>
          <w:spacing w:val="-46"/>
        </w:rPr>
        <w:t> </w:t>
      </w:r>
      <w:r>
        <w:rPr>
          <w:rFonts w:ascii="宋体" w:hAnsi="宋体" w:cs="宋体" w:eastAsia="宋体" w:hint="default"/>
        </w:rPr>
        <w:t>240</w:t>
      </w:r>
      <w:r>
        <w:rPr>
          <w:rFonts w:ascii="宋体" w:hAnsi="宋体" w:cs="宋体" w:eastAsia="宋体" w:hint="default"/>
          <w:spacing w:val="-47"/>
        </w:rPr>
        <w:t> </w:t>
      </w:r>
      <w:r>
        <w:rPr>
          <w:spacing w:val="-3"/>
        </w:rPr>
        <w:t>家知名内容机构或品牌保持紧密的合作关系。报告期内，公司</w:t>
      </w:r>
      <w:r>
        <w:rPr/>
        <w:t> 独家的编辑类内容全面涵盖了改革开放四十周年、扶贫攻坚、一带一路、</w:t>
      </w:r>
      <w:r>
        <w:rPr>
          <w:rFonts w:ascii="宋体" w:hAnsi="宋体" w:cs="宋体" w:eastAsia="宋体" w:hint="default"/>
        </w:rPr>
        <w:t>NBA</w:t>
      </w:r>
      <w:r>
        <w:rPr/>
        <w:t>、冬奥会、世界杯、奥斯卡等热门题材，有效 地推动了业务高速增长。</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7"/>
        <w:spacing w:line="240" w:lineRule="auto"/>
        <w:ind w:right="0"/>
        <w:jc w:val="left"/>
        <w:rPr>
          <w:b w:val="0"/>
          <w:bCs w:val="0"/>
        </w:rPr>
      </w:pPr>
      <w:r>
        <w:rPr>
          <w:w w:val="99"/>
        </w:rPr>
      </w:r>
      <w:r>
        <w:rPr>
          <w:u w:val="single" w:color="000000"/>
        </w:rPr>
        <w:t>产品与服务</w:t>
      </w:r>
      <w:r>
        <w:rPr/>
      </w:r>
      <w:r>
        <w:rPr>
          <w:b w:val="0"/>
          <w:bCs w:val="0"/>
        </w:rPr>
      </w:r>
    </w:p>
    <w:p>
      <w:pPr>
        <w:pStyle w:val="BodyText"/>
        <w:spacing w:line="364" w:lineRule="auto" w:before="140"/>
        <w:ind w:right="0" w:firstLine="360"/>
        <w:jc w:val="left"/>
      </w:pPr>
      <w:r>
        <w:rPr>
          <w:rFonts w:ascii="宋体" w:hAnsi="宋体" w:cs="宋体" w:eastAsia="宋体" w:hint="default"/>
        </w:rPr>
        <w:t>2018</w:t>
      </w:r>
      <w:r>
        <w:rPr>
          <w:rFonts w:ascii="宋体" w:hAnsi="宋体" w:cs="宋体" w:eastAsia="宋体" w:hint="default"/>
          <w:spacing w:val="-46"/>
        </w:rPr>
        <w:t> </w:t>
      </w:r>
      <w:r>
        <w:rPr/>
        <w:t>年，公司针对不同的客户群，采取不同的产品价格体系及服务策略。对于企业大客户充分挖掘全产品线（图片、 设计、视频、音乐以及增值服务）和全应用场景的需求，为满足其对内容独特性、工作流的需求</w:t>
      </w:r>
      <w:r>
        <w:rPr>
          <w:rFonts w:ascii="宋体" w:hAnsi="宋体" w:cs="宋体" w:eastAsia="宋体" w:hint="default"/>
        </w:rPr>
        <w:t>,</w:t>
      </w:r>
      <w:r>
        <w:rPr/>
        <w:t>公司通过专门的销售、服 </w:t>
      </w:r>
      <w:r>
        <w:rPr>
          <w:spacing w:val="-2"/>
        </w:rPr>
        <w:t>务和研究团队为他们提供一系列增值服务；公司还针对企业大客户的需求，为其定制内部素材的使用管理平台“</w:t>
      </w:r>
      <w:r>
        <w:rPr>
          <w:rFonts w:ascii="宋体" w:hAnsi="宋体" w:cs="宋体" w:eastAsia="宋体" w:hint="default"/>
          <w:spacing w:val="-2"/>
        </w:rPr>
        <w:t>vcg+</w:t>
      </w:r>
      <w:r>
        <w:rPr>
          <w:spacing w:val="-2"/>
        </w:rPr>
        <w:t>”，帮</w:t>
      </w:r>
      <w:r>
        <w:rPr>
          <w:spacing w:val="-79"/>
        </w:rPr>
        <w:t> </w:t>
      </w:r>
      <w:r>
        <w:rPr>
          <w:spacing w:val="-2"/>
        </w:rPr>
        <w:t>助客户实现多层级账号管理、素材使用权限管理、自助完成账单、授权书与发票的申请，帮助客户高效提升优质内容的使用</w:t>
      </w:r>
      <w:r>
        <w:rPr>
          <w:spacing w:val="-66"/>
        </w:rPr>
        <w:t> </w:t>
      </w:r>
      <w:r>
        <w:rPr>
          <w:spacing w:val="-66"/>
        </w:rPr>
      </w:r>
      <w:r>
        <w:rPr>
          <w:spacing w:val="-4"/>
        </w:rPr>
        <w:t>和管理效率。除素材内容服务之外，公司进一步提升为大客户提供更全面的整合营销服务能力，尤其为政府机构、品牌企业、</w:t>
      </w:r>
      <w:r>
        <w:rPr>
          <w:spacing w:val="-46"/>
        </w:rPr>
        <w:t> </w:t>
      </w:r>
      <w:r>
        <w:rPr>
          <w:spacing w:val="-46"/>
        </w:rPr>
      </w:r>
      <w:r>
        <w:rPr/>
        <w:t>旅游行业、体育赛事及娱乐活动的主办方等提供视觉内容生产、管理及传播的“视觉</w:t>
      </w:r>
      <w:r>
        <w:rPr>
          <w:rFonts w:ascii="宋体" w:hAnsi="宋体" w:cs="宋体" w:eastAsia="宋体" w:hint="default"/>
        </w:rPr>
        <w:t>+</w:t>
      </w:r>
      <w:r>
        <w:rPr/>
        <w:t>”视觉营销解决方案，全方位满足企 业大客户的个性化服务，为公司带来新的业绩增长。</w:t>
      </w:r>
    </w:p>
    <w:p>
      <w:pPr>
        <w:pStyle w:val="BodyText"/>
        <w:spacing w:line="367" w:lineRule="auto" w:before="68"/>
        <w:ind w:right="1185" w:firstLine="360"/>
        <w:jc w:val="both"/>
      </w:pPr>
      <w:r>
        <w:rPr>
          <w:rFonts w:ascii="宋体" w:hAnsi="宋体" w:cs="宋体" w:eastAsia="宋体" w:hint="default"/>
        </w:rPr>
        <w:t>2018</w:t>
      </w:r>
      <w:r>
        <w:rPr>
          <w:rFonts w:ascii="宋体" w:hAnsi="宋体" w:cs="宋体" w:eastAsia="宋体" w:hint="default"/>
          <w:spacing w:val="-46"/>
        </w:rPr>
        <w:t> </w:t>
      </w:r>
      <w:r>
        <w:rPr/>
        <w:t>年公司针对不同客户的不同应用场景、基于不同内容组合的标准化打包及长协产品价格体系，以满足各类客户的 需求。如针对中小企业的新媒体内容需求，公司推出了针对性产品与服务模式“</w:t>
      </w:r>
      <w:r>
        <w:rPr>
          <w:rFonts w:ascii="宋体" w:hAnsi="宋体" w:cs="宋体" w:eastAsia="宋体" w:hint="default"/>
        </w:rPr>
        <w:t>PA</w:t>
      </w:r>
      <w:r>
        <w:rPr>
          <w:rFonts w:ascii="宋体" w:hAnsi="宋体" w:cs="宋体" w:eastAsia="宋体" w:hint="default"/>
          <w:spacing w:val="-46"/>
        </w:rPr>
        <w:t> </w:t>
      </w:r>
      <w:r>
        <w:rPr/>
        <w:t>产品包”，可以根据客户的预算需求， 提供从编辑图片到创意图片的性价比高的内容服务，取得良好的效果。</w:t>
      </w:r>
    </w:p>
    <w:p>
      <w:pPr>
        <w:pStyle w:val="Heading7"/>
        <w:spacing w:line="240" w:lineRule="auto" w:before="124"/>
        <w:ind w:left="606" w:right="0"/>
        <w:jc w:val="left"/>
        <w:rPr>
          <w:b w:val="0"/>
          <w:bCs w:val="0"/>
        </w:rPr>
      </w:pPr>
      <w:r>
        <w:rPr>
          <w:w w:val="99"/>
        </w:rPr>
      </w:r>
      <w:r>
        <w:rPr>
          <w:u w:val="single" w:color="000000"/>
        </w:rPr>
        <w:t>人工智能与技术</w:t>
      </w:r>
      <w:r>
        <w:rPr/>
      </w:r>
      <w:r>
        <w:rPr>
          <w:b w:val="0"/>
          <w:bCs w:val="0"/>
        </w:rPr>
      </w:r>
    </w:p>
    <w:p>
      <w:pPr>
        <w:spacing w:line="240" w:lineRule="auto" w:before="5"/>
        <w:rPr>
          <w:rFonts w:ascii="宋体" w:hAnsi="宋体" w:cs="宋体" w:eastAsia="宋体" w:hint="default"/>
          <w:b/>
          <w:bCs/>
          <w:sz w:val="11"/>
          <w:szCs w:val="11"/>
        </w:rPr>
      </w:pPr>
    </w:p>
    <w:p>
      <w:pPr>
        <w:pStyle w:val="BodyText"/>
        <w:spacing w:line="309" w:lineRule="auto"/>
        <w:ind w:right="1022" w:firstLine="420"/>
        <w:jc w:val="left"/>
      </w:pPr>
      <w:r>
        <w:rPr/>
        <w:t>报告期内，公司由“内容驱动”转型为“内容、技术”双轮驱动，将技术部门改组为独立体系，主要分为两部分：一 是核心技术研发，包括大数据、</w:t>
      </w:r>
      <w:r>
        <w:rPr>
          <w:rFonts w:ascii="Times New Roman" w:hAnsi="Times New Roman" w:cs="Times New Roman" w:eastAsia="Times New Roman" w:hint="default"/>
        </w:rPr>
        <w:t>AI</w:t>
      </w:r>
      <w:r>
        <w:rPr/>
        <w:t>、云等；二是应用技术研发，主要服务于内容交易、兴趣社区以及工具服务等业务板块。 在客户需求导向的前提下，技术不仅服务于业务，而且逐步引领业务。</w:t>
      </w:r>
    </w:p>
    <w:p>
      <w:pPr>
        <w:pStyle w:val="BodyText"/>
        <w:spacing w:line="316" w:lineRule="auto" w:before="24"/>
        <w:ind w:right="1027" w:firstLine="459"/>
        <w:jc w:val="left"/>
      </w:pPr>
      <w:r>
        <w:rPr/>
        <w:t>公司拥有并持续建设近</w:t>
      </w:r>
      <w:r>
        <w:rPr>
          <w:spacing w:val="-47"/>
        </w:rPr>
        <w:t> </w:t>
      </w:r>
      <w:r>
        <w:rPr>
          <w:rFonts w:ascii="宋体" w:hAnsi="宋体" w:cs="宋体" w:eastAsia="宋体" w:hint="default"/>
        </w:rPr>
        <w:t>20</w:t>
      </w:r>
      <w:r>
        <w:rPr>
          <w:rFonts w:ascii="宋体" w:hAnsi="宋体" w:cs="宋体" w:eastAsia="宋体" w:hint="default"/>
          <w:spacing w:val="-47"/>
        </w:rPr>
        <w:t> </w:t>
      </w:r>
      <w:r>
        <w:rPr/>
        <w:t>年的，以“视觉内容”为核心，依托大数据、人工智能等互联网技术建设的智能服务平台。 平台由三部分组成：数据后台、服务中台、业务前台。（详见附图二）</w:t>
      </w:r>
    </w:p>
    <w:p>
      <w:pPr>
        <w:spacing w:line="240" w:lineRule="auto" w:before="4"/>
        <w:rPr>
          <w:rFonts w:ascii="宋体" w:hAnsi="宋体" w:cs="宋体" w:eastAsia="宋体" w:hint="default"/>
          <w:sz w:val="11"/>
          <w:szCs w:val="11"/>
        </w:rPr>
      </w:pPr>
    </w:p>
    <w:p>
      <w:pPr>
        <w:spacing w:line="3543" w:lineRule="exact"/>
        <w:ind w:left="514"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236223" cy="22499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236223" cy="2249900"/>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9"/>
          <w:szCs w:val="19"/>
        </w:rPr>
      </w:pPr>
      <w:r>
        <w:rPr>
          <w:rFonts w:ascii="宋体" w:hAnsi="宋体" w:cs="宋体" w:eastAsia="宋体" w:hint="default"/>
          <w:i/>
          <w:sz w:val="19"/>
          <w:szCs w:val="19"/>
        </w:rPr>
        <w:t>（附图二）</w:t>
      </w:r>
      <w:r>
        <w:rPr>
          <w:rFonts w:ascii="宋体" w:hAnsi="宋体" w:cs="宋体" w:eastAsia="宋体" w:hint="default"/>
          <w:sz w:val="19"/>
          <w:szCs w:val="19"/>
        </w:rPr>
      </w:r>
    </w:p>
    <w:p>
      <w:pPr>
        <w:pStyle w:val="BodyText"/>
        <w:spacing w:line="300" w:lineRule="auto" w:before="116"/>
        <w:ind w:right="1126" w:firstLine="360"/>
        <w:jc w:val="left"/>
      </w:pPr>
      <w:r>
        <w:rPr/>
        <w:t>数据方面，平台集聚了海量的数据，包括：</w:t>
      </w:r>
      <w:r>
        <w:rPr>
          <w:rFonts w:ascii="宋体" w:hAnsi="宋体" w:cs="宋体" w:eastAsia="宋体" w:hint="default"/>
        </w:rPr>
        <w:t>1</w:t>
      </w:r>
      <w:r>
        <w:rPr/>
        <w:t>）超过</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亿的图片、视频、音乐内容数据，</w:t>
      </w:r>
      <w:r>
        <w:rPr>
          <w:rFonts w:ascii="Times New Roman" w:hAnsi="Times New Roman" w:cs="Times New Roman" w:eastAsia="Times New Roman" w:hint="default"/>
        </w:rPr>
        <w:t>220</w:t>
      </w:r>
      <w:r>
        <w:rPr>
          <w:rFonts w:ascii="Times New Roman" w:hAnsi="Times New Roman" w:cs="Times New Roman" w:eastAsia="Times New Roman" w:hint="default"/>
          <w:spacing w:val="-1"/>
        </w:rPr>
        <w:t> </w:t>
      </w:r>
      <w:r>
        <w:rPr/>
        <w:t>万的结构化标签库及知识 图谱，内容应用标签超过</w:t>
      </w:r>
      <w:r>
        <w:rPr>
          <w:spacing w:val="-46"/>
        </w:rPr>
        <w:t> </w:t>
      </w:r>
      <w:r>
        <w:rPr>
          <w:rFonts w:ascii="Times New Roman" w:hAnsi="Times New Roman" w:cs="Times New Roman" w:eastAsia="Times New Roman" w:hint="default"/>
        </w:rPr>
        <w:t>60 </w:t>
      </w:r>
      <w:r>
        <w:rPr/>
        <w:t>亿；</w:t>
      </w:r>
      <w:r>
        <w:rPr>
          <w:rFonts w:ascii="Times New Roman" w:hAnsi="Times New Roman" w:cs="Times New Roman" w:eastAsia="Times New Roman" w:hint="default"/>
        </w:rPr>
        <w:t>2</w:t>
      </w:r>
      <w:r>
        <w:rPr/>
        <w:t>）超过</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万的用户（内容供稿方与使用方）持续产生的每天</w:t>
      </w:r>
      <w:r>
        <w:rPr>
          <w:spacing w:val="-45"/>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万的搜索、上传、</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ind w:right="1029"/>
        <w:jc w:val="left"/>
      </w:pPr>
      <w:r>
        <w:rPr>
          <w:spacing w:val="-4"/>
        </w:rPr>
        <w:t>下载、收藏、分享等用户行为数据；</w:t>
      </w:r>
      <w:r>
        <w:rPr>
          <w:rFonts w:ascii="Times New Roman" w:hAnsi="Times New Roman" w:cs="Times New Roman" w:eastAsia="Times New Roman" w:hint="default"/>
          <w:spacing w:val="-4"/>
        </w:rPr>
        <w:t>3</w:t>
      </w:r>
      <w:r>
        <w:rPr>
          <w:spacing w:val="-4"/>
        </w:rPr>
        <w:t>）用户使用场景数据 </w:t>
      </w:r>
      <w:r>
        <w:rPr>
          <w:rFonts w:ascii="Times New Roman" w:hAnsi="Times New Roman" w:cs="Times New Roman" w:eastAsia="Times New Roman" w:hint="default"/>
        </w:rPr>
        <w:t>3,000</w:t>
      </w:r>
      <w:r>
        <w:rPr>
          <w:rFonts w:ascii="Times New Roman" w:hAnsi="Times New Roman" w:cs="Times New Roman" w:eastAsia="Times New Roman" w:hint="default"/>
          <w:spacing w:val="-25"/>
        </w:rPr>
        <w:t> </w:t>
      </w:r>
      <w:r>
        <w:rPr>
          <w:spacing w:val="-3"/>
        </w:rPr>
        <w:t>万</w:t>
      </w:r>
      <w:r>
        <w:rPr>
          <w:rFonts w:ascii="Times New Roman" w:hAnsi="Times New Roman" w:cs="Times New Roman" w:eastAsia="Times New Roman" w:hint="default"/>
          <w:spacing w:val="-3"/>
        </w:rPr>
        <w:t>/</w:t>
      </w:r>
      <w:r>
        <w:rPr>
          <w:spacing w:val="-3"/>
        </w:rPr>
        <w:t>年。三类数据相互匹配，融合，并构成了</w:t>
      </w:r>
      <w:r>
        <w:rPr>
          <w:rFonts w:ascii="Times New Roman" w:hAnsi="Times New Roman" w:cs="Times New Roman" w:eastAsia="Times New Roman" w:hint="default"/>
          <w:spacing w:val="-3"/>
        </w:rPr>
        <w:t>“</w:t>
      </w:r>
      <w:r>
        <w:rPr>
          <w:spacing w:val="-3"/>
        </w:rPr>
        <w:t>数据提升技术、</w:t>
      </w:r>
      <w:r>
        <w:rPr/>
        <w:t> 技术驱动服务、服务回馈数据</w:t>
      </w:r>
      <w:r>
        <w:rPr>
          <w:rFonts w:ascii="Times New Roman" w:hAnsi="Times New Roman" w:cs="Times New Roman" w:eastAsia="Times New Roman" w:hint="default"/>
        </w:rPr>
        <w:t>”</w:t>
      </w:r>
      <w:r>
        <w:rPr/>
        <w:t>的独特的闭环运行模式的第一块拼图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数据提升技术</w:t>
      </w:r>
      <w:r>
        <w:rPr>
          <w:rFonts w:ascii="Times New Roman" w:hAnsi="Times New Roman" w:cs="Times New Roman" w:eastAsia="Times New Roman" w:hint="default"/>
        </w:rPr>
        <w:t>”</w:t>
      </w:r>
      <w:r>
        <w:rPr/>
        <w:t>。</w:t>
      </w:r>
    </w:p>
    <w:p>
      <w:pPr>
        <w:pStyle w:val="BodyText"/>
        <w:spacing w:line="304" w:lineRule="auto" w:before="49"/>
        <w:ind w:right="0" w:firstLine="450"/>
        <w:jc w:val="left"/>
      </w:pPr>
      <w:r>
        <w:rPr/>
        <w:t>技术方面，公司拥有行业内领先的 </w:t>
      </w:r>
      <w:r>
        <w:rPr>
          <w:rFonts w:ascii="Times New Roman" w:hAnsi="Times New Roman" w:cs="Times New Roman" w:eastAsia="Times New Roman" w:hint="default"/>
        </w:rPr>
        <w:t>1</w:t>
      </w:r>
      <w:r>
        <w:rPr/>
        <w:t>）</w:t>
      </w:r>
      <w:r>
        <w:rPr>
          <w:spacing w:val="-46"/>
        </w:rPr>
        <w:t> </w:t>
      </w:r>
      <w:r>
        <w:rPr/>
        <w:t>图像识别技术、</w:t>
      </w:r>
      <w:r>
        <w:rPr>
          <w:rFonts w:ascii="Times New Roman" w:hAnsi="Times New Roman" w:cs="Times New Roman" w:eastAsia="Times New Roman" w:hint="default"/>
        </w:rPr>
        <w:t>2</w:t>
      </w:r>
      <w:r>
        <w:rPr/>
        <w:t>）智能搜索技术、</w:t>
      </w:r>
      <w:r>
        <w:rPr>
          <w:rFonts w:ascii="Times New Roman" w:hAnsi="Times New Roman" w:cs="Times New Roman" w:eastAsia="Times New Roman" w:hint="default"/>
        </w:rPr>
        <w:t>3</w:t>
      </w:r>
      <w:r>
        <w:rPr/>
        <w:t>）词库技术、</w:t>
      </w:r>
      <w:r>
        <w:rPr>
          <w:rFonts w:ascii="Times New Roman" w:hAnsi="Times New Roman" w:cs="Times New Roman" w:eastAsia="Times New Roman" w:hint="default"/>
        </w:rPr>
        <w:t>4</w:t>
      </w:r>
      <w:r>
        <w:rPr/>
        <w:t>）等计算机视觉技术，并 结合上述</w:t>
      </w:r>
      <w:r>
        <w:rPr>
          <w:rFonts w:ascii="Times New Roman" w:hAnsi="Times New Roman" w:cs="Times New Roman" w:eastAsia="Times New Roman" w:hint="default"/>
        </w:rPr>
        <w:t>“</w:t>
      </w:r>
      <w:r>
        <w:rPr/>
        <w:t>白金视觉大数据</w:t>
      </w:r>
      <w:r>
        <w:rPr>
          <w:rFonts w:ascii="Times New Roman" w:hAnsi="Times New Roman" w:cs="Times New Roman" w:eastAsia="Times New Roman" w:hint="default"/>
        </w:rPr>
        <w:t>”</w:t>
      </w:r>
      <w:r>
        <w:rPr/>
        <w:t>，建立了一整套研究、开发、迭代体系。同时与国内外大学研究机构等进行科研合作项目，进一 步挖掘人工智能技术在视觉方面的各项应用，提供一系列的智能服务中台包括：数据分析中台、智能</w:t>
      </w:r>
      <w:r>
        <w:rPr>
          <w:spacing w:val="-45"/>
        </w:rPr>
        <w:t> </w:t>
      </w:r>
      <w:r>
        <w:rPr>
          <w:rFonts w:ascii="Times New Roman" w:hAnsi="Times New Roman" w:cs="Times New Roman" w:eastAsia="Times New Roman" w:hint="default"/>
        </w:rPr>
        <w:t>AI</w:t>
      </w:r>
      <w:r>
        <w:rPr>
          <w:rFonts w:ascii="Times New Roman" w:hAnsi="Times New Roman" w:cs="Times New Roman" w:eastAsia="Times New Roman" w:hint="default"/>
          <w:spacing w:val="-1"/>
        </w:rPr>
        <w:t> </w:t>
      </w:r>
      <w:r>
        <w:rPr/>
        <w:t>中台、应用服务中 </w:t>
      </w:r>
      <w:r>
        <w:rPr>
          <w:spacing w:val="-4"/>
        </w:rPr>
        <w:t>台等，由机器通过对以上三类数据的特征学习分析，将三者进行匹配、融合，结合不同的应用场景，为用户提供一系列服务，</w:t>
      </w:r>
      <w:r>
        <w:rPr>
          <w:spacing w:val="-44"/>
        </w:rPr>
        <w:t> </w:t>
      </w:r>
      <w:r>
        <w:rPr>
          <w:spacing w:val="-44"/>
        </w:rPr>
      </w:r>
      <w:r>
        <w:rPr>
          <w:spacing w:val="-2"/>
        </w:rPr>
        <w:t>如智能图搜、个性推荐、图片</w:t>
      </w:r>
      <w:r>
        <w:rPr>
          <w:rFonts w:ascii="宋体" w:hAnsi="宋体" w:cs="宋体" w:eastAsia="宋体" w:hint="default"/>
          <w:spacing w:val="-2"/>
        </w:rPr>
        <w:t>/</w:t>
      </w:r>
      <w:r>
        <w:rPr>
          <w:spacing w:val="-2"/>
        </w:rPr>
        <w:t>视频识别、自动标签、智能文章配图、行业图库、版权风控等。构成了</w:t>
      </w:r>
      <w:r>
        <w:rPr>
          <w:rFonts w:ascii="Times New Roman" w:hAnsi="Times New Roman" w:cs="Times New Roman" w:eastAsia="Times New Roman" w:hint="default"/>
          <w:spacing w:val="-2"/>
        </w:rPr>
        <w:t>“</w:t>
      </w:r>
      <w:r>
        <w:rPr>
          <w:spacing w:val="-2"/>
        </w:rPr>
        <w:t>数据提升技术、技术</w:t>
      </w:r>
      <w:r>
        <w:rPr>
          <w:spacing w:val="-59"/>
        </w:rPr>
        <w:t> </w:t>
      </w:r>
      <w:r>
        <w:rPr>
          <w:spacing w:val="-59"/>
        </w:rPr>
      </w:r>
      <w:r>
        <w:rPr/>
        <w:t>驱动服务、服务回馈数据</w:t>
      </w:r>
      <w:r>
        <w:rPr>
          <w:rFonts w:ascii="Times New Roman" w:hAnsi="Times New Roman" w:cs="Times New Roman" w:eastAsia="Times New Roman" w:hint="default"/>
        </w:rPr>
        <w:t>”</w:t>
      </w:r>
      <w:r>
        <w:rPr/>
        <w:t>的独特的闭环运行模式的第二块拼图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技术驱动服务</w:t>
      </w:r>
      <w:r>
        <w:rPr>
          <w:rFonts w:ascii="Times New Roman" w:hAnsi="Times New Roman" w:cs="Times New Roman" w:eastAsia="Times New Roman" w:hint="default"/>
        </w:rPr>
        <w:t>”</w:t>
      </w:r>
      <w:r>
        <w:rPr/>
        <w:t>。</w:t>
      </w:r>
    </w:p>
    <w:p>
      <w:pPr>
        <w:pStyle w:val="BodyText"/>
        <w:spacing w:line="307" w:lineRule="auto" w:before="48"/>
        <w:ind w:right="0" w:firstLine="450"/>
        <w:jc w:val="left"/>
      </w:pPr>
      <w:r>
        <w:rPr>
          <w:spacing w:val="-2"/>
        </w:rPr>
        <w:t>服务方面，通过深入结合用户使用场景和需求，公司在业务前台为客户提供不同的业务场景，如内容交易、兴趣社区、</w:t>
      </w:r>
      <w:r>
        <w:rPr/>
        <w:t> 工具服务等等。目前对接了公司视觉内容交易服务平台（</w:t>
      </w:r>
      <w:hyperlink r:id="rId8">
        <w:r>
          <w:rPr>
            <w:rFonts w:ascii="Times New Roman" w:hAnsi="Times New Roman" w:cs="Times New Roman" w:eastAsia="Times New Roman" w:hint="default"/>
          </w:rPr>
          <w:t>www.vcg.com</w:t>
        </w:r>
      </w:hyperlink>
      <w:r>
        <w:rPr/>
        <w:t>、</w:t>
      </w:r>
      <w:hyperlink r:id="rId13">
        <w:r>
          <w:rPr>
            <w:rFonts w:ascii="Times New Roman" w:hAnsi="Times New Roman" w:cs="Times New Roman" w:eastAsia="Times New Roman" w:hint="default"/>
          </w:rPr>
          <w:t>www.veer.com</w:t>
        </w:r>
      </w:hyperlink>
      <w:r>
        <w:rPr/>
        <w:t>）、</w:t>
      </w:r>
      <w:r>
        <w:rPr>
          <w:rFonts w:ascii="Times New Roman" w:hAnsi="Times New Roman" w:cs="Times New Roman" w:eastAsia="Times New Roman" w:hint="default"/>
        </w:rPr>
        <w:t>500px</w:t>
      </w:r>
      <w:r>
        <w:rPr>
          <w:rFonts w:ascii="Times New Roman" w:hAnsi="Times New Roman" w:cs="Times New Roman" w:eastAsia="Times New Roman" w:hint="default"/>
          <w:spacing w:val="-3"/>
        </w:rPr>
        <w:t> </w:t>
      </w:r>
      <w:r>
        <w:rPr/>
        <w:t>视觉内容创作者平台等。 </w:t>
      </w:r>
      <w:r>
        <w:rPr>
          <w:spacing w:val="-3"/>
        </w:rPr>
        <w:t>前台连续收集各类型客户的使用反馈和数据反馈，进而进行目标明确的迭代和改进，一方面提高客户满意度，一方面完成</w:t>
      </w:r>
      <w:r>
        <w:rPr>
          <w:rFonts w:ascii="Times New Roman" w:hAnsi="Times New Roman" w:cs="Times New Roman" w:eastAsia="Times New Roman" w:hint="default"/>
          <w:spacing w:val="-3"/>
        </w:rPr>
        <w:t>“</w:t>
      </w:r>
      <w:r>
        <w:rPr>
          <w:spacing w:val="-3"/>
        </w:rPr>
        <w:t>数</w:t>
      </w:r>
      <w:r>
        <w:rPr>
          <w:spacing w:val="-87"/>
        </w:rPr>
        <w:t> </w:t>
      </w:r>
      <w:r>
        <w:rPr/>
        <w:t>据提升技术、技术驱动服务、服务回馈数据</w:t>
      </w:r>
      <w:r>
        <w:rPr>
          <w:rFonts w:ascii="Times New Roman" w:hAnsi="Times New Roman" w:cs="Times New Roman" w:eastAsia="Times New Roman" w:hint="default"/>
        </w:rPr>
        <w:t>”</w:t>
      </w:r>
      <w:r>
        <w:rPr/>
        <w:t>的独特的闭环运行模式的最后一块拼图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服务回馈数据</w:t>
      </w:r>
      <w:r>
        <w:rPr>
          <w:rFonts w:ascii="Times New Roman" w:hAnsi="Times New Roman" w:cs="Times New Roman" w:eastAsia="Times New Roman" w:hint="default"/>
        </w:rPr>
        <w:t>”</w:t>
      </w:r>
      <w:r>
        <w:rPr/>
        <w:t>。</w:t>
      </w:r>
    </w:p>
    <w:p>
      <w:pPr>
        <w:pStyle w:val="Heading7"/>
        <w:spacing w:line="240" w:lineRule="auto" w:before="124"/>
        <w:ind w:right="0"/>
        <w:jc w:val="left"/>
        <w:rPr>
          <w:b w:val="0"/>
          <w:bCs w:val="0"/>
        </w:rPr>
      </w:pPr>
      <w:r>
        <w:rPr>
          <w:w w:val="99"/>
        </w:rPr>
      </w:r>
      <w:r>
        <w:rPr>
          <w:u w:val="single" w:color="000000"/>
        </w:rPr>
        <w:t>高效获客</w:t>
      </w:r>
      <w:r>
        <w:rPr>
          <w:spacing w:val="-2"/>
          <w:u w:val="single" w:color="000000"/>
        </w:rPr>
        <w:t> </w:t>
      </w:r>
      <w:r>
        <w:rPr>
          <w:u w:val="single" w:color="000000"/>
        </w:rPr>
        <w:t>全面覆盖市场</w:t>
      </w:r>
      <w:r>
        <w:rPr/>
      </w:r>
      <w:r>
        <w:rPr>
          <w:b w:val="0"/>
          <w:bCs w:val="0"/>
        </w:rPr>
      </w:r>
    </w:p>
    <w:p>
      <w:pPr>
        <w:spacing w:line="240" w:lineRule="auto" w:before="4"/>
        <w:rPr>
          <w:rFonts w:ascii="宋体" w:hAnsi="宋体" w:cs="宋体" w:eastAsia="宋体" w:hint="default"/>
          <w:b/>
          <w:bCs/>
          <w:sz w:val="11"/>
          <w:szCs w:val="11"/>
        </w:rPr>
      </w:pPr>
    </w:p>
    <w:p>
      <w:pPr>
        <w:pStyle w:val="BodyText"/>
        <w:spacing w:line="312" w:lineRule="auto"/>
        <w:ind w:right="1132" w:firstLine="360"/>
        <w:jc w:val="both"/>
      </w:pPr>
      <w:r>
        <w:rPr>
          <w:spacing w:val="-2"/>
        </w:rPr>
        <w:t>基于行业及市场的发展趋势及巨大发展空间，公司持续加强对各细分领域的用户的应用场景、用户行为及内容需求的差</w:t>
      </w:r>
      <w:r>
        <w:rPr/>
        <w:t> </w:t>
      </w:r>
      <w:r>
        <w:rPr>
          <w:spacing w:val="-2"/>
        </w:rPr>
        <w:t>异化的全方位研究，持续提升公司对内容生态的连接和全面深度覆盖市场的能力。报告期内，与公司直接签约的合作客户数</w:t>
      </w:r>
      <w:r>
        <w:rPr>
          <w:spacing w:val="-65"/>
        </w:rPr>
        <w:t> </w:t>
      </w:r>
      <w:r>
        <w:rPr>
          <w:spacing w:val="-65"/>
        </w:rPr>
      </w:r>
      <w:r>
        <w:rPr/>
        <w:t>超过</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家，同期增长</w:t>
      </w:r>
      <w:r>
        <w:rPr>
          <w:spacing w:val="-49"/>
        </w:rPr>
        <w:t> </w:t>
      </w:r>
      <w:r>
        <w:rPr>
          <w:rFonts w:ascii="Times New Roman" w:hAnsi="Times New Roman" w:cs="Times New Roman" w:eastAsia="Times New Roman" w:hint="default"/>
        </w:rPr>
        <w:t>90%</w:t>
      </w:r>
      <w:r>
        <w:rPr/>
        <w:t>。根据市场变化，公司重点对企业客户、媒体、广告营销与服务、互联网平台等四个目标市 场进行了开拓，</w:t>
      </w:r>
      <w:r>
        <w:rPr>
          <w:rFonts w:ascii="Times New Roman" w:hAnsi="Times New Roman" w:cs="Times New Roman" w:eastAsia="Times New Roman" w:hint="default"/>
        </w:rPr>
        <w:t>2018 </w:t>
      </w:r>
      <w:r>
        <w:rPr/>
        <w:t>年收入占比分别为</w:t>
      </w:r>
      <w:r>
        <w:rPr>
          <w:spacing w:val="-47"/>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29%</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11%</w:t>
      </w:r>
      <w:r>
        <w:rPr/>
        <w:t>，均实现了公司预期的增长。</w:t>
      </w:r>
    </w:p>
    <w:p>
      <w:pPr>
        <w:pStyle w:val="BodyText"/>
        <w:spacing w:line="316" w:lineRule="auto" w:before="3"/>
        <w:ind w:right="1130" w:firstLine="360"/>
        <w:jc w:val="both"/>
      </w:pPr>
      <w:r>
        <w:rPr/>
        <w:pict>
          <v:group style="position:absolute;margin-left:290.950012pt;margin-top:48.341724pt;width:.1pt;height:11.8pt;mso-position-horizontal-relative:page;mso-position-vertical-relative:paragraph;z-index:-1247080" coordorigin="5819,967" coordsize="2,236">
            <v:shape style="position:absolute;left:5819;top:967;width:2;height:236" coordorigin="5819,967" coordsize="0,236" path="m5819,967l5819,1202e" filled="false" stroked="true" strokeweight=".42001pt" strokecolor="#000000">
              <v:path arrowok="t"/>
            </v:shape>
            <w10:wrap type="none"/>
          </v:group>
        </w:pict>
      </w:r>
      <w:r>
        <w:rPr>
          <w:spacing w:val="-2"/>
        </w:rPr>
        <w:t>互联网平台方面，公司通过与互联网平台的连接及赋能，提升了优质正版内容触达客户的深度和广度，持续提升公司作</w:t>
      </w:r>
      <w:r>
        <w:rPr/>
        <w:t> </w:t>
      </w:r>
      <w:r>
        <w:rPr>
          <w:spacing w:val="-2"/>
        </w:rPr>
        <w:t>为内容生态的“基础设施”的地位和全面深度覆盖市场的能力，促进了内容生态使用方对正版素材的使用，对行业健康发展</w:t>
      </w:r>
      <w:r>
        <w:rPr>
          <w:spacing w:val="-65"/>
        </w:rPr>
        <w:t> </w:t>
      </w:r>
      <w:r>
        <w:rPr>
          <w:spacing w:val="-65"/>
        </w:rPr>
      </w:r>
      <w:r>
        <w:rPr>
          <w:spacing w:val="-2"/>
        </w:rPr>
        <w:t>起到了推动作用。根据应用场景，目前公司分别接入了：搜索引擎、网络广告平台、自媒体平台、创意设计平台以及智能终</w:t>
      </w:r>
      <w:r>
        <w:rPr>
          <w:spacing w:val="-67"/>
        </w:rPr>
        <w:t> </w:t>
      </w:r>
      <w:r>
        <w:rPr>
          <w:spacing w:val="-67"/>
        </w:rPr>
      </w:r>
      <w:r>
        <w:rPr/>
        <w:t>端、旅游出行、电子商务等服务应用场景（详见附图三）。</w:t>
      </w:r>
    </w:p>
    <w:p>
      <w:pPr>
        <w:spacing w:line="240" w:lineRule="auto" w:before="13"/>
        <w:rPr>
          <w:rFonts w:ascii="宋体" w:hAnsi="宋体" w:cs="宋体" w:eastAsia="宋体" w:hint="default"/>
          <w:sz w:val="4"/>
          <w:szCs w:val="4"/>
        </w:rPr>
      </w:pPr>
    </w:p>
    <w:p>
      <w:pPr>
        <w:spacing w:line="3973" w:lineRule="exact"/>
        <w:ind w:left="154"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5313562" cy="252298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313562" cy="2522982"/>
                    </a:xfrm>
                    <a:prstGeom prst="rect">
                      <a:avLst/>
                    </a:prstGeom>
                  </pic:spPr>
                </pic:pic>
              </a:graphicData>
            </a:graphic>
          </wp:inline>
        </w:drawing>
      </w:r>
      <w:r>
        <w:rPr>
          <w:rFonts w:ascii="宋体" w:hAnsi="宋体" w:cs="宋体" w:eastAsia="宋体" w:hint="default"/>
          <w:position w:val="-78"/>
          <w:sz w:val="20"/>
          <w:szCs w:val="20"/>
        </w:rPr>
      </w:r>
    </w:p>
    <w:p>
      <w:pPr>
        <w:spacing w:before="25"/>
        <w:ind w:left="513" w:right="0" w:firstLine="0"/>
        <w:jc w:val="left"/>
        <w:rPr>
          <w:rFonts w:ascii="宋体" w:hAnsi="宋体" w:cs="宋体" w:eastAsia="宋体" w:hint="default"/>
          <w:sz w:val="19"/>
          <w:szCs w:val="19"/>
        </w:rPr>
      </w:pPr>
      <w:r>
        <w:rPr>
          <w:rFonts w:ascii="宋体" w:hAnsi="宋体" w:cs="宋体" w:eastAsia="宋体" w:hint="default"/>
          <w:i/>
          <w:sz w:val="19"/>
          <w:szCs w:val="19"/>
        </w:rPr>
        <w:t>（附图三）</w:t>
      </w:r>
      <w:r>
        <w:rPr>
          <w:rFonts w:ascii="宋体" w:hAnsi="宋体" w:cs="宋体" w:eastAsia="宋体" w:hint="default"/>
          <w:sz w:val="19"/>
          <w:szCs w:val="19"/>
        </w:rPr>
      </w:r>
    </w:p>
    <w:p>
      <w:pPr>
        <w:pStyle w:val="BodyText"/>
        <w:spacing w:line="316" w:lineRule="auto" w:before="75"/>
        <w:ind w:right="1130" w:firstLine="450"/>
        <w:jc w:val="both"/>
      </w:pPr>
      <w:r>
        <w:rPr>
          <w:spacing w:val="-2"/>
        </w:rPr>
        <w:t>报告期内，公司已完成与腾讯网（企鹅号）、百度（百家号）、阿里巴巴（大鱼号）、一点资讯（一点号）、</w:t>
      </w:r>
      <w:r>
        <w:rPr>
          <w:rFonts w:ascii="宋体" w:hAnsi="宋体" w:cs="宋体" w:eastAsia="宋体" w:hint="default"/>
          <w:spacing w:val="-2"/>
        </w:rPr>
        <w:t>360</w:t>
      </w:r>
      <w:r>
        <w:rPr>
          <w:spacing w:val="-2"/>
        </w:rPr>
        <w:t>（快</w:t>
      </w:r>
      <w:r>
        <w:rPr>
          <w:spacing w:val="1"/>
        </w:rPr>
        <w:t> </w:t>
      </w:r>
      <w:r>
        <w:rPr>
          <w:spacing w:val="-2"/>
        </w:rPr>
        <w:t>传号）、微博云剪等的自媒体平台的接入工作，为数百万自媒体用户提供优质正版内容，共同构建自媒体共赢生态圈。公司</w:t>
      </w:r>
      <w:r>
        <w:rPr>
          <w:spacing w:val="-66"/>
        </w:rPr>
        <w:t> </w:t>
      </w:r>
      <w:r>
        <w:rPr>
          <w:spacing w:val="-66"/>
        </w:rPr>
      </w:r>
      <w:r>
        <w:rPr>
          <w:spacing w:val="-2"/>
        </w:rPr>
        <w:t>还完成了与百度霓裳平台、阿里汇川平台、腾讯社交广告平台的接入工作，完成了</w:t>
      </w:r>
      <w:r>
        <w:rPr>
          <w:spacing w:val="-36"/>
        </w:rPr>
        <w:t> </w:t>
      </w:r>
      <w:r>
        <w:rPr>
          <w:rFonts w:ascii="宋体" w:hAnsi="宋体" w:cs="宋体" w:eastAsia="宋体" w:hint="default"/>
        </w:rPr>
        <w:t>BAT</w:t>
      </w:r>
      <w:r>
        <w:rPr>
          <w:rFonts w:ascii="宋体" w:hAnsi="宋体" w:cs="宋体" w:eastAsia="宋体" w:hint="default"/>
          <w:spacing w:val="-37"/>
        </w:rPr>
        <w:t> </w:t>
      </w:r>
      <w:r>
        <w:rPr>
          <w:spacing w:val="-2"/>
        </w:rPr>
        <w:t>互联网广告平台的基本布局。在创意</w:t>
      </w:r>
      <w:r>
        <w:rPr>
          <w:spacing w:val="-88"/>
        </w:rPr>
        <w:t> </w:t>
      </w:r>
      <w:r>
        <w:rPr>
          <w:spacing w:val="-88"/>
        </w:rPr>
      </w:r>
      <w:r>
        <w:rPr>
          <w:spacing w:val="-2"/>
        </w:rPr>
        <w:t>设计平台方面，公司与阿里巴巴“鹿班智能设计平台”签署战略合作协议，为阿里巴巴电商生态的数十万中小企业组提供广</w:t>
      </w:r>
      <w:r>
        <w:rPr>
          <w:spacing w:val="-66"/>
        </w:rPr>
        <w:t> </w:t>
      </w:r>
      <w:r>
        <w:rPr>
          <w:spacing w:val="-66"/>
        </w:rPr>
      </w:r>
      <w:r>
        <w:rPr>
          <w:spacing w:val="-2"/>
        </w:rPr>
        <w:t>告的创意设计服务。目前合作双方正在数据接入阶段。目前，公司与互联网平台的合作，正在从数据对接的</w:t>
      </w:r>
      <w:r>
        <w:rPr>
          <w:spacing w:val="-41"/>
        </w:rPr>
        <w:t> </w:t>
      </w:r>
      <w:r>
        <w:rPr>
          <w:rFonts w:ascii="宋体" w:hAnsi="宋体" w:cs="宋体" w:eastAsia="宋体" w:hint="default"/>
        </w:rPr>
        <w:t>1.0</w:t>
      </w:r>
      <w:r>
        <w:rPr>
          <w:rFonts w:ascii="宋体" w:hAnsi="宋体" w:cs="宋体" w:eastAsia="宋体" w:hint="default"/>
          <w:spacing w:val="-42"/>
        </w:rPr>
        <w:t> </w:t>
      </w:r>
      <w:r>
        <w:rPr/>
        <w:t>阶段逐步升 级到以提升用户体验为核心目标的</w:t>
      </w:r>
      <w:r>
        <w:rPr>
          <w:spacing w:val="-46"/>
        </w:rPr>
        <w:t> </w:t>
      </w:r>
      <w:r>
        <w:rPr>
          <w:rFonts w:ascii="宋体" w:hAnsi="宋体" w:cs="宋体" w:eastAsia="宋体" w:hint="default"/>
        </w:rPr>
        <w:t>2.0</w:t>
      </w:r>
      <w:r>
        <w:rPr>
          <w:rFonts w:ascii="宋体" w:hAnsi="宋体" w:cs="宋体" w:eastAsia="宋体" w:hint="default"/>
          <w:spacing w:val="-46"/>
        </w:rPr>
        <w:t> </w:t>
      </w:r>
      <w:r>
        <w:rPr/>
        <w:t>阶段。公司将继续紧抓战略机遇期，依托优质 </w:t>
      </w:r>
      <w:r>
        <w:rPr>
          <w:rFonts w:ascii="宋体" w:hAnsi="宋体" w:cs="宋体" w:eastAsia="宋体" w:hint="default"/>
        </w:rPr>
        <w:t>PGC </w:t>
      </w:r>
      <w:r>
        <w:rPr/>
        <w:t>视觉内容核心资源，继续扩大、 </w:t>
      </w:r>
      <w:r>
        <w:rPr>
          <w:spacing w:val="-2"/>
        </w:rPr>
        <w:t>夯实与互联网平台（大流量入口）的战略合作，将优质内容与智能服务技术相结合，提升多渠道分发交付能力，不断提升获</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259"/>
        <w:jc w:val="left"/>
      </w:pPr>
      <w:r>
        <w:rPr/>
        <w:t>客效率，高效拓展长尾市场，促进主营业务的高速增长。截止</w:t>
      </w:r>
      <w:r>
        <w:rPr>
          <w:spacing w:val="-45"/>
        </w:rPr>
        <w:t> </w:t>
      </w:r>
      <w:r>
        <w:rPr>
          <w:rFonts w:ascii="宋体" w:hAnsi="宋体" w:cs="宋体" w:eastAsia="宋体" w:hint="default"/>
        </w:rPr>
        <w:t>2018</w:t>
      </w:r>
      <w:r>
        <w:rPr>
          <w:rFonts w:ascii="宋体" w:hAnsi="宋体" w:cs="宋体" w:eastAsia="宋体" w:hint="default"/>
          <w:spacing w:val="-46"/>
        </w:rPr>
        <w:t> </w:t>
      </w:r>
      <w:r>
        <w:rPr/>
        <w:t>年末，通过互联网平台，公司服务的授权用户数达</w:t>
      </w:r>
      <w:r>
        <w:rPr>
          <w:spacing w:val="-46"/>
        </w:rPr>
        <w:t> </w:t>
      </w:r>
      <w:r>
        <w:rPr>
          <w:rFonts w:ascii="宋体" w:hAnsi="宋体" w:cs="宋体" w:eastAsia="宋体" w:hint="default"/>
        </w:rPr>
        <w:t>33 </w:t>
      </w:r>
      <w:r>
        <w:rPr/>
        <w:t>万，同比增长超过</w:t>
      </w:r>
      <w:r>
        <w:rPr>
          <w:spacing w:val="-46"/>
        </w:rPr>
        <w:t> </w:t>
      </w:r>
      <w:r>
        <w:rPr>
          <w:rFonts w:ascii="宋体" w:hAnsi="宋体" w:cs="宋体" w:eastAsia="宋体" w:hint="default"/>
        </w:rPr>
        <w:t>500%</w:t>
      </w:r>
      <w:r>
        <w:rPr/>
        <w:t>。</w:t>
      </w:r>
    </w:p>
    <w:p>
      <w:pPr>
        <w:pStyle w:val="BodyText"/>
        <w:spacing w:line="319" w:lineRule="auto" w:before="19"/>
        <w:ind w:right="1032" w:firstLine="360"/>
        <w:jc w:val="left"/>
      </w:pPr>
      <w:r>
        <w:rPr>
          <w:spacing w:val="-2"/>
        </w:rPr>
        <w:t>公司同时还通过各种客户转介绍、品牌活动、市场营销等方式高效获客，尤其是在线数字营销，包括搜索营销、联盟营</w:t>
      </w:r>
      <w:r>
        <w:rPr/>
        <w:t> 销、内容营销以及社交媒体等方式高性价比的获取潜在客户。在搜索引擎合作方面，报告期内，公司已完成和百度、搜狗、 </w:t>
      </w:r>
      <w:r>
        <w:rPr>
          <w:rFonts w:ascii="宋体" w:hAnsi="宋体" w:cs="宋体" w:eastAsia="宋体" w:hint="default"/>
        </w:rPr>
        <w:t>360</w:t>
      </w:r>
      <w:r>
        <w:rPr>
          <w:rFonts w:ascii="宋体" w:hAnsi="宋体" w:cs="宋体" w:eastAsia="宋体" w:hint="default"/>
          <w:spacing w:val="-58"/>
        </w:rPr>
        <w:t> </w:t>
      </w:r>
      <w:r>
        <w:rPr/>
        <w:t>三大国内搜索引擎合作的布局。在用户搜索图片时，优先展示公司图片，并标注“版权”信息，用户点击图片后跳转至 图片所在视觉中国网站，为公司带来更多的流量。（详见附图四）</w:t>
      </w:r>
    </w:p>
    <w:p>
      <w:pPr>
        <w:spacing w:line="240" w:lineRule="auto" w:before="3"/>
        <w:rPr>
          <w:rFonts w:ascii="宋体" w:hAnsi="宋体" w:cs="宋体" w:eastAsia="宋体" w:hint="default"/>
          <w:sz w:val="10"/>
          <w:szCs w:val="10"/>
        </w:rPr>
      </w:pPr>
    </w:p>
    <w:p>
      <w:pPr>
        <w:spacing w:line="4111" w:lineRule="exact"/>
        <w:ind w:left="514" w:right="0" w:firstLine="0"/>
        <w:rPr>
          <w:rFonts w:ascii="宋体" w:hAnsi="宋体" w:cs="宋体" w:eastAsia="宋体" w:hint="default"/>
          <w:sz w:val="20"/>
          <w:szCs w:val="20"/>
        </w:rPr>
      </w:pPr>
      <w:r>
        <w:rPr>
          <w:rFonts w:ascii="宋体" w:hAnsi="宋体" w:cs="宋体" w:eastAsia="宋体" w:hint="default"/>
          <w:position w:val="-81"/>
          <w:sz w:val="20"/>
          <w:szCs w:val="20"/>
        </w:rPr>
        <w:pict>
          <v:group style="width:381.8pt;height:205.55pt;mso-position-horizontal-relative:char;mso-position-vertical-relative:line" coordorigin="0,0" coordsize="7636,4111">
            <v:shape style="position:absolute;left:0;top:0;width:7636;height:4111" type="#_x0000_t75" stroked="false">
              <v:imagedata r:id="rId15" o:title=""/>
            </v:shape>
            <v:group style="position:absolute;left:1475;top:583;width:356;height:253" coordorigin="1475,583" coordsize="356,253">
              <v:shape style="position:absolute;left:1475;top:583;width:356;height:253" coordorigin="1475,583" coordsize="356,253" path="m1475,836l1831,836,1831,583,1475,583,1475,836xe" filled="false" stroked="true" strokeweight="4.25pt" strokecolor="#ff0000">
                <v:path arrowok="t"/>
              </v:shape>
            </v:group>
            <v:group style="position:absolute;left:2099;top:3338;width:356;height:253" coordorigin="2099,3338" coordsize="356,253">
              <v:shape style="position:absolute;left:2099;top:3338;width:356;height:253" coordorigin="2099,3338" coordsize="356,253" path="m2099,3591l2455,3591,2455,3338,2099,3338,2099,3591xe" filled="false" stroked="true" strokeweight="4.25pt" strokecolor="#ff0000">
                <v:path arrowok="t"/>
              </v:shape>
            </v:group>
          </v:group>
        </w:pict>
      </w:r>
      <w:r>
        <w:rPr>
          <w:rFonts w:ascii="宋体" w:hAnsi="宋体" w:cs="宋体" w:eastAsia="宋体" w:hint="default"/>
          <w:position w:val="-81"/>
          <w:sz w:val="20"/>
          <w:szCs w:val="20"/>
        </w:rPr>
      </w:r>
    </w:p>
    <w:p>
      <w:pPr>
        <w:spacing w:line="240" w:lineRule="auto" w:before="5"/>
        <w:rPr>
          <w:rFonts w:ascii="宋体" w:hAnsi="宋体" w:cs="宋体" w:eastAsia="宋体" w:hint="default"/>
          <w:sz w:val="18"/>
          <w:szCs w:val="18"/>
        </w:rPr>
      </w:pPr>
    </w:p>
    <w:p>
      <w:pPr>
        <w:spacing w:line="4143" w:lineRule="exact"/>
        <w:ind w:left="514" w:right="0" w:firstLine="0"/>
        <w:rPr>
          <w:rFonts w:ascii="宋体" w:hAnsi="宋体" w:cs="宋体" w:eastAsia="宋体" w:hint="default"/>
          <w:sz w:val="20"/>
          <w:szCs w:val="20"/>
        </w:rPr>
      </w:pPr>
      <w:r>
        <w:rPr>
          <w:rFonts w:ascii="宋体" w:hAnsi="宋体" w:cs="宋体" w:eastAsia="宋体" w:hint="default"/>
          <w:position w:val="-82"/>
          <w:sz w:val="20"/>
          <w:szCs w:val="20"/>
        </w:rPr>
        <w:pict>
          <v:group style="width:381.8pt;height:207.15pt;mso-position-horizontal-relative:char;mso-position-vertical-relative:line" coordorigin="0,0" coordsize="7636,4143">
            <v:shape style="position:absolute;left:0;top:0;width:7636;height:4143" type="#_x0000_t75" stroked="false">
              <v:imagedata r:id="rId16" o:title=""/>
            </v:shape>
            <v:group style="position:absolute;left:5828;top:953;width:1097;height:246" coordorigin="5828,953" coordsize="1097,246">
              <v:shape style="position:absolute;left:5828;top:953;width:1097;height:246" coordorigin="5828,953" coordsize="1097,246" path="m5828,1199l6925,1199,6925,953,5828,953,5828,1199xe" filled="false" stroked="true" strokeweight="4.25pt" strokecolor="#ff0000">
                <v:path arrowok="t"/>
              </v:shape>
            </v:group>
          </v:group>
        </w:pict>
      </w:r>
      <w:r>
        <w:rPr>
          <w:rFonts w:ascii="宋体" w:hAnsi="宋体" w:cs="宋体" w:eastAsia="宋体" w:hint="default"/>
          <w:position w:val="-82"/>
          <w:sz w:val="20"/>
          <w:szCs w:val="20"/>
        </w:rPr>
      </w:r>
    </w:p>
    <w:p>
      <w:pPr>
        <w:spacing w:before="112"/>
        <w:ind w:left="513" w:right="0" w:firstLine="0"/>
        <w:jc w:val="left"/>
        <w:rPr>
          <w:rFonts w:ascii="宋体" w:hAnsi="宋体" w:cs="宋体" w:eastAsia="宋体" w:hint="default"/>
          <w:sz w:val="19"/>
          <w:szCs w:val="19"/>
        </w:rPr>
      </w:pPr>
      <w:r>
        <w:rPr>
          <w:rFonts w:ascii="宋体" w:hAnsi="宋体" w:cs="宋体" w:eastAsia="宋体" w:hint="default"/>
          <w:i/>
          <w:sz w:val="19"/>
          <w:szCs w:val="19"/>
        </w:rPr>
        <w:t>（附图四）</w:t>
      </w:r>
      <w:r>
        <w:rPr>
          <w:rFonts w:ascii="宋体" w:hAnsi="宋体" w:cs="宋体" w:eastAsia="宋体" w:hint="default"/>
          <w:sz w:val="19"/>
          <w:szCs w:val="19"/>
        </w:rPr>
      </w:r>
    </w:p>
    <w:p>
      <w:pPr>
        <w:spacing w:line="240" w:lineRule="auto" w:before="0"/>
        <w:rPr>
          <w:rFonts w:ascii="宋体" w:hAnsi="宋体" w:cs="宋体" w:eastAsia="宋体" w:hint="default"/>
          <w:i/>
          <w:sz w:val="18"/>
          <w:szCs w:val="18"/>
        </w:rPr>
      </w:pPr>
    </w:p>
    <w:p>
      <w:pPr>
        <w:pStyle w:val="BodyText"/>
        <w:spacing w:line="319" w:lineRule="auto" w:before="151"/>
        <w:ind w:right="1133" w:firstLine="450"/>
        <w:jc w:val="both"/>
      </w:pPr>
      <w:r>
        <w:rPr/>
        <w:t>报告期内，基于媒体融合发展势头迅猛，做大做强主流舆论的新形势下，公司充分重视并进一步加强与主流媒体的全 </w:t>
      </w:r>
      <w:r>
        <w:rPr>
          <w:spacing w:val="-2"/>
        </w:rPr>
        <w:t>面深入合作。公司积极服务中央新闻单位（新华社、人民日报、中央广播电视总台等）、中央重点新闻网站（新华网、中国</w:t>
      </w:r>
      <w:r>
        <w:rPr>
          <w:spacing w:val="-67"/>
        </w:rPr>
        <w:t> </w:t>
      </w:r>
      <w:r>
        <w:rPr>
          <w:spacing w:val="-67"/>
        </w:rPr>
      </w:r>
      <w:r>
        <w:rPr>
          <w:spacing w:val="-2"/>
        </w:rPr>
        <w:t>网络电视台、国际在线等）、国有出版集团（大百科全书出版社、中南出版社、人民教育出版社等）、以及党政机关新兴融</w:t>
      </w:r>
      <w:r>
        <w:rPr>
          <w:spacing w:val="-67"/>
        </w:rPr>
        <w:t> </w:t>
      </w:r>
      <w:r>
        <w:rPr>
          <w:spacing w:val="-67"/>
        </w:rPr>
      </w:r>
      <w:r>
        <w:rPr>
          <w:spacing w:val="-2"/>
        </w:rPr>
        <w:t>媒体；公司还与主流媒体构建内容合作伙伴关系。公司未来将积极抓住媒体融合转型的市场机遇，实现媒体业务的整体持续</w:t>
      </w:r>
      <w:r>
        <w:rPr>
          <w:spacing w:val="-66"/>
        </w:rPr>
        <w:t> </w:t>
      </w:r>
      <w:r>
        <w:rPr>
          <w:spacing w:val="-66"/>
        </w:rPr>
      </w:r>
      <w:r>
        <w:rPr/>
        <w:t>增长。</w:t>
      </w:r>
    </w:p>
    <w:p>
      <w:pPr>
        <w:spacing w:line="240" w:lineRule="auto" w:before="3"/>
        <w:rPr>
          <w:rFonts w:ascii="宋体" w:hAnsi="宋体" w:cs="宋体" w:eastAsia="宋体" w:hint="default"/>
          <w:sz w:val="13"/>
          <w:szCs w:val="13"/>
        </w:rPr>
      </w:pPr>
    </w:p>
    <w:p>
      <w:pPr>
        <w:spacing w:line="316" w:lineRule="auto" w:before="0"/>
        <w:ind w:left="574" w:right="1234" w:hanging="5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r>
      <w:r>
        <w:rPr>
          <w:rFonts w:ascii="Times New Roman" w:hAnsi="Times New Roman" w:cs="Times New Roman" w:eastAsia="Times New Roman" w:hint="default"/>
          <w:b/>
          <w:bCs/>
          <w:spacing w:val="1"/>
          <w:sz w:val="18"/>
          <w:szCs w:val="18"/>
          <w:u w:val="single" w:color="000000"/>
        </w:rPr>
        <w:t> </w:t>
      </w:r>
      <w:r>
        <w:rPr>
          <w:rFonts w:ascii="宋体" w:hAnsi="宋体" w:cs="宋体" w:eastAsia="宋体" w:hint="default"/>
          <w:b/>
          <w:bCs/>
          <w:sz w:val="18"/>
          <w:szCs w:val="18"/>
          <w:u w:val="single" w:color="000000"/>
        </w:rPr>
        <w:t>视觉“生态”打造与行业协同发展</w:t>
      </w:r>
      <w:r>
        <w:rPr>
          <w:rFonts w:ascii="宋体" w:hAnsi="宋体" w:cs="宋体" w:eastAsia="宋体" w:hint="default"/>
          <w:b/>
          <w:bCs/>
          <w:w w:val="99"/>
          <w:sz w:val="18"/>
          <w:szCs w:val="18"/>
        </w:rPr>
      </w:r>
      <w:r>
        <w:rPr>
          <w:rFonts w:ascii="宋体" w:hAnsi="宋体" w:cs="宋体" w:eastAsia="宋体" w:hint="default"/>
          <w:b/>
          <w:bCs/>
          <w:w w:val="99"/>
          <w:sz w:val="18"/>
          <w:szCs w:val="18"/>
        </w:rPr>
        <w:t> </w:t>
      </w:r>
      <w:r>
        <w:rPr>
          <w:rFonts w:ascii="宋体" w:hAnsi="宋体" w:cs="宋体" w:eastAsia="宋体" w:hint="default"/>
          <w:sz w:val="18"/>
          <w:szCs w:val="18"/>
        </w:rPr>
        <w:t>旅游行业与公司的主营业务有着较高的协同效应，基于“视觉</w:t>
      </w:r>
      <w:r>
        <w:rPr>
          <w:rFonts w:ascii="Times New Roman" w:hAnsi="Times New Roman" w:cs="Times New Roman" w:eastAsia="Times New Roman" w:hint="default"/>
          <w:sz w:val="18"/>
          <w:szCs w:val="18"/>
        </w:rPr>
        <w:t>+</w:t>
      </w:r>
      <w:r>
        <w:rPr>
          <w:rFonts w:ascii="宋体" w:hAnsi="宋体" w:cs="宋体" w:eastAsia="宋体" w:hint="default"/>
          <w:sz w:val="18"/>
          <w:szCs w:val="18"/>
        </w:rPr>
        <w:t>行业”的战略布局，公司分别于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p>
    <w:p>
      <w:pPr>
        <w:pStyle w:val="BodyText"/>
        <w:spacing w:line="248" w:lineRule="exact" w:before="0"/>
        <w:ind w:right="0"/>
        <w:jc w:val="left"/>
      </w:pP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月获得了原国家旅游局“国家智慧旅游公共服务平台”和“全国旅游监管服务平台”（以下简称</w:t>
      </w:r>
      <w:r>
        <w:rPr>
          <w:rFonts w:ascii="Times New Roman" w:hAnsi="Times New Roman" w:cs="Times New Roman" w:eastAsia="Times New Roman" w:hint="default"/>
        </w:rPr>
        <w:t>“</w:t>
      </w:r>
      <w:r>
        <w:rPr/>
        <w:t>两大平台</w:t>
      </w:r>
      <w:r>
        <w:rPr>
          <w:rFonts w:ascii="Times New Roman" w:hAnsi="Times New Roman" w:cs="Times New Roman" w:eastAsia="Times New Roman" w:hint="default"/>
        </w:rPr>
        <w:t>”</w:t>
      </w:r>
      <w:r>
        <w:rPr/>
        <w:t>）的</w:t>
      </w:r>
      <w:r>
        <w:rPr>
          <w:spacing w:val="-62"/>
        </w:rPr>
        <w:t> </w:t>
      </w:r>
      <w:r>
        <w:rPr>
          <w:rFonts w:ascii="Times New Roman" w:hAnsi="Times New Roman" w:cs="Times New Roman" w:eastAsia="Times New Roman" w:hint="default"/>
        </w:rPr>
        <w:t>20</w:t>
      </w:r>
      <w:r>
        <w:rPr>
          <w:rFonts w:ascii="Times New Roman" w:hAnsi="Times New Roman" w:cs="Times New Roman" w:eastAsia="Times New Roman" w:hint="default"/>
          <w:spacing w:val="-17"/>
        </w:rPr>
        <w:t> </w:t>
      </w:r>
      <w:r>
        <w:rPr/>
        <w:t>年</w:t>
      </w:r>
    </w:p>
    <w:p>
      <w:pPr>
        <w:spacing w:after="0" w:line="248"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ind w:right="0"/>
        <w:jc w:val="left"/>
      </w:pPr>
      <w:r>
        <w:rPr/>
        <w:t>特许经营权。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年公司投资成立“唱游信息技术有限公司”（以下简称“唱游公司”）作为建设和运营这两大平台的主 </w:t>
      </w:r>
      <w:r>
        <w:rPr>
          <w:spacing w:val="-4"/>
        </w:rPr>
        <w:t>体。两大平台通过对导游执业、旅行社资质、团队行程单、电子合同等“关键业务数据”的实时获取、分析挖掘、集成打通，</w:t>
      </w:r>
      <w:r>
        <w:rPr>
          <w:spacing w:val="-46"/>
        </w:rPr>
        <w:t> </w:t>
      </w:r>
      <w:r>
        <w:rPr>
          <w:spacing w:val="-46"/>
        </w:rPr>
      </w:r>
      <w:r>
        <w:rPr/>
        <w:t>逐渐形成了聚合旅游“管理者”（ </w:t>
      </w:r>
      <w:r>
        <w:rPr>
          <w:rFonts w:ascii="Times New Roman" w:hAnsi="Times New Roman" w:cs="Times New Roman" w:eastAsia="Times New Roman" w:hint="default"/>
        </w:rPr>
        <w:t>TO G </w:t>
      </w:r>
      <w:r>
        <w:rPr/>
        <w:t>端）、从业者（</w:t>
      </w:r>
      <w:r>
        <w:rPr>
          <w:rFonts w:ascii="Times New Roman" w:hAnsi="Times New Roman" w:cs="Times New Roman" w:eastAsia="Times New Roman" w:hint="default"/>
        </w:rPr>
        <w:t>TO B </w:t>
      </w:r>
      <w:r>
        <w:rPr/>
        <w:t>端）和出行者（</w:t>
      </w:r>
      <w:r>
        <w:rPr>
          <w:rFonts w:ascii="Times New Roman" w:hAnsi="Times New Roman" w:cs="Times New Roman" w:eastAsia="Times New Roman" w:hint="default"/>
        </w:rPr>
        <w:t>TO C </w:t>
      </w:r>
      <w:r>
        <w:rPr/>
        <w:t>端）三端的数据服务产品。</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 两大平台已汇聚</w:t>
      </w:r>
      <w:r>
        <w:rPr>
          <w:spacing w:val="-50"/>
        </w:rPr>
        <w:t> </w:t>
      </w:r>
      <w:r>
        <w:rPr>
          <w:rFonts w:ascii="Times New Roman" w:hAnsi="Times New Roman" w:cs="Times New Roman" w:eastAsia="Times New Roman" w:hint="default"/>
        </w:rPr>
        <w:t>64</w:t>
      </w:r>
      <w:r>
        <w:rPr>
          <w:rFonts w:ascii="Times New Roman" w:hAnsi="Times New Roman" w:cs="Times New Roman" w:eastAsia="Times New Roman" w:hint="default"/>
          <w:spacing w:val="-5"/>
        </w:rPr>
        <w:t> </w:t>
      </w:r>
      <w:r>
        <w:rPr/>
        <w:t>万导游资质和实时动态数据、</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t>万家旅行社资质审批数据、近</w:t>
      </w:r>
      <w:r>
        <w:rPr>
          <w:spacing w:val="-5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万团队游客行程单和</w:t>
      </w:r>
      <w:r>
        <w:rPr>
          <w:spacing w:val="-50"/>
        </w:rPr>
        <w:t> </w:t>
      </w:r>
      <w:r>
        <w:rPr>
          <w:rFonts w:ascii="Times New Roman" w:hAnsi="Times New Roman" w:cs="Times New Roman" w:eastAsia="Times New Roman" w:hint="default"/>
        </w:rPr>
        <w:t>120</w:t>
      </w:r>
      <w:r>
        <w:rPr>
          <w:rFonts w:ascii="Times New Roman" w:hAnsi="Times New Roman" w:cs="Times New Roman" w:eastAsia="Times New Roman" w:hint="default"/>
          <w:spacing w:val="-4"/>
        </w:rPr>
        <w:t> </w:t>
      </w:r>
      <w:r>
        <w:rPr/>
        <w:t>万电子合 同数据，为旅游行业管理部门提供强有力的数据集合与支撑。</w:t>
      </w:r>
    </w:p>
    <w:p>
      <w:pPr>
        <w:pStyle w:val="BodyText"/>
        <w:spacing w:line="316" w:lineRule="auto" w:before="28"/>
        <w:ind w:right="1132" w:firstLine="420"/>
        <w:jc w:val="both"/>
      </w:pPr>
      <w:r>
        <w:rPr/>
        <w:t>教育行业对优质视觉内容是刚需，对教育的投入符合国家的发展战略。公司从</w:t>
      </w:r>
      <w:r>
        <w:rPr>
          <w:spacing w:val="-71"/>
        </w:rPr>
        <w:t> </w:t>
      </w:r>
      <w:r>
        <w:rPr>
          <w:rFonts w:ascii="宋体" w:hAnsi="宋体" w:cs="宋体" w:eastAsia="宋体" w:hint="default"/>
        </w:rPr>
        <w:t>2015</w:t>
      </w:r>
      <w:r>
        <w:rPr>
          <w:rFonts w:ascii="宋体" w:hAnsi="宋体" w:cs="宋体" w:eastAsia="宋体" w:hint="default"/>
          <w:spacing w:val="-71"/>
        </w:rPr>
        <w:t> </w:t>
      </w:r>
      <w:r>
        <w:rPr/>
        <w:t>年开始切入教育行业，开始了“视 觉</w:t>
      </w:r>
      <w:r>
        <w:rPr>
          <w:rFonts w:ascii="宋体" w:hAnsi="宋体" w:cs="宋体" w:eastAsia="宋体" w:hint="default"/>
        </w:rPr>
        <w:t>+</w:t>
      </w:r>
      <w:r>
        <w:rPr/>
        <w:t>教育”的布局，先后参与湖北司马彦文化科技有限公司、广东易教优培教育科技有限公司的投资。以期通过与</w:t>
      </w:r>
      <w:r>
        <w:rPr>
          <w:spacing w:val="-45"/>
        </w:rPr>
        <w:t> </w:t>
      </w:r>
      <w:r>
        <w:rPr>
          <w:rFonts w:ascii="宋体" w:hAnsi="宋体" w:cs="宋体" w:eastAsia="宋体" w:hint="default"/>
        </w:rPr>
        <w:t>K12</w:t>
      </w:r>
      <w:r>
        <w:rPr>
          <w:rFonts w:ascii="宋体" w:hAnsi="宋体" w:cs="宋体" w:eastAsia="宋体" w:hint="default"/>
          <w:spacing w:val="-46"/>
        </w:rPr>
        <w:t> </w:t>
      </w:r>
      <w:r>
        <w:rPr/>
        <w:t>教育 </w:t>
      </w:r>
      <w:r>
        <w:rPr>
          <w:spacing w:val="-2"/>
        </w:rPr>
        <w:t>的优质“流量”入口，整合与打造面向</w:t>
      </w:r>
      <w:r>
        <w:rPr>
          <w:spacing w:val="-37"/>
        </w:rPr>
        <w:t> </w:t>
      </w:r>
      <w:r>
        <w:rPr>
          <w:rFonts w:ascii="宋体" w:hAnsi="宋体" w:cs="宋体" w:eastAsia="宋体" w:hint="default"/>
        </w:rPr>
        <w:t>K12</w:t>
      </w:r>
      <w:r>
        <w:rPr>
          <w:rFonts w:ascii="宋体" w:hAnsi="宋体" w:cs="宋体" w:eastAsia="宋体" w:hint="default"/>
          <w:spacing w:val="-37"/>
        </w:rPr>
        <w:t> </w:t>
      </w:r>
      <w:r>
        <w:rPr>
          <w:spacing w:val="-2"/>
        </w:rPr>
        <w:t>师生“教育提升”的视觉产品与服务能力，逐步将优质“视觉”核心业务拓展到</w:t>
      </w:r>
      <w:r>
        <w:rPr>
          <w:spacing w:val="-88"/>
        </w:rPr>
        <w:t> </w:t>
      </w:r>
      <w:r>
        <w:rPr>
          <w:spacing w:val="-88"/>
        </w:rPr>
      </w:r>
      <w:r>
        <w:rPr>
          <w:rFonts w:ascii="宋体" w:hAnsi="宋体" w:cs="宋体" w:eastAsia="宋体" w:hint="default"/>
        </w:rPr>
        <w:t>K12</w:t>
      </w:r>
      <w:r>
        <w:rPr>
          <w:rFonts w:ascii="宋体" w:hAnsi="宋体" w:cs="宋体" w:eastAsia="宋体" w:hint="default"/>
          <w:spacing w:val="-46"/>
        </w:rPr>
        <w:t> </w:t>
      </w:r>
      <w:r>
        <w:rPr/>
        <w:t>市场。</w:t>
      </w:r>
    </w:p>
    <w:p>
      <w:pPr>
        <w:pStyle w:val="BodyText"/>
        <w:spacing w:line="316" w:lineRule="auto" w:before="19"/>
        <w:ind w:right="1041" w:firstLine="420"/>
        <w:jc w:val="both"/>
      </w:pPr>
      <w:r>
        <w:rPr/>
        <w:t>作为</w:t>
      </w:r>
      <w:r>
        <w:rPr>
          <w:spacing w:val="-4"/>
        </w:rPr>
        <w:t> </w:t>
      </w:r>
      <w:r>
        <w:rPr/>
        <w:t>“视觉</w:t>
      </w:r>
      <w:r>
        <w:rPr>
          <w:rFonts w:ascii="宋体" w:hAnsi="宋体" w:cs="宋体" w:eastAsia="宋体" w:hint="default"/>
        </w:rPr>
        <w:t>+</w:t>
      </w:r>
      <w:r>
        <w:rPr/>
        <w:t>行业”战略布局的重要体现，</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月，公司与国家开放大学联合筹备的“国家开放大学旅游学院” 已经获批成立，此行业学院将有机结合公司上述两大平台的“关键行业数据”与国家开放大学的专业教学体系，在</w:t>
      </w:r>
      <w:r>
        <w:rPr>
          <w:spacing w:val="-46"/>
        </w:rPr>
        <w:t> </w:t>
      </w:r>
      <w:r>
        <w:rPr>
          <w:rFonts w:ascii="宋体" w:hAnsi="宋体" w:cs="宋体" w:eastAsia="宋体" w:hint="default"/>
        </w:rPr>
        <w:t>2019</w:t>
      </w:r>
      <w:r>
        <w:rPr>
          <w:rFonts w:ascii="宋体" w:hAnsi="宋体" w:cs="宋体" w:eastAsia="宋体" w:hint="default"/>
          <w:spacing w:val="-46"/>
        </w:rPr>
        <w:t> </w:t>
      </w:r>
      <w:r>
        <w:rPr/>
        <w:t>年</w:t>
      </w:r>
    </w:p>
    <w:p>
      <w:pPr>
        <w:pStyle w:val="BodyText"/>
        <w:spacing w:line="240" w:lineRule="auto" w:before="19"/>
        <w:ind w:right="0"/>
        <w:jc w:val="left"/>
      </w:pPr>
      <w:r>
        <w:rPr>
          <w:rFonts w:ascii="宋体" w:hAnsi="宋体" w:cs="宋体" w:eastAsia="宋体" w:hint="default"/>
        </w:rPr>
        <w:t>3</w:t>
      </w:r>
      <w:r>
        <w:rPr>
          <w:rFonts w:ascii="宋体" w:hAnsi="宋体" w:cs="宋体" w:eastAsia="宋体" w:hint="default"/>
          <w:spacing w:val="-46"/>
        </w:rPr>
        <w:t> </w:t>
      </w:r>
      <w:r>
        <w:rPr/>
        <w:t>月正式授牌成立后，直接为旅游行业内数以千万级的从业人员提供学历与非学历教育。</w:t>
      </w:r>
    </w:p>
    <w:p>
      <w:pPr>
        <w:pStyle w:val="BodyText"/>
        <w:spacing w:line="316" w:lineRule="auto" w:before="117"/>
        <w:ind w:right="1031" w:firstLine="90"/>
        <w:jc w:val="left"/>
      </w:pP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月，公司全资子公司常州远东文化产业有限公司以自有资金人民币</w:t>
      </w:r>
      <w:r>
        <w:rPr>
          <w:spacing w:val="-46"/>
        </w:rPr>
        <w:t> </w:t>
      </w:r>
      <w:r>
        <w:rPr>
          <w:rFonts w:ascii="宋体" w:hAnsi="宋体" w:cs="宋体" w:eastAsia="宋体" w:hint="default"/>
        </w:rPr>
        <w:t>15,000</w:t>
      </w:r>
      <w:r>
        <w:rPr>
          <w:rFonts w:ascii="宋体" w:hAnsi="宋体" w:cs="宋体" w:eastAsia="宋体" w:hint="default"/>
          <w:spacing w:val="-45"/>
        </w:rPr>
        <w:t> </w:t>
      </w:r>
      <w:r>
        <w:rPr/>
        <w:t>万元投资华盖安鹭（厦门）文化产业 </w:t>
      </w:r>
      <w:r>
        <w:rPr>
          <w:spacing w:val="-4"/>
        </w:rPr>
        <w:t>投资合伙企业（有限合伙）。该基金重点投资领域为文化科技及新消费相关产业，重点关注于“新媒体、新体验及新科技”，</w:t>
      </w:r>
      <w:r>
        <w:rPr>
          <w:spacing w:val="-45"/>
        </w:rPr>
        <w:t> </w:t>
      </w:r>
      <w:r>
        <w:rPr>
          <w:spacing w:val="-45"/>
        </w:rPr>
      </w:r>
      <w:r>
        <w:rPr>
          <w:spacing w:val="-4"/>
        </w:rPr>
        <w:t>以促进优质视觉内容的生产、展现、传播及营销。新媒体主要包括社会化媒体、短视频、网络直播等；新体验包括实景娱乐、</w:t>
      </w:r>
      <w:r>
        <w:rPr>
          <w:spacing w:val="-44"/>
        </w:rPr>
        <w:t> </w:t>
      </w:r>
      <w:r>
        <w:rPr>
          <w:spacing w:val="-44"/>
        </w:rPr>
      </w:r>
      <w:r>
        <w:rPr>
          <w:spacing w:val="-2"/>
        </w:rPr>
        <w:t>文创空间、生活方式，以及旅游、教育、体育等行业中与线下体验相关的细分领域；新科技主要包括人工智能、大数据、区</w:t>
      </w:r>
      <w:r>
        <w:rPr>
          <w:spacing w:val="-71"/>
        </w:rPr>
        <w:t> </w:t>
      </w:r>
      <w:r>
        <w:rPr>
          <w:spacing w:val="-71"/>
        </w:rPr>
      </w:r>
      <w:r>
        <w:rPr/>
        <w:t>块链、</w:t>
      </w:r>
      <w:r>
        <w:rPr>
          <w:rFonts w:ascii="宋体" w:hAnsi="宋体" w:cs="宋体" w:eastAsia="宋体" w:hint="default"/>
        </w:rPr>
        <w:t>VR/AR </w:t>
      </w:r>
      <w:r>
        <w:rPr/>
        <w:t>等。 公司投资“安鹭基金”主要目的在于进一步借助该基金管理人北京华盖文化投资管理有限公司在文化投 </w:t>
      </w:r>
      <w:r>
        <w:rPr>
          <w:spacing w:val="-2"/>
        </w:rPr>
        <w:t>资方面的专业能力和丰富的投资经验，并通过其在文化产业的投资布局，链接更多的文化产业资源和项目，进一步筑造主营</w:t>
      </w:r>
      <w:r>
        <w:rPr>
          <w:spacing w:val="-66"/>
        </w:rPr>
        <w:t> </w:t>
      </w:r>
      <w:r>
        <w:rPr>
          <w:spacing w:val="-66"/>
        </w:rPr>
      </w:r>
      <w:r>
        <w:rPr>
          <w:spacing w:val="-2"/>
        </w:rPr>
        <w:t>业务的竞争壁垒，并完善和延展上市公司的上下游业务生态，更好地协助公司实现“视觉</w:t>
      </w:r>
      <w:r>
        <w:rPr>
          <w:rFonts w:ascii="宋体" w:hAnsi="宋体" w:cs="宋体" w:eastAsia="宋体" w:hint="default"/>
          <w:spacing w:val="-2"/>
        </w:rPr>
        <w:t>+</w:t>
      </w:r>
      <w:r>
        <w:rPr>
          <w:spacing w:val="-2"/>
        </w:rPr>
        <w:t>生态”、“视觉</w:t>
      </w:r>
      <w:r>
        <w:rPr>
          <w:rFonts w:ascii="宋体" w:hAnsi="宋体" w:cs="宋体" w:eastAsia="宋体" w:hint="default"/>
          <w:spacing w:val="-2"/>
        </w:rPr>
        <w:t>+</w:t>
      </w:r>
      <w:r>
        <w:rPr>
          <w:spacing w:val="-2"/>
        </w:rPr>
        <w:t>行业”的发展战</w:t>
      </w:r>
      <w:r>
        <w:rPr>
          <w:spacing w:val="-68"/>
        </w:rPr>
        <w:t> </w:t>
      </w:r>
      <w:r>
        <w:rPr>
          <w:spacing w:val="-68"/>
        </w:rPr>
      </w:r>
      <w:r>
        <w:rPr/>
        <w:t>略。</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987,837,517.43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814,550,615.82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21.27%</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820,881,431.10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654,301,360.26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166,956,086.33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160,249,255.56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781,902,756.26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583,744,525.12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广告创意服务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38,978,674.84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70,556,835.14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17,592,053.34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20,136,699.54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149,364,032.99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140,112,556.02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911,505,887.15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767,145,892.80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76,331,630.28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47,404,723.02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820,881,431.10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260,194,573.51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166,956,086.33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88,971,808.12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781,902,756.26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245,647,470.45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广告创意服务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38,978,674.84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14,547,103.06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17,592,053.34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12,350,504.27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226.11%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149,364,032.99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76,621,303.85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911,505,887.15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341,172,371.92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76,331,630.28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7,994,009.71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645.44%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版权使用费、广 告服务费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260,194,573.51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208,239,481.42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24.95%</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设备采购及安装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88,971,808.12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69,865,687.83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版权使用费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245,647,470.45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181,694,568.68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广告创意服务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14,547,103.06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26,544,912.74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设备采购及安装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12,350,504.27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3,787,208.10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226.11%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设备采购及安装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76,621,303.85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66,078,479.73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15.96%</w:t>
            </w: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71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详见</w:t>
      </w:r>
      <w:r>
        <w:rPr>
          <w:rFonts w:ascii="Times New Roman" w:hAnsi="Times New Roman" w:cs="Times New Roman" w:eastAsia="Times New Roman" w:hint="default"/>
        </w:rPr>
        <w:t>“</w:t>
      </w:r>
      <w:r>
        <w:rPr/>
        <w:t>第十一节，八、合并范围的变更</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2"/>
          <w:szCs w:val="22"/>
        </w:rPr>
      </w:pPr>
    </w:p>
    <w:p>
      <w:pPr>
        <w:pStyle w:val="Heading5"/>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124,590,563.84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68,456,754.61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14,996,720.47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14,872,054.33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13,660,377.36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12,604,657.07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124,590,563.84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202,383,478.91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57,792,753.11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50,795,547.35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35,213,862.44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32,686,385.08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25,894,930.93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202,383,478.91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57.96%</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80,706,578.00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71,542,100.81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113,892,728.37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99,014,733.22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26,324,903.23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35,229,297.62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44,499,325.56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26,016,883.76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71.04%</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研发费用较上年同期增长</w:t>
            </w:r>
            <w:r>
              <w:rPr>
                <w:rFonts w:ascii="宋体" w:hAnsi="宋体" w:cs="宋体" w:eastAsia="宋体" w:hint="default"/>
                <w:spacing w:val="-45"/>
                <w:sz w:val="18"/>
                <w:szCs w:val="18"/>
              </w:rPr>
              <w:t> </w:t>
            </w:r>
            <w:r>
              <w:rPr>
                <w:rFonts w:ascii="Times New Roman" w:hAnsi="Times New Roman" w:cs="Times New Roman" w:eastAsia="Times New Roman" w:hint="default"/>
                <w:spacing w:val="-20"/>
                <w:sz w:val="18"/>
                <w:szCs w:val="18"/>
              </w:rPr>
              <w:t>71.04%</w:t>
            </w:r>
            <w:r>
              <w:rPr>
                <w:rFonts w:ascii="宋体" w:hAnsi="宋体" w:cs="宋体" w:eastAsia="宋体" w:hint="default"/>
                <w:spacing w:val="-20"/>
                <w:sz w:val="18"/>
                <w:szCs w:val="18"/>
              </w:rPr>
              <w:t>，主</w:t>
            </w:r>
            <w:r>
              <w:rPr>
                <w:rFonts w:ascii="宋体" w:hAnsi="宋体" w:cs="宋体" w:eastAsia="宋体" w:hint="default"/>
                <w:spacing w:val="-88"/>
                <w:sz w:val="18"/>
                <w:szCs w:val="18"/>
              </w:rPr>
              <w:t> </w:t>
            </w:r>
            <w:r>
              <w:rPr>
                <w:rFonts w:ascii="宋体" w:hAnsi="宋体" w:cs="宋体" w:eastAsia="宋体" w:hint="default"/>
                <w:sz w:val="18"/>
                <w:szCs w:val="18"/>
              </w:rPr>
              <w:t>要系</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500px</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纳入合并范围及公司研发 投入增加所致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48" w:lineRule="auto" w:before="0"/>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本年度公司技术研发项目的：符合公司视觉内容与服务业务规划与发展。 公司研发投入情况</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64,811,395.72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50,165,448.42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20,312,070.16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11,006,456.82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研发投入总额占营业收入的比重较上年发生显著变化的原因</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990,047,689.29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916,778,958.78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698,998,206.18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666,651,328.90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291,049,483.11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250,127,629.88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144,416,605.84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252,816,251.40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279,758,022.55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425,616,781.61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-135,341,416.71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-172,800,530.21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233,526,476.53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417,006,650.42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363,112,587.09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555,903,380.39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-129,586,110.56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-138,896,729.97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28,086,239.47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-65,583,726.46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142.83%</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投资活动现金流入小计较上年同期下降</w:t>
      </w:r>
      <w:r>
        <w:rPr>
          <w:rFonts w:ascii="Times New Roman" w:hAnsi="Times New Roman" w:cs="Times New Roman" w:eastAsia="Times New Roman" w:hint="default"/>
        </w:rPr>
        <w:t>10,839.96</w:t>
      </w:r>
      <w:r>
        <w:rPr/>
        <w:t>万元，同比下降</w:t>
      </w:r>
      <w:r>
        <w:rPr>
          <w:rFonts w:ascii="Times New Roman" w:hAnsi="Times New Roman" w:cs="Times New Roman" w:eastAsia="Times New Roman" w:hint="default"/>
        </w:rPr>
        <w:t>42.88%</w:t>
      </w:r>
      <w:r>
        <w:rPr/>
        <w:t>，主要系上年同期</w:t>
      </w:r>
      <w:r>
        <w:rPr>
          <w:rFonts w:ascii="Times New Roman" w:hAnsi="Times New Roman" w:cs="Times New Roman" w:eastAsia="Times New Roman" w:hint="default"/>
        </w:rPr>
        <w:t>1.7</w:t>
      </w:r>
      <w:r>
        <w:rPr/>
        <w:t>亿元理财产品到期回收本息 所致，本期金额主要为收到亿迅资产组处置对价款；</w:t>
      </w:r>
    </w:p>
    <w:p>
      <w:pPr>
        <w:pStyle w:val="BodyText"/>
        <w:spacing w:line="309" w:lineRule="auto" w:before="31"/>
        <w:ind w:right="117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投资活动现金流出小计较上年同期下降</w:t>
      </w:r>
      <w:r>
        <w:rPr>
          <w:rFonts w:ascii="Times New Roman" w:hAnsi="Times New Roman" w:cs="Times New Roman" w:eastAsia="Times New Roman" w:hint="default"/>
        </w:rPr>
        <w:t>14,532.31</w:t>
      </w:r>
      <w:r>
        <w:rPr/>
        <w:t>万元，同比下降</w:t>
      </w:r>
      <w:r>
        <w:rPr>
          <w:rFonts w:ascii="Times New Roman" w:hAnsi="Times New Roman" w:cs="Times New Roman" w:eastAsia="Times New Roman" w:hint="default"/>
        </w:rPr>
        <w:t>34.27%</w:t>
      </w:r>
      <w:r>
        <w:rPr/>
        <w:t>，主要系本期对外投资金额同比下降所致，本期 金额主要为支付司马彦和上海卓越的分期股权收购款； </w:t>
      </w:r>
      <w:r>
        <w:rPr>
          <w:rFonts w:ascii="Times New Roman" w:hAnsi="Times New Roman" w:cs="Times New Roman" w:eastAsia="Times New Roman" w:hint="default"/>
        </w:rPr>
        <w:t>3.</w:t>
      </w:r>
      <w:r>
        <w:rPr/>
        <w:t>筹资活动现金流入小计较上年同期下降</w:t>
      </w:r>
      <w:r>
        <w:rPr>
          <w:rFonts w:ascii="Times New Roman" w:hAnsi="Times New Roman" w:cs="Times New Roman" w:eastAsia="Times New Roman" w:hint="default"/>
        </w:rPr>
        <w:t>18,021.32</w:t>
      </w:r>
      <w:r>
        <w:rPr/>
        <w:t>万元，同比下降</w:t>
      </w:r>
      <w:r>
        <w:rPr>
          <w:rFonts w:ascii="Times New Roman" w:hAnsi="Times New Roman" w:cs="Times New Roman" w:eastAsia="Times New Roman" w:hint="default"/>
        </w:rPr>
        <w:t>44.00%</w:t>
      </w:r>
      <w:r>
        <w:rPr/>
        <w:t>，主要系本期自金融机构借款同比减少所致；</w:t>
      </w:r>
    </w:p>
    <w:p>
      <w:pPr>
        <w:pStyle w:val="BodyText"/>
        <w:spacing w:line="300" w:lineRule="auto" w:before="5"/>
        <w:ind w:right="1125"/>
        <w:jc w:val="left"/>
      </w:pPr>
      <w:r>
        <w:rPr>
          <w:rFonts w:ascii="Times New Roman" w:hAnsi="Times New Roman" w:cs="Times New Roman" w:eastAsia="Times New Roman" w:hint="default"/>
          <w:spacing w:val="-1"/>
        </w:rPr>
        <w:t>4.</w:t>
      </w:r>
      <w:r>
        <w:rPr>
          <w:spacing w:val="-1"/>
        </w:rPr>
        <w:t>筹资活动现金流出小计较上年同期下降</w:t>
      </w:r>
      <w:r>
        <w:rPr>
          <w:rFonts w:ascii="Times New Roman" w:hAnsi="Times New Roman" w:cs="Times New Roman" w:eastAsia="Times New Roman" w:hint="default"/>
          <w:spacing w:val="-1"/>
        </w:rPr>
        <w:t>18,952.38</w:t>
      </w:r>
      <w:r>
        <w:rPr>
          <w:spacing w:val="-1"/>
        </w:rPr>
        <w:t>万元，同比下降</w:t>
      </w:r>
      <w:r>
        <w:rPr>
          <w:rFonts w:ascii="Times New Roman" w:hAnsi="Times New Roman" w:cs="Times New Roman" w:eastAsia="Times New Roman" w:hint="default"/>
          <w:spacing w:val="-1"/>
        </w:rPr>
        <w:t>34.68%</w:t>
      </w:r>
      <w:r>
        <w:rPr>
          <w:spacing w:val="-1"/>
        </w:rPr>
        <w:t>，主要系上年同期偿还股东借款所致，本期金额主</w:t>
      </w:r>
      <w:r>
        <w:rPr>
          <w:spacing w:val="-85"/>
        </w:rPr>
        <w:t> </w:t>
      </w:r>
      <w:r>
        <w:rPr>
          <w:spacing w:val="-85"/>
        </w:rPr>
      </w:r>
      <w:r>
        <w:rPr/>
        <w:t>要为分配股利及偿还金融机构借款。</w:t>
      </w:r>
    </w:p>
    <w:p>
      <w:pPr>
        <w:pStyle w:val="BodyText"/>
        <w:spacing w:line="240" w:lineRule="auto" w:before="72"/>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32,840,125.23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权益法核算的被投资单位 净利润变动及股权处置损 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16,906,739.29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应收款项坏账准备增加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156,569.49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违约金利得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559,493.88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418,492,001.6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390,502,762.13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9.54%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0.35%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185,094,124.5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4.38%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352,261,537.61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-4.23%</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报告期内，应收账款较年初减少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1.67 </w:t>
            </w:r>
            <w:r>
              <w:rPr>
                <w:rFonts w:ascii="宋体" w:hAnsi="宋体" w:cs="宋体" w:eastAsia="宋体" w:hint="default"/>
                <w:sz w:val="18"/>
                <w:szCs w:val="18"/>
              </w:rPr>
              <w:t>亿元，主要系本期处置亿迅资产组， 合并报表范围变更所致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29,394,917.05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-0.72%</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报告期内，存货较年初减少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2,939.49 </w:t>
            </w:r>
            <w:r>
              <w:rPr>
                <w:rFonts w:ascii="宋体" w:hAnsi="宋体" w:cs="宋体" w:eastAsia="宋体" w:hint="default"/>
                <w:sz w:val="18"/>
                <w:szCs w:val="18"/>
              </w:rPr>
              <w:t>万元，主要系本期处置亿迅资产组， 合并报表范围变更所致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1,252,555,185.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1,067,522,106.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3.53%</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报告期内，长期股权投资较年初增加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亿元，主要系本期投资华盖安鹭 及权益法核算长期股权投资账面价 值变动所致。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4,087,216.32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5,941,766.23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-0.05%</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报告期内，固定资产较年初减少 </w:t>
            </w:r>
            <w:r>
              <w:rPr>
                <w:rFonts w:ascii="Times New Roman" w:hAnsi="Times New Roman" w:cs="Times New Roman" w:eastAsia="Times New Roman" w:hint="default"/>
                <w:sz w:val="18"/>
                <w:szCs w:val="18"/>
              </w:rPr>
              <w:t>185.45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万元，主要系本期处置亿迅资 产组，合并报表范围变更所致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177,671,204.6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157,629,116.17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3.85%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0.35%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276,464,320.0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6.54%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489,663,582.19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-5.42%</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报告期内，长期借款较年初减少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2.13 </w:t>
            </w:r>
            <w:r>
              <w:rPr>
                <w:rFonts w:ascii="宋体" w:hAnsi="宋体" w:cs="宋体" w:eastAsia="宋体" w:hint="default"/>
                <w:spacing w:val="-2"/>
                <w:sz w:val="18"/>
                <w:szCs w:val="18"/>
              </w:rPr>
              <w:t>亿元，主要系一年内到期的长期借款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重分类所致</w:t>
            </w: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30,121,717.44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6,503,787.81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报告期内，预付账款较年初增加 </w:t>
            </w:r>
            <w:r>
              <w:rPr>
                <w:rFonts w:ascii="Times New Roman" w:hAnsi="Times New Roman" w:cs="Times New Roman" w:eastAsia="Times New Roman" w:hint="default"/>
                <w:sz w:val="18"/>
                <w:szCs w:val="18"/>
              </w:rPr>
              <w:t>2,361.79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万元，主要系业务预付款增 加所致</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186,009,724.9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20,696,628.97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报告期内，其他应收款较年初增加 </w:t>
            </w:r>
            <w:r>
              <w:rPr>
                <w:rFonts w:ascii="Times New Roman" w:hAnsi="Times New Roman" w:cs="Times New Roman" w:eastAsia="Times New Roman" w:hint="default"/>
                <w:sz w:val="18"/>
                <w:szCs w:val="18"/>
              </w:rPr>
              <w:t>1.65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亿元，主要系应收亿迅资产组对 价款及应收股利增加所致。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报告期内，一年内到期的非流动资产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亿元，主要系一年以内到期 的定期存单重分类所致。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94,456,101.77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20,277,430.49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报告期内，无形资产较年初增加 </w:t>
            </w:r>
            <w:r>
              <w:rPr>
                <w:rFonts w:ascii="Times New Roman" w:hAnsi="Times New Roman" w:cs="Times New Roman" w:eastAsia="Times New Roman" w:hint="default"/>
                <w:sz w:val="18"/>
                <w:szCs w:val="18"/>
              </w:rPr>
              <w:t>7,417.87 </w:t>
            </w:r>
            <w:r>
              <w:rPr>
                <w:rFonts w:ascii="宋体" w:hAnsi="宋体" w:cs="宋体" w:eastAsia="宋体" w:hint="default"/>
                <w:spacing w:val="-10"/>
                <w:sz w:val="18"/>
                <w:szCs w:val="18"/>
              </w:rPr>
              <w:t>万元，主要系本期收购</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500px </w:t>
            </w:r>
            <w:r>
              <w:rPr>
                <w:rFonts w:ascii="宋体" w:hAnsi="宋体" w:cs="宋体" w:eastAsia="宋体" w:hint="default"/>
                <w:sz w:val="18"/>
                <w:szCs w:val="18"/>
              </w:rPr>
              <w:t>无形资产评估增值及内部研发资本 化所致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622,018,031.9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807,849,431.97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报告期内，其他非流动资产减少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1.86 </w:t>
            </w:r>
            <w:r>
              <w:rPr>
                <w:rFonts w:ascii="宋体" w:hAnsi="宋体" w:cs="宋体" w:eastAsia="宋体" w:hint="default"/>
                <w:spacing w:val="-2"/>
                <w:sz w:val="18"/>
                <w:szCs w:val="18"/>
              </w:rPr>
              <w:t>亿元，主要系一年以内到期的定期存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单重分类所致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140,826,664.5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185,249,437.31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报告期内，应付账款较年初减少 </w:t>
            </w:r>
            <w:r>
              <w:rPr>
                <w:rFonts w:ascii="Times New Roman" w:hAnsi="Times New Roman" w:cs="Times New Roman" w:eastAsia="Times New Roman" w:hint="default"/>
                <w:sz w:val="18"/>
                <w:szCs w:val="18"/>
              </w:rPr>
              <w:t>4,442.28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万元，主要系本期处置亿迅 资产组，合并报表范围变更所致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136,245,654.7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104,452,365.40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报告期内，预收账款较年初增加 </w:t>
            </w:r>
            <w:r>
              <w:rPr>
                <w:rFonts w:ascii="Times New Roman" w:hAnsi="Times New Roman" w:cs="Times New Roman" w:eastAsia="Times New Roman" w:hint="default"/>
                <w:sz w:val="18"/>
                <w:szCs w:val="18"/>
              </w:rPr>
              <w:t>3,179.33 </w:t>
            </w:r>
            <w:r>
              <w:rPr>
                <w:rFonts w:ascii="宋体" w:hAnsi="宋体" w:cs="宋体" w:eastAsia="宋体" w:hint="default"/>
                <w:sz w:val="18"/>
                <w:szCs w:val="18"/>
              </w:rPr>
              <w:t>万元，主要系本期将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500px </w:t>
            </w:r>
            <w:r>
              <w:rPr>
                <w:rFonts w:ascii="宋体" w:hAnsi="宋体" w:cs="宋体" w:eastAsia="宋体" w:hint="default"/>
                <w:sz w:val="18"/>
                <w:szCs w:val="18"/>
              </w:rPr>
              <w:t>纳入合并报表范围所致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44,824,604.07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64,672,694.04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12,174,074.28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23,432,964.60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报告期内，其他应付款较年初减少 </w:t>
            </w:r>
            <w:r>
              <w:rPr>
                <w:rFonts w:ascii="Times New Roman" w:hAnsi="Times New Roman" w:cs="Times New Roman" w:eastAsia="Times New Roman" w:hint="default"/>
                <w:sz w:val="18"/>
                <w:szCs w:val="18"/>
              </w:rPr>
              <w:t>1,125.89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万元，主要系本期处置亿迅 资产组，合并报表范围变更所致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327,429,786.0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188,066,891.45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报告期内，一年内到期的非流动负债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亿元，主要系一年内</w:t>
            </w:r>
            <w:r>
              <w:rPr>
                <w:rFonts w:ascii="宋体" w:hAnsi="宋体" w:cs="宋体" w:eastAsia="宋体" w:hint="default"/>
                <w:sz w:val="18"/>
                <w:szCs w:val="18"/>
              </w:rPr>
              <w:t> 到期的长期借款及股权收购款重分 类所致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6,131,574.78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109,700,596.66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报告期内，其他非流动负债较年初减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 </w:t>
            </w:r>
            <w:r>
              <w:rPr>
                <w:rFonts w:ascii="宋体" w:hAnsi="宋体" w:cs="宋体" w:eastAsia="宋体" w:hint="default"/>
                <w:spacing w:val="-5"/>
                <w:sz w:val="18"/>
                <w:szCs w:val="18"/>
              </w:rPr>
              <w:t>亿元，主要系一年内到期的股</w:t>
            </w:r>
            <w:r>
              <w:rPr>
                <w:rFonts w:ascii="宋体" w:hAnsi="宋体" w:cs="宋体" w:eastAsia="宋体" w:hint="default"/>
                <w:sz w:val="18"/>
                <w:szCs w:val="18"/>
              </w:rPr>
              <w:t> 权收购款重分类所致</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1425" w:lineRule="exact"/>
        <w:ind w:left="154"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6082817" cy="905256"/>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7" cstate="print"/>
                    <a:stretch>
                      <a:fillRect/>
                    </a:stretch>
                  </pic:blipFill>
                  <pic:spPr>
                    <a:xfrm>
                      <a:off x="0" y="0"/>
                      <a:ext cx="6082817" cy="905256"/>
                    </a:xfrm>
                    <a:prstGeom prst="rect">
                      <a:avLst/>
                    </a:prstGeom>
                  </pic:spPr>
                </pic:pic>
              </a:graphicData>
            </a:graphic>
          </wp:inline>
        </w:drawing>
      </w:r>
      <w:r>
        <w:rPr>
          <w:rFonts w:ascii="宋体" w:hAnsi="宋体" w:cs="宋体" w:eastAsia="宋体" w:hint="default"/>
          <w:position w:val="-28"/>
          <w:sz w:val="20"/>
          <w:szCs w:val="20"/>
        </w:rPr>
      </w:r>
    </w:p>
    <w:p>
      <w:pPr>
        <w:spacing w:after="0" w:line="142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五、投资状况" w:id="45"/>
      <w:bookmarkEnd w:id="45"/>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402,730,041.50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401,795,000.00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50"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3"/>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1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58"/>
              <w:ind w:left="22" w:right="105"/>
              <w:jc w:val="left"/>
              <w:rPr>
                <w:rFonts w:ascii="Times New Roman" w:hAnsi="Times New Roman" w:cs="Times New Roman" w:eastAsia="Times New Roman" w:hint="default"/>
                <w:sz w:val="18"/>
                <w:szCs w:val="18"/>
              </w:rPr>
            </w:pPr>
            <w:r>
              <w:rPr>
                <w:rFonts w:ascii="Times New Roman"/>
                <w:sz w:val="18"/>
              </w:rPr>
              <w:t>500px, Inc.</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互联网 文化创 意</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0,041.5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58"/>
              <w:ind w:left="22" w:right="107"/>
              <w:jc w:val="left"/>
              <w:rPr>
                <w:rFonts w:ascii="Times New Roman" w:hAnsi="Times New Roman" w:cs="Times New Roman" w:eastAsia="Times New Roman" w:hint="default"/>
                <w:sz w:val="18"/>
                <w:szCs w:val="18"/>
              </w:rPr>
            </w:pPr>
            <w:r>
              <w:rPr>
                <w:rFonts w:ascii="Times New Roman"/>
                <w:sz w:val="18"/>
              </w:rPr>
              <w:t>500px, Inc.</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62"/>
              <w:jc w:val="both"/>
              <w:rPr>
                <w:rFonts w:ascii="宋体" w:hAnsi="宋体" w:cs="宋体" w:eastAsia="宋体" w:hint="default"/>
                <w:sz w:val="18"/>
                <w:szCs w:val="18"/>
              </w:rPr>
            </w:pPr>
            <w:r>
              <w:rPr>
                <w:rFonts w:ascii="宋体" w:hAnsi="宋体" w:cs="宋体" w:eastAsia="宋体" w:hint="default"/>
                <w:sz w:val="18"/>
                <w:szCs w:val="18"/>
              </w:rPr>
              <w:t>视觉内 容与服 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已完成 股东登 记</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4"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5" w:right="0"/>
              <w:jc w:val="left"/>
              <w:rPr>
                <w:rFonts w:ascii="Times New Roman" w:hAnsi="Times New Roman" w:cs="Times New Roman" w:eastAsia="Times New Roman" w:hint="default"/>
                <w:sz w:val="18"/>
                <w:szCs w:val="18"/>
              </w:rPr>
            </w:pPr>
            <w:r>
              <w:rPr>
                <w:rFonts w:ascii="Times New Roman"/>
                <w:sz w:val="18"/>
              </w:rPr>
              <w:t>-1,627,</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439.66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《视觉 中国： 关于收 购</w:t>
            </w:r>
          </w:p>
          <w:p>
            <w:pPr>
              <w:pStyle w:val="TableParagraph"/>
              <w:spacing w:line="362" w:lineRule="auto" w:before="59"/>
              <w:ind w:left="22" w:right="59"/>
              <w:jc w:val="left"/>
              <w:rPr>
                <w:rFonts w:ascii="Times New Roman" w:hAnsi="Times New Roman" w:cs="Times New Roman" w:eastAsia="Times New Roman" w:hint="default"/>
                <w:sz w:val="18"/>
                <w:szCs w:val="18"/>
              </w:rPr>
            </w:pPr>
            <w:r>
              <w:rPr>
                <w:rFonts w:ascii="Times New Roman"/>
                <w:sz w:val="18"/>
              </w:rPr>
              <w:t>500PX, INC.10</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股</w:t>
            </w:r>
          </w:p>
          <w:p>
            <w:pPr>
              <w:pStyle w:val="TableParagraph"/>
              <w:spacing w:line="316"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权的公 </w:t>
            </w:r>
            <w:r>
              <w:rPr>
                <w:rFonts w:ascii="宋体" w:hAnsi="宋体" w:cs="宋体" w:eastAsia="宋体" w:hint="default"/>
                <w:spacing w:val="-35"/>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r>
      <w:tr>
        <w:trPr>
          <w:trHeight w:val="410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华盖安 鹭（厦 门）文 化产业 投资合 伙企业</w:t>
            </w:r>
          </w:p>
          <w:p>
            <w:pPr>
              <w:pStyle w:val="TableParagraph"/>
              <w:spacing w:line="319" w:lineRule="auto" w:before="19"/>
              <w:ind w:left="22" w:right="60"/>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9" w:lineRule="auto"/>
              <w:ind w:left="22" w:right="61"/>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生态投 资</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27.35%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62"/>
              <w:jc w:val="both"/>
              <w:rPr>
                <w:rFonts w:ascii="宋体" w:hAnsi="宋体" w:cs="宋体" w:eastAsia="宋体" w:hint="default"/>
                <w:sz w:val="18"/>
                <w:szCs w:val="18"/>
              </w:rPr>
            </w:pPr>
            <w:r>
              <w:rPr>
                <w:rFonts w:ascii="宋体" w:hAnsi="宋体" w:cs="宋体" w:eastAsia="宋体" w:hint="default"/>
                <w:sz w:val="18"/>
                <w:szCs w:val="18"/>
              </w:rPr>
              <w:t>华盖祥 鹭（厦 门）文 化产业 投资管 理有限 公司、 北京华 盖文化 投资管 理有限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9" w:lineRule="auto"/>
              <w:ind w:left="22" w:right="62"/>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生态投 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已完成 合伙人 登记</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9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95" w:right="0"/>
              <w:jc w:val="left"/>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019.66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《视觉 中国： 关于全 资子公 司投资 认购华 盖安鹭</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（厦 门）</w:t>
            </w:r>
            <w:r>
              <w:rPr>
                <w:rFonts w:ascii="宋体" w:hAnsi="宋体" w:cs="宋体" w:eastAsia="宋体" w:hint="default"/>
                <w:spacing w:val="-48"/>
                <w:sz w:val="18"/>
                <w:szCs w:val="18"/>
              </w:rPr>
              <w:t> </w:t>
            </w:r>
            <w:r>
              <w:rPr>
                <w:rFonts w:ascii="宋体" w:hAnsi="宋体" w:cs="宋体" w:eastAsia="宋体" w:hint="default"/>
                <w:sz w:val="18"/>
                <w:szCs w:val="18"/>
              </w:rPr>
              <w:t>文</w:t>
            </w:r>
            <w:r>
              <w:rPr>
                <w:rFonts w:ascii="宋体" w:hAnsi="宋体" w:cs="宋体" w:eastAsia="宋体" w:hint="default"/>
                <w:sz w:val="18"/>
                <w:szCs w:val="18"/>
              </w:rPr>
              <w:t> 化产业 投资基 金的公 告 》</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298"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34"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w:t>
            </w:r>
          </w:p>
        </w:tc>
      </w:tr>
      <w:tr>
        <w:trPr>
          <w:trHeight w:val="38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云南富 银消费 金融有 限责任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9" w:lineRule="auto"/>
              <w:ind w:left="22" w:right="61"/>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生态投 资</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45"/>
              <w:jc w:val="righ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0" w:right="0"/>
              <w:jc w:val="center"/>
              <w:rPr>
                <w:rFonts w:ascii="Times New Roman" w:hAnsi="Times New Roman" w:cs="Times New Roman" w:eastAsia="Times New Roman" w:hint="default"/>
                <w:sz w:val="18"/>
                <w:szCs w:val="18"/>
              </w:rPr>
            </w:pPr>
            <w:r>
              <w:rPr>
                <w:rFonts w:ascii="Times New Roman"/>
                <w:sz w:val="18"/>
              </w:rPr>
              <w:t>34.00%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2"/>
              <w:jc w:val="both"/>
              <w:rPr>
                <w:rFonts w:ascii="宋体" w:hAnsi="宋体" w:cs="宋体" w:eastAsia="宋体" w:hint="default"/>
                <w:sz w:val="18"/>
                <w:szCs w:val="18"/>
              </w:rPr>
            </w:pPr>
            <w:r>
              <w:rPr>
                <w:rFonts w:ascii="宋体" w:hAnsi="宋体" w:cs="宋体" w:eastAsia="宋体" w:hint="default"/>
                <w:sz w:val="18"/>
                <w:szCs w:val="18"/>
              </w:rPr>
              <w:t>富滇银 行股份 有限公 司 </w:t>
            </w:r>
            <w:r>
              <w:rPr>
                <w:rFonts w:ascii="宋体" w:hAnsi="宋体" w:cs="宋体" w:eastAsia="宋体" w:hint="default"/>
                <w:spacing w:val="-48"/>
                <w:sz w:val="18"/>
                <w:szCs w:val="18"/>
              </w:rPr>
              <w:t>、昆</w:t>
            </w:r>
            <w:r>
              <w:rPr>
                <w:rFonts w:ascii="宋体" w:hAnsi="宋体" w:cs="宋体" w:eastAsia="宋体" w:hint="default"/>
                <w:spacing w:val="-48"/>
                <w:sz w:val="18"/>
                <w:szCs w:val="18"/>
              </w:rPr>
              <w:t> </w:t>
            </w:r>
            <w:r>
              <w:rPr>
                <w:rFonts w:ascii="宋体" w:hAnsi="宋体" w:cs="宋体" w:eastAsia="宋体" w:hint="default"/>
                <w:sz w:val="18"/>
                <w:szCs w:val="18"/>
              </w:rPr>
              <w:t>明顺城</w:t>
            </w:r>
            <w:r>
              <w:rPr>
                <w:rFonts w:ascii="宋体" w:hAnsi="宋体" w:cs="宋体" w:eastAsia="宋体" w:hint="default"/>
                <w:sz w:val="18"/>
                <w:szCs w:val="18"/>
              </w:rPr>
              <w:t> 若普商 贸有限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9" w:lineRule="auto"/>
              <w:ind w:left="22" w:right="62"/>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生态投 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尚须经 中国银 行业监 督管理 委员会 等审批 机构批 准后成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90"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91"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《视觉 中国： 第九届 董事会 第三次 会议决 议公</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告 》</w:t>
            </w:r>
          </w:p>
          <w:p>
            <w:pPr>
              <w:pStyle w:val="TableParagraph"/>
              <w:spacing w:line="338" w:lineRule="auto" w:before="76"/>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w:t>
            </w:r>
          </w:p>
          <w:p>
            <w:pPr>
              <w:pStyle w:val="TableParagraph"/>
              <w:spacing w:line="234"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77</w:t>
            </w:r>
            <w:r>
              <w:rPr>
                <w:rFonts w:ascii="宋体" w:hAnsi="宋体" w:cs="宋体" w:eastAsia="宋体" w:hint="default"/>
                <w:sz w:val="18"/>
                <w:szCs w:val="18"/>
              </w:rPr>
              <w:t>）</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272,66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0,041.5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-4,218,</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459.32</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91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33"/>
              <w:ind w:left="22" w:right="61"/>
              <w:jc w:val="left"/>
              <w:rPr>
                <w:rFonts w:ascii="Times New Roman" w:hAnsi="Times New Roman" w:cs="Times New Roman" w:eastAsia="Times New Roman" w:hint="default"/>
                <w:sz w:val="18"/>
                <w:szCs w:val="18"/>
              </w:rPr>
            </w:pPr>
            <w:r>
              <w:rPr>
                <w:rFonts w:ascii="Times New Roman"/>
                <w:sz w:val="18"/>
              </w:rPr>
              <w:t>eSoon</w:t>
            </w:r>
            <w:r>
              <w:rPr>
                <w:rFonts w:ascii="Times New Roman"/>
                <w:w w:val="99"/>
                <w:sz w:val="18"/>
              </w:rPr>
              <w:t> </w:t>
            </w:r>
            <w:r>
              <w:rPr>
                <w:rFonts w:ascii="Times New Roman"/>
                <w:sz w:val="18"/>
              </w:rPr>
              <w:t>Group</w:t>
            </w:r>
            <w:r>
              <w:rPr>
                <w:rFonts w:ascii="Times New Roman"/>
                <w:w w:val="99"/>
                <w:sz w:val="18"/>
              </w:rPr>
              <w:t> </w:t>
            </w:r>
            <w:r>
              <w:rPr>
                <w:rFonts w:ascii="Times New Roman"/>
                <w:sz w:val="18"/>
              </w:rPr>
              <w:t>Holding</w:t>
            </w:r>
            <w:r>
              <w:rPr>
                <w:rFonts w:ascii="Times New Roman"/>
                <w:w w:val="99"/>
                <w:sz w:val="18"/>
              </w:rPr>
              <w:t> </w:t>
            </w:r>
            <w:r>
              <w:rPr>
                <w:rFonts w:ascii="Times New Roman"/>
                <w:sz w:val="18"/>
              </w:rPr>
              <w:t>s</w:t>
            </w:r>
            <w:r>
              <w:rPr>
                <w:rFonts w:ascii="Times New Roman"/>
                <w:w w:val="99"/>
                <w:sz w:val="18"/>
              </w:rPr>
              <w:t> </w:t>
            </w:r>
            <w:r>
              <w:rPr>
                <w:rFonts w:ascii="Times New Roman"/>
                <w:sz w:val="18"/>
              </w:rPr>
              <w:t>Limited</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38" w:lineRule="auto"/>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亿迅资 产组 </w:t>
            </w:r>
            <w:r>
              <w:rPr>
                <w:rFonts w:ascii="Times New Roman" w:hAnsi="Times New Roman" w:cs="Times New Roman" w:eastAsia="Times New Roman" w:hint="default"/>
                <w:sz w:val="18"/>
                <w:szCs w:val="18"/>
              </w:rPr>
              <w:t>76.623</w:t>
            </w:r>
          </w:p>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21,684.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385.65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交易完 成后， 公司将 更好的 集中资 源聚焦 核心主 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1.15%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以评估 价值为 基础， 结合分 红影响 和债转 股增资 因素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本次交 易受让 方的实 际控制 人为廖 杰先 生，廖 杰先生 为公司 董事 长，根 据《深 圳证券 交易所 股票上 市规则</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4"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年修 </w:t>
            </w:r>
            <w:r>
              <w:rPr>
                <w:rFonts w:ascii="宋体" w:hAnsi="宋体" w:cs="宋体" w:eastAsia="宋体" w:hint="default"/>
                <w:spacing w:val="-24"/>
                <w:sz w:val="18"/>
                <w:szCs w:val="18"/>
              </w:rPr>
              <w:t>订）》中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第十章 </w:t>
            </w:r>
            <w:r>
              <w:rPr>
                <w:rFonts w:ascii="Times New Roman" w:hAnsi="Times New Roman" w:cs="Times New Roman" w:eastAsia="Times New Roman" w:hint="default"/>
                <w:sz w:val="18"/>
                <w:szCs w:val="18"/>
              </w:rPr>
              <w:t>“</w:t>
            </w:r>
            <w:r>
              <w:rPr>
                <w:rFonts w:ascii="宋体" w:hAnsi="宋体" w:cs="宋体" w:eastAsia="宋体" w:hint="default"/>
                <w:sz w:val="18"/>
                <w:szCs w:val="18"/>
              </w:rPr>
              <w:t>关联交 易</w:t>
            </w:r>
            <w:r>
              <w:rPr>
                <w:rFonts w:ascii="Times New Roman" w:hAnsi="Times New Roman" w:cs="Times New Roman" w:eastAsia="Times New Roman" w:hint="default"/>
                <w:sz w:val="18"/>
                <w:szCs w:val="18"/>
              </w:rPr>
              <w:t>”</w:t>
            </w:r>
            <w:r>
              <w:rPr>
                <w:rFonts w:ascii="宋体" w:hAnsi="宋体" w:cs="宋体" w:eastAsia="宋体" w:hint="default"/>
                <w:sz w:val="18"/>
                <w:szCs w:val="18"/>
              </w:rPr>
              <w:t>的相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《视觉 中国： 关于转 让亿迅 资产组 股权暨 关联交 易的公 告 》</w:t>
            </w:r>
          </w:p>
          <w:p>
            <w:pPr>
              <w:pStyle w:val="TableParagraph"/>
              <w:spacing w:line="338" w:lineRule="auto" w:before="19"/>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2018-06</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923"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关规 定，本 次交易 构成关 联交 易。</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华夏视觉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视觉内容与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23,456,700.0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1,528,238,27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403,830,295.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272,508,976.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59,447,644.6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56,966,021.7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汉华易美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视觉内容与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1,737,819,65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713,099,491.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663,464,178.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360,662,556.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311,336,907.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500px</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视觉内容与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157,548,814.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64,720,026.1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15,389,914.2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29,389,906.5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-1,836,374.3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-1,627,439.6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上海卓越</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广告创意服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40,045,466.3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61,615,419.2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54,684,303.0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12,602,029.5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12,474,604.1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软件信息服 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149,364,032.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34,707,799.9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29,465,947.9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唱游公司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产业： 旅游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110,317,687.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58,751,801.4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5,264,907.15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-31,756,975.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-22,408,601.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湖北司马彦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产业： 教育</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286,540,524.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194,155,491.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170,413,860.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82,336,106.5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75,446,358.7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易教优培</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产业： 教育</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93,355,614.6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88,070,800.6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66,579,107.9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45,476,236.5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45,476,236.5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华融创新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7,049,861,93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585,770,686.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606,497,838.</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63,706,799.3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44,767,624.3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7,005,010.85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500px</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-1,627,439.66</w:t>
            </w:r>
          </w:p>
        </w:tc>
      </w:tr>
    </w:tbl>
    <w:p>
      <w:pPr>
        <w:pStyle w:val="BodyText"/>
        <w:spacing w:line="240" w:lineRule="auto" w:before="51"/>
        <w:ind w:right="0"/>
        <w:jc w:val="left"/>
      </w:pPr>
      <w:r>
        <w:rPr/>
        <w:t>主要控股参股公司情况说明：无</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7"/>
        <w:spacing w:line="240" w:lineRule="auto"/>
        <w:ind w:right="0"/>
        <w:jc w:val="left"/>
        <w:rPr>
          <w:b w:val="0"/>
          <w:bCs w:val="0"/>
        </w:rPr>
      </w:pPr>
      <w:r>
        <w:rPr/>
        <w:t>（一）</w:t>
      </w:r>
      <w:r>
        <w:rPr>
          <w:rFonts w:ascii="宋体" w:hAnsi="宋体" w:cs="宋体" w:eastAsia="宋体" w:hint="default"/>
        </w:rPr>
        <w:t>2019</w:t>
      </w:r>
      <w:r>
        <w:rPr>
          <w:rFonts w:ascii="宋体" w:hAnsi="宋体" w:cs="宋体" w:eastAsia="宋体" w:hint="default"/>
          <w:spacing w:val="-48"/>
        </w:rPr>
        <w:t> </w:t>
      </w:r>
      <w:r>
        <w:rPr/>
        <w:t>年经营计划</w:t>
      </w:r>
      <w:r>
        <w:rPr>
          <w:b w:val="0"/>
          <w:bCs w:val="0"/>
        </w:rPr>
      </w:r>
    </w:p>
    <w:p>
      <w:pPr>
        <w:pStyle w:val="BodyText"/>
        <w:spacing w:line="316" w:lineRule="auto" w:before="76"/>
        <w:ind w:right="1131" w:firstLine="450"/>
        <w:jc w:val="both"/>
      </w:pPr>
      <w:r>
        <w:rPr>
          <w:rFonts w:ascii="宋体" w:hAnsi="宋体" w:cs="宋体" w:eastAsia="宋体" w:hint="default"/>
        </w:rPr>
        <w:t>2019 </w:t>
      </w:r>
      <w:r>
        <w:rPr/>
        <w:t>年，公司将进一步聚焦核心主营业务 </w:t>
      </w:r>
      <w:r>
        <w:rPr>
          <w:rFonts w:ascii="宋体" w:hAnsi="宋体" w:cs="宋体" w:eastAsia="宋体" w:hint="default"/>
        </w:rPr>
        <w:t>-</w:t>
      </w:r>
      <w:r>
        <w:rPr>
          <w:rFonts w:ascii="宋体" w:hAnsi="宋体" w:cs="宋体" w:eastAsia="宋体" w:hint="default"/>
          <w:spacing w:val="-46"/>
        </w:rPr>
        <w:t> </w:t>
      </w:r>
      <w:r>
        <w:rPr/>
        <w:t>“视觉内容与服务”。在技术变革、科技进步与模式创新驱动下带来的 </w:t>
      </w:r>
      <w:r>
        <w:rPr>
          <w:spacing w:val="-2"/>
        </w:rPr>
        <w:t>内容产业的高速发展，在国家对著作权保护力度不断加大、相关政策法规不断完善、公众版权意识不断增强的大背景下，公</w:t>
      </w:r>
      <w:r>
        <w:rPr>
          <w:spacing w:val="-66"/>
        </w:rPr>
        <w:t> </w:t>
      </w:r>
      <w:r>
        <w:rPr>
          <w:spacing w:val="-66"/>
        </w:rPr>
      </w:r>
      <w:r>
        <w:rPr>
          <w:spacing w:val="-2"/>
        </w:rPr>
        <w:t>司立足于中国市场环境和变化需求，全面优化和提升业务，在新形势下，为公司稳健的长远发展进一步打下坚实的基础。以</w:t>
      </w:r>
      <w:r>
        <w:rPr>
          <w:spacing w:val="-66"/>
        </w:rPr>
        <w:t> </w:t>
      </w:r>
      <w:r>
        <w:rPr>
          <w:spacing w:val="-66"/>
        </w:rPr>
      </w:r>
      <w:r>
        <w:rPr>
          <w:spacing w:val="-2"/>
        </w:rPr>
        <w:t>全面优质的产品内容、创新的智能化技术水平及专业的客户服务，多样化、标准化的产品与服务价格体系，满足不同客户日</w:t>
      </w:r>
      <w:r>
        <w:rPr>
          <w:spacing w:val="-66"/>
        </w:rPr>
        <w:t> </w:t>
      </w:r>
      <w:r>
        <w:rPr>
          <w:spacing w:val="-66"/>
        </w:rPr>
      </w:r>
      <w:r>
        <w:rPr>
          <w:spacing w:val="-2"/>
        </w:rPr>
        <w:t>新月异的个性化需求；以更加严谨规范的平台版权管理机制，提升版权保护的公信力，继续合规合理开展版权保护，积极参</w:t>
      </w:r>
      <w:r>
        <w:rPr>
          <w:spacing w:val="-66"/>
        </w:rPr>
        <w:t> </w:t>
      </w:r>
      <w:r>
        <w:rPr>
          <w:spacing w:val="-66"/>
        </w:rPr>
      </w:r>
      <w:r>
        <w:rPr/>
        <w:t>与主管部门及行业的规范建设，促进内容生态的健康发展，更好地承担企业的主体责任和社会责任。</w:t>
      </w:r>
    </w:p>
    <w:p>
      <w:pPr>
        <w:spacing w:line="240" w:lineRule="auto" w:before="0"/>
        <w:rPr>
          <w:rFonts w:ascii="宋体" w:hAnsi="宋体" w:cs="宋体" w:eastAsia="宋体" w:hint="default"/>
          <w:sz w:val="18"/>
          <w:szCs w:val="18"/>
        </w:rPr>
      </w:pPr>
    </w:p>
    <w:p>
      <w:pPr>
        <w:pStyle w:val="BodyText"/>
        <w:spacing w:line="357" w:lineRule="auto" w:before="136"/>
        <w:ind w:left="514" w:right="4092" w:firstLine="66"/>
        <w:jc w:val="left"/>
      </w:pPr>
      <w:r>
        <w:rPr>
          <w:rFonts w:ascii="宋体" w:hAnsi="宋体" w:cs="宋体" w:eastAsia="宋体" w:hint="default"/>
          <w:b/>
          <w:bCs/>
          <w:w w:val="99"/>
        </w:rPr>
      </w:r>
      <w:r>
        <w:rPr>
          <w:rFonts w:ascii="宋体" w:hAnsi="宋体" w:cs="宋体" w:eastAsia="宋体" w:hint="default"/>
          <w:b/>
          <w:bCs/>
          <w:u w:val="single" w:color="000000"/>
        </w:rPr>
        <w:t>优质内容</w:t>
      </w:r>
      <w:r>
        <w:rPr>
          <w:rFonts w:ascii="宋体" w:hAnsi="宋体" w:cs="宋体" w:eastAsia="宋体" w:hint="default"/>
          <w:b/>
          <w:bCs/>
          <w:w w:val="99"/>
        </w:rPr>
      </w:r>
      <w:r>
        <w:rPr>
          <w:rFonts w:ascii="宋体" w:hAnsi="宋体" w:cs="宋体" w:eastAsia="宋体" w:hint="default"/>
          <w:b/>
          <w:bCs/>
          <w:w w:val="99"/>
        </w:rPr>
        <w:t> </w:t>
      </w:r>
      <w:r>
        <w:rPr/>
        <w:t>视觉内容的数量、质量和丰富全面性是公司核心业务增长的关键驱动因素之一。</w:t>
      </w:r>
    </w:p>
    <w:p>
      <w:pPr>
        <w:pStyle w:val="BodyText"/>
        <w:spacing w:line="224" w:lineRule="exact" w:before="0"/>
        <w:ind w:right="0" w:firstLine="360"/>
        <w:jc w:val="left"/>
      </w:pPr>
      <w:r>
        <w:rPr>
          <w:rFonts w:ascii="宋体" w:hAnsi="宋体" w:cs="宋体" w:eastAsia="宋体" w:hint="default"/>
        </w:rPr>
        <w:t>2019</w:t>
      </w:r>
      <w:r>
        <w:rPr/>
        <w:t>年，公司将遵循国家有关法律法规的规定，重点切实履行平台公司的主体责任，严格规范审核流程，对平台内容和</w:t>
      </w:r>
    </w:p>
    <w:p>
      <w:pPr>
        <w:pStyle w:val="BodyText"/>
        <w:spacing w:line="316" w:lineRule="auto" w:before="76"/>
        <w:ind w:right="0"/>
        <w:jc w:val="left"/>
      </w:pPr>
      <w:r>
        <w:rPr>
          <w:spacing w:val="-2"/>
        </w:rPr>
        <w:t>产品服务进行全面筛查审核，确保权属标示清晰明确，授权机制合法合规。公司还与人民网信息技术有限公司建立合作，提</w:t>
      </w:r>
      <w:r>
        <w:rPr>
          <w:spacing w:val="-66"/>
        </w:rPr>
        <w:t> </w:t>
      </w:r>
      <w:r>
        <w:rPr>
          <w:spacing w:val="-66"/>
        </w:rPr>
      </w:r>
      <w:r>
        <w:rPr/>
        <w:t>升公司内容质量与合规服务能力。</w:t>
      </w:r>
    </w:p>
    <w:p>
      <w:pPr>
        <w:pStyle w:val="BodyText"/>
        <w:spacing w:line="319" w:lineRule="auto" w:before="19"/>
        <w:ind w:right="0" w:firstLine="360"/>
        <w:jc w:val="left"/>
      </w:pPr>
      <w:r>
        <w:rPr>
          <w:spacing w:val="-2"/>
        </w:rPr>
        <w:t>公司将依托</w:t>
      </w:r>
      <w:r>
        <w:rPr>
          <w:rFonts w:ascii="宋体" w:hAnsi="宋体" w:cs="宋体" w:eastAsia="宋体" w:hint="default"/>
          <w:spacing w:val="-2"/>
        </w:rPr>
        <w:t>500px</w:t>
      </w:r>
      <w:r>
        <w:rPr>
          <w:spacing w:val="-2"/>
        </w:rPr>
        <w:t>摄影社区，扩大签约供稿方的数量和质量，不断提高平台经营的透明度，为内容创作者提供内容确权、</w:t>
      </w:r>
      <w:r>
        <w:rPr/>
        <w:t> </w:t>
      </w:r>
      <w:r>
        <w:rPr>
          <w:spacing w:val="-2"/>
        </w:rPr>
        <w:t>授权、内容管理、版权保护等专业全面的服务；并依据不同行业、不同使用场景的客户的浏览、下载、授权等用户行为大数</w:t>
      </w:r>
      <w:r>
        <w:rPr>
          <w:spacing w:val="-68"/>
        </w:rPr>
        <w:t> </w:t>
      </w:r>
      <w:r>
        <w:rPr>
          <w:spacing w:val="-68"/>
        </w:rPr>
      </w:r>
      <w:r>
        <w:rPr>
          <w:spacing w:val="-2"/>
        </w:rPr>
        <w:t>据，为签约供应商、供稿方提供行业趋势、需求分析以及创意趋势预测等服务，以帮助供应端生产出更多满足市场需求的优</w:t>
      </w:r>
      <w:r>
        <w:rPr>
          <w:spacing w:val="-66"/>
        </w:rPr>
        <w:t> </w:t>
      </w:r>
      <w:r>
        <w:rPr>
          <w:spacing w:val="-66"/>
        </w:rPr>
      </w:r>
      <w:r>
        <w:rPr/>
        <w:t>质内容，激励内容创作者创作出更多的优秀作品。</w:t>
      </w:r>
    </w:p>
    <w:p>
      <w:pPr>
        <w:pStyle w:val="BodyText"/>
        <w:spacing w:line="314" w:lineRule="auto" w:before="17"/>
        <w:ind w:right="1130" w:firstLine="360"/>
        <w:jc w:val="both"/>
      </w:pPr>
      <w:r>
        <w:rPr/>
        <w:t>除了巩固图片素材的优势外，公司还将重点关注</w:t>
      </w:r>
      <w:r>
        <w:rPr>
          <w:rFonts w:ascii="宋体" w:hAnsi="宋体" w:cs="宋体" w:eastAsia="宋体" w:hint="default"/>
        </w:rPr>
        <w:t>5G</w:t>
      </w:r>
      <w:r>
        <w:rPr/>
        <w:t>带来的内容需求，从图片延展到音视频、</w:t>
      </w:r>
      <w:r>
        <w:rPr>
          <w:rFonts w:ascii="Times New Roman" w:hAnsi="Times New Roman" w:cs="Times New Roman" w:eastAsia="Times New Roman" w:hint="default"/>
        </w:rPr>
        <w:t>3D</w:t>
      </w:r>
      <w:r>
        <w:rPr/>
        <w:t>模型，全品类覆盖提供 </w:t>
      </w:r>
      <w:r>
        <w:rPr>
          <w:spacing w:val="-2"/>
        </w:rPr>
        <w:t>一站式解决方案，持续巩固和构筑内容护城河。随着</w:t>
      </w:r>
      <w:r>
        <w:rPr>
          <w:rFonts w:ascii="宋体" w:hAnsi="宋体" w:cs="宋体" w:eastAsia="宋体" w:hint="default"/>
          <w:spacing w:val="-2"/>
        </w:rPr>
        <w:t>5G</w:t>
      </w:r>
      <w:r>
        <w:rPr>
          <w:spacing w:val="-2"/>
        </w:rPr>
        <w:t>时代的到来，市场对音视频内容需求激增，同时短视频也成为当下最</w:t>
      </w:r>
      <w:r>
        <w:rPr>
          <w:spacing w:val="-64"/>
        </w:rPr>
        <w:t> </w:t>
      </w:r>
      <w:r>
        <w:rPr>
          <w:spacing w:val="-64"/>
        </w:rPr>
      </w:r>
      <w:r>
        <w:rPr>
          <w:spacing w:val="-2"/>
        </w:rPr>
        <w:t>受欢迎的内容形态之一，具有极高的商业变现价值。为顺应视频快速发展的趋势，公司将加大视频、音乐业务的投入，积极</w:t>
      </w:r>
      <w:r>
        <w:rPr>
          <w:spacing w:val="-66"/>
        </w:rPr>
        <w:t> </w:t>
      </w:r>
      <w:r>
        <w:rPr>
          <w:spacing w:val="-66"/>
        </w:rPr>
      </w:r>
      <w:r>
        <w:rPr/>
        <w:t>引进全球优质视频、音乐内容供应商，满足用户对视频产品的需求。公司还将与“视觉</w:t>
      </w:r>
      <w:r>
        <w:rPr>
          <w:rFonts w:ascii="宋体" w:hAnsi="宋体" w:cs="宋体" w:eastAsia="宋体" w:hint="default"/>
        </w:rPr>
        <w:t>+</w:t>
      </w:r>
      <w:r>
        <w:rPr/>
        <w:t>生态”企业“动动三维”的展开深 </w:t>
      </w:r>
      <w:r>
        <w:rPr>
          <w:spacing w:val="-2"/>
        </w:rPr>
        <w:t>入合作，依托“</w:t>
      </w:r>
      <w:r>
        <w:rPr>
          <w:rFonts w:ascii="宋体" w:hAnsi="宋体" w:cs="宋体" w:eastAsia="宋体" w:hint="default"/>
          <w:spacing w:val="-2"/>
        </w:rPr>
        <w:t>5G</w:t>
      </w:r>
      <w:r>
        <w:rPr>
          <w:spacing w:val="-2"/>
        </w:rPr>
        <w:t>交互场景下的</w:t>
      </w:r>
      <w:r>
        <w:rPr>
          <w:rFonts w:ascii="宋体" w:hAnsi="宋体" w:cs="宋体" w:eastAsia="宋体" w:hint="default"/>
          <w:spacing w:val="-2"/>
        </w:rPr>
        <w:t>3D</w:t>
      </w:r>
      <w:r>
        <w:rPr>
          <w:spacing w:val="-2"/>
        </w:rPr>
        <w:t>展示营销云平台”，引入</w:t>
      </w:r>
      <w:r>
        <w:rPr>
          <w:rFonts w:ascii="宋体" w:hAnsi="宋体" w:cs="宋体" w:eastAsia="宋体" w:hint="default"/>
          <w:spacing w:val="-2"/>
        </w:rPr>
        <w:t>3D</w:t>
      </w:r>
      <w:r>
        <w:rPr>
          <w:spacing w:val="-2"/>
        </w:rPr>
        <w:t>模型、材质以及模版素材，建设</w:t>
      </w:r>
      <w:r>
        <w:rPr>
          <w:rFonts w:ascii="宋体" w:hAnsi="宋体" w:cs="宋体" w:eastAsia="宋体" w:hint="default"/>
          <w:spacing w:val="-2"/>
        </w:rPr>
        <w:t>3D</w:t>
      </w:r>
      <w:r>
        <w:rPr>
          <w:spacing w:val="-2"/>
        </w:rPr>
        <w:t>设计师社区，以满足</w:t>
      </w:r>
      <w:r>
        <w:rPr>
          <w:rFonts w:ascii="宋体" w:hAnsi="宋体" w:cs="宋体" w:eastAsia="宋体" w:hint="default"/>
          <w:spacing w:val="-2"/>
        </w:rPr>
        <w:t>5G</w:t>
      </w:r>
      <w:r>
        <w:rPr>
          <w:spacing w:val="-2"/>
        </w:rPr>
        <w:t>时代</w:t>
      </w:r>
      <w:r>
        <w:rPr>
          <w:spacing w:val="-61"/>
        </w:rPr>
        <w:t> </w:t>
      </w:r>
      <w:r>
        <w:rPr/>
        <w:t>市场对新型视觉内容不断增长的需求。</w:t>
      </w:r>
    </w:p>
    <w:p>
      <w:pPr>
        <w:spacing w:line="240" w:lineRule="auto" w:before="0"/>
        <w:rPr>
          <w:rFonts w:ascii="宋体" w:hAnsi="宋体" w:cs="宋体" w:eastAsia="宋体" w:hint="default"/>
          <w:sz w:val="18"/>
          <w:szCs w:val="18"/>
        </w:rPr>
      </w:pPr>
    </w:p>
    <w:p>
      <w:pPr>
        <w:pStyle w:val="Heading7"/>
        <w:spacing w:line="240" w:lineRule="auto" w:before="138"/>
        <w:ind w:left="670" w:right="0"/>
        <w:jc w:val="left"/>
        <w:rPr>
          <w:b w:val="0"/>
          <w:bCs w:val="0"/>
        </w:rPr>
      </w:pPr>
      <w:r>
        <w:rPr>
          <w:w w:val="99"/>
        </w:rPr>
      </w:r>
      <w:r>
        <w:rPr>
          <w:u w:val="single" w:color="000000"/>
        </w:rPr>
        <w:t>产品与服务</w:t>
      </w:r>
      <w:r>
        <w:rPr/>
      </w:r>
      <w:r>
        <w:rPr>
          <w:b w:val="0"/>
          <w:bCs w:val="0"/>
        </w:rPr>
      </w:r>
    </w:p>
    <w:p>
      <w:pPr>
        <w:pStyle w:val="BodyText"/>
        <w:spacing w:line="309" w:lineRule="auto" w:before="115"/>
        <w:ind w:right="1032" w:firstLine="450"/>
        <w:jc w:val="left"/>
      </w:pPr>
      <w:r>
        <w:rPr/>
        <w:t>公司坚持以“客户为中心”的服务理念，</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年将深入挖掘客户需求，继续丰富和完善各种产品组合，尤其是重点完 善符合小微企业、自媒体等新兴市场群体的预算和需求的产品与服务。其次，针对企业大客户、传媒等年度长协客户群体， </w:t>
      </w:r>
      <w:r>
        <w:rPr>
          <w:spacing w:val="-2"/>
        </w:rPr>
        <w:t>充分发挥全线产品的一站式服务能力，满足这类客户的全方位需求，提升客户的产品体验，赢得与客户的长久合作，夯实我</w:t>
      </w:r>
      <w:r>
        <w:rPr>
          <w:spacing w:val="-64"/>
        </w:rPr>
        <w:t> </w:t>
      </w:r>
      <w:r>
        <w:rPr>
          <w:spacing w:val="-64"/>
        </w:rPr>
      </w:r>
      <w:r>
        <w:rPr>
          <w:spacing w:val="-2"/>
        </w:rPr>
        <w:t>们的客户基础和行业根基；另一方面，抓住新中国</w:t>
      </w:r>
      <w:r>
        <w:rPr>
          <w:spacing w:val="-37"/>
        </w:rPr>
        <w:t> </w:t>
      </w:r>
      <w:r>
        <w:rPr>
          <w:rFonts w:ascii="Times New Roman" w:hAnsi="Times New Roman" w:cs="Times New Roman" w:eastAsia="Times New Roman" w:hint="default"/>
        </w:rPr>
        <w:t>70</w:t>
      </w:r>
      <w:r>
        <w:rPr>
          <w:rFonts w:ascii="Times New Roman" w:hAnsi="Times New Roman" w:cs="Times New Roman" w:eastAsia="Times New Roman" w:hint="default"/>
          <w:spacing w:val="8"/>
        </w:rPr>
        <w:t> </w:t>
      </w:r>
      <w:r>
        <w:rPr>
          <w:spacing w:val="-2"/>
        </w:rPr>
        <w:t>周年、一带一路、扶贫攻坚、男篮世界杯等重大市场机遇，精耕细作，</w:t>
      </w:r>
      <w:r>
        <w:rPr>
          <w:spacing w:val="-88"/>
        </w:rPr>
        <w:t> </w:t>
      </w:r>
      <w:r>
        <w:rPr>
          <w:spacing w:val="-88"/>
        </w:rPr>
      </w:r>
      <w:r>
        <w:rPr/>
        <w:t>深挖客户的延展商机，为客户提供委托拍摄、版权管理、品牌营销等增值服务。</w:t>
      </w:r>
    </w:p>
    <w:p>
      <w:pPr>
        <w:pStyle w:val="BodyText"/>
        <w:spacing w:line="316" w:lineRule="auto" w:before="24"/>
        <w:ind w:right="1032" w:firstLine="540"/>
        <w:jc w:val="left"/>
      </w:pPr>
      <w:r>
        <w:rPr>
          <w:rFonts w:ascii="宋体" w:hAnsi="宋体" w:cs="宋体" w:eastAsia="宋体" w:hint="default"/>
          <w:spacing w:val="-2"/>
        </w:rPr>
        <w:t>2019</w:t>
      </w:r>
      <w:r>
        <w:rPr>
          <w:spacing w:val="-2"/>
        </w:rPr>
        <w:t>年，公司将重点加大研发投入，通过人工智能、大数据智能服务能力，不断提升优质内容的生产、推荐、搜索等</w:t>
      </w:r>
      <w:r>
        <w:rPr/>
        <w:t> 用户体验，高效满足客户的需求。继续优化公司智能服务：智能图搜、个性推荐、图片</w:t>
      </w:r>
      <w:r>
        <w:rPr>
          <w:rFonts w:ascii="宋体" w:hAnsi="宋体" w:cs="宋体" w:eastAsia="宋体" w:hint="default"/>
        </w:rPr>
        <w:t>/</w:t>
      </w:r>
      <w:r>
        <w:rPr/>
        <w:t>视频识别、自动标签、智能文章配 图、行业图库、版权风控等能力，同时将能力向第三方平台开放，依托细分用户场景，为海量长尾用户提供服务。</w:t>
      </w:r>
      <w:r>
        <w:rPr>
          <w:rFonts w:ascii="宋体" w:hAnsi="宋体" w:cs="宋体" w:eastAsia="宋体" w:hint="default"/>
        </w:rPr>
        <w:t>2019</w:t>
      </w:r>
      <w:r>
        <w:rPr/>
        <w:t>年， </w:t>
      </w:r>
      <w:r>
        <w:rPr>
          <w:spacing w:val="-2"/>
        </w:rPr>
        <w:t>公司还将加大对视频技术的投入，目前已经初步完成开发“视频自动标签标注”功能，通过机器学习，帮助视频供稿方完成</w:t>
      </w:r>
      <w:r>
        <w:rPr>
          <w:spacing w:val="-66"/>
        </w:rPr>
        <w:t> </w:t>
      </w:r>
      <w:r>
        <w:rPr>
          <w:spacing w:val="-66"/>
        </w:rPr>
      </w:r>
      <w:r>
        <w:rPr>
          <w:spacing w:val="-2"/>
        </w:rPr>
        <w:t>视频素材的智能标签标注，从而大大提升用户搜索、下载和使用视频的体验；公司通过华盖厦门基金战略投资了北京区块云</w:t>
      </w:r>
      <w:r>
        <w:rPr>
          <w:spacing w:val="-65"/>
        </w:rPr>
        <w:t> </w:t>
      </w:r>
      <w:r>
        <w:rPr>
          <w:spacing w:val="-65"/>
        </w:rPr>
      </w:r>
      <w:r>
        <w:rPr/>
        <w:t>科技有限公司，区块云是一家以视音频底层技术和 </w:t>
      </w:r>
      <w:r>
        <w:rPr>
          <w:rFonts w:ascii="宋体" w:hAnsi="宋体" w:cs="宋体" w:eastAsia="宋体" w:hint="default"/>
        </w:rPr>
        <w:t>AI</w:t>
      </w:r>
      <w:r>
        <w:rPr>
          <w:rFonts w:ascii="宋体" w:hAnsi="宋体" w:cs="宋体" w:eastAsia="宋体" w:hint="default"/>
          <w:spacing w:val="-55"/>
        </w:rPr>
        <w:t> </w:t>
      </w:r>
      <w:r>
        <w:rPr/>
        <w:t>视觉智能驱动的技术研发创新公司，致力于在云端搭建一个智能的音 视频生产引擎平台，通过系列应用、</w:t>
      </w:r>
      <w:r>
        <w:rPr>
          <w:rFonts w:ascii="宋体" w:hAnsi="宋体" w:cs="宋体" w:eastAsia="宋体" w:hint="default"/>
        </w:rPr>
        <w:t>API</w:t>
      </w:r>
      <w:r>
        <w:rPr/>
        <w:t>、</w:t>
      </w:r>
      <w:r>
        <w:rPr>
          <w:rFonts w:ascii="宋体" w:hAnsi="宋体" w:cs="宋体" w:eastAsia="宋体" w:hint="default"/>
        </w:rPr>
        <w:t>SDK </w:t>
      </w:r>
      <w:r>
        <w:rPr/>
        <w:t>等，将智能化的音视频处理能力开发给各行业用户，全面提升短视频时代音 视频的处理效率和能力。</w:t>
      </w:r>
      <w:r>
        <w:rPr>
          <w:rFonts w:ascii="宋体" w:hAnsi="宋体" w:cs="宋体" w:eastAsia="宋体" w:hint="default"/>
        </w:rPr>
        <w:t>2019</w:t>
      </w:r>
      <w:r>
        <w:rPr/>
        <w:t>年二季度，公司将与区块云针对传媒行业推出一款联合研发的专业级云端视音频创作云平台。</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0"/>
        <w:jc w:val="both"/>
      </w:pPr>
      <w:r>
        <w:rPr>
          <w:spacing w:val="-2"/>
        </w:rPr>
        <w:t>公司海量的图片、视频、音乐以及字体、模版等设计素材均可无缝通过该平台嵌入用户的工作流程中，大大改善用户在视频</w:t>
      </w:r>
      <w:r>
        <w:rPr>
          <w:spacing w:val="-66"/>
        </w:rPr>
        <w:t> </w:t>
      </w:r>
      <w:r>
        <w:rPr>
          <w:spacing w:val="-66"/>
        </w:rPr>
      </w:r>
      <w:r>
        <w:rPr>
          <w:spacing w:val="-2"/>
        </w:rPr>
        <w:t>制作中的用户体验，提升优质内容的消费数量，为大众传媒、自媒体等用户提供专业、简单、高效、智能的音视频全流程生</w:t>
      </w:r>
      <w:r>
        <w:rPr>
          <w:spacing w:val="-68"/>
        </w:rPr>
        <w:t> </w:t>
      </w:r>
      <w:r>
        <w:rPr>
          <w:spacing w:val="-68"/>
        </w:rPr>
      </w:r>
      <w:r>
        <w:rPr/>
        <w:t>产服务。</w:t>
      </w:r>
    </w:p>
    <w:p>
      <w:pPr>
        <w:spacing w:line="240" w:lineRule="auto" w:before="0"/>
        <w:rPr>
          <w:rFonts w:ascii="宋体" w:hAnsi="宋体" w:cs="宋体" w:eastAsia="宋体" w:hint="default"/>
          <w:sz w:val="18"/>
          <w:szCs w:val="18"/>
        </w:rPr>
      </w:pPr>
    </w:p>
    <w:p>
      <w:pPr>
        <w:pStyle w:val="BodyText"/>
        <w:spacing w:line="357" w:lineRule="auto" w:before="136"/>
        <w:ind w:left="574" w:right="0" w:firstLine="6"/>
        <w:jc w:val="left"/>
      </w:pPr>
      <w:r>
        <w:rPr>
          <w:rFonts w:ascii="宋体" w:hAnsi="宋体" w:cs="宋体" w:eastAsia="宋体" w:hint="default"/>
          <w:b/>
          <w:bCs/>
          <w:w w:val="99"/>
        </w:rPr>
      </w:r>
      <w:r>
        <w:rPr>
          <w:rFonts w:ascii="宋体" w:hAnsi="宋体" w:cs="宋体" w:eastAsia="宋体" w:hint="default"/>
          <w:b/>
          <w:bCs/>
          <w:u w:val="single" w:color="000000"/>
        </w:rPr>
        <w:t>人工智能与技术</w:t>
      </w:r>
      <w:r>
        <w:rPr>
          <w:rFonts w:ascii="宋体" w:hAnsi="宋体" w:cs="宋体" w:eastAsia="宋体" w:hint="default"/>
          <w:b/>
          <w:bCs/>
          <w:w w:val="99"/>
        </w:rPr>
      </w:r>
      <w:r>
        <w:rPr>
          <w:rFonts w:ascii="宋体" w:hAnsi="宋体" w:cs="宋体" w:eastAsia="宋体" w:hint="default"/>
          <w:b/>
          <w:bCs/>
          <w:w w:val="99"/>
        </w:rPr>
        <w:t> </w:t>
      </w:r>
      <w:r>
        <w:rPr>
          <w:color w:val="333333"/>
          <w:spacing w:val="13"/>
        </w:rPr>
        <w:t>公司在围绕客户需求导向的前提下，通过技术提升用户搜索、推荐、下载等一系列高效获得优质内容的体验，</w:t>
      </w:r>
      <w:r>
        <w:rPr>
          <w:spacing w:val="13"/>
        </w:rPr>
      </w:r>
    </w:p>
    <w:p>
      <w:pPr>
        <w:pStyle w:val="BodyText"/>
        <w:spacing w:line="224" w:lineRule="exact" w:before="0"/>
        <w:ind w:right="0"/>
        <w:jc w:val="both"/>
      </w:pPr>
      <w:r>
        <w:rPr>
          <w:color w:val="333333"/>
          <w:spacing w:val="13"/>
        </w:rPr>
        <w:t>通过一站式的便捷服务提高客户黏性。公司将由“</w:t>
      </w:r>
      <w:r>
        <w:rPr>
          <w:color w:val="333333"/>
          <w:spacing w:val="-61"/>
        </w:rPr>
        <w:t> </w:t>
      </w:r>
      <w:r>
        <w:rPr>
          <w:color w:val="333333"/>
          <w:spacing w:val="9"/>
        </w:rPr>
        <w:t>内容驱动”延展为“</w:t>
      </w:r>
      <w:r>
        <w:rPr>
          <w:color w:val="333333"/>
          <w:spacing w:val="-59"/>
        </w:rPr>
        <w:t> </w:t>
      </w:r>
      <w:r>
        <w:rPr>
          <w:color w:val="333333"/>
          <w:spacing w:val="5"/>
        </w:rPr>
        <w:t>内容、技术”双轮驱动，</w:t>
      </w:r>
      <w:r>
        <w:rPr>
          <w:spacing w:val="5"/>
        </w:rPr>
        <w:t>强化从“优质内容”</w:t>
      </w:r>
    </w:p>
    <w:p>
      <w:pPr>
        <w:pStyle w:val="BodyText"/>
        <w:spacing w:line="316" w:lineRule="auto" w:before="76"/>
        <w:ind w:right="1132"/>
        <w:jc w:val="both"/>
      </w:pPr>
      <w:r>
        <w:rPr>
          <w:spacing w:val="-2"/>
        </w:rPr>
        <w:t>到“白金数据”，从“内容服务”到“智能服务”，从“渠道”到“平台”，再到“生态”，全方面提升核心竞争力，提高</w:t>
      </w:r>
      <w:r>
        <w:rPr>
          <w:spacing w:val="-67"/>
        </w:rPr>
        <w:t> </w:t>
      </w:r>
      <w:r>
        <w:rPr>
          <w:spacing w:val="-67"/>
        </w:rPr>
      </w:r>
      <w:r>
        <w:rPr/>
        <w:t>竞争壁垒，不断适应行业变化与升级，为客户持续创造价值。</w:t>
      </w:r>
    </w:p>
    <w:p>
      <w:pPr>
        <w:pStyle w:val="BodyText"/>
        <w:spacing w:line="316" w:lineRule="auto" w:before="19"/>
        <w:ind w:right="1130" w:firstLine="420"/>
        <w:jc w:val="both"/>
      </w:pPr>
      <w:r>
        <w:rPr>
          <w:rFonts w:ascii="宋体" w:hAnsi="宋体" w:cs="宋体" w:eastAsia="宋体" w:hint="default"/>
        </w:rPr>
        <w:t>2019</w:t>
      </w:r>
      <w:r>
        <w:rPr>
          <w:rFonts w:ascii="宋体" w:hAnsi="宋体" w:cs="宋体" w:eastAsia="宋体" w:hint="default"/>
          <w:spacing w:val="-56"/>
        </w:rPr>
        <w:t> </w:t>
      </w:r>
      <w:r>
        <w:rPr/>
        <w:t>年，公司技术研发体系将进一步优化，强化“大中台，小前台”的业务模式，尤其是中台的组建，通过系统性输 </w:t>
      </w:r>
      <w:r>
        <w:rPr>
          <w:spacing w:val="-2"/>
        </w:rPr>
        <w:t>出组件化资源和技术能力包，使得公司前端的具体业务可以更加灵活地开展。在前台，公司将持续不断迭代和优化版权交易</w:t>
      </w:r>
      <w:r>
        <w:rPr>
          <w:spacing w:val="-66"/>
        </w:rPr>
        <w:t> </w:t>
      </w:r>
      <w:r>
        <w:rPr>
          <w:spacing w:val="-66"/>
        </w:rPr>
      </w:r>
      <w:r>
        <w:rPr>
          <w:spacing w:val="-1"/>
        </w:rPr>
        <w:t>平台、创作者交流平台，进一步完善网站、</w:t>
      </w:r>
      <w:r>
        <w:rPr>
          <w:rFonts w:ascii="宋体" w:hAnsi="宋体" w:cs="宋体" w:eastAsia="宋体" w:hint="default"/>
          <w:spacing w:val="-1"/>
        </w:rPr>
        <w:t>API</w:t>
      </w:r>
      <w:r>
        <w:rPr>
          <w:spacing w:val="-1"/>
        </w:rPr>
        <w:t>、</w:t>
      </w:r>
      <w:r>
        <w:rPr>
          <w:rFonts w:ascii="宋体" w:hAnsi="宋体" w:cs="宋体" w:eastAsia="宋体" w:hint="default"/>
          <w:spacing w:val="-1"/>
        </w:rPr>
        <w:t>VDAM</w:t>
      </w:r>
      <w:r>
        <w:rPr>
          <w:rFonts w:ascii="宋体" w:hAnsi="宋体" w:cs="宋体" w:eastAsia="宋体" w:hint="default"/>
          <w:spacing w:val="-32"/>
        </w:rPr>
        <w:t> </w:t>
      </w:r>
      <w:r>
        <w:rPr>
          <w:spacing w:val="-1"/>
        </w:rPr>
        <w:t>服务能力，优化用户体验，提升内容、服务的交付效率；在中台，完</w:t>
      </w:r>
      <w:r>
        <w:rPr>
          <w:spacing w:val="-87"/>
        </w:rPr>
        <w:t> </w:t>
      </w:r>
      <w:r>
        <w:rPr>
          <w:spacing w:val="-87"/>
        </w:rPr>
      </w:r>
      <w:r>
        <w:rPr>
          <w:spacing w:val="-2"/>
        </w:rPr>
        <w:t>善数据管理、流程效率、自动化、需求预测，提升运营效率和管理能力；同时，基于拥有的核心数据资产，结合客户使用需</w:t>
      </w:r>
      <w:r>
        <w:rPr>
          <w:spacing w:val="-71"/>
        </w:rPr>
        <w:t> </w:t>
      </w:r>
      <w:r>
        <w:rPr>
          <w:spacing w:val="-71"/>
        </w:rPr>
      </w:r>
      <w:r>
        <w:rPr/>
        <w:t>求和应用场景，将“技术能力”</w:t>
      </w:r>
      <w:r>
        <w:rPr>
          <w:rFonts w:ascii="宋体" w:hAnsi="宋体" w:cs="宋体" w:eastAsia="宋体" w:hint="default"/>
        </w:rPr>
        <w:t>SaaS</w:t>
      </w:r>
      <w:r>
        <w:rPr>
          <w:rFonts w:ascii="宋体" w:hAnsi="宋体" w:cs="宋体" w:eastAsia="宋体" w:hint="default"/>
          <w:spacing w:val="-46"/>
        </w:rPr>
        <w:t> </w:t>
      </w:r>
      <w:r>
        <w:rPr/>
        <w:t>化，向行业上下游“赋能”，“连接”各类互联网流量平台，提升公司产品服务的市 场覆盖。</w:t>
      </w:r>
    </w:p>
    <w:p>
      <w:pPr>
        <w:pStyle w:val="BodyText"/>
        <w:spacing w:line="316" w:lineRule="auto" w:before="19"/>
        <w:ind w:right="1130" w:firstLine="360"/>
        <w:jc w:val="both"/>
      </w:pPr>
      <w:r>
        <w:rPr>
          <w:rFonts w:ascii="宋体" w:hAnsi="宋体" w:cs="宋体" w:eastAsia="宋体" w:hint="default"/>
        </w:rPr>
        <w:t>2019</w:t>
      </w:r>
      <w:r>
        <w:rPr>
          <w:rFonts w:ascii="宋体" w:hAnsi="宋体" w:cs="宋体" w:eastAsia="宋体" w:hint="default"/>
          <w:spacing w:val="-46"/>
        </w:rPr>
        <w:t> </w:t>
      </w:r>
      <w:r>
        <w:rPr/>
        <w:t>年，公司将继续不断强化基于图像大数据的人工智能技术实力，不断打造公司核心的“数据提升技术”、“技术 </w:t>
      </w:r>
      <w:r>
        <w:rPr>
          <w:spacing w:val="-2"/>
        </w:rPr>
        <w:t>驱动服务”、“服务回馈数据”闭环运行模式，“越服务，越懂服务”，提升产品体验、服务交付和管理效率，以产品技术</w:t>
      </w:r>
      <w:r>
        <w:rPr>
          <w:spacing w:val="-69"/>
        </w:rPr>
        <w:t> </w:t>
      </w:r>
      <w:r>
        <w:rPr>
          <w:spacing w:val="-69"/>
        </w:rPr>
      </w:r>
      <w:r>
        <w:rPr/>
        <w:t>驱动业务快速增长。</w:t>
      </w:r>
    </w:p>
    <w:p>
      <w:pPr>
        <w:spacing w:line="240" w:lineRule="auto" w:before="0"/>
        <w:rPr>
          <w:rFonts w:ascii="宋体" w:hAnsi="宋体" w:cs="宋体" w:eastAsia="宋体" w:hint="default"/>
          <w:sz w:val="18"/>
          <w:szCs w:val="18"/>
        </w:rPr>
      </w:pPr>
    </w:p>
    <w:p>
      <w:pPr>
        <w:pStyle w:val="Heading7"/>
        <w:spacing w:line="240" w:lineRule="auto" w:before="136"/>
        <w:ind w:left="580" w:right="0"/>
        <w:jc w:val="left"/>
        <w:rPr>
          <w:b w:val="0"/>
          <w:bCs w:val="0"/>
        </w:rPr>
      </w:pPr>
      <w:r>
        <w:rPr>
          <w:w w:val="99"/>
        </w:rPr>
      </w:r>
      <w:r>
        <w:rPr>
          <w:u w:val="single" w:color="000000"/>
        </w:rPr>
        <w:t>客户获取</w:t>
      </w:r>
      <w:r>
        <w:rPr/>
      </w:r>
      <w:r>
        <w:rPr>
          <w:b w:val="0"/>
          <w:bCs w:val="0"/>
        </w:rPr>
      </w:r>
    </w:p>
    <w:p>
      <w:pPr>
        <w:pStyle w:val="BodyText"/>
        <w:spacing w:line="314" w:lineRule="auto" w:before="115"/>
        <w:ind w:right="1029" w:firstLine="360"/>
        <w:jc w:val="left"/>
      </w:pPr>
      <w:r>
        <w:rPr>
          <w:spacing w:val="-1"/>
        </w:rPr>
        <w:t>客户数量的持续拓展是公司收入增长的重要保障。</w:t>
      </w:r>
      <w:r>
        <w:rPr>
          <w:rFonts w:ascii="宋体" w:hAnsi="宋体" w:cs="宋体" w:eastAsia="宋体" w:hint="default"/>
          <w:spacing w:val="-1"/>
        </w:rPr>
        <w:t>2019</w:t>
      </w:r>
      <w:r>
        <w:rPr>
          <w:rFonts w:ascii="宋体" w:hAnsi="宋体" w:cs="宋体" w:eastAsia="宋体" w:hint="default"/>
          <w:spacing w:val="-33"/>
        </w:rPr>
        <w:t> </w:t>
      </w:r>
      <w:r>
        <w:rPr>
          <w:spacing w:val="-1"/>
        </w:rPr>
        <w:t>年，公司加强对销售及市场的投入，加强线上与线下客户运营，</w:t>
      </w:r>
      <w:r>
        <w:rPr/>
        <w:t> 获得客数数量与业务的同步增长。目前，客户的渗透率仍较低，客户数量的增长空间大。</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年，公司还将继续夯实与搜 </w:t>
      </w:r>
      <w:r>
        <w:rPr>
          <w:spacing w:val="-2"/>
        </w:rPr>
        <w:t>索引擎、自媒体平台、广告平台、创意设计平台、智能终端、旅游出行、电商等各类互联网平台方展开战略合作，依托自身</w:t>
      </w:r>
      <w:r>
        <w:rPr>
          <w:spacing w:val="-72"/>
        </w:rPr>
        <w:t> </w:t>
      </w:r>
      <w:r>
        <w:rPr>
          <w:spacing w:val="-72"/>
        </w:rPr>
      </w:r>
      <w:r>
        <w:rPr>
          <w:spacing w:val="-2"/>
        </w:rPr>
        <w:t>的核心竞争优势与各方形成合作共赢的局面；同时，探索新的应用场景，如办公、教育、内容付费等，开拓新的平台级战略</w:t>
      </w:r>
      <w:r>
        <w:rPr>
          <w:spacing w:val="-69"/>
        </w:rPr>
        <w:t> </w:t>
      </w:r>
      <w:r>
        <w:rPr>
          <w:spacing w:val="-69"/>
        </w:rPr>
      </w:r>
      <w:r>
        <w:rPr/>
        <w:t>合作。</w:t>
      </w:r>
    </w:p>
    <w:p>
      <w:pPr>
        <w:pStyle w:val="BodyText"/>
        <w:spacing w:line="316" w:lineRule="auto" w:before="20"/>
        <w:ind w:right="1132" w:firstLine="360"/>
        <w:jc w:val="both"/>
      </w:pPr>
      <w:r>
        <w:rPr>
          <w:color w:val="181818"/>
        </w:rPr>
        <w:t>根据</w:t>
      </w:r>
      <w:r>
        <w:rPr>
          <w:color w:val="181818"/>
          <w:spacing w:val="-51"/>
        </w:rPr>
        <w:t> </w:t>
      </w:r>
      <w:r>
        <w:rPr>
          <w:rFonts w:ascii="宋体" w:hAnsi="宋体" w:cs="宋体" w:eastAsia="宋体" w:hint="default"/>
          <w:color w:val="181818"/>
        </w:rPr>
        <w:t>2017</w:t>
      </w:r>
      <w:r>
        <w:rPr>
          <w:rFonts w:ascii="宋体" w:hAnsi="宋体" w:cs="宋体" w:eastAsia="宋体" w:hint="default"/>
          <w:color w:val="181818"/>
          <w:spacing w:val="-51"/>
        </w:rPr>
        <w:t> </w:t>
      </w:r>
      <w:r>
        <w:rPr>
          <w:color w:val="181818"/>
        </w:rPr>
        <w:t>年度中国网络广告公开数据显示，中国网络广告市场规模达到</w:t>
      </w:r>
      <w:r>
        <w:rPr>
          <w:color w:val="181818"/>
          <w:spacing w:val="-51"/>
        </w:rPr>
        <w:t> </w:t>
      </w:r>
      <w:r>
        <w:rPr>
          <w:rFonts w:ascii="宋体" w:hAnsi="宋体" w:cs="宋体" w:eastAsia="宋体" w:hint="default"/>
          <w:color w:val="181818"/>
        </w:rPr>
        <w:t>3,750.1</w:t>
      </w:r>
      <w:r>
        <w:rPr>
          <w:rFonts w:ascii="宋体" w:hAnsi="宋体" w:cs="宋体" w:eastAsia="宋体" w:hint="default"/>
          <w:color w:val="181818"/>
          <w:spacing w:val="-51"/>
        </w:rPr>
        <w:t> </w:t>
      </w:r>
      <w:r>
        <w:rPr>
          <w:color w:val="181818"/>
        </w:rPr>
        <w:t>亿元，同比增长</w:t>
      </w:r>
      <w:r>
        <w:rPr>
          <w:color w:val="181818"/>
          <w:spacing w:val="-51"/>
        </w:rPr>
        <w:t> </w:t>
      </w:r>
      <w:r>
        <w:rPr>
          <w:rFonts w:ascii="宋体" w:hAnsi="宋体" w:cs="宋体" w:eastAsia="宋体" w:hint="default"/>
          <w:color w:val="181818"/>
        </w:rPr>
        <w:t>30%</w:t>
      </w:r>
      <w:r>
        <w:rPr>
          <w:color w:val="181818"/>
        </w:rPr>
        <w:t>，预计在</w:t>
      </w:r>
      <w:r>
        <w:rPr>
          <w:color w:val="181818"/>
          <w:spacing w:val="-51"/>
        </w:rPr>
        <w:t> </w:t>
      </w:r>
      <w:r>
        <w:rPr>
          <w:rFonts w:ascii="宋体" w:hAnsi="宋体" w:cs="宋体" w:eastAsia="宋体" w:hint="default"/>
          <w:color w:val="181818"/>
        </w:rPr>
        <w:t>2020</w:t>
      </w:r>
      <w:r>
        <w:rPr>
          <w:rFonts w:ascii="宋体" w:hAnsi="宋体" w:cs="宋体" w:eastAsia="宋体" w:hint="default"/>
          <w:color w:val="181818"/>
          <w:spacing w:val="-51"/>
        </w:rPr>
        <w:t> </w:t>
      </w:r>
      <w:r>
        <w:rPr>
          <w:color w:val="181818"/>
        </w:rPr>
        <w:t>年 市场规模将近</w:t>
      </w:r>
      <w:r>
        <w:rPr>
          <w:color w:val="181818"/>
          <w:spacing w:val="-46"/>
        </w:rPr>
        <w:t> </w:t>
      </w:r>
      <w:r>
        <w:rPr>
          <w:rFonts w:ascii="宋体" w:hAnsi="宋体" w:cs="宋体" w:eastAsia="宋体" w:hint="default"/>
          <w:color w:val="181818"/>
        </w:rPr>
        <w:t>8</w:t>
      </w:r>
      <w:r>
        <w:rPr>
          <w:color w:val="181818"/>
        </w:rPr>
        <w:t>，</w:t>
      </w:r>
      <w:r>
        <w:rPr>
          <w:rFonts w:ascii="宋体" w:hAnsi="宋体" w:cs="宋体" w:eastAsia="宋体" w:hint="default"/>
          <w:color w:val="181818"/>
        </w:rPr>
        <w:t>000</w:t>
      </w:r>
      <w:r>
        <w:rPr>
          <w:rFonts w:ascii="宋体" w:hAnsi="宋体" w:cs="宋体" w:eastAsia="宋体" w:hint="default"/>
          <w:color w:val="181818"/>
          <w:spacing w:val="-46"/>
        </w:rPr>
        <w:t> </w:t>
      </w:r>
      <w:r>
        <w:rPr>
          <w:color w:val="181818"/>
        </w:rPr>
        <w:t>亿元。</w:t>
      </w:r>
      <w:r>
        <w:rPr>
          <w:rFonts w:ascii="宋体" w:hAnsi="宋体" w:cs="宋体" w:eastAsia="宋体" w:hint="default"/>
          <w:color w:val="181818"/>
        </w:rPr>
        <w:t>2018</w:t>
      </w:r>
      <w:r>
        <w:rPr>
          <w:rFonts w:ascii="宋体" w:hAnsi="宋体" w:cs="宋体" w:eastAsia="宋体" w:hint="default"/>
          <w:color w:val="181818"/>
          <w:spacing w:val="-46"/>
        </w:rPr>
        <w:t> </w:t>
      </w:r>
      <w:r>
        <w:rPr>
          <w:color w:val="181818"/>
        </w:rPr>
        <w:t>年信息流广告市场规模达</w:t>
      </w:r>
      <w:r>
        <w:rPr>
          <w:color w:val="181818"/>
          <w:spacing w:val="-46"/>
        </w:rPr>
        <w:t> </w:t>
      </w:r>
      <w:r>
        <w:rPr>
          <w:rFonts w:ascii="宋体" w:hAnsi="宋体" w:cs="宋体" w:eastAsia="宋体" w:hint="default"/>
          <w:color w:val="181818"/>
        </w:rPr>
        <w:t>1,173.5</w:t>
      </w:r>
      <w:r>
        <w:rPr>
          <w:rFonts w:ascii="宋体" w:hAnsi="宋体" w:cs="宋体" w:eastAsia="宋体" w:hint="default"/>
          <w:color w:val="181818"/>
          <w:spacing w:val="-46"/>
        </w:rPr>
        <w:t> </w:t>
      </w:r>
      <w:r>
        <w:rPr>
          <w:color w:val="181818"/>
        </w:rPr>
        <w:t>亿元，预计</w:t>
      </w:r>
      <w:r>
        <w:rPr>
          <w:color w:val="181818"/>
          <w:spacing w:val="-46"/>
        </w:rPr>
        <w:t> </w:t>
      </w:r>
      <w:r>
        <w:rPr>
          <w:rFonts w:ascii="宋体" w:hAnsi="宋体" w:cs="宋体" w:eastAsia="宋体" w:hint="default"/>
          <w:color w:val="181818"/>
        </w:rPr>
        <w:t>2020</w:t>
      </w:r>
      <w:r>
        <w:rPr>
          <w:rFonts w:ascii="宋体" w:hAnsi="宋体" w:cs="宋体" w:eastAsia="宋体" w:hint="default"/>
          <w:color w:val="181818"/>
          <w:spacing w:val="-46"/>
        </w:rPr>
        <w:t> </w:t>
      </w:r>
      <w:r>
        <w:rPr>
          <w:color w:val="181818"/>
        </w:rPr>
        <w:t>年将超过</w:t>
      </w:r>
      <w:r>
        <w:rPr>
          <w:color w:val="181818"/>
          <w:spacing w:val="-46"/>
        </w:rPr>
        <w:t> </w:t>
      </w:r>
      <w:r>
        <w:rPr>
          <w:rFonts w:ascii="宋体" w:hAnsi="宋体" w:cs="宋体" w:eastAsia="宋体" w:hint="default"/>
          <w:color w:val="181818"/>
        </w:rPr>
        <w:t>2,700</w:t>
      </w:r>
      <w:r>
        <w:rPr>
          <w:rFonts w:ascii="宋体" w:hAnsi="宋体" w:cs="宋体" w:eastAsia="宋体" w:hint="default"/>
          <w:color w:val="181818"/>
          <w:spacing w:val="-46"/>
        </w:rPr>
        <w:t> </w:t>
      </w:r>
      <w:r>
        <w:rPr>
          <w:color w:val="181818"/>
        </w:rPr>
        <w:t>亿元，占网络广告总 体</w:t>
      </w:r>
      <w:r>
        <w:rPr>
          <w:color w:val="181818"/>
          <w:spacing w:val="-46"/>
        </w:rPr>
        <w:t> </w:t>
      </w:r>
      <w:r>
        <w:rPr>
          <w:rFonts w:ascii="宋体" w:hAnsi="宋体" w:cs="宋体" w:eastAsia="宋体" w:hint="default"/>
          <w:color w:val="181818"/>
        </w:rPr>
        <w:t>35%</w:t>
      </w:r>
      <w:r>
        <w:rPr>
          <w:color w:val="181818"/>
        </w:rPr>
        <w:t>以上。预计到</w:t>
      </w:r>
      <w:r>
        <w:rPr>
          <w:color w:val="181818"/>
          <w:spacing w:val="-46"/>
        </w:rPr>
        <w:t> </w:t>
      </w:r>
      <w:r>
        <w:rPr>
          <w:rFonts w:ascii="宋体" w:hAnsi="宋体" w:cs="宋体" w:eastAsia="宋体" w:hint="default"/>
          <w:color w:val="181818"/>
        </w:rPr>
        <w:t>2020</w:t>
      </w:r>
      <w:r>
        <w:rPr>
          <w:rFonts w:ascii="宋体" w:hAnsi="宋体" w:cs="宋体" w:eastAsia="宋体" w:hint="default"/>
          <w:color w:val="181818"/>
          <w:spacing w:val="-46"/>
        </w:rPr>
        <w:t> </w:t>
      </w:r>
      <w:r>
        <w:rPr>
          <w:color w:val="181818"/>
        </w:rPr>
        <w:t>年仍将保持</w:t>
      </w:r>
      <w:r>
        <w:rPr>
          <w:color w:val="181818"/>
          <w:spacing w:val="-46"/>
        </w:rPr>
        <w:t> </w:t>
      </w:r>
      <w:r>
        <w:rPr>
          <w:rFonts w:ascii="宋体" w:hAnsi="宋体" w:cs="宋体" w:eastAsia="宋体" w:hint="default"/>
          <w:color w:val="181818"/>
        </w:rPr>
        <w:t>45%</w:t>
      </w:r>
      <w:r>
        <w:rPr>
          <w:color w:val="181818"/>
        </w:rPr>
        <w:t>以上增长率。公司将在</w:t>
      </w:r>
      <w:r>
        <w:rPr>
          <w:color w:val="181818"/>
          <w:spacing w:val="-46"/>
        </w:rPr>
        <w:t> </w:t>
      </w:r>
      <w:r>
        <w:rPr>
          <w:rFonts w:ascii="宋体" w:hAnsi="宋体" w:cs="宋体" w:eastAsia="宋体" w:hint="default"/>
          <w:color w:val="181818"/>
        </w:rPr>
        <w:t>2019</w:t>
      </w:r>
      <w:r>
        <w:rPr>
          <w:rFonts w:ascii="宋体" w:hAnsi="宋体" w:cs="宋体" w:eastAsia="宋体" w:hint="default"/>
          <w:color w:val="181818"/>
          <w:spacing w:val="-46"/>
        </w:rPr>
        <w:t> </w:t>
      </w:r>
      <w:r>
        <w:rPr>
          <w:color w:val="181818"/>
        </w:rPr>
        <w:t>年重点关注信息流广告市场，提升获客能力，并针对 信息流市场提供专有的内容、交付手段。</w:t>
      </w:r>
      <w:r>
        <w:rPr/>
      </w:r>
    </w:p>
    <w:p>
      <w:pPr>
        <w:pStyle w:val="BodyText"/>
        <w:spacing w:line="316" w:lineRule="auto" w:before="19"/>
        <w:ind w:right="0" w:firstLine="360"/>
        <w:jc w:val="left"/>
      </w:pPr>
      <w:r>
        <w:rPr>
          <w:rFonts w:ascii="宋体" w:hAnsi="宋体" w:cs="宋体" w:eastAsia="宋体" w:hint="default"/>
        </w:rPr>
        <w:t>2019</w:t>
      </w:r>
      <w:r>
        <w:rPr>
          <w:rFonts w:ascii="宋体" w:hAnsi="宋体" w:cs="宋体" w:eastAsia="宋体" w:hint="default"/>
          <w:spacing w:val="-35"/>
        </w:rPr>
        <w:t> </w:t>
      </w:r>
      <w:r>
        <w:rPr>
          <w:spacing w:val="5"/>
        </w:rPr>
        <w:t>年，公司将继续牢牢抓住</w:t>
      </w:r>
      <w:r>
        <w:rPr>
          <w:color w:val="333333"/>
          <w:spacing w:val="5"/>
        </w:rPr>
        <w:t>媒体融合发展，</w:t>
      </w:r>
      <w:r>
        <w:rPr>
          <w:color w:val="333333"/>
          <w:spacing w:val="-72"/>
        </w:rPr>
        <w:t> </w:t>
      </w:r>
      <w:r>
        <w:rPr>
          <w:color w:val="333333"/>
          <w:spacing w:val="14"/>
        </w:rPr>
        <w:t>做大做强主流舆论的机遇期，</w:t>
      </w:r>
      <w:r>
        <w:rPr>
          <w:color w:val="333333"/>
          <w:spacing w:val="-72"/>
        </w:rPr>
        <w:t> </w:t>
      </w:r>
      <w:r>
        <w:rPr>
          <w:color w:val="333333"/>
        </w:rPr>
        <w:t>全面</w:t>
      </w:r>
      <w:r>
        <w:rPr/>
        <w:t>公司充分重视在与主流媒体全面</w:t>
      </w:r>
      <w:r>
        <w:rPr/>
        <w:t> </w:t>
      </w:r>
      <w:r>
        <w:rPr>
          <w:spacing w:val="-2"/>
        </w:rPr>
        <w:t>战略合作。公司将继续依托核心竞争力，与中央新闻单位、中央重点新闻网站、政府机构、行业协会保持紧密合作，并建立</w:t>
      </w:r>
      <w:r>
        <w:rPr>
          <w:spacing w:val="-68"/>
        </w:rPr>
        <w:t> </w:t>
      </w:r>
      <w:r>
        <w:rPr>
          <w:spacing w:val="-68"/>
        </w:rPr>
      </w:r>
      <w:r>
        <w:rPr>
          <w:spacing w:val="-2"/>
        </w:rPr>
        <w:t>战略合作关系；重点把握国有传媒集团的融合转型、自媒体迅速发展、内容监管加强、视频需求增加等发展机遇，充分覆盖</w:t>
      </w:r>
      <w:r>
        <w:rPr>
          <w:spacing w:val="-66"/>
        </w:rPr>
        <w:t> </w:t>
      </w:r>
      <w:r>
        <w:rPr>
          <w:spacing w:val="-66"/>
        </w:rPr>
      </w:r>
      <w:r>
        <w:rPr>
          <w:color w:val="333333"/>
          <w:spacing w:val="14"/>
        </w:rPr>
        <w:t>传统媒体和新兴媒体、中央媒体和地方媒体、主流媒体和商业平台、大众化媒体和专业性媒</w:t>
      </w:r>
      <w:r>
        <w:rPr>
          <w:color w:val="333333"/>
          <w:spacing w:val="-51"/>
        </w:rPr>
        <w:t> </w:t>
      </w:r>
      <w:r>
        <w:rPr>
          <w:color w:val="333333"/>
        </w:rPr>
        <w:t>体</w:t>
      </w:r>
      <w:r>
        <w:rPr/>
        <w:t>，以实现了媒体业务</w:t>
      </w:r>
      <w:r>
        <w:rPr>
          <w:spacing w:val="-72"/>
        </w:rPr>
        <w:t> </w:t>
      </w:r>
      <w:r>
        <w:rPr>
          <w:spacing w:val="-72"/>
        </w:rPr>
      </w:r>
      <w:r>
        <w:rPr/>
        <w:t>的整体持续增长，继续在媒体市场保持优势地位。</w:t>
      </w:r>
    </w:p>
    <w:p>
      <w:pPr>
        <w:spacing w:line="240" w:lineRule="auto" w:before="4"/>
        <w:rPr>
          <w:rFonts w:ascii="宋体" w:hAnsi="宋体" w:cs="宋体" w:eastAsia="宋体" w:hint="default"/>
          <w:sz w:val="25"/>
          <w:szCs w:val="25"/>
        </w:rPr>
      </w:pPr>
    </w:p>
    <w:p>
      <w:pPr>
        <w:pStyle w:val="Heading7"/>
        <w:spacing w:line="240" w:lineRule="auto"/>
        <w:ind w:right="0"/>
        <w:jc w:val="left"/>
        <w:rPr>
          <w:b w:val="0"/>
          <w:bCs w:val="0"/>
        </w:rPr>
      </w:pPr>
      <w:r>
        <w:rPr>
          <w:w w:val="99"/>
        </w:rPr>
      </w:r>
      <w:r>
        <w:rPr>
          <w:u w:val="single" w:color="000000"/>
        </w:rPr>
        <w:t>生态打造</w:t>
      </w:r>
      <w:r>
        <w:rPr/>
      </w:r>
      <w:r>
        <w:rPr>
          <w:b w:val="0"/>
          <w:bCs w:val="0"/>
        </w:rPr>
      </w:r>
    </w:p>
    <w:p>
      <w:pPr>
        <w:pStyle w:val="BodyText"/>
        <w:spacing w:line="300" w:lineRule="auto" w:before="76"/>
        <w:ind w:right="1185"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年，公司依托核心竞争力，加速整合公司核心业务的上下游优势资源，通过上市公司以及合作基金，在“计算机 视觉与人工智能”、“视频智能工具”、“</w:t>
      </w:r>
      <w:r>
        <w:rPr>
          <w:rFonts w:ascii="Times New Roman" w:hAnsi="Times New Roman" w:cs="Times New Roman" w:eastAsia="Times New Roman" w:hint="default"/>
        </w:rPr>
        <w:t>5G</w:t>
      </w:r>
      <w:r>
        <w:rPr>
          <w:rFonts w:ascii="Times New Roman" w:hAnsi="Times New Roman" w:cs="Times New Roman" w:eastAsia="Times New Roman" w:hint="default"/>
          <w:spacing w:val="-1"/>
        </w:rPr>
        <w:t> </w:t>
      </w:r>
      <w:r>
        <w:rPr/>
        <w:t>交互场景下的</w:t>
      </w:r>
      <w:r>
        <w:rPr>
          <w:spacing w:val="-46"/>
        </w:rPr>
        <w:t> </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展示营销云平台”等领域开展战略投资或合作，打造围绕 公司核心主业的“视觉</w:t>
      </w:r>
      <w:r>
        <w:rPr>
          <w:rFonts w:ascii="Times New Roman" w:hAnsi="Times New Roman" w:cs="Times New Roman" w:eastAsia="Times New Roman" w:hint="default"/>
        </w:rPr>
        <w:t>+</w:t>
      </w:r>
      <w:r>
        <w:rPr/>
        <w:t>生态”，进一步强化和筑造核心主业的竞争壁垒。</w:t>
      </w:r>
    </w:p>
    <w:p>
      <w:pPr>
        <w:pStyle w:val="BodyText"/>
        <w:spacing w:line="319" w:lineRule="auto" w:before="13"/>
        <w:ind w:right="1131" w:firstLine="360"/>
        <w:jc w:val="both"/>
      </w:pPr>
      <w:r>
        <w:rPr/>
        <w:t>公司将在国家版权主管部门的指导下，积极参与“剑网</w:t>
      </w:r>
      <w:r>
        <w:rPr>
          <w:spacing w:val="-46"/>
        </w:rPr>
        <w:t> </w:t>
      </w:r>
      <w:r>
        <w:rPr>
          <w:rFonts w:ascii="宋体" w:hAnsi="宋体" w:cs="宋体" w:eastAsia="宋体" w:hint="default"/>
        </w:rPr>
        <w:t>2019</w:t>
      </w:r>
      <w:r>
        <w:rPr/>
        <w:t>”专项行动，尊重行业内利益攸关方的诉求，共建合规、 </w:t>
      </w:r>
      <w:r>
        <w:rPr>
          <w:spacing w:val="-2"/>
        </w:rPr>
        <w:t>合理、合情的产品服务定价和版权保护工作流程，并主动接受监督。进一步加强与主管部门、行业协会和业内专家的定期沟</w:t>
      </w:r>
      <w:r>
        <w:rPr>
          <w:spacing w:val="-66"/>
        </w:rPr>
        <w:t> </w:t>
      </w:r>
      <w:r>
        <w:rPr>
          <w:spacing w:val="-66"/>
        </w:rPr>
      </w:r>
      <w:r>
        <w:rPr/>
        <w:t>通，共同探索符合中国市场需求的图片版权确权、授权、保护和争议解决机制。</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1" w:firstLine="360"/>
        <w:jc w:val="both"/>
      </w:pPr>
      <w:r>
        <w:rPr>
          <w:rFonts w:ascii="宋体" w:hAnsi="宋体" w:cs="宋体" w:eastAsia="宋体" w:hint="default"/>
        </w:rPr>
        <w:t>2019</w:t>
      </w:r>
      <w:r>
        <w:rPr>
          <w:rFonts w:ascii="宋体" w:hAnsi="宋体" w:cs="宋体" w:eastAsia="宋体" w:hint="default"/>
          <w:spacing w:val="-46"/>
        </w:rPr>
        <w:t> </w:t>
      </w:r>
      <w:r>
        <w:rPr/>
        <w:t>年，视觉中国将以规则意识支撑版权意识，健全规范平台版权管理机制，推动合规合理的版权保护，以身作则带 </w:t>
      </w:r>
      <w:r>
        <w:rPr>
          <w:spacing w:val="-2"/>
        </w:rPr>
        <w:t>动行业风气好转。我们将与各方共同努力，扩大保护知识产权的社会共识，继续发挥第三方平台在保护知识产权、维护创作</w:t>
      </w:r>
      <w:r>
        <w:rPr>
          <w:spacing w:val="-66"/>
        </w:rPr>
        <w:t> </w:t>
      </w:r>
      <w:r>
        <w:rPr>
          <w:spacing w:val="-66"/>
        </w:rPr>
      </w:r>
      <w:r>
        <w:rPr/>
        <w:t>者权益中的积极作用，为中国版权行业“生态”的健康发展做出自己的贡献。</w:t>
      </w:r>
    </w:p>
    <w:p>
      <w:pPr>
        <w:spacing w:line="240" w:lineRule="auto" w:before="4"/>
        <w:rPr>
          <w:rFonts w:ascii="宋体" w:hAnsi="宋体" w:cs="宋体" w:eastAsia="宋体" w:hint="default"/>
          <w:sz w:val="25"/>
          <w:szCs w:val="25"/>
        </w:rPr>
      </w:pPr>
    </w:p>
    <w:p>
      <w:pPr>
        <w:pStyle w:val="Heading7"/>
        <w:spacing w:line="240" w:lineRule="auto"/>
        <w:ind w:right="0"/>
        <w:jc w:val="left"/>
        <w:rPr>
          <w:b w:val="0"/>
          <w:bCs w:val="0"/>
        </w:rPr>
      </w:pPr>
      <w:r>
        <w:rPr>
          <w:w w:val="99"/>
        </w:rPr>
      </w:r>
      <w:r>
        <w:rPr>
          <w:u w:val="single" w:color="000000"/>
        </w:rPr>
        <w:t>视觉内容和行业结合</w:t>
      </w:r>
      <w:r>
        <w:rPr/>
      </w:r>
      <w:r>
        <w:rPr>
          <w:b w:val="0"/>
          <w:bCs w:val="0"/>
        </w:rPr>
      </w:r>
    </w:p>
    <w:p>
      <w:pPr>
        <w:pStyle w:val="BodyText"/>
        <w:spacing w:line="316" w:lineRule="auto" w:before="76"/>
        <w:ind w:right="1131" w:firstLine="360"/>
        <w:jc w:val="both"/>
      </w:pPr>
      <w:r>
        <w:rPr>
          <w:rFonts w:ascii="宋体" w:hAnsi="宋体" w:cs="宋体" w:eastAsia="宋体" w:hint="default"/>
        </w:rPr>
        <w:t>2019</w:t>
      </w:r>
      <w:r>
        <w:rPr>
          <w:rFonts w:ascii="宋体" w:hAnsi="宋体" w:cs="宋体" w:eastAsia="宋体" w:hint="default"/>
          <w:spacing w:val="-46"/>
        </w:rPr>
        <w:t> </w:t>
      </w:r>
      <w:r>
        <w:rPr/>
        <w:t>年，伴随着国家机构改革完成，新组建的中华人民共和国文化和旅游部（以下简称“文旅部”）将旅游产业推向 了一个新的高峰。在“视觉</w:t>
      </w:r>
      <w:r>
        <w:rPr>
          <w:rFonts w:ascii="宋体" w:hAnsi="宋体" w:cs="宋体" w:eastAsia="宋体" w:hint="default"/>
        </w:rPr>
        <w:t>+</w:t>
      </w:r>
      <w:r>
        <w:rPr/>
        <w:t>行业”方面，公司将在文旅部的指导下，持续完善国家智慧旅游公共服务平台建设，继续落实 </w:t>
      </w:r>
      <w:r>
        <w:rPr>
          <w:spacing w:val="-2"/>
        </w:rPr>
        <w:t>“全国旅游监管服务平台”在更多省份的落地，实现旅游监管数据的全国集中，为相关主管部门、涉旅企业等提供数据分析</w:t>
      </w:r>
      <w:r>
        <w:rPr>
          <w:spacing w:val="-66"/>
        </w:rPr>
        <w:t> </w:t>
      </w:r>
      <w:r>
        <w:rPr>
          <w:spacing w:val="-66"/>
        </w:rPr>
      </w:r>
      <w:r>
        <w:rPr>
          <w:spacing w:val="-2"/>
        </w:rPr>
        <w:t>和服务，加速旅游市场监管向信息化、智能化的转变；同时公司立即启动国家开放大学旅游学院的建设，更好地提升从业人</w:t>
      </w:r>
      <w:r>
        <w:rPr>
          <w:spacing w:val="-66"/>
        </w:rPr>
        <w:t> </w:t>
      </w:r>
      <w:r>
        <w:rPr>
          <w:spacing w:val="-66"/>
        </w:rPr>
      </w:r>
      <w:r>
        <w:rPr/>
        <w:t>员的专业知识和技能，培养适应行业发展的高素质旅游人才。</w:t>
      </w:r>
    </w:p>
    <w:p>
      <w:pPr>
        <w:spacing w:line="240" w:lineRule="auto" w:before="6"/>
        <w:rPr>
          <w:rFonts w:ascii="宋体" w:hAnsi="宋体" w:cs="宋体" w:eastAsia="宋体" w:hint="default"/>
          <w:sz w:val="21"/>
          <w:szCs w:val="21"/>
        </w:rPr>
      </w:pPr>
    </w:p>
    <w:p>
      <w:pPr>
        <w:pStyle w:val="Heading2"/>
        <w:spacing w:line="240" w:lineRule="auto"/>
        <w:ind w:left="514" w:right="0"/>
        <w:jc w:val="left"/>
        <w:rPr>
          <w:b w:val="0"/>
          <w:bCs w:val="0"/>
        </w:rPr>
      </w:pPr>
      <w:r>
        <w:rPr>
          <w:rFonts w:ascii="宋体" w:hAnsi="宋体" w:cs="宋体" w:eastAsia="宋体" w:hint="default"/>
          <w:b w:val="0"/>
          <w:bCs w:val="0"/>
          <w:sz w:val="18"/>
          <w:szCs w:val="18"/>
        </w:rPr>
        <w:t>（二）</w:t>
      </w:r>
      <w:r>
        <w:rPr/>
        <w:t>公司面临的风险和应对措施</w:t>
      </w:r>
      <w:r>
        <w:rPr>
          <w:b w:val="0"/>
          <w:bCs w:val="0"/>
        </w:rPr>
      </w:r>
    </w:p>
    <w:p>
      <w:pPr>
        <w:pStyle w:val="Heading7"/>
        <w:tabs>
          <w:tab w:pos="1505" w:val="left" w:leader="none"/>
        </w:tabs>
        <w:spacing w:line="240" w:lineRule="auto" w:before="47"/>
        <w:ind w:left="875" w:right="0"/>
        <w:jc w:val="left"/>
        <w:rPr>
          <w:b w:val="0"/>
          <w:bCs w:val="0"/>
        </w:rPr>
      </w:pPr>
      <w:r>
        <w:rPr>
          <w:rFonts w:ascii="宋体" w:hAnsi="宋体" w:cs="宋体" w:eastAsia="宋体" w:hint="default"/>
          <w:w w:val="95"/>
        </w:rPr>
        <w:t>1.</w:t>
        <w:tab/>
      </w:r>
      <w:r>
        <w:rPr/>
        <w:t>公司受到监管处罚且公司网站尚处于暂时关停状态的风险</w:t>
      </w:r>
      <w:r>
        <w:rPr>
          <w:b w:val="0"/>
          <w:bCs w:val="0"/>
        </w:rPr>
      </w:r>
    </w:p>
    <w:p>
      <w:pPr>
        <w:pStyle w:val="BodyText"/>
        <w:spacing w:line="316" w:lineRule="auto" w:before="76"/>
        <w:ind w:right="1131" w:firstLine="360"/>
        <w:jc w:val="both"/>
      </w:pP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11</w:t>
      </w:r>
      <w:r>
        <w:rPr>
          <w:rFonts w:ascii="宋体" w:hAnsi="宋体" w:cs="宋体" w:eastAsia="宋体" w:hint="default"/>
          <w:spacing w:val="-53"/>
        </w:rPr>
        <w:t> </w:t>
      </w:r>
      <w:r>
        <w:rPr/>
        <w:t>日，天津市互联网信息办公室于对公司的子公司汉华易美</w:t>
      </w:r>
      <w:r>
        <w:rPr>
          <w:rFonts w:ascii="宋体" w:hAnsi="宋体" w:cs="宋体" w:eastAsia="宋体" w:hint="default"/>
        </w:rPr>
        <w:t>(</w:t>
      </w:r>
      <w:r>
        <w:rPr/>
        <w:t>天津</w:t>
      </w:r>
      <w:r>
        <w:rPr>
          <w:rFonts w:ascii="宋体" w:hAnsi="宋体" w:cs="宋体" w:eastAsia="宋体" w:hint="default"/>
        </w:rPr>
        <w:t>)</w:t>
      </w:r>
      <w:r>
        <w:rPr/>
        <w:t>图像技术有限公司传播违法有害信息的 行为进行立案调查，同时公司主动暂时关停了公司网站（</w:t>
      </w:r>
      <w:hyperlink r:id="rId8">
        <w:r>
          <w:rPr>
            <w:rFonts w:ascii="宋体" w:hAnsi="宋体" w:cs="宋体" w:eastAsia="宋体" w:hint="default"/>
          </w:rPr>
          <w:t>www.vcg.com</w:t>
        </w:r>
      </w:hyperlink>
      <w:r>
        <w:rPr/>
        <w:t>）。</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18</w:t>
      </w:r>
      <w:r>
        <w:rPr>
          <w:rFonts w:ascii="宋体" w:hAnsi="宋体" w:cs="宋体" w:eastAsia="宋体" w:hint="default"/>
          <w:spacing w:val="-58"/>
        </w:rPr>
        <w:t> </w:t>
      </w:r>
      <w:r>
        <w:rPr/>
        <w:t>日，天津市互联网信息办公室对公司作出 了罚款三十万元的行政处罚。</w:t>
      </w:r>
    </w:p>
    <w:p>
      <w:pPr>
        <w:pStyle w:val="BodyText"/>
        <w:spacing w:line="316" w:lineRule="auto" w:before="19"/>
        <w:ind w:right="1131" w:firstLine="360"/>
        <w:jc w:val="both"/>
      </w:pPr>
      <w:r>
        <w:rPr>
          <w:spacing w:val="-2"/>
        </w:rPr>
        <w:t>截止年报出具日，公司的相关整改工作仍在进行中，网站尚处于暂时关闭的状态。在此期间，公司正常运营受到一定影</w:t>
      </w:r>
      <w:r>
        <w:rPr/>
        <w:t> 响，公司将尽一切努力减小影响，同时积极推进全面整改工作。目前公司尚不能预计网站恢复运营的具体时间。</w:t>
      </w:r>
    </w:p>
    <w:p>
      <w:pPr>
        <w:pStyle w:val="BodyText"/>
        <w:tabs>
          <w:tab w:pos="1414" w:val="left" w:leader="none"/>
        </w:tabs>
        <w:spacing w:line="316" w:lineRule="auto" w:before="19"/>
        <w:ind w:left="514" w:right="1133" w:firstLine="361"/>
        <w:jc w:val="left"/>
      </w:pPr>
      <w:r>
        <w:rPr>
          <w:rFonts w:ascii="宋体" w:hAnsi="宋体" w:cs="宋体" w:eastAsia="宋体" w:hint="default"/>
          <w:b/>
          <w:bCs/>
          <w:w w:val="95"/>
        </w:rPr>
        <w:t>2.</w:t>
        <w:tab/>
      </w:r>
      <w:r>
        <w:rPr>
          <w:rFonts w:ascii="宋体" w:hAnsi="宋体" w:cs="宋体" w:eastAsia="宋体" w:hint="default"/>
          <w:b/>
          <w:bCs/>
        </w:rPr>
        <w:t>版权保护风险</w:t>
      </w:r>
      <w:r>
        <w:rPr>
          <w:rFonts w:ascii="宋体" w:hAnsi="宋体" w:cs="宋体" w:eastAsia="宋体" w:hint="default"/>
          <w:b/>
          <w:bCs/>
          <w:w w:val="99"/>
        </w:rPr>
        <w:t> </w:t>
      </w:r>
      <w:r>
        <w:rPr>
          <w:spacing w:val="-2"/>
        </w:rPr>
        <w:t>目前图片市场“侵权”现象仍然比较普遍。公司将继续与政府主管部门、司法机关紧密配合，继续依靠专业的版权合规</w:t>
      </w:r>
    </w:p>
    <w:p>
      <w:pPr>
        <w:pStyle w:val="BodyText"/>
        <w:spacing w:line="316" w:lineRule="auto" w:before="19"/>
        <w:ind w:right="1133"/>
        <w:jc w:val="both"/>
      </w:pPr>
      <w:r>
        <w:rPr>
          <w:spacing w:val="-2"/>
        </w:rPr>
        <w:t>团队，并通过不断完善版权管理体系，运用技术创新手段，为市场提供全面、优质的版权服务，持续提高公司版权变现以及</w:t>
      </w:r>
      <w:r>
        <w:rPr>
          <w:spacing w:val="-66"/>
        </w:rPr>
        <w:t> </w:t>
      </w:r>
      <w:r>
        <w:rPr>
          <w:spacing w:val="-66"/>
        </w:rPr>
      </w:r>
      <w:r>
        <w:rPr/>
        <w:t>保护的能力。</w:t>
      </w:r>
    </w:p>
    <w:p>
      <w:pPr>
        <w:pStyle w:val="BodyText"/>
        <w:tabs>
          <w:tab w:pos="1414" w:val="left" w:leader="none"/>
        </w:tabs>
        <w:spacing w:line="360" w:lineRule="auto" w:before="19"/>
        <w:ind w:left="514" w:right="1043" w:firstLine="361"/>
        <w:jc w:val="left"/>
      </w:pPr>
      <w:r>
        <w:rPr>
          <w:rFonts w:ascii="宋体" w:hAnsi="宋体" w:cs="宋体" w:eastAsia="宋体" w:hint="default"/>
          <w:b/>
          <w:bCs/>
          <w:w w:val="95"/>
        </w:rPr>
        <w:t>3.</w:t>
        <w:tab/>
      </w:r>
      <w:r>
        <w:rPr>
          <w:rFonts w:ascii="宋体" w:hAnsi="宋体" w:cs="宋体" w:eastAsia="宋体" w:hint="default"/>
          <w:b/>
          <w:bCs/>
        </w:rPr>
        <w:t>管理风险</w:t>
      </w:r>
      <w:r>
        <w:rPr>
          <w:rFonts w:ascii="宋体" w:hAnsi="宋体" w:cs="宋体" w:eastAsia="宋体" w:hint="default"/>
          <w:b/>
          <w:bCs/>
          <w:w w:val="99"/>
        </w:rPr>
        <w:t> </w:t>
      </w:r>
      <w:r>
        <w:rPr>
          <w:spacing w:val="-4"/>
        </w:rPr>
        <w:t>公司业务增长迅速，参、控股公司达四十余家，公司内部管理的复杂度和难度将不断提高；地域扩展到北美地区、北京、</w:t>
      </w:r>
    </w:p>
    <w:p>
      <w:pPr>
        <w:pStyle w:val="BodyText"/>
        <w:spacing w:line="221" w:lineRule="exact" w:before="0"/>
        <w:ind w:right="0"/>
        <w:jc w:val="both"/>
      </w:pPr>
      <w:r>
        <w:rPr/>
        <w:t>常州、深圳、上海、大连、广州、香港等，这些因素令公司在战略规划、制度建设、组织机构设置、运营管理和内部控制等</w:t>
      </w:r>
    </w:p>
    <w:p>
      <w:pPr>
        <w:pStyle w:val="BodyText"/>
        <w:spacing w:line="319" w:lineRule="auto" w:before="76"/>
        <w:ind w:right="1133"/>
        <w:jc w:val="both"/>
      </w:pPr>
      <w:r>
        <w:rPr>
          <w:spacing w:val="-2"/>
        </w:rPr>
        <w:t>方面面临更大的挑战。公司将通过完善管理制度、规范流程、加强财务管控、加强人才培训、加强投后管理以及信息化建设</w:t>
      </w:r>
      <w:r>
        <w:rPr>
          <w:spacing w:val="-66"/>
        </w:rPr>
        <w:t> </w:t>
      </w:r>
      <w:r>
        <w:rPr>
          <w:spacing w:val="-66"/>
        </w:rPr>
      </w:r>
      <w:r>
        <w:rPr/>
        <w:t>等手段改善和提升管理及内部控制能力。</w:t>
      </w:r>
    </w:p>
    <w:p>
      <w:pPr>
        <w:tabs>
          <w:tab w:pos="1414" w:val="left" w:leader="none"/>
        </w:tabs>
        <w:spacing w:line="316" w:lineRule="auto" w:before="56"/>
        <w:ind w:left="514" w:right="1131" w:firstLine="361"/>
        <w:jc w:val="left"/>
        <w:rPr>
          <w:rFonts w:ascii="宋体" w:hAnsi="宋体" w:cs="宋体" w:eastAsia="宋体" w:hint="default"/>
          <w:sz w:val="18"/>
          <w:szCs w:val="18"/>
        </w:rPr>
      </w:pPr>
      <w:r>
        <w:rPr>
          <w:rFonts w:ascii="宋体" w:hAnsi="宋体" w:cs="宋体" w:eastAsia="宋体" w:hint="default"/>
          <w:b/>
          <w:bCs/>
          <w:w w:val="95"/>
          <w:sz w:val="18"/>
          <w:szCs w:val="18"/>
        </w:rPr>
        <w:t>4.</w:t>
        <w:tab/>
      </w:r>
      <w:r>
        <w:rPr>
          <w:rFonts w:ascii="宋体" w:hAnsi="宋体" w:cs="宋体" w:eastAsia="宋体" w:hint="default"/>
          <w:b/>
          <w:bCs/>
          <w:sz w:val="18"/>
          <w:szCs w:val="18"/>
        </w:rPr>
        <w:t>股权投资子公司业绩承诺的风险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公司部分股权投资参、控股公司的存在业绩承诺，受宏观经济政策和行业监管因素的影响，在业绩承诺期内，若出现子</w:t>
      </w:r>
    </w:p>
    <w:p>
      <w:pPr>
        <w:pStyle w:val="BodyText"/>
        <w:spacing w:line="316" w:lineRule="auto" w:before="19"/>
        <w:ind w:right="1132"/>
        <w:jc w:val="both"/>
      </w:pPr>
      <w:r>
        <w:rPr>
          <w:spacing w:val="-2"/>
        </w:rPr>
        <w:t>公司无法于正常状态运营的情况，当期完成净利润可能低于对应年度的业绩承诺金额。业绩补偿义务人如不能履行业绩补偿</w:t>
      </w:r>
      <w:r>
        <w:rPr>
          <w:spacing w:val="-64"/>
        </w:rPr>
        <w:t> </w:t>
      </w:r>
      <w:r>
        <w:rPr>
          <w:spacing w:val="-64"/>
        </w:rPr>
      </w:r>
      <w:r>
        <w:rPr>
          <w:spacing w:val="-2"/>
        </w:rPr>
        <w:t>承诺，可能会对公司现金流产生不利影响，从而影响投资股权回报的实现。公司将加大投后管理力度，对参、控股公司实现</w:t>
      </w:r>
      <w:r>
        <w:rPr>
          <w:spacing w:val="-66"/>
        </w:rPr>
        <w:t> </w:t>
      </w:r>
      <w:r>
        <w:rPr>
          <w:spacing w:val="-66"/>
        </w:rPr>
      </w:r>
      <w:r>
        <w:rPr/>
        <w:t>实时关注、指导，保障信息通畅。</w:t>
      </w:r>
    </w:p>
    <w:p>
      <w:pPr>
        <w:pStyle w:val="BodyText"/>
        <w:tabs>
          <w:tab w:pos="1414" w:val="left" w:leader="none"/>
        </w:tabs>
        <w:spacing w:line="316" w:lineRule="auto" w:before="19"/>
        <w:ind w:left="514" w:right="1132" w:firstLine="361"/>
        <w:jc w:val="left"/>
      </w:pPr>
      <w:r>
        <w:rPr>
          <w:rFonts w:ascii="宋体" w:hAnsi="宋体" w:cs="宋体" w:eastAsia="宋体" w:hint="default"/>
          <w:b/>
          <w:bCs/>
          <w:w w:val="95"/>
        </w:rPr>
        <w:t>5.</w:t>
        <w:tab/>
      </w:r>
      <w:r>
        <w:rPr>
          <w:rFonts w:ascii="宋体" w:hAnsi="宋体" w:cs="宋体" w:eastAsia="宋体" w:hint="default"/>
          <w:b/>
          <w:bCs/>
        </w:rPr>
        <w:t>人才管理的风险</w:t>
      </w:r>
      <w:r>
        <w:rPr>
          <w:rFonts w:ascii="宋体" w:hAnsi="宋体" w:cs="宋体" w:eastAsia="宋体" w:hint="default"/>
          <w:b/>
          <w:bCs/>
          <w:w w:val="99"/>
        </w:rPr>
        <w:t> </w:t>
      </w:r>
      <w:r>
        <w:rPr>
          <w:spacing w:val="-2"/>
        </w:rPr>
        <w:t>公司目前拥有稳定的管理团队和人才储备库，通过专业的人才管理措施稳定和壮大优秀人才队伍，但与公司发展战略和</w:t>
      </w:r>
    </w:p>
    <w:p>
      <w:pPr>
        <w:pStyle w:val="BodyText"/>
        <w:spacing w:line="316" w:lineRule="auto" w:before="19"/>
        <w:ind w:right="1133"/>
        <w:jc w:val="both"/>
      </w:pPr>
      <w:r>
        <w:rPr>
          <w:spacing w:val="-2"/>
        </w:rPr>
        <w:t>发展目标的要求相比目前人才储备规模仍有待进一步加强。公司将积极采取多种人才管理措施，加强激励措施，加强公司人</w:t>
      </w:r>
      <w:r>
        <w:rPr>
          <w:spacing w:val="-66"/>
        </w:rPr>
        <w:t> </w:t>
      </w:r>
      <w:r>
        <w:rPr>
          <w:spacing w:val="-66"/>
        </w:rPr>
      </w:r>
      <w:r>
        <w:rPr/>
        <w:t>才储备，减少核心专业人才变动给公司经营业务带来的负面影响。</w:t>
      </w:r>
    </w:p>
    <w:p>
      <w:pPr>
        <w:pStyle w:val="Heading7"/>
        <w:tabs>
          <w:tab w:pos="1414" w:val="left" w:leader="none"/>
        </w:tabs>
        <w:spacing w:line="240" w:lineRule="auto" w:before="19"/>
        <w:ind w:left="875" w:right="0"/>
        <w:jc w:val="left"/>
        <w:rPr>
          <w:b w:val="0"/>
          <w:bCs w:val="0"/>
        </w:rPr>
      </w:pPr>
      <w:r>
        <w:rPr>
          <w:rFonts w:ascii="宋体" w:hAnsi="宋体" w:cs="宋体" w:eastAsia="宋体" w:hint="default"/>
          <w:w w:val="95"/>
        </w:rPr>
        <w:t>6.</w:t>
        <w:tab/>
      </w:r>
      <w:r>
        <w:rPr/>
        <w:t>汇率变化风险</w:t>
      </w:r>
      <w:r>
        <w:rPr>
          <w:b w:val="0"/>
          <w:bCs w:val="0"/>
        </w:rPr>
      </w:r>
    </w:p>
    <w:p>
      <w:pPr>
        <w:pStyle w:val="BodyText"/>
        <w:spacing w:line="316" w:lineRule="auto" w:before="76"/>
        <w:ind w:right="1130" w:firstLine="360"/>
        <w:jc w:val="both"/>
      </w:pPr>
      <w:r>
        <w:rPr/>
        <w:t>公司预计</w:t>
      </w:r>
      <w:r>
        <w:rPr>
          <w:spacing w:val="-46"/>
        </w:rPr>
        <w:t> </w:t>
      </w:r>
      <w:r>
        <w:rPr>
          <w:rFonts w:ascii="宋体" w:hAnsi="宋体" w:cs="宋体" w:eastAsia="宋体" w:hint="default"/>
        </w:rPr>
        <w:t>2019</w:t>
      </w:r>
      <w:r>
        <w:rPr>
          <w:rFonts w:ascii="宋体" w:hAnsi="宋体" w:cs="宋体" w:eastAsia="宋体" w:hint="default"/>
          <w:spacing w:val="-45"/>
        </w:rPr>
        <w:t> </w:t>
      </w:r>
      <w:r>
        <w:rPr/>
        <w:t>年境外业务面临一定的汇率风险。为规避经营及融资所产生的汇率风险，公司将对外币做分类管理，尽 </w:t>
      </w:r>
      <w:r>
        <w:rPr>
          <w:spacing w:val="-2"/>
        </w:rPr>
        <w:t>量降低外币风险敞口。同时公司也将积极的关注人民币汇率波动情况，必要时将通过调整外币存款结构和余额降低汇率波动</w:t>
      </w:r>
      <w:r>
        <w:rPr>
          <w:spacing w:val="-64"/>
        </w:rPr>
        <w:t> </w:t>
      </w:r>
      <w:r>
        <w:rPr>
          <w:spacing w:val="-64"/>
        </w:rPr>
      </w:r>
      <w:r>
        <w:rPr/>
        <w:t>风险。</w:t>
      </w:r>
    </w:p>
    <w:p>
      <w:pPr>
        <w:spacing w:after="0" w:line="316"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情况" w:id="59"/>
      <w:bookmarkEnd w:id="59"/>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日披露的《视觉中</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w:t>
            </w:r>
          </w:p>
          <w:p>
            <w:pPr>
              <w:pStyle w:val="TableParagraph"/>
              <w:spacing w:line="302" w:lineRule="auto" w:before="62"/>
              <w:ind w:left="23" w:right="77"/>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活动记录表》</w:t>
            </w:r>
          </w:p>
        </w:tc>
      </w:tr>
      <w:tr>
        <w:trPr>
          <w:trHeight w:val="67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w:t>
            </w:r>
          </w:p>
          <w:p>
            <w:pPr>
              <w:pStyle w:val="TableParagraph"/>
              <w:spacing w:line="302" w:lineRule="auto" w:before="61"/>
              <w:ind w:left="23" w:right="83"/>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活动记录表》</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039"/>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24" w:lineRule="auto" w:before="117"/>
        <w:ind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根据中国证监会、深圳证券交易所及其他相关法律法规的规定，公司已在《公司章程》第一百五十九条中明确的规定了公司</w:t>
      </w:r>
      <w:r>
        <w:rPr>
          <w:spacing w:val="-66"/>
        </w:rPr>
        <w:t> </w:t>
      </w:r>
      <w:r>
        <w:rPr>
          <w:spacing w:val="-66"/>
        </w:rPr>
      </w:r>
      <w:r>
        <w:rPr>
          <w:spacing w:val="-5"/>
        </w:rPr>
        <w:t>利润分配原则、政策和方案的审议程序，以及利润分配政策调整机制等。目前，公司现金分红政策的制定及执行情况符合《公</w:t>
      </w:r>
      <w:r>
        <w:rPr>
          <w:spacing w:val="-79"/>
        </w:rPr>
        <w:t> </w:t>
      </w:r>
      <w:r>
        <w:rPr>
          <w:spacing w:val="-79"/>
        </w:rPr>
      </w:r>
      <w:r>
        <w:rPr>
          <w:spacing w:val="-2"/>
        </w:rPr>
        <w:t>司章程》的规定，分红标准和比例明确清晰。公司利润分配预案经董事会审议后提交股东大会审议通过方可实施，决策程序</w:t>
      </w:r>
      <w:r>
        <w:rPr>
          <w:spacing w:val="-66"/>
        </w:rPr>
        <w:t> </w:t>
      </w:r>
      <w:r>
        <w:rPr>
          <w:spacing w:val="-66"/>
        </w:rPr>
      </w:r>
      <w:r>
        <w:rPr/>
        <w:t>完整，机制完备。</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4"/>
        <w:ind w:right="112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r>
        <w:rPr/>
        <w:t> 按中国会计准则，经审计，</w:t>
      </w:r>
      <w:r>
        <w:rPr>
          <w:rFonts w:ascii="Times New Roman" w:hAnsi="Times New Roman" w:cs="Times New Roman" w:eastAsia="Times New Roman" w:hint="default"/>
        </w:rPr>
        <w:t>2018</w:t>
      </w:r>
      <w:r>
        <w:rPr/>
        <w:t>年度公司实现归属于上市公司股东的净利润</w:t>
      </w:r>
      <w:r>
        <w:rPr>
          <w:rFonts w:ascii="Times New Roman" w:hAnsi="Times New Roman" w:cs="Times New Roman" w:eastAsia="Times New Roman" w:hint="default"/>
        </w:rPr>
        <w:t>321,2</w:t>
      </w:r>
      <w:r>
        <w:rPr>
          <w:rFonts w:ascii="Times New Roman" w:hAnsi="Times New Roman" w:cs="Times New Roman" w:eastAsia="Times New Roman" w:hint="default"/>
          <w:spacing w:val="-8"/>
        </w:rPr>
        <w:t>1</w:t>
      </w:r>
      <w:r>
        <w:rPr>
          <w:rFonts w:ascii="Times New Roman" w:hAnsi="Times New Roman" w:cs="Times New Roman" w:eastAsia="Times New Roman" w:hint="default"/>
        </w:rPr>
        <w:t>1,3</w:t>
      </w:r>
      <w:r>
        <w:rPr>
          <w:rFonts w:ascii="Times New Roman" w:hAnsi="Times New Roman" w:cs="Times New Roman" w:eastAsia="Times New Roman" w:hint="default"/>
          <w:spacing w:val="-2"/>
        </w:rPr>
        <w:t>6</w:t>
      </w:r>
      <w:r>
        <w:rPr>
          <w:rFonts w:ascii="Times New Roman" w:hAnsi="Times New Roman" w:cs="Times New Roman" w:eastAsia="Times New Roman" w:hint="default"/>
        </w:rPr>
        <w:t>7.5</w:t>
      </w:r>
      <w:r>
        <w:rPr>
          <w:rFonts w:ascii="Times New Roman" w:hAnsi="Times New Roman" w:cs="Times New Roman" w:eastAsia="Times New Roman" w:hint="default"/>
          <w:spacing w:val="1"/>
        </w:rPr>
        <w:t>6</w:t>
      </w:r>
      <w:r>
        <w:rPr/>
        <w:t>元。根据</w:t>
      </w:r>
      <w:r>
        <w:rPr>
          <w:spacing w:val="-2"/>
        </w:rPr>
        <w:t>《</w:t>
      </w:r>
      <w:r>
        <w:rPr/>
        <w:t>公司法</w:t>
      </w:r>
      <w:r>
        <w:rPr>
          <w:spacing w:val="-90"/>
        </w:rPr>
        <w:t>》、</w:t>
      </w:r>
      <w:r>
        <w:rPr/>
        <w:t>《深圳证券</w:t>
      </w:r>
      <w:r>
        <w:rPr/>
        <w:t> 交易所主板上市公司规范运作指引（</w:t>
      </w:r>
      <w:r>
        <w:rPr>
          <w:rFonts w:ascii="Times New Roman" w:hAnsi="Times New Roman" w:cs="Times New Roman" w:eastAsia="Times New Roman" w:hint="default"/>
        </w:rPr>
        <w:t>2015</w:t>
      </w:r>
      <w:r>
        <w:rPr/>
        <w:t>年修订</w:t>
      </w:r>
      <w:r>
        <w:rPr>
          <w:spacing w:val="-90"/>
        </w:rPr>
        <w:t>）》、</w:t>
      </w:r>
      <w:r>
        <w:rPr/>
        <w:t>《公司章程》等有关规定，公司</w:t>
      </w:r>
      <w:r>
        <w:rPr>
          <w:rFonts w:ascii="Times New Roman" w:hAnsi="Times New Roman" w:cs="Times New Roman" w:eastAsia="Times New Roman" w:hint="default"/>
        </w:rPr>
        <w:t>2018</w:t>
      </w:r>
      <w:r>
        <w:rPr/>
        <w:t>年度利润分配预案为：以公司总股</w:t>
      </w:r>
    </w:p>
    <w:p>
      <w:pPr>
        <w:pStyle w:val="BodyText"/>
        <w:spacing w:line="304" w:lineRule="auto" w:before="0"/>
        <w:ind w:right="1122"/>
        <w:jc w:val="left"/>
      </w:pPr>
      <w:r>
        <w:rPr/>
        <w:t>本</w:t>
      </w:r>
      <w:r>
        <w:rPr>
          <w:rFonts w:ascii="Times New Roman" w:hAnsi="Times New Roman" w:cs="Times New Roman" w:eastAsia="Times New Roman" w:hint="default"/>
        </w:rPr>
        <w:t>700,577,436</w:t>
      </w:r>
      <w:r>
        <w:rPr/>
        <w:t>股为基数，本期按照每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0.46</w:t>
      </w:r>
      <w:r>
        <w:rPr/>
        <w:t>元（含税）向全体股东实施利润分配，共计分配利润</w:t>
      </w:r>
      <w:r>
        <w:rPr>
          <w:rFonts w:ascii="Times New Roman" w:hAnsi="Times New Roman" w:cs="Times New Roman" w:eastAsia="Times New Roman" w:hint="default"/>
        </w:rPr>
        <w:t>32,226,562.06</w:t>
      </w:r>
      <w:r>
        <w:rPr/>
        <w:t>元。 除此之外，不再进行送股或资本公积金转增股本。 按中国会计准则，经审计，</w:t>
      </w:r>
      <w:r>
        <w:rPr>
          <w:rFonts w:ascii="Times New Roman" w:hAnsi="Times New Roman" w:cs="Times New Roman" w:eastAsia="Times New Roman" w:hint="default"/>
        </w:rPr>
        <w:t>2017</w:t>
      </w:r>
      <w:r>
        <w:rPr/>
        <w:t>年度公司实现归属于上市公司股东的净利润</w:t>
      </w:r>
      <w:r>
        <w:rPr>
          <w:rFonts w:ascii="Times New Roman" w:hAnsi="Times New Roman" w:cs="Times New Roman" w:eastAsia="Times New Roman" w:hint="default"/>
        </w:rPr>
        <w:t>290,820,917.16</w:t>
      </w:r>
      <w:r>
        <w:rPr/>
        <w:t>元。根据《公司法》、《深圳证 券</w:t>
      </w:r>
      <w:r>
        <w:rPr>
          <w:spacing w:val="-19"/>
        </w:rPr>
        <w:t> </w:t>
      </w:r>
      <w:r>
        <w:rPr/>
        <w:t>交易所主板上市公司规范运作指引（</w:t>
      </w:r>
      <w:r>
        <w:rPr>
          <w:rFonts w:ascii="Times New Roman" w:hAnsi="Times New Roman" w:cs="Times New Roman" w:eastAsia="Times New Roman" w:hint="default"/>
        </w:rPr>
        <w:t>2015</w:t>
      </w:r>
      <w:r>
        <w:rPr/>
        <w:t>年修订）》、《公司章程》等有关规定，公司</w:t>
      </w:r>
      <w:r>
        <w:rPr>
          <w:rFonts w:ascii="Times New Roman" w:hAnsi="Times New Roman" w:cs="Times New Roman" w:eastAsia="Times New Roman" w:hint="default"/>
        </w:rPr>
        <w:t>2017</w:t>
      </w:r>
      <w:r>
        <w:rPr/>
        <w:t>年度利润分配预案为：以公 司总股</w:t>
      </w:r>
      <w:r>
        <w:rPr>
          <w:spacing w:val="-3"/>
        </w:rPr>
        <w:t> </w:t>
      </w:r>
      <w:r>
        <w:rPr>
          <w:spacing w:val="-4"/>
        </w:rPr>
        <w:t>本</w:t>
      </w:r>
      <w:r>
        <w:rPr>
          <w:rFonts w:ascii="Times New Roman" w:hAnsi="Times New Roman" w:cs="Times New Roman" w:eastAsia="Times New Roman" w:hint="default"/>
          <w:spacing w:val="-4"/>
        </w:rPr>
        <w:t>700,577,436</w:t>
      </w:r>
      <w:r>
        <w:rPr>
          <w:spacing w:val="-4"/>
        </w:rPr>
        <w:t>股为基数，本期按照每</w:t>
      </w:r>
      <w:r>
        <w:rPr>
          <w:rFonts w:ascii="Times New Roman" w:hAnsi="Times New Roman" w:cs="Times New Roman" w:eastAsia="Times New Roman" w:hint="default"/>
          <w:spacing w:val="-4"/>
        </w:rPr>
        <w:t>10</w:t>
      </w:r>
      <w:r>
        <w:rPr>
          <w:spacing w:val="-4"/>
        </w:rPr>
        <w:t>股派现金</w:t>
      </w:r>
      <w:r>
        <w:rPr>
          <w:rFonts w:ascii="Times New Roman" w:hAnsi="Times New Roman" w:cs="Times New Roman" w:eastAsia="Times New Roman" w:hint="default"/>
          <w:spacing w:val="-4"/>
        </w:rPr>
        <w:t>0.42</w:t>
      </w:r>
      <w:r>
        <w:rPr>
          <w:spacing w:val="-4"/>
        </w:rPr>
        <w:t>元（含税）向全体股东实施利润分配，共计分配利润</w:t>
      </w:r>
      <w:r>
        <w:rPr>
          <w:rFonts w:ascii="Times New Roman" w:hAnsi="Times New Roman" w:cs="Times New Roman" w:eastAsia="Times New Roman" w:hint="default"/>
          <w:spacing w:val="-4"/>
        </w:rPr>
        <w:t>29,424,252.31</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w:t>
      </w:r>
      <w:r>
        <w:rPr>
          <w:spacing w:val="-19"/>
        </w:rPr>
        <w:t> </w:t>
      </w:r>
      <w:r>
        <w:rPr/>
        <w:t>除此之外，不再进行送股或资本公积金转增股本。</w:t>
      </w:r>
    </w:p>
    <w:p>
      <w:pPr>
        <w:pStyle w:val="BodyText"/>
        <w:spacing w:line="340" w:lineRule="auto" w:before="28"/>
        <w:ind w:right="6252"/>
        <w:jc w:val="left"/>
      </w:pPr>
      <w:r>
        <w:rPr/>
        <w:t>公司</w:t>
      </w:r>
      <w:r>
        <w:rPr>
          <w:rFonts w:ascii="Times New Roman" w:hAnsi="Times New Roman" w:cs="Times New Roman" w:eastAsia="Times New Roman" w:hint="default"/>
        </w:rPr>
        <w:t>2016</w:t>
      </w:r>
      <w:r>
        <w:rPr/>
        <w:t>年度未分红，未实施资本公积金转增股本方案。 公司近三年（包括本报告期）普通股现金分红情况表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27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bl>
    <w:p>
      <w:pPr>
        <w:spacing w:after="0" w:line="316"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32,226,562.06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321,211,367.56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32,226,562.06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29,424,252.31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290,820,917.16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29,424,252.31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214,659,215.55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情况" w:id="64"/>
      <w:bookmarkEnd w:id="64"/>
      <w:r>
        <w:rPr>
          <w:b w:val="0"/>
          <w:bCs w:val="0"/>
        </w:rPr>
      </w:r>
      <w:r>
        <w:rPr/>
        <w:t>二、本报告期利润分配及资本公积金转增股本情况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700,577,436</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32,226,562.06</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11"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32,226,562.06</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32,904,671.42</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10.03%</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1" w:right="20"/>
              <w:jc w:val="both"/>
              <w:rPr>
                <w:rFonts w:ascii="宋体" w:hAnsi="宋体" w:cs="宋体" w:eastAsia="宋体" w:hint="default"/>
                <w:sz w:val="18"/>
                <w:szCs w:val="18"/>
              </w:rPr>
            </w:pPr>
            <w:r>
              <w:rPr>
                <w:rFonts w:ascii="宋体" w:hAnsi="宋体" w:cs="宋体" w:eastAsia="宋体" w:hint="default"/>
                <w:spacing w:val="-1"/>
                <w:sz w:val="18"/>
                <w:szCs w:val="18"/>
              </w:rPr>
              <w:t>按中国会计准则，经审计，</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年度公司实现归属于上市公司股东的净利润</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321,211,367.56</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元。根据《公司法》、《深圳证</w:t>
            </w:r>
            <w:r>
              <w:rPr>
                <w:rFonts w:ascii="宋体" w:hAnsi="宋体" w:cs="宋体" w:eastAsia="宋体" w:hint="default"/>
                <w:sz w:val="18"/>
                <w:szCs w:val="18"/>
              </w:rPr>
              <w:t> </w:t>
            </w:r>
            <w:r>
              <w:rPr>
                <w:rFonts w:ascii="宋体" w:hAnsi="宋体" w:cs="宋体" w:eastAsia="宋体" w:hint="default"/>
                <w:spacing w:val="-1"/>
                <w:sz w:val="18"/>
                <w:szCs w:val="18"/>
              </w:rPr>
              <w:t>券交易所主板上市公司规范运作指引（</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pacing w:val="-16"/>
                <w:sz w:val="18"/>
                <w:szCs w:val="18"/>
              </w:rPr>
              <w:t>年修订）》、《公司章程》等有关规定，公司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年度利润分配预案为：以公司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总股本</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700,577,436</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股为基数，本期按照每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股派现金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0.46</w:t>
            </w:r>
            <w:r>
              <w:rPr>
                <w:rFonts w:ascii="Times New Roman" w:hAnsi="Times New Roman" w:cs="Times New Roman" w:eastAsia="Times New Roman" w:hint="default"/>
                <w:spacing w:val="-9"/>
                <w:sz w:val="18"/>
                <w:szCs w:val="18"/>
              </w:rPr>
              <w:t> </w:t>
            </w:r>
            <w:r>
              <w:rPr>
                <w:rFonts w:ascii="宋体" w:hAnsi="宋体" w:cs="宋体" w:eastAsia="宋体" w:hint="default"/>
                <w:spacing w:val="-12"/>
                <w:sz w:val="18"/>
                <w:szCs w:val="18"/>
              </w:rPr>
              <w:t>元（含税）向全体股东实施利润分配，共计分配利润</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32,226,562.06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元。除此之外，不再进行送股或资本公积金转增股本。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2"/>
        </w:rPr>
        <w:t> </w:t>
      </w:r>
      <w:r>
        <w:rPr>
          <w:spacing w:val="-72"/>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3"/>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廖道训、吴玉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1"/>
              <w:jc w:val="right"/>
              <w:rPr>
                <w:rFonts w:ascii="宋体" w:hAnsi="宋体" w:cs="宋体" w:eastAsia="宋体" w:hint="default"/>
                <w:sz w:val="18"/>
                <w:szCs w:val="18"/>
              </w:rPr>
            </w:pPr>
            <w:r>
              <w:rPr>
                <w:rFonts w:ascii="宋体" w:hAnsi="宋体" w:cs="宋体" w:eastAsia="宋体" w:hint="default"/>
                <w:sz w:val="18"/>
                <w:szCs w:val="18"/>
              </w:rPr>
              <w:t>股份限售承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2"/>
              <w:jc w:val="right"/>
              <w:rPr>
                <w:rFonts w:ascii="宋体" w:hAnsi="宋体" w:cs="宋体" w:eastAsia="宋体" w:hint="default"/>
                <w:sz w:val="18"/>
                <w:szCs w:val="18"/>
              </w:rPr>
            </w:pPr>
            <w:r>
              <w:rPr>
                <w:rFonts w:ascii="宋体" w:hAnsi="宋体" w:cs="宋体" w:eastAsia="宋体" w:hint="default"/>
                <w:sz w:val="18"/>
                <w:szCs w:val="18"/>
              </w:rPr>
              <w:t>根据廖道训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6"/>
              <w:jc w:val="right"/>
              <w:rPr>
                <w:rFonts w:ascii="宋体" w:hAnsi="宋体" w:cs="宋体" w:eastAsia="宋体" w:hint="default"/>
                <w:sz w:val="18"/>
                <w:szCs w:val="18"/>
              </w:rPr>
            </w:pPr>
            <w:r>
              <w:rPr>
                <w:rFonts w:ascii="宋体" w:hAnsi="宋体" w:cs="宋体" w:eastAsia="宋体" w:hint="default"/>
                <w:sz w:val="18"/>
                <w:szCs w:val="18"/>
              </w:rPr>
              <w:t>该承诺履行</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目前尚未解</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瑞、吴春红、 柴继军、姜海 林、陈智华、 袁闯、李学 凌、高玮、梁 世平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等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 致行动人出 具的承诺，廖 道训等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人在本次交 易中认购上 市公司股份 的锁定期满 足下述条件：</w:t>
            </w:r>
          </w:p>
          <w:p>
            <w:pPr>
              <w:pStyle w:val="TableParagraph"/>
              <w:spacing w:line="314" w:lineRule="auto" w:before="20"/>
              <w:ind w:left="22"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）廖道训 等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 致行动人在 本次发行中 所认购的远 东股份的股 票自上市之 日起六十个 月内不进行 任何转让。</w:t>
            </w:r>
          </w:p>
          <w:p>
            <w:pPr>
              <w:pStyle w:val="TableParagraph"/>
              <w:spacing w:line="314"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）若远东 股份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年度专项审 计报告、减值 测试报告等 相关文件（名 称以实际出 具报告名称 为准）出具的 日期晚于上 述股份的限 售期届满日， 则廖道训等</w:t>
            </w:r>
          </w:p>
          <w:p>
            <w:pPr>
              <w:pStyle w:val="TableParagraph"/>
              <w:spacing w:line="312" w:lineRule="auto" w:before="2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 </w:t>
            </w:r>
            <w:r>
              <w:rPr>
                <w:rFonts w:ascii="宋体" w:hAnsi="宋体" w:cs="宋体" w:eastAsia="宋体" w:hint="default"/>
                <w:spacing w:val="-2"/>
                <w:sz w:val="18"/>
                <w:szCs w:val="18"/>
              </w:rPr>
              <w:t>动人承诺，待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远东股份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 审计报告出 具以及减值</w:t>
            </w:r>
          </w:p>
          <w:p>
            <w:pPr>
              <w:pStyle w:val="TableParagraph"/>
              <w:spacing w:line="319" w:lineRule="auto" w:before="22"/>
              <w:ind w:left="22" w:right="12"/>
              <w:jc w:val="left"/>
              <w:rPr>
                <w:rFonts w:ascii="宋体" w:hAnsi="宋体" w:cs="宋体" w:eastAsia="宋体" w:hint="default"/>
                <w:sz w:val="18"/>
                <w:szCs w:val="18"/>
              </w:rPr>
            </w:pPr>
            <w:r>
              <w:rPr>
                <w:rFonts w:ascii="宋体" w:hAnsi="宋体" w:cs="宋体" w:eastAsia="宋体" w:hint="default"/>
                <w:sz w:val="18"/>
                <w:szCs w:val="18"/>
              </w:rPr>
              <w:t>测试完成后， 视是否需要 实行股份补 偿，扣减需进 行股份补偿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年度的审计 报告出具以 及减值测试 </w:t>
            </w:r>
            <w:r>
              <w:rPr>
                <w:rFonts w:ascii="宋体" w:hAnsi="宋体" w:cs="宋体" w:eastAsia="宋体" w:hint="default"/>
                <w:spacing w:val="-3"/>
                <w:sz w:val="18"/>
                <w:szCs w:val="18"/>
              </w:rPr>
              <w:t>完成后，视情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况的时期。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pacing w:val="-5"/>
                <w:sz w:val="18"/>
                <w:szCs w:val="18"/>
              </w:rPr>
              <w:t>除限售，没有</w:t>
            </w:r>
            <w:r>
              <w:rPr>
                <w:rFonts w:ascii="宋体" w:hAnsi="宋体" w:cs="宋体" w:eastAsia="宋体" w:hint="default"/>
                <w:sz w:val="18"/>
                <w:szCs w:val="18"/>
              </w:rPr>
              <w:t> 违反承诺的 行为。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72.47998pt;width:55.85pt;height:686.5pt;mso-position-horizontal-relative:page;mso-position-vertical-relative:page;z-index:-1247008" coordorigin="7353,1450" coordsize="1117,13730">
            <v:shape style="position:absolute;left:7353;top:1450;width:1117;height:13730" coordorigin="7353,1450" coordsize="1117,13730" path="m7353,15179l8470,15179,8470,1450,7353,1450,7353,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部分。期间廖</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道训等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一致行动人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继续履行第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一条的承诺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所认购的远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东股份的股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廖道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训等 </w:t>
            </w:r>
            <w:r>
              <w:rPr>
                <w:rFonts w:ascii="Times New Roman" w:hAnsi="Times New Roman" w:cs="Times New Roman" w:eastAsia="Times New Roman" w:hint="default"/>
                <w:sz w:val="18"/>
                <w:szCs w:val="18"/>
              </w:rPr>
              <w:t>10  </w:t>
            </w:r>
            <w:r>
              <w:rPr>
                <w:rFonts w:ascii="宋体" w:hAnsi="宋体" w:cs="宋体" w:eastAsia="宋体" w:hint="default"/>
                <w:sz w:val="18"/>
                <w:szCs w:val="18"/>
              </w:rPr>
              <w:t>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一致行动人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中存在部分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人员担任远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东股份董事、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监事或高级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遵守上述股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份限售的承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诺外，上述人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员承诺每年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不超过其所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总数的 </w:t>
            </w:r>
            <w:r>
              <w:rPr>
                <w:rFonts w:ascii="Times New Roman" w:hAnsi="Times New Roman" w:cs="Times New Roman" w:eastAsia="Times New Roman" w:hint="default"/>
                <w:sz w:val="18"/>
                <w:szCs w:val="18"/>
              </w:rPr>
              <w:t>25%</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内，承诺不转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让其所持公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司股份；申报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离任六个月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后的十二个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月内，承诺通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所挂牌交易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出售公司股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票数量不超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过其所持公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2"/>
                <w:sz w:val="18"/>
                <w:szCs w:val="18"/>
              </w:rPr>
              <w:t> </w:t>
            </w:r>
            <w:r>
              <w:rPr>
                <w:rFonts w:ascii="Times New Roman" w:hAnsi="Times New Roman" w:cs="Times New Roman" w:eastAsia="Times New Roman" w:hint="default"/>
                <w:spacing w:val="-12"/>
                <w:sz w:val="18"/>
                <w:szCs w:val="18"/>
              </w:rPr>
              <w:t>50%</w:t>
            </w:r>
            <w:r>
              <w:rPr>
                <w:rFonts w:ascii="宋体" w:hAnsi="宋体" w:cs="宋体" w:eastAsia="宋体" w:hint="default"/>
                <w:spacing w:val="-12"/>
                <w:sz w:val="18"/>
                <w:szCs w:val="18"/>
              </w:rPr>
              <w:t>。本次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交易前，廖道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致行动人持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有标的公司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82.35%</w:t>
            </w:r>
            <w:r>
              <w:rPr>
                <w:rFonts w:ascii="宋体" w:hAnsi="宋体" w:cs="宋体" w:eastAsia="宋体" w:hint="default"/>
                <w:sz w:val="18"/>
                <w:szCs w:val="18"/>
              </w:rPr>
              <w:t>股权；</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80011pt;margin-top:538.23999pt;width:71pt;height:225.2pt;mso-position-horizontal-relative:page;mso-position-vertical-relative:page;z-index:-1246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before="0"/>
                    <w:ind w:left="0" w:right="0"/>
                    <w:jc w:val="left"/>
                  </w:pPr>
                  <w:r>
                    <w:rPr/>
                    <w:t>年，</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
              <w:jc w:val="left"/>
              <w:rPr>
                <w:rFonts w:ascii="宋体" w:hAnsi="宋体" w:cs="宋体" w:eastAsia="宋体" w:hint="default"/>
                <w:sz w:val="18"/>
                <w:szCs w:val="18"/>
              </w:rPr>
            </w:pPr>
            <w:r>
              <w:rPr>
                <w:rFonts w:ascii="宋体" w:hAnsi="宋体" w:cs="宋体" w:eastAsia="宋体" w:hint="default"/>
                <w:sz w:val="18"/>
                <w:szCs w:val="18"/>
              </w:rPr>
              <w:t>交易完成后， 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人合计持有 上市公司 </w:t>
            </w:r>
            <w:r>
              <w:rPr>
                <w:rFonts w:ascii="Times New Roman" w:hAnsi="Times New Roman" w:cs="Times New Roman" w:eastAsia="Times New Roman" w:hint="default"/>
                <w:sz w:val="18"/>
                <w:szCs w:val="18"/>
              </w:rPr>
              <w:t>57.92%</w:t>
            </w:r>
            <w:r>
              <w:rPr>
                <w:rFonts w:ascii="宋体" w:hAnsi="宋体" w:cs="宋体" w:eastAsia="宋体" w:hint="default"/>
                <w:sz w:val="18"/>
                <w:szCs w:val="18"/>
              </w:rPr>
              <w:t>股权。 如果由于上 市公司送红 股、转增股本 等原因增持 的股份，亦应 遵守上述锁 定期的约定。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廖道训、吴玉 瑞、吴春红、 柴继军、姜海 林、陈智华、 袁闯、李学 凌、高玮、梁 世平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根据远东股 份于廖道训 等 </w:t>
            </w:r>
            <w:r>
              <w:rPr>
                <w:rFonts w:ascii="Times New Roman" w:hAnsi="Times New Roman" w:cs="Times New Roman" w:eastAsia="Times New Roman" w:hint="default"/>
                <w:sz w:val="18"/>
                <w:szCs w:val="18"/>
              </w:rPr>
              <w:t>17 </w:t>
            </w:r>
            <w:r>
              <w:rPr>
                <w:rFonts w:ascii="宋体" w:hAnsi="宋体" w:cs="宋体" w:eastAsia="宋体" w:hint="default"/>
                <w:sz w:val="18"/>
                <w:szCs w:val="18"/>
              </w:rPr>
              <w:t>名自 然人签署的</w:t>
            </w:r>
          </w:p>
          <w:p>
            <w:pPr>
              <w:pStyle w:val="TableParagraph"/>
              <w:spacing w:line="316"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《发行股份 购买资产的 利润补偿协 </w:t>
            </w:r>
            <w:r>
              <w:rPr>
                <w:rFonts w:ascii="宋体" w:hAnsi="宋体" w:cs="宋体" w:eastAsia="宋体" w:hint="default"/>
                <w:spacing w:val="-28"/>
                <w:sz w:val="18"/>
                <w:szCs w:val="18"/>
              </w:rPr>
              <w:t>议》、《发行股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份购买资产 的利润预测 补偿协议的 </w:t>
            </w:r>
            <w:r>
              <w:rPr>
                <w:rFonts w:ascii="宋体" w:hAnsi="宋体" w:cs="宋体" w:eastAsia="宋体" w:hint="default"/>
                <w:spacing w:val="-15"/>
                <w:sz w:val="18"/>
                <w:szCs w:val="18"/>
              </w:rPr>
              <w:t>补充协议》、</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《发行股份 购买资产的 利润预测补 偿协议的补 </w:t>
            </w:r>
            <w:r>
              <w:rPr>
                <w:rFonts w:ascii="宋体" w:hAnsi="宋体" w:cs="宋体" w:eastAsia="宋体" w:hint="default"/>
                <w:spacing w:val="-15"/>
                <w:sz w:val="18"/>
                <w:szCs w:val="18"/>
              </w:rPr>
              <w:t>充协议二》，</w:t>
            </w:r>
            <w:r>
              <w:rPr>
                <w:rFonts w:ascii="宋体" w:hAnsi="宋体" w:cs="宋体" w:eastAsia="宋体" w:hint="default"/>
                <w:sz w:val="18"/>
                <w:szCs w:val="18"/>
              </w:rPr>
              <w:t> 以及廖道训 等 </w:t>
            </w:r>
            <w:r>
              <w:rPr>
                <w:rFonts w:ascii="Times New Roman" w:hAnsi="Times New Roman" w:cs="Times New Roman" w:eastAsia="Times New Roman" w:hint="default"/>
                <w:sz w:val="18"/>
                <w:szCs w:val="18"/>
              </w:rPr>
              <w:t>17 </w:t>
            </w:r>
            <w:r>
              <w:rPr>
                <w:rFonts w:ascii="宋体" w:hAnsi="宋体" w:cs="宋体" w:eastAsia="宋体" w:hint="default"/>
                <w:sz w:val="18"/>
                <w:szCs w:val="18"/>
              </w:rPr>
              <w:t>名自 然人出具的 </w:t>
            </w:r>
            <w:r>
              <w:rPr>
                <w:rFonts w:ascii="宋体" w:hAnsi="宋体" w:cs="宋体" w:eastAsia="宋体" w:hint="default"/>
                <w:spacing w:val="-2"/>
                <w:sz w:val="18"/>
                <w:szCs w:val="18"/>
              </w:rPr>
              <w:t>承诺，廖道训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 </w:t>
            </w:r>
            <w:r>
              <w:rPr>
                <w:rFonts w:ascii="Times New Roman" w:hAnsi="Times New Roman" w:cs="Times New Roman" w:eastAsia="Times New Roman" w:hint="default"/>
                <w:sz w:val="18"/>
                <w:szCs w:val="18"/>
              </w:rPr>
              <w:t>17 </w:t>
            </w:r>
            <w:r>
              <w:rPr>
                <w:rFonts w:ascii="宋体" w:hAnsi="宋体" w:cs="宋体" w:eastAsia="宋体" w:hint="default"/>
                <w:sz w:val="18"/>
                <w:szCs w:val="18"/>
              </w:rPr>
              <w:t>名自 然人对上市 公司的利润 补偿期间为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2017</w:t>
            </w:r>
          </w:p>
          <w:p>
            <w:pPr>
              <w:pStyle w:val="TableParagraph"/>
              <w:spacing w:line="309" w:lineRule="auto" w:before="63"/>
              <w:ind w:left="22" w:right="282"/>
              <w:jc w:val="both"/>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标的资产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45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55.85pt;height:225.2pt;mso-position-horizontal-relative:char;mso-position-vertical-relative:line" coordorigin="0,0" coordsize="1117,4504">
                  <v:group style="position:absolute;left:0;top:0;width:1117;height:4504" coordorigin="0,0" coordsize="1117,4504">
                    <v:shape style="position:absolute;left:0;top:0;width:1117;height:4504" coordorigin="0,0" coordsize="1117,4504" path="m0,4504l1116,4504,1116,0,0,0,0,4504xe" filled="true" fillcolor="#ffffff" stroked="false">
                      <v:path arrowok="t"/>
                      <v:fill type="solid"/>
                    </v:shape>
                  </v:group>
                </v:group>
              </w:pict>
            </w:r>
            <w:r>
              <w:rPr>
                <w:rFonts w:ascii="Times New Roman" w:hAnsi="Times New Roman" w:cs="Times New Roman" w:eastAsia="Times New Roman" w:hint="default"/>
                <w:position w:val="-89"/>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年年报</w:t>
            </w:r>
          </w:p>
          <w:p>
            <w:pPr>
              <w:pStyle w:val="TableParagraph"/>
              <w:spacing w:line="309" w:lineRule="auto" w:before="63"/>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年年报</w:t>
            </w:r>
            <w:r>
              <w:rPr>
                <w:rFonts w:ascii="宋体" w:hAnsi="宋体" w:cs="宋体" w:eastAsia="宋体" w:hint="default"/>
                <w:w w:val="99"/>
                <w:sz w:val="18"/>
                <w:szCs w:val="18"/>
              </w:rPr>
              <w:t> </w:t>
            </w:r>
            <w:r>
              <w:rPr>
                <w:rFonts w:ascii="宋体" w:hAnsi="宋体" w:cs="宋体" w:eastAsia="宋体" w:hint="default"/>
                <w:sz w:val="18"/>
                <w:szCs w:val="18"/>
              </w:rPr>
              <w:t>后至该承诺</w:t>
            </w:r>
            <w:r>
              <w:rPr>
                <w:rFonts w:ascii="宋体" w:hAnsi="宋体" w:cs="宋体" w:eastAsia="宋体" w:hint="default"/>
                <w:w w:val="99"/>
                <w:sz w:val="18"/>
                <w:szCs w:val="18"/>
              </w:rPr>
              <w:t> </w:t>
            </w:r>
            <w:r>
              <w:rPr>
                <w:rFonts w:ascii="宋体" w:hAnsi="宋体" w:cs="宋体" w:eastAsia="宋体" w:hint="default"/>
                <w:sz w:val="18"/>
                <w:szCs w:val="18"/>
              </w:rPr>
              <w:t>实施日。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年每年</w:t>
            </w:r>
            <w:r>
              <w:rPr>
                <w:rFonts w:ascii="宋体" w:hAnsi="宋体" w:cs="宋体" w:eastAsia="宋体" w:hint="default"/>
                <w:w w:val="99"/>
                <w:sz w:val="18"/>
                <w:szCs w:val="18"/>
              </w:rPr>
              <w:t> </w:t>
            </w:r>
            <w:r>
              <w:rPr>
                <w:rFonts w:ascii="宋体" w:hAnsi="宋体" w:cs="宋体" w:eastAsia="宋体" w:hint="default"/>
                <w:sz w:val="18"/>
                <w:szCs w:val="18"/>
              </w:rPr>
              <w:t>实际业绩情</w:t>
            </w:r>
            <w:r>
              <w:rPr>
                <w:rFonts w:ascii="宋体" w:hAnsi="宋体" w:cs="宋体" w:eastAsia="宋体" w:hint="default"/>
                <w:w w:val="99"/>
                <w:sz w:val="18"/>
                <w:szCs w:val="18"/>
              </w:rPr>
              <w:t> </w:t>
            </w:r>
            <w:r>
              <w:rPr>
                <w:rFonts w:ascii="宋体" w:hAnsi="宋体" w:cs="宋体" w:eastAsia="宋体" w:hint="default"/>
                <w:spacing w:val="-5"/>
                <w:sz w:val="18"/>
                <w:szCs w:val="18"/>
              </w:rPr>
              <w:t>况，承诺已完</w:t>
            </w:r>
            <w:r>
              <w:rPr>
                <w:rFonts w:ascii="宋体" w:hAnsi="宋体" w:cs="宋体" w:eastAsia="宋体" w:hint="default"/>
                <w:w w:val="99"/>
                <w:sz w:val="18"/>
                <w:szCs w:val="18"/>
              </w:rPr>
              <w:t> </w:t>
            </w:r>
            <w:r>
              <w:rPr>
                <w:rFonts w:ascii="宋体" w:hAnsi="宋体" w:cs="宋体" w:eastAsia="宋体" w:hint="default"/>
                <w:sz w:val="18"/>
                <w:szCs w:val="18"/>
              </w:rPr>
              <w:t>成。</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计的扣除非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经常性损益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后的归属于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母公司净利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润（合并计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算）分别不低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11,487.38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16,328.02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22,341.27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27,741.00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32,856.00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元。如果标的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资产实际盈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利数不足利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润承诺数的，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则按照远东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股份与廖道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训等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然人签署的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利润补偿协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份购买资产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补偿协议的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补充协议</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利润预测补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偿协议的补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充协议二》的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规定进行补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偿。补偿期间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年时，如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需履行补偿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义务的，首先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由乙方中的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廖道训、吴玉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瑞、吴春红和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柴继军履行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名自然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人根据《发行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股份购买资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产的框架协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议》所获得的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视觉中国股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份不足以补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偿时，不足部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分由乙方中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自然人以其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份购买资产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的框架协议》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所获得的甲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方全部股份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履行补偿义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务。补偿期间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年时，若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应履行补偿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义务的，由廖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道训、吴玉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瑞、吴春红、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柴继军、姜海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林、陈智华、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袁闯、李学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凌、高玮、梁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然人履行全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部补偿义务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（十人内部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按照交付日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前各自所持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华夏视觉股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权占其合计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所持华夏视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觉全部股权 的比例承担 </w:t>
            </w:r>
            <w:r>
              <w:rPr>
                <w:rFonts w:ascii="宋体" w:hAnsi="宋体" w:cs="宋体" w:eastAsia="宋体" w:hint="default"/>
                <w:spacing w:val="-15"/>
                <w:sz w:val="18"/>
                <w:szCs w:val="18"/>
              </w:rPr>
              <w:t>补偿义务），</w:t>
            </w:r>
            <w:r>
              <w:rPr>
                <w:rFonts w:ascii="宋体" w:hAnsi="宋体" w:cs="宋体" w:eastAsia="宋体" w:hint="default"/>
                <w:sz w:val="18"/>
                <w:szCs w:val="18"/>
              </w:rPr>
              <w:t> 其他</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名自然 人即黄厄文、 谢志辉、秦 弦、马文佳、 王广平、张向 宁、喻建军不 需要履行补 偿义务。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0"/>
              <w:jc w:val="left"/>
              <w:rPr>
                <w:rFonts w:ascii="宋体" w:hAnsi="宋体" w:cs="宋体" w:eastAsia="宋体" w:hint="default"/>
                <w:sz w:val="18"/>
                <w:szCs w:val="18"/>
              </w:rPr>
            </w:pPr>
            <w:r>
              <w:rPr>
                <w:rFonts w:ascii="宋体" w:hAnsi="宋体" w:cs="宋体" w:eastAsia="宋体" w:hint="default"/>
                <w:sz w:val="18"/>
                <w:szCs w:val="18"/>
              </w:rPr>
              <w:t>廖道训、吴玉 瑞、吴春红、 柴继军、姜海 林、陈智华、 袁闯、李学 凌、高玮、梁 世平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关于避免 同业竞争的 承诺：廖道 训、吴玉瑞、 吴春红、柴继 军、姜海林、 陈智华、袁 闯、李学凌、 高玮、梁世平</w:t>
            </w:r>
          </w:p>
          <w:p>
            <w:pPr>
              <w:pStyle w:val="TableParagraph"/>
              <w:spacing w:line="312"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廖道训等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w:t>
            </w:r>
            <w:r>
              <w:rPr>
                <w:rFonts w:ascii="宋体" w:hAnsi="宋体" w:cs="宋体" w:eastAsia="宋体" w:hint="default"/>
                <w:spacing w:val="-13"/>
                <w:w w:val="100"/>
                <w:sz w:val="18"/>
                <w:szCs w:val="18"/>
              </w:rPr>
              <w:t>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）针对同业</w:t>
            </w:r>
            <w:r>
              <w:rPr>
                <w:rFonts w:ascii="宋体" w:hAnsi="宋体" w:cs="宋体" w:eastAsia="宋体" w:hint="default"/>
                <w:sz w:val="18"/>
                <w:szCs w:val="18"/>
              </w:rPr>
              <w:t> 竞争事项，做 出如下承诺：</w:t>
            </w:r>
          </w:p>
          <w:p>
            <w:pPr>
              <w:pStyle w:val="TableParagraph"/>
              <w:spacing w:line="314" w:lineRule="auto" w:before="22"/>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 本人所控制 的其他子公 司、分公司、 合营或联营 公司及其他 任何类型企 业（以下统称 为</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 </w:t>
            </w:r>
            <w:r>
              <w:rPr>
                <w:rFonts w:ascii="宋体" w:hAnsi="宋体" w:cs="宋体" w:eastAsia="宋体" w:hint="default"/>
                <w:spacing w:val="-13"/>
                <w:w w:val="100"/>
                <w:sz w:val="18"/>
                <w:szCs w:val="18"/>
              </w:rPr>
              <w:t>业</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）目前均未</w:t>
            </w:r>
            <w:r>
              <w:rPr>
                <w:rFonts w:ascii="宋体" w:hAnsi="宋体" w:cs="宋体" w:eastAsia="宋体" w:hint="default"/>
                <w:sz w:val="18"/>
                <w:szCs w:val="18"/>
              </w:rPr>
              <w:t> 从事任何与 上市公司构 成直接或间 接竞争的生 产经营业务 </w:t>
            </w:r>
            <w:r>
              <w:rPr>
                <w:rFonts w:ascii="宋体" w:hAnsi="宋体" w:cs="宋体" w:eastAsia="宋体" w:hint="default"/>
                <w:spacing w:val="-13"/>
                <w:sz w:val="18"/>
                <w:szCs w:val="18"/>
              </w:rPr>
              <w:t>或活动。（</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本人及相关 企业将来亦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3"/>
              <w:jc w:val="left"/>
              <w:rPr>
                <w:rFonts w:ascii="宋体" w:hAnsi="宋体" w:cs="宋体" w:eastAsia="宋体" w:hint="default"/>
                <w:sz w:val="18"/>
                <w:szCs w:val="18"/>
              </w:rPr>
            </w:pPr>
            <w:r>
              <w:rPr>
                <w:rFonts w:ascii="宋体" w:hAnsi="宋体" w:cs="宋体" w:eastAsia="宋体" w:hint="default"/>
                <w:spacing w:val="-5"/>
                <w:sz w:val="18"/>
                <w:szCs w:val="18"/>
              </w:rPr>
              <w:t>正在履行，目</w:t>
            </w:r>
            <w:r>
              <w:rPr>
                <w:rFonts w:ascii="宋体" w:hAnsi="宋体" w:cs="宋体" w:eastAsia="宋体" w:hint="default"/>
                <w:sz w:val="18"/>
                <w:szCs w:val="18"/>
              </w:rPr>
              <w:t> 前没有违反 承诺的行为。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不直接或间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接从事任何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事、参与或进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司的生产经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活动，且不再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对具有与上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务的企业进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行投资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本人将对自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身及相关企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业的生产经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监督和约束，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如果将来本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人及相关企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或业务出现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承诺将采取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以下措施解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决：①上市公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司认为必要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减持直至全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部转让所持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有的有关资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产和业务；②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为必要时，可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以通过适当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方式优先收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相关企业持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有的有关资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产和业务；③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公司因同业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竞争产生利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益冲突时，则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无条件将相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关利益让与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④无条件接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提出的可消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除竞争的其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他措施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如本人或相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关企业违反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负责赔偿上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子公司因同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而导致的损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失，并且本人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及相关企业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公司竞争业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务所产生的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全部收益均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所有。</w:t>
            </w:r>
            <w:r>
              <w:rPr>
                <w:rFonts w:ascii="Times New Roman" w:hAnsi="Times New Roman" w:cs="Times New Roman" w:eastAsia="Times New Roman" w:hint="default"/>
                <w:spacing w:val="-12"/>
                <w:sz w:val="18"/>
                <w:szCs w:val="18"/>
              </w:rPr>
              <w:t>2.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减少和规范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承诺：廖道训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行动人针对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易事项，做出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）尽量避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免或减少实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股股东所控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公司、分公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司、合营或联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营公司与上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和股东地位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及影响谋求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业务合作等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方面给予优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于市场第三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方的权利；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实际控制和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股东地位及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影响谋求与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成交易的优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先权利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将以市场公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允价格与上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该类交易从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事任何损害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就实际控制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之间将来可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能发生的关 </w:t>
            </w:r>
            <w:r>
              <w:rPr>
                <w:rFonts w:ascii="宋体" w:hAnsi="宋体" w:cs="宋体" w:eastAsia="宋体" w:hint="default"/>
                <w:spacing w:val="-2"/>
                <w:sz w:val="18"/>
                <w:szCs w:val="18"/>
              </w:rPr>
              <w:t>联交易，将督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促公司履行 合法决策程 </w:t>
            </w:r>
            <w:r>
              <w:rPr>
                <w:rFonts w:ascii="宋体" w:hAnsi="宋体" w:cs="宋体" w:eastAsia="宋体" w:hint="default"/>
                <w:spacing w:val="-2"/>
                <w:sz w:val="18"/>
                <w:szCs w:val="18"/>
              </w:rPr>
              <w:t>序，按照《深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圳证券交易 所股票上市 </w:t>
            </w:r>
            <w:r>
              <w:rPr>
                <w:rFonts w:ascii="宋体" w:hAnsi="宋体" w:cs="宋体" w:eastAsia="宋体" w:hint="default"/>
                <w:spacing w:val="-2"/>
                <w:sz w:val="18"/>
                <w:szCs w:val="18"/>
              </w:rPr>
              <w:t>规则》和公司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章程的相关 要求及时详 细进行信息 </w:t>
            </w:r>
            <w:r>
              <w:rPr>
                <w:rFonts w:ascii="宋体" w:hAnsi="宋体" w:cs="宋体" w:eastAsia="宋体" w:hint="default"/>
                <w:spacing w:val="-2"/>
                <w:sz w:val="18"/>
                <w:szCs w:val="18"/>
              </w:rPr>
              <w:t>披露；对于正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常商业项目 合作均严格 按照市场经 </w:t>
            </w:r>
            <w:r>
              <w:rPr>
                <w:rFonts w:ascii="宋体" w:hAnsi="宋体" w:cs="宋体" w:eastAsia="宋体" w:hint="default"/>
                <w:spacing w:val="-2"/>
                <w:sz w:val="18"/>
                <w:szCs w:val="18"/>
              </w:rPr>
              <w:t>济原则，采用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公开招标或 者市场定价 等方式。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3" w:right="10"/>
              <w:jc w:val="left"/>
              <w:rPr>
                <w:rFonts w:ascii="宋体" w:hAnsi="宋体" w:cs="宋体" w:eastAsia="宋体" w:hint="default"/>
                <w:sz w:val="18"/>
                <w:szCs w:val="18"/>
              </w:rPr>
            </w:pPr>
            <w:r>
              <w:rPr>
                <w:rFonts w:ascii="宋体" w:hAnsi="宋体" w:cs="宋体" w:eastAsia="宋体" w:hint="default"/>
                <w:sz w:val="18"/>
                <w:szCs w:val="18"/>
              </w:rPr>
              <w:t>廖道训、吴玉 瑞、吴春红、 柴继军、姜海 林、陈智华、 袁闯、李学 凌、高玮、梁 世平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保证上市公 司独立性的 承诺：为了保 护中小股东 利益，作为本 次交易完成 后的实际控 制人（廖道 训、吴玉瑞、 吴春红、柴继 军、姜海林、 陈智华、袁 闯、李学凌、 高玮、梁世 </w:t>
            </w:r>
            <w:r>
              <w:rPr>
                <w:rFonts w:ascii="宋体" w:hAnsi="宋体" w:cs="宋体" w:eastAsia="宋体" w:hint="default"/>
                <w:spacing w:val="-13"/>
                <w:w w:val="100"/>
                <w:sz w:val="18"/>
                <w:szCs w:val="18"/>
              </w:rPr>
              <w:t>平，简称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廖道</w:t>
            </w:r>
            <w:r>
              <w:rPr>
                <w:rFonts w:ascii="宋体" w:hAnsi="宋体" w:cs="宋体" w:eastAsia="宋体" w:hint="default"/>
                <w:sz w:val="18"/>
                <w:szCs w:val="18"/>
              </w:rPr>
              <w:t> 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 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 </w:t>
            </w:r>
            <w:r>
              <w:rPr>
                <w:rFonts w:ascii="宋体" w:hAnsi="宋体" w:cs="宋体" w:eastAsia="宋体" w:hint="default"/>
                <w:spacing w:val="-13"/>
                <w:w w:val="100"/>
                <w:sz w:val="18"/>
                <w:szCs w:val="18"/>
              </w:rPr>
              <w:t>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）针对保证</w:t>
            </w:r>
            <w:r>
              <w:rPr>
                <w:rFonts w:ascii="宋体" w:hAnsi="宋体" w:cs="宋体" w:eastAsia="宋体" w:hint="default"/>
                <w:sz w:val="18"/>
                <w:szCs w:val="18"/>
              </w:rPr>
              <w:t> 上市公司独 立性事项，做 出如下承诺： 保证做到远 东股份人员 独立、财务独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3"/>
              <w:jc w:val="left"/>
              <w:rPr>
                <w:rFonts w:ascii="宋体" w:hAnsi="宋体" w:cs="宋体" w:eastAsia="宋体" w:hint="default"/>
                <w:sz w:val="18"/>
                <w:szCs w:val="18"/>
              </w:rPr>
            </w:pPr>
            <w:r>
              <w:rPr>
                <w:rFonts w:ascii="宋体" w:hAnsi="宋体" w:cs="宋体" w:eastAsia="宋体" w:hint="default"/>
                <w:spacing w:val="-5"/>
                <w:sz w:val="18"/>
                <w:szCs w:val="18"/>
              </w:rPr>
              <w:t>正在履行，目</w:t>
            </w:r>
            <w:r>
              <w:rPr>
                <w:rFonts w:ascii="宋体" w:hAnsi="宋体" w:cs="宋体" w:eastAsia="宋体" w:hint="default"/>
                <w:sz w:val="18"/>
                <w:szCs w:val="18"/>
              </w:rPr>
              <w:t> 前没有违反 承诺的行为。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立、机构独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立、资产独立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完整、业务独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立，具体如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 </w:t>
            </w:r>
            <w:r>
              <w:rPr>
                <w:rFonts w:ascii="Times New Roman" w:hAnsi="Times New Roman" w:cs="Times New Roman" w:eastAsia="Times New Roman" w:hint="default"/>
                <w:sz w:val="18"/>
                <w:szCs w:val="18"/>
              </w:rPr>
              <w:t>1.  </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员独立①上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理和其他高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专职在上市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公司任职、并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领取薪酬，不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会在承诺人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兼任除董事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外的其他任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何职务，继续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司人员的独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立性； ②上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的劳动、人事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管理体系，该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等体系独立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③承诺人及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其关联方推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荐出任上市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员的人选均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通过合法程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序进行，承诺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人及其关联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会和股东大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会已做出的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人事任免决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定。</w:t>
            </w:r>
            <w:r>
              <w:rPr>
                <w:rFonts w:ascii="Times New Roman" w:hAnsi="Times New Roman" w:cs="Times New Roman" w:eastAsia="Times New Roman" w:hint="default"/>
                <w:spacing w:val="-14"/>
                <w:sz w:val="18"/>
                <w:szCs w:val="18"/>
              </w:rPr>
              <w:t>2.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保证上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市公司资产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独立、完整①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有完整的经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营性资产；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不违规占用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资金、资产及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其他资源。</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司机构独立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①上市公司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依法建立和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完善法人治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理结构，建立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独立、完整的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之间在办公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机构和生产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经营场所等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方面完全分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开。</w:t>
            </w:r>
            <w:r>
              <w:rPr>
                <w:rFonts w:ascii="Times New Roman" w:hAnsi="Times New Roman" w:cs="Times New Roman" w:eastAsia="Times New Roman" w:hint="default"/>
                <w:spacing w:val="-14"/>
                <w:sz w:val="18"/>
                <w:szCs w:val="18"/>
              </w:rPr>
              <w:t>4.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独立①上市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立开展经营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人员、资质以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及具有独立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面向市场自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主经营的能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力，在经营业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务方面具有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独立运作；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②除通过行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使合法的股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东权利外，不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干预上市公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司的经营业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务活动；③依</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据减少并规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的原则并采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取合法方式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减少或消除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确有必要存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易，其关联交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公平合理及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市场化原则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确定，确保上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他股东利益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不受到损害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并及时履行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务。</w:t>
            </w:r>
            <w:r>
              <w:rPr>
                <w:rFonts w:ascii="Times New Roman" w:hAnsi="Times New Roman" w:cs="Times New Roman" w:eastAsia="Times New Roman" w:hint="default"/>
                <w:spacing w:val="-14"/>
                <w:sz w:val="18"/>
                <w:szCs w:val="18"/>
              </w:rPr>
              <w:t>5.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保证公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司财务独立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①上市公司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财务会计部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门，建立独立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的财务核算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体系和财务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管理制度；②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立在银行开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户，不与本人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企业共用一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个银行账户；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③上市公司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独立作出财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务决策，本人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企业不干预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资金使用；④</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上市公司依 法独立纳税；</w:t>
            </w:r>
          </w:p>
          <w:p>
            <w:pPr>
              <w:pStyle w:val="TableParagraph"/>
              <w:spacing w:line="319"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⑤上市公司 的财务人员 独立，不在本 人控制的其 他企业兼职 和领取报酬。</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廖道训、吴玉 瑞、吴春红、 柴继军、姜海 林、陈智华、 袁闯、李学 凌、高玮、梁 世平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91"/>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针对标的资 产评估假设 不能实现时 </w:t>
            </w:r>
            <w:r>
              <w:rPr>
                <w:rFonts w:ascii="宋体" w:hAnsi="宋体" w:cs="宋体" w:eastAsia="宋体" w:hint="default"/>
                <w:spacing w:val="-2"/>
                <w:sz w:val="18"/>
                <w:szCs w:val="18"/>
              </w:rPr>
              <w:t>的承诺：针对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本次交易中 评估机构对 标的资产所 作的针对性 </w:t>
            </w:r>
            <w:r>
              <w:rPr>
                <w:rFonts w:ascii="宋体" w:hAnsi="宋体" w:cs="宋体" w:eastAsia="宋体" w:hint="default"/>
                <w:spacing w:val="-2"/>
                <w:sz w:val="18"/>
                <w:szCs w:val="18"/>
              </w:rPr>
              <w:t>评估假设，廖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一致行动人</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（廖道训、吴 玉瑞、吴春 红、柴继军、 姜海林、陈智 华、袁闯、李 学凌、高玮、 梁世平）已作 出承诺： 华 盖创意、汉华 易美的高新 技术企业认 证到期后如 未能继续取 </w:t>
            </w:r>
            <w:r>
              <w:rPr>
                <w:rFonts w:ascii="宋体" w:hAnsi="宋体" w:cs="宋体" w:eastAsia="宋体" w:hint="default"/>
                <w:spacing w:val="-23"/>
                <w:sz w:val="18"/>
                <w:szCs w:val="18"/>
              </w:rPr>
              <w:t>得，或与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Getty </w:t>
            </w:r>
            <w:r>
              <w:rPr>
                <w:rFonts w:ascii="宋体" w:hAnsi="宋体" w:cs="宋体" w:eastAsia="宋体" w:hint="default"/>
                <w:sz w:val="18"/>
                <w:szCs w:val="18"/>
              </w:rPr>
              <w:t>的采购合同</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 期后无法完 成续签工作， 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 人将聘请专 业机构就上 述事项对上 市公司的影 响进行测算，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华盖创意、汉</w:t>
            </w:r>
            <w:r>
              <w:rPr>
                <w:rFonts w:ascii="宋体" w:hAnsi="宋体" w:cs="宋体" w:eastAsia="宋体" w:hint="default"/>
                <w:sz w:val="18"/>
                <w:szCs w:val="18"/>
              </w:rPr>
              <w:t> 华易美分别 通过其全资 子公司取得</w:t>
            </w:r>
          </w:p>
          <w:p>
            <w:pPr>
              <w:pStyle w:val="TableParagraph"/>
              <w:spacing w:line="314" w:lineRule="auto" w:before="17"/>
              <w:ind w:left="22" w:right="24"/>
              <w:jc w:val="left"/>
              <w:rPr>
                <w:rFonts w:ascii="宋体" w:hAnsi="宋体" w:cs="宋体" w:eastAsia="宋体" w:hint="default"/>
                <w:sz w:val="18"/>
                <w:szCs w:val="18"/>
              </w:rPr>
            </w:pPr>
            <w:r>
              <w:rPr>
                <w:rFonts w:ascii="宋体" w:hAnsi="宋体" w:cs="宋体" w:eastAsia="宋体" w:hint="default"/>
                <w:sz w:val="18"/>
                <w:szCs w:val="18"/>
              </w:rPr>
              <w:t>《高新技术 </w:t>
            </w:r>
            <w:r>
              <w:rPr>
                <w:rFonts w:ascii="宋体" w:hAnsi="宋体" w:cs="宋体" w:eastAsia="宋体" w:hint="default"/>
                <w:spacing w:val="-15"/>
                <w:sz w:val="18"/>
                <w:szCs w:val="18"/>
              </w:rPr>
              <w:t>企业证书》，</w:t>
            </w:r>
            <w:r>
              <w:rPr>
                <w:rFonts w:ascii="宋体" w:hAnsi="宋体" w:cs="宋体" w:eastAsia="宋体" w:hint="default"/>
                <w:sz w:val="18"/>
                <w:szCs w:val="18"/>
              </w:rPr>
              <w:t> 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的采 购合同已续 </w:t>
            </w:r>
            <w:r>
              <w:rPr>
                <w:rFonts w:ascii="宋体" w:hAnsi="宋体" w:cs="宋体" w:eastAsia="宋体" w:hint="default"/>
                <w:spacing w:val="-5"/>
                <w:sz w:val="18"/>
                <w:szCs w:val="18"/>
              </w:rPr>
              <w:t>签，目前没有</w:t>
            </w:r>
            <w:r>
              <w:rPr>
                <w:rFonts w:ascii="宋体" w:hAnsi="宋体" w:cs="宋体" w:eastAsia="宋体" w:hint="default"/>
                <w:sz w:val="18"/>
                <w:szCs w:val="18"/>
              </w:rPr>
              <w:t> 违反承诺的 行为。</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并就因上述 事项带来的 损失对上市 公司进行补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柴继军、廖道</w:t>
            </w:r>
            <w:r>
              <w:rPr>
                <w:rFonts w:ascii="宋体" w:hAnsi="宋体" w:cs="宋体" w:eastAsia="宋体" w:hint="default"/>
                <w:sz w:val="18"/>
                <w:szCs w:val="18"/>
              </w:rPr>
              <w:t> 训、吴春红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 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 国特定多客 户资产管理 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的其他 委托人均为 视觉中国的 实际控制人， 依照《上市公 司收购管理 办法》第八十 三条等有关 法规和视觉 中国章程的 规定，在视觉 中国的实际 控制人履行 重大权益变 动信息披露、 要约收购等 法定义务时， 视觉中国的 实际控制人 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w:t>
            </w:r>
            <w:r>
              <w:rPr>
                <w:rFonts w:ascii="Times New Roman" w:hAnsi="Times New Roman" w:cs="Times New Roman" w:eastAsia="Times New Roman" w:hint="default"/>
                <w:sz w:val="18"/>
                <w:szCs w:val="18"/>
              </w:rPr>
              <w:t>- </w:t>
            </w:r>
            <w:r>
              <w:rPr>
                <w:rFonts w:ascii="宋体" w:hAnsi="宋体" w:cs="宋体" w:eastAsia="宋体" w:hint="default"/>
                <w:sz w:val="18"/>
                <w:szCs w:val="18"/>
              </w:rPr>
              <w:t>视觉中国特 定多客户资 产管理计划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为一致行动 人，视觉中国 实际控制人 直接持有的 视觉中国股 票数量与</w:t>
            </w:r>
            <w:r>
              <w:rPr>
                <w:rFonts w:ascii="Times New Roman" w:hAnsi="Times New Roman" w:cs="Times New Roman" w:eastAsia="Times New Roman" w:hint="default"/>
                <w:sz w:val="18"/>
                <w:szCs w:val="18"/>
              </w:rPr>
              <w:t>“</w:t>
            </w:r>
            <w:r>
              <w:rPr>
                <w:rFonts w:ascii="宋体" w:hAnsi="宋体" w:cs="宋体" w:eastAsia="宋体" w:hint="default"/>
                <w:sz w:val="18"/>
                <w:szCs w:val="18"/>
              </w:rPr>
              <w:t>华 泰柏瑞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视觉 中国特定多 客户资产管 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 的视觉中国 股票数量将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正常履行。已</w:t>
            </w:r>
            <w:r>
              <w:rPr>
                <w:rFonts w:ascii="宋体" w:hAnsi="宋体" w:cs="宋体" w:eastAsia="宋体" w:hint="default"/>
                <w:sz w:val="18"/>
                <w:szCs w:val="18"/>
              </w:rPr>
              <w:t> 经告知常年 </w:t>
            </w:r>
            <w:r>
              <w:rPr>
                <w:rFonts w:ascii="宋体" w:hAnsi="宋体" w:cs="宋体" w:eastAsia="宋体" w:hint="default"/>
                <w:spacing w:val="-5"/>
                <w:sz w:val="18"/>
                <w:szCs w:val="18"/>
              </w:rPr>
              <w:t>法律顾问，并</w:t>
            </w:r>
            <w:r>
              <w:rPr>
                <w:rFonts w:ascii="宋体" w:hAnsi="宋体" w:cs="宋体" w:eastAsia="宋体" w:hint="default"/>
                <w:sz w:val="18"/>
                <w:szCs w:val="18"/>
              </w:rPr>
              <w:t> 将在股东大 会投票时计 算。</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合并计算。</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883"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陈智华、高 玮、姜海林、 李学凌、梁世 平、吴玉瑞、 袁闯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3"/>
              <w:ind w:left="22" w:right="191"/>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 觉中国特定 多客户资产 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 委托人廖道 训、吴春红、 柴继军均为 视觉中国的 实际控制人， 依照《上市公 司收购管理 办法》第八十 三条等有关 法规和视觉 中国章程的 规定，在视觉 中国的实际 控制人履行 重大权益变 动信息披露、 要约收购等 法定义务时， 视觉中国的 实际控制人 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w:t>
            </w:r>
            <w:r>
              <w:rPr>
                <w:rFonts w:ascii="Times New Roman" w:hAnsi="Times New Roman" w:cs="Times New Roman" w:eastAsia="Times New Roman" w:hint="default"/>
                <w:sz w:val="18"/>
                <w:szCs w:val="18"/>
              </w:rPr>
              <w:t>- </w:t>
            </w:r>
            <w:r>
              <w:rPr>
                <w:rFonts w:ascii="宋体" w:hAnsi="宋体" w:cs="宋体" w:eastAsia="宋体" w:hint="default"/>
                <w:sz w:val="18"/>
                <w:szCs w:val="18"/>
              </w:rPr>
              <w:t>视觉中国特 定多客户资 产管理计划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为一致行动 人，视觉中国 实际控制人 直接持有的 视觉中国股 票数量与</w:t>
            </w:r>
            <w:r>
              <w:rPr>
                <w:rFonts w:ascii="Times New Roman" w:hAnsi="Times New Roman" w:cs="Times New Roman" w:eastAsia="Times New Roman" w:hint="default"/>
                <w:sz w:val="18"/>
                <w:szCs w:val="18"/>
              </w:rPr>
              <w:t>“</w:t>
            </w:r>
            <w:r>
              <w:rPr>
                <w:rFonts w:ascii="宋体" w:hAnsi="宋体" w:cs="宋体" w:eastAsia="宋体" w:hint="default"/>
                <w:sz w:val="18"/>
                <w:szCs w:val="18"/>
              </w:rPr>
              <w:t>华 泰柏瑞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视觉 中国特定多 客户资产管 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 的视觉中国 股票数量将 合并计算。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视觉（中国） 文化发展股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视觉（中国） 文化发展股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20013pt;margin-top:90.11998pt;width:62.1pt;height:668.85pt;mso-position-horizontal-relative:page;mso-position-vertical-relative:page;z-index:-1246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2"/>
                    <w:ind w:left="0" w:right="0"/>
                    <w:jc w:val="left"/>
                  </w:pPr>
                  <w:r>
                    <w:rPr/>
                    <w:t>）</w:t>
                  </w:r>
                </w:p>
              </w:txbxContent>
            </v:textbox>
            <w10:wrap type="none"/>
          </v:shape>
        </w:pict>
      </w:r>
      <w:r>
        <w:rPr/>
        <w:pict>
          <v:group style="position:absolute;margin-left:367.660004pt;margin-top:90.11998pt;width:55.85pt;height:668.85pt;mso-position-horizontal-relative:page;mso-position-vertical-relative:page;z-index:-1246912" coordorigin="7353,1802" coordsize="1117,13377">
            <v:shape style="position:absolute;left:7353;top:1802;width:1117;height:13377" coordorigin="7353,1802" coordsize="1117,13377" path="m7353,15179l8470,15179,8470,1802,7353,1802,7353,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份有限公司 董事会将严 格遵守《公司 </w:t>
            </w:r>
            <w:r>
              <w:rPr>
                <w:rFonts w:ascii="宋体" w:hAnsi="宋体" w:cs="宋体" w:eastAsia="宋体" w:hint="default"/>
                <w:spacing w:val="-30"/>
                <w:sz w:val="18"/>
                <w:szCs w:val="18"/>
              </w:rPr>
              <w:t>法》、《证券</w:t>
            </w:r>
            <w:r>
              <w:rPr>
                <w:rFonts w:ascii="宋体" w:hAnsi="宋体" w:cs="宋体" w:eastAsia="宋体" w:hint="default"/>
                <w:sz w:val="18"/>
                <w:szCs w:val="18"/>
              </w:rPr>
              <w:t> </w:t>
            </w:r>
            <w:r>
              <w:rPr>
                <w:rFonts w:ascii="宋体" w:hAnsi="宋体" w:cs="宋体" w:eastAsia="宋体" w:hint="default"/>
                <w:spacing w:val="-28"/>
                <w:sz w:val="18"/>
                <w:szCs w:val="18"/>
              </w:rPr>
              <w:t>法》、《上市公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司证券发行 管理办法》等</w:t>
            </w:r>
            <w:r>
              <w:rPr>
                <w:rFonts w:ascii="宋体" w:hAnsi="宋体" w:cs="宋体" w:eastAsia="宋体" w:hint="default"/>
                <w:sz w:val="18"/>
                <w:szCs w:val="18"/>
              </w:rPr>
              <w:t> 法律、法规和 中国证监会 的有关规定， 承诺自本公 司非公开发 行股票新增 股份上市之 日起： （</w:t>
            </w:r>
            <w:r>
              <w:rPr>
                <w:rFonts w:ascii="Times New Roman" w:hAnsi="Times New Roman" w:cs="Times New Roman" w:eastAsia="Times New Roman" w:hint="default"/>
                <w:sz w:val="18"/>
                <w:szCs w:val="18"/>
              </w:rPr>
              <w:t>1</w:t>
            </w:r>
            <w:r>
              <w:rPr>
                <w:rFonts w:ascii="宋体" w:hAnsi="宋体" w:cs="宋体" w:eastAsia="宋体" w:hint="default"/>
                <w:sz w:val="18"/>
                <w:szCs w:val="18"/>
              </w:rPr>
              <w:t>） 承诺真实、准 确、完整、公 平和及时地 公布定期报 告、披露所有 对投资者有 重大影响的 信息，并接受 中国证监会 和深圳证券 交易所的监 督管理。（</w:t>
            </w:r>
            <w:r>
              <w:rPr>
                <w:rFonts w:ascii="Times New Roman" w:hAnsi="Times New Roman" w:cs="Times New Roman" w:eastAsia="Times New Roman" w:hint="default"/>
                <w:sz w:val="18"/>
                <w:szCs w:val="18"/>
              </w:rPr>
              <w:t>2 </w:t>
            </w:r>
            <w:r>
              <w:rPr>
                <w:rFonts w:ascii="宋体" w:hAnsi="宋体" w:cs="宋体" w:eastAsia="宋体" w:hint="default"/>
                <w:sz w:val="18"/>
                <w:szCs w:val="18"/>
              </w:rPr>
              <w:t>承诺本公司 在知悉可能 对股票价格 产生误导性 影响的任何 公共传播媒 体出现的消 息后，将及时 予以公开澄 清。</w:t>
            </w:r>
            <w:r>
              <w:rPr>
                <w:rFonts w:ascii="宋体" w:hAnsi="宋体" w:cs="宋体" w:eastAsia="宋体" w:hint="default"/>
                <w:spacing w:val="-1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）承</w:t>
            </w:r>
            <w:r>
              <w:rPr>
                <w:rFonts w:ascii="宋体" w:hAnsi="宋体" w:cs="宋体" w:eastAsia="宋体" w:hint="default"/>
                <w:spacing w:val="-4"/>
                <w:sz w:val="18"/>
                <w:szCs w:val="18"/>
              </w:rPr>
              <w:t> </w:t>
            </w:r>
            <w:r>
              <w:rPr>
                <w:rFonts w:ascii="宋体" w:hAnsi="宋体" w:cs="宋体" w:eastAsia="宋体" w:hint="default"/>
                <w:sz w:val="18"/>
                <w:szCs w:val="18"/>
              </w:rPr>
              <w:t>诺本公司董</w:t>
            </w:r>
            <w:r>
              <w:rPr>
                <w:rFonts w:ascii="宋体" w:hAnsi="宋体" w:cs="宋体" w:eastAsia="宋体" w:hint="default"/>
                <w:sz w:val="18"/>
                <w:szCs w:val="18"/>
              </w:rPr>
              <w:t> 事、监事和高 级管理人员 将认真听取 社会公众的 意见和批评， 不利用已获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得的内幕消 息和其他不 正当手段直 接或间接从 事本公司股 票的买卖活 </w:t>
            </w:r>
            <w:r>
              <w:rPr>
                <w:rFonts w:ascii="宋体" w:hAnsi="宋体" w:cs="宋体" w:eastAsia="宋体" w:hint="default"/>
                <w:spacing w:val="-2"/>
                <w:sz w:val="18"/>
                <w:szCs w:val="18"/>
              </w:rPr>
              <w:t>动。本公司保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证向深圳证 券交易所提 交的文件没 有虚假陈述 或者重大遗 </w:t>
            </w:r>
            <w:r>
              <w:rPr>
                <w:rFonts w:ascii="宋体" w:hAnsi="宋体" w:cs="宋体" w:eastAsia="宋体" w:hint="default"/>
                <w:spacing w:val="-2"/>
                <w:sz w:val="18"/>
                <w:szCs w:val="18"/>
              </w:rPr>
              <w:t>漏，并在提出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上市申请期 </w:t>
            </w:r>
            <w:r>
              <w:rPr>
                <w:rFonts w:ascii="宋体" w:hAnsi="宋体" w:cs="宋体" w:eastAsia="宋体" w:hint="default"/>
                <w:spacing w:val="-2"/>
                <w:sz w:val="18"/>
                <w:szCs w:val="18"/>
              </w:rPr>
              <w:t>间，未经深圳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证券交易所 </w:t>
            </w:r>
            <w:r>
              <w:rPr>
                <w:rFonts w:ascii="宋体" w:hAnsi="宋体" w:cs="宋体" w:eastAsia="宋体" w:hint="default"/>
                <w:spacing w:val="-2"/>
                <w:sz w:val="18"/>
                <w:szCs w:val="18"/>
              </w:rPr>
              <w:t>同意，不擅自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披露有关信 息。</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柴继军、廖道</w:t>
            </w:r>
            <w:r>
              <w:rPr>
                <w:rFonts w:ascii="宋体" w:hAnsi="宋体" w:cs="宋体" w:eastAsia="宋体" w:hint="default"/>
                <w:sz w:val="18"/>
                <w:szCs w:val="18"/>
              </w:rPr>
              <w:t> 训、吴春红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本人将遵守 短线交易、内 幕交易和高 管持股变动 管理规则等 相关规定的 义务，减持视 觉中国股份 时，不利用减 持操纵股价。 本人将严格 按照《证券 </w:t>
            </w:r>
            <w:r>
              <w:rPr>
                <w:rFonts w:ascii="宋体" w:hAnsi="宋体" w:cs="宋体" w:eastAsia="宋体" w:hint="default"/>
                <w:spacing w:val="-28"/>
                <w:sz w:val="18"/>
                <w:szCs w:val="18"/>
              </w:rPr>
              <w:t>法》、《上市公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司收购管理 办法》等法律</w:t>
            </w:r>
            <w:r>
              <w:rPr>
                <w:rFonts w:ascii="宋体" w:hAnsi="宋体" w:cs="宋体" w:eastAsia="宋体" w:hint="default"/>
                <w:sz w:val="18"/>
                <w:szCs w:val="18"/>
              </w:rPr>
              <w:t> 法规及中国 证监会、深圳 证券交易所 的相关规定 履行因权益 变动产生的 信息披露义 务。如届时相 关法律法规 发生变化，以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届时有效的 法律法规为 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常州产业投 资集团有限 </w:t>
            </w:r>
            <w:r>
              <w:rPr>
                <w:rFonts w:ascii="宋体" w:hAnsi="宋体" w:cs="宋体" w:eastAsia="宋体" w:hint="default"/>
                <w:spacing w:val="-2"/>
                <w:sz w:val="18"/>
                <w:szCs w:val="18"/>
              </w:rPr>
              <w:t>公司、江苏武</w:t>
            </w:r>
            <w:r>
              <w:rPr>
                <w:rFonts w:ascii="宋体" w:hAnsi="宋体" w:cs="宋体" w:eastAsia="宋体" w:hint="default"/>
                <w:sz w:val="18"/>
                <w:szCs w:val="18"/>
              </w:rPr>
              <w:t> 进国经投资 发展有限公 </w:t>
            </w:r>
            <w:r>
              <w:rPr>
                <w:rFonts w:ascii="宋体" w:hAnsi="宋体" w:cs="宋体" w:eastAsia="宋体" w:hint="default"/>
                <w:spacing w:val="-2"/>
                <w:sz w:val="18"/>
                <w:szCs w:val="18"/>
              </w:rPr>
              <w:t>司、江苏慧德</w:t>
            </w:r>
            <w:r>
              <w:rPr>
                <w:rFonts w:ascii="宋体" w:hAnsi="宋体" w:cs="宋体" w:eastAsia="宋体" w:hint="default"/>
                <w:sz w:val="18"/>
                <w:szCs w:val="18"/>
              </w:rPr>
              <w:t> 科技发展有 </w:t>
            </w:r>
            <w:r>
              <w:rPr>
                <w:rFonts w:ascii="宋体" w:hAnsi="宋体" w:cs="宋体" w:eastAsia="宋体" w:hint="default"/>
                <w:spacing w:val="-2"/>
                <w:sz w:val="18"/>
                <w:szCs w:val="18"/>
              </w:rPr>
              <w:t>限公司、东方</w:t>
            </w:r>
            <w:r>
              <w:rPr>
                <w:rFonts w:ascii="宋体" w:hAnsi="宋体" w:cs="宋体" w:eastAsia="宋体" w:hint="default"/>
                <w:sz w:val="18"/>
                <w:szCs w:val="18"/>
              </w:rPr>
              <w:t> 证券股份有 </w:t>
            </w:r>
            <w:r>
              <w:rPr>
                <w:rFonts w:ascii="宋体" w:hAnsi="宋体" w:cs="宋体" w:eastAsia="宋体" w:hint="default"/>
                <w:spacing w:val="-2"/>
                <w:sz w:val="18"/>
                <w:szCs w:val="18"/>
              </w:rPr>
              <w:t>限公司、华泰</w:t>
            </w:r>
            <w:r>
              <w:rPr>
                <w:rFonts w:ascii="宋体" w:hAnsi="宋体" w:cs="宋体" w:eastAsia="宋体" w:hint="default"/>
                <w:sz w:val="18"/>
                <w:szCs w:val="18"/>
              </w:rPr>
              <w:t> 柏瑞基金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 海银行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东方 证券</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 国特定多客 户资产管理 </w:t>
            </w:r>
            <w:r>
              <w:rPr>
                <w:rFonts w:ascii="宋体" w:hAnsi="宋体" w:cs="宋体" w:eastAsia="宋体" w:hint="default"/>
                <w:spacing w:val="-2"/>
                <w:sz w:val="18"/>
                <w:szCs w:val="18"/>
              </w:rPr>
              <w:t>计划、华泰柏</w:t>
            </w:r>
            <w:r>
              <w:rPr>
                <w:rFonts w:ascii="宋体" w:hAnsi="宋体" w:cs="宋体" w:eastAsia="宋体" w:hint="default"/>
                <w:sz w:val="18"/>
                <w:szCs w:val="18"/>
              </w:rPr>
              <w:t> 瑞基金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上海 银行</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 国特定多客 户资产管理 计划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2" w:right="103"/>
              <w:jc w:val="left"/>
              <w:rPr>
                <w:rFonts w:ascii="宋体" w:hAnsi="宋体" w:cs="宋体" w:eastAsia="宋体" w:hint="default"/>
                <w:sz w:val="18"/>
                <w:szCs w:val="18"/>
              </w:rPr>
            </w:pPr>
            <w:r>
              <w:rPr>
                <w:rFonts w:ascii="宋体" w:hAnsi="宋体" w:cs="宋体" w:eastAsia="宋体" w:hint="default"/>
                <w:sz w:val="18"/>
                <w:szCs w:val="18"/>
              </w:rPr>
              <w:t>所有特定对 象认购本次 发行的股份 自发行结束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309"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日解除限 </w:t>
            </w:r>
            <w:r>
              <w:rPr>
                <w:rFonts w:ascii="宋体" w:hAnsi="宋体" w:cs="宋体" w:eastAsia="宋体" w:hint="default"/>
                <w:spacing w:val="-5"/>
                <w:sz w:val="18"/>
                <w:szCs w:val="18"/>
              </w:rPr>
              <w:t>售，承诺已履</w:t>
            </w:r>
            <w:r>
              <w:rPr>
                <w:rFonts w:ascii="宋体" w:hAnsi="宋体" w:cs="宋体" w:eastAsia="宋体" w:hint="default"/>
                <w:sz w:val="18"/>
                <w:szCs w:val="18"/>
              </w:rPr>
              <w:t> 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1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华夏视觉（北 </w:t>
            </w:r>
            <w:r>
              <w:rPr>
                <w:rFonts w:ascii="宋体" w:hAnsi="宋体" w:cs="宋体" w:eastAsia="宋体" w:hint="default"/>
                <w:spacing w:val="-2"/>
                <w:sz w:val="18"/>
                <w:szCs w:val="18"/>
              </w:rPr>
              <w:t>京）图像技术有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限公司及北京 汉华易美图片 </w:t>
            </w:r>
            <w:r>
              <w:rPr>
                <w:rFonts w:ascii="宋体" w:hAnsi="宋体" w:cs="宋体" w:eastAsia="宋体" w:hint="default"/>
                <w:spacing w:val="-2"/>
                <w:sz w:val="18"/>
                <w:szCs w:val="18"/>
              </w:rPr>
              <w:t>有限公司（为公</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32,856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37,195.18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《远东实业股 份有限公司关 于重大资产重 组相关方承诺 情况的公告》</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6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司全资子公司， 重组业绩承诺）</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2014-015</w:t>
            </w:r>
          </w:p>
        </w:tc>
      </w:tr>
      <w:tr>
        <w:trPr>
          <w:trHeight w:val="196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湖北司马彦文 化科技有限公 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7,544.64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《关于收购湖 北司马彦文化 科技有限公司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股权的公 告》公告编号</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Times New Roman"/>
                <w:sz w:val="18"/>
              </w:rPr>
              <w:t>2015-082</w:t>
            </w:r>
          </w:p>
        </w:tc>
      </w:tr>
      <w:tr>
        <w:trPr>
          <w:trHeight w:val="16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1"/>
              <w:jc w:val="both"/>
              <w:rPr>
                <w:rFonts w:ascii="宋体" w:hAnsi="宋体" w:cs="宋体" w:eastAsia="宋体" w:hint="default"/>
                <w:sz w:val="18"/>
                <w:szCs w:val="18"/>
              </w:rPr>
            </w:pPr>
            <w:r>
              <w:rPr>
                <w:rFonts w:ascii="宋体" w:hAnsi="宋体" w:cs="宋体" w:eastAsia="宋体" w:hint="default"/>
                <w:sz w:val="18"/>
                <w:szCs w:val="18"/>
              </w:rPr>
              <w:t>广东易教优培 教育科技有限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4,547.62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《第八届董事 会第二十七次 会议决议公 告》公告编号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2017-030</w:t>
            </w:r>
          </w:p>
        </w:tc>
      </w:tr>
    </w:tbl>
    <w:p>
      <w:pPr>
        <w:pStyle w:val="BodyText"/>
        <w:spacing w:line="240" w:lineRule="auto" w:before="51"/>
        <w:ind w:right="0"/>
        <w:jc w:val="left"/>
      </w:pPr>
      <w:r>
        <w:rPr/>
        <w:t>公司股东、交易对手方在报告年度经营业绩做出的承诺情况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详见与本公告同时披露的《关于</w:t>
      </w:r>
      <w:r>
        <w:rPr>
          <w:rFonts w:ascii="Times New Roman" w:hAnsi="Times New Roman" w:cs="Times New Roman" w:eastAsia="Times New Roman" w:hint="default"/>
          <w:spacing w:val="-2"/>
        </w:rPr>
        <w:t>2018</w:t>
      </w:r>
      <w:r>
        <w:rPr>
          <w:spacing w:val="-2"/>
        </w:rPr>
        <w:t>年度重大资产重组之盈利预测实现情况的专项说明》、《湖北司马彦文化科技有限公司</w:t>
      </w:r>
      <w:r>
        <w:rPr>
          <w:spacing w:val="-61"/>
        </w:rPr>
        <w:t> </w:t>
      </w:r>
      <w:r>
        <w:rPr>
          <w:spacing w:val="-61"/>
        </w:rPr>
      </w:r>
      <w:r>
        <w:rPr/>
        <w:t>盈利预测实现情况的专项审核报告》、《广东易教优培教育科技有限公司盈利预测实现情况的专项审核报告》。</w:t>
      </w:r>
    </w:p>
    <w:p>
      <w:pPr>
        <w:pStyle w:val="BodyText"/>
        <w:spacing w:line="240" w:lineRule="auto" w:before="58"/>
        <w:ind w:right="0"/>
        <w:jc w:val="left"/>
      </w:pPr>
      <w:r>
        <w:rPr/>
        <w:t>业绩承诺的完成情况及其对商誉减值测试的影响</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74" w:right="0"/>
        <w:jc w:val="left"/>
      </w:pPr>
      <w:r>
        <w:rPr>
          <w:rFonts w:ascii="Times New Roman" w:hAnsi="Times New Roman" w:cs="Times New Roman" w:eastAsia="Times New Roman" w:hint="default"/>
        </w:rPr>
        <w:t>1.</w:t>
      </w:r>
      <w:r>
        <w:rPr/>
        <w:t>会计政策变更</w:t>
      </w:r>
    </w:p>
    <w:p>
      <w:pPr>
        <w:pStyle w:val="BodyText"/>
        <w:spacing w:line="300" w:lineRule="auto" w:before="63"/>
        <w:ind w:left="574" w:right="1125"/>
        <w:jc w:val="left"/>
      </w:pPr>
      <w:r>
        <w:rPr/>
        <w:t>（</w:t>
      </w:r>
      <w:r>
        <w:rPr>
          <w:rFonts w:ascii="Times New Roman" w:hAnsi="Times New Roman" w:cs="Times New Roman" w:eastAsia="Times New Roman" w:hint="default"/>
        </w:rPr>
        <w:t>1</w:t>
      </w:r>
      <w:r>
        <w:rPr/>
        <w:t>）财务报表格式变更 </w:t>
      </w:r>
      <w:r>
        <w:rPr>
          <w:spacing w:val="-3"/>
        </w:rPr>
        <w:t>财政部于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月发布了《关于修订印发</w:t>
      </w:r>
      <w:r>
        <w:rPr>
          <w:rFonts w:ascii="Times New Roman" w:hAnsi="Times New Roman" w:cs="Times New Roman" w:eastAsia="Times New Roman" w:hint="default"/>
          <w:spacing w:val="-3"/>
        </w:rPr>
        <w:t>2018</w:t>
      </w:r>
      <w:r>
        <w:rPr>
          <w:spacing w:val="-3"/>
        </w:rPr>
        <w:t>年度一般企业财务报表格式的通知》（财会</w:t>
      </w:r>
      <w:r>
        <w:rPr>
          <w:rFonts w:ascii="Times New Roman" w:hAnsi="Times New Roman" w:cs="Times New Roman" w:eastAsia="Times New Roman" w:hint="default"/>
          <w:spacing w:val="-3"/>
        </w:rPr>
        <w:t>[2018]15</w:t>
      </w:r>
      <w:r>
        <w:rPr>
          <w:spacing w:val="-3"/>
        </w:rPr>
        <w:t>号），本集团根据相</w:t>
      </w:r>
    </w:p>
    <w:p>
      <w:pPr>
        <w:pStyle w:val="BodyText"/>
        <w:spacing w:line="300" w:lineRule="auto" w:before="13"/>
        <w:ind w:right="1129"/>
        <w:jc w:val="both"/>
      </w:pPr>
      <w:r>
        <w:rPr>
          <w:spacing w:val="-3"/>
        </w:rPr>
        <w:t>关要求按照一般企业财务报表格式（适用于尚未执行新金融准则和新收入准则的企业）编制财务报表：①原</w:t>
      </w:r>
      <w:r>
        <w:rPr>
          <w:rFonts w:ascii="Times New Roman" w:hAnsi="Times New Roman" w:cs="Times New Roman" w:eastAsia="Times New Roman" w:hint="default"/>
          <w:spacing w:val="-3"/>
        </w:rPr>
        <w:t>“</w:t>
      </w:r>
      <w:r>
        <w:rPr>
          <w:spacing w:val="-3"/>
        </w:rPr>
        <w:t>应收票据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w:t>
      </w:r>
      <w:r>
        <w:rPr>
          <w:spacing w:val="-63"/>
        </w:rPr>
        <w:t> </w:t>
      </w:r>
      <w:r>
        <w:rPr/>
        <w:t>收账款</w:t>
      </w:r>
      <w:r>
        <w:rPr>
          <w:rFonts w:ascii="Times New Roman" w:hAnsi="Times New Roman" w:cs="Times New Roman" w:eastAsia="Times New Roman" w:hint="default"/>
        </w:rPr>
        <w:t>”</w:t>
      </w:r>
      <w:r>
        <w:rPr/>
        <w:t>项目，合并为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项目；②原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项目并入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项目列报；③原</w:t>
      </w:r>
      <w:r>
        <w:rPr>
          <w:rFonts w:ascii="Times New Roman" w:hAnsi="Times New Roman" w:cs="Times New Roman" w:eastAsia="Times New Roman" w:hint="default"/>
        </w:rPr>
        <w:t>“</w:t>
      </w:r>
      <w:r>
        <w:rPr/>
        <w:t>固</w:t>
      </w:r>
      <w:r>
        <w:rPr>
          <w:spacing w:val="-80"/>
        </w:rPr>
        <w:t> </w:t>
      </w:r>
      <w:r>
        <w:rPr/>
        <w:t>定资产清理</w:t>
      </w:r>
      <w:r>
        <w:rPr>
          <w:rFonts w:ascii="Times New Roman" w:hAnsi="Times New Roman" w:cs="Times New Roman" w:eastAsia="Times New Roman" w:hint="default"/>
        </w:rPr>
        <w:t>”</w:t>
      </w:r>
      <w:r>
        <w:rPr/>
        <w:t>项目并入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项目中列报；④原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项目并入</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项目中列报；⑤原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w:t>
      </w:r>
      <w:r>
        <w:rPr>
          <w:spacing w:val="-79"/>
        </w:rPr>
        <w:t> </w:t>
      </w:r>
      <w:r>
        <w:rPr/>
        <w:t>款</w:t>
      </w:r>
      <w:r>
        <w:rPr>
          <w:rFonts w:ascii="Times New Roman" w:hAnsi="Times New Roman" w:cs="Times New Roman" w:eastAsia="Times New Roman" w:hint="default"/>
        </w:rPr>
        <w:t>”</w:t>
      </w:r>
      <w:r>
        <w:rPr/>
        <w:t>项目，合并为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项目；⑥原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项目并入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项目列报；⑦原</w:t>
      </w:r>
      <w:r>
        <w:rPr>
          <w:rFonts w:ascii="Times New Roman" w:hAnsi="Times New Roman" w:cs="Times New Roman" w:eastAsia="Times New Roman" w:hint="default"/>
        </w:rPr>
        <w:t>“</w:t>
      </w:r>
      <w:r>
        <w:rPr/>
        <w:t>专项应</w:t>
      </w:r>
      <w:r>
        <w:rPr>
          <w:spacing w:val="-79"/>
        </w:rPr>
        <w:t> </w:t>
      </w:r>
      <w:r>
        <w:rPr/>
        <w:t>付款</w:t>
      </w:r>
      <w:r>
        <w:rPr>
          <w:rFonts w:ascii="Times New Roman" w:hAnsi="Times New Roman" w:cs="Times New Roman" w:eastAsia="Times New Roman" w:hint="default"/>
        </w:rPr>
        <w:t>”</w:t>
      </w:r>
      <w:r>
        <w:rPr/>
        <w:t>项目并入</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项目中列报；⑧进行研究与开发过程中发生的费用化支出，列示于</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项目，不再列示</w:t>
      </w:r>
      <w:r>
        <w:rPr>
          <w:spacing w:val="-42"/>
        </w:rPr>
        <w:t> </w:t>
      </w:r>
      <w:r>
        <w:rPr>
          <w:spacing w:val="-42"/>
        </w:rPr>
      </w:r>
      <w:r>
        <w:rPr/>
        <w:t>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项目；⑨在财务费用项目下分拆</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明细项目；⑩股东权益变动表中新增</w:t>
      </w:r>
      <w:r>
        <w:rPr>
          <w:rFonts w:ascii="Times New Roman" w:hAnsi="Times New Roman" w:cs="Times New Roman" w:eastAsia="Times New Roman" w:hint="default"/>
        </w:rPr>
        <w:t>“</w:t>
      </w:r>
      <w:r>
        <w:rPr/>
        <w:t>设定受益计划</w:t>
      </w:r>
      <w:r>
        <w:rPr>
          <w:spacing w:val="-23"/>
        </w:rPr>
        <w:t> </w:t>
      </w:r>
      <w:r>
        <w:rPr>
          <w:spacing w:val="-23"/>
        </w:rPr>
      </w:r>
      <w:r>
        <w:rPr/>
        <w:t>变动额结转留存收益</w:t>
      </w:r>
      <w:r>
        <w:rPr>
          <w:rFonts w:ascii="Times New Roman" w:hAnsi="Times New Roman" w:cs="Times New Roman" w:eastAsia="Times New Roman" w:hint="default"/>
        </w:rPr>
        <w:t>”</w:t>
      </w:r>
      <w:r>
        <w:rPr/>
        <w:t>项目。</w:t>
      </w:r>
    </w:p>
    <w:p>
      <w:pPr>
        <w:pStyle w:val="BodyText"/>
        <w:spacing w:line="316" w:lineRule="auto" w:before="13"/>
        <w:ind w:left="574" w:right="0"/>
        <w:jc w:val="left"/>
      </w:pPr>
      <w:r>
        <w:rPr/>
        <w:t>本集团根据上述列报要求相应追溯重述了比较报表。 由于上述要求，本期和比较期间财务报表的部分项目列报内容不同，但对本期和比较期间的本集团合并及公司净利润</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474" w:right="1122"/>
        <w:jc w:val="left"/>
      </w:pPr>
      <w:r>
        <w:rPr/>
        <w:t>和合并及公司股东权益无影响。</w:t>
      </w:r>
    </w:p>
    <w:p>
      <w:pPr>
        <w:pStyle w:val="BodyText"/>
        <w:spacing w:line="240" w:lineRule="auto" w:before="76"/>
        <w:ind w:left="894" w:right="1122"/>
        <w:jc w:val="left"/>
      </w:pPr>
      <w:r>
        <w:rPr/>
        <w:t>（</w:t>
      </w:r>
      <w:r>
        <w:rPr>
          <w:rFonts w:ascii="Times New Roman" w:hAnsi="Times New Roman" w:cs="Times New Roman" w:eastAsia="Times New Roman" w:hint="default"/>
        </w:rPr>
        <w:t>2</w:t>
      </w:r>
      <w:r>
        <w:rPr/>
        <w:t>）联营企业执行新金融工具准则</w:t>
      </w:r>
    </w:p>
    <w:p>
      <w:pPr>
        <w:pStyle w:val="BodyText"/>
        <w:spacing w:line="300" w:lineRule="auto" w:before="63"/>
        <w:ind w:left="474" w:right="1131" w:firstLine="420"/>
        <w:jc w:val="both"/>
      </w:pP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spacing w:val="1"/>
        </w:rPr>
        <w:t>年，</w:t>
      </w:r>
      <w:r>
        <w:rPr/>
        <w:t>财政</w:t>
      </w:r>
      <w:r>
        <w:rPr>
          <w:spacing w:val="1"/>
        </w:rPr>
        <w:t>部颁布</w:t>
      </w:r>
      <w:r>
        <w:rPr/>
        <w:t>了</w:t>
      </w:r>
      <w:r>
        <w:rPr>
          <w:spacing w:val="1"/>
        </w:rPr>
        <w:t>修</w:t>
      </w:r>
      <w:r>
        <w:rPr/>
        <w:t>订</w:t>
      </w:r>
      <w:r>
        <w:rPr>
          <w:spacing w:val="1"/>
        </w:rPr>
        <w:t>的《企</w:t>
      </w:r>
      <w:r>
        <w:rPr/>
        <w:t>业</w:t>
      </w:r>
      <w:r>
        <w:rPr>
          <w:spacing w:val="1"/>
        </w:rPr>
        <w:t>会</w:t>
      </w:r>
      <w:r>
        <w:rPr/>
        <w:t>计</w:t>
      </w:r>
      <w:r>
        <w:rPr>
          <w:spacing w:val="1"/>
        </w:rPr>
        <w:t>准则</w:t>
      </w:r>
      <w:r>
        <w:rPr>
          <w:spacing w:val="3"/>
        </w:rPr>
        <w:t>第</w:t>
      </w:r>
      <w:r>
        <w:rPr>
          <w:rFonts w:ascii="Times New Roman" w:hAnsi="Times New Roman" w:cs="Times New Roman" w:eastAsia="Times New Roman" w:hint="default"/>
        </w:rPr>
        <w:t>22</w:t>
      </w:r>
      <w:r>
        <w:rPr>
          <w:spacing w:val="1"/>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w:t>
      </w:r>
      <w:r>
        <w:rPr>
          <w:spacing w:val="1"/>
        </w:rPr>
        <w:t>金融</w:t>
      </w:r>
      <w:r>
        <w:rPr/>
        <w:t>工</w:t>
      </w:r>
      <w:r>
        <w:rPr>
          <w:spacing w:val="1"/>
        </w:rPr>
        <w:t>具</w:t>
      </w:r>
      <w:r>
        <w:rPr/>
        <w:t>确</w:t>
      </w:r>
      <w:r>
        <w:rPr>
          <w:spacing w:val="1"/>
        </w:rPr>
        <w:t>认和计</w:t>
      </w:r>
      <w:r>
        <w:rPr/>
        <w:t>量</w:t>
      </w:r>
      <w:r>
        <w:rPr>
          <w:spacing w:val="-89"/>
        </w:rPr>
        <w:t>》、</w:t>
      </w:r>
      <w:r>
        <w:rPr/>
        <w:t>《</w:t>
      </w:r>
      <w:r>
        <w:rPr>
          <w:spacing w:val="1"/>
        </w:rPr>
        <w:t>企业会</w:t>
      </w:r>
      <w:r>
        <w:rPr/>
        <w:t>计</w:t>
      </w:r>
      <w:r>
        <w:rPr>
          <w:spacing w:val="1"/>
        </w:rPr>
        <w:t>准</w:t>
      </w:r>
      <w:r>
        <w:rPr/>
        <w:t>则</w:t>
      </w:r>
      <w:r>
        <w:rPr>
          <w:spacing w:val="2"/>
        </w:rPr>
        <w:t>第</w:t>
      </w:r>
      <w:r>
        <w:rPr>
          <w:rFonts w:ascii="Times New Roman" w:hAnsi="Times New Roman" w:cs="Times New Roman" w:eastAsia="Times New Roman" w:hint="default"/>
        </w:rPr>
        <w:t>2</w:t>
      </w:r>
      <w:r>
        <w:rPr>
          <w:rFonts w:ascii="Times New Roman" w:hAnsi="Times New Roman" w:cs="Times New Roman" w:eastAsia="Times New Roman" w:hint="default"/>
          <w:spacing w:val="1"/>
        </w:rPr>
        <w:t>3</w:t>
      </w:r>
      <w:r>
        <w:rPr>
          <w:spacing w:val="1"/>
        </w:rPr>
        <w:t>号</w:t>
      </w:r>
      <w:r>
        <w:rPr>
          <w:rFonts w:ascii="Times New Roman" w:hAnsi="Times New Roman" w:cs="Times New Roman" w:eastAsia="Times New Roman" w:hint="default"/>
        </w:rPr>
        <w:t>——</w:t>
      </w:r>
      <w:r>
        <w:rPr/>
        <w:t>金</w:t>
      </w:r>
      <w:r>
        <w:rPr>
          <w:spacing w:val="1"/>
        </w:rPr>
        <w:t>融资</w:t>
      </w:r>
      <w:r>
        <w:rPr/>
        <w:t>产</w:t>
      </w:r>
      <w:r>
        <w:rPr/>
        <w:t> 转移</w:t>
      </w:r>
      <w:r>
        <w:rPr>
          <w:spacing w:val="-90"/>
        </w:rPr>
        <w:t>》、</w:t>
      </w:r>
      <w:r>
        <w:rPr>
          <w:spacing w:val="1"/>
        </w:rPr>
        <w:t>《</w:t>
      </w:r>
      <w:r>
        <w:rPr/>
        <w:t>企</w:t>
      </w:r>
      <w:r>
        <w:rPr>
          <w:spacing w:val="1"/>
        </w:rPr>
        <w:t>业</w:t>
      </w:r>
      <w:r>
        <w:rPr/>
        <w:t>会计准则第</w:t>
      </w:r>
      <w:r>
        <w:rPr>
          <w:rFonts w:ascii="Times New Roman" w:hAnsi="Times New Roman" w:cs="Times New Roman" w:eastAsia="Times New Roman" w:hint="default"/>
          <w:spacing w:val="1"/>
        </w:rPr>
        <w:t>24</w:t>
      </w:r>
      <w:r>
        <w:rPr/>
        <w:t>号</w:t>
      </w:r>
      <w:r>
        <w:rPr>
          <w:rFonts w:ascii="Times New Roman" w:hAnsi="Times New Roman" w:cs="Times New Roman" w:eastAsia="Times New Roman" w:hint="default"/>
        </w:rPr>
        <w:t>——</w:t>
      </w:r>
      <w:r>
        <w:rPr/>
        <w:t>套期</w:t>
      </w:r>
      <w:r>
        <w:rPr>
          <w:spacing w:val="1"/>
        </w:rPr>
        <w:t>保</w:t>
      </w:r>
      <w:r>
        <w:rPr/>
        <w:t>值》以及</w:t>
      </w:r>
      <w:r>
        <w:rPr>
          <w:spacing w:val="1"/>
        </w:rPr>
        <w:t>《企</w:t>
      </w:r>
      <w:r>
        <w:rPr/>
        <w:t>业会计准</w:t>
      </w:r>
      <w:r>
        <w:rPr>
          <w:spacing w:val="1"/>
        </w:rPr>
        <w:t>则</w:t>
      </w:r>
      <w:r>
        <w:rPr/>
        <w:t>第</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金</w:t>
      </w:r>
      <w:r>
        <w:rPr>
          <w:spacing w:val="1"/>
        </w:rPr>
        <w:t>融工</w:t>
      </w:r>
      <w:r>
        <w:rPr/>
        <w:t>具列报</w:t>
      </w:r>
      <w:r>
        <w:rPr>
          <w:spacing w:val="-90"/>
        </w:rPr>
        <w:t>》</w:t>
      </w:r>
      <w:r>
        <w:rPr>
          <w:spacing w:val="1"/>
        </w:rPr>
        <w:t>（</w:t>
      </w:r>
      <w:r>
        <w:rPr/>
        <w:t>以</w:t>
      </w:r>
      <w:r>
        <w:rPr>
          <w:spacing w:val="1"/>
        </w:rPr>
        <w:t>上</w:t>
      </w:r>
      <w:r>
        <w:rPr>
          <w:rFonts w:ascii="Times New Roman" w:hAnsi="Times New Roman" w:cs="Times New Roman" w:eastAsia="Times New Roman" w:hint="default"/>
        </w:rPr>
        <w:t>4</w:t>
      </w:r>
      <w:r>
        <w:rPr/>
        <w:t>项准则</w:t>
      </w:r>
      <w:r>
        <w:rPr>
          <w:spacing w:val="1"/>
        </w:rPr>
        <w:t>以</w:t>
      </w:r>
      <w:r>
        <w:rPr/>
        <w:t>下</w:t>
      </w:r>
      <w:r>
        <w:rPr>
          <w:spacing w:val="1"/>
        </w:rPr>
        <w:t>统</w:t>
      </w:r>
      <w:r>
        <w:rPr/>
        <w:t>称</w:t>
      </w:r>
      <w:r>
        <w:rPr>
          <w:rFonts w:ascii="Times New Roman" w:hAnsi="Times New Roman" w:cs="Times New Roman" w:eastAsia="Times New Roman" w:hint="default"/>
          <w:spacing w:val="-1"/>
          <w:w w:val="100"/>
        </w:rPr>
        <w:t>“</w:t>
      </w:r>
      <w:r>
        <w:rPr/>
        <w:t>新金 融工具准则</w:t>
      </w:r>
      <w:r>
        <w:rPr>
          <w:rFonts w:ascii="Times New Roman" w:hAnsi="Times New Roman" w:cs="Times New Roman" w:eastAsia="Times New Roman" w:hint="default"/>
          <w:w w:val="100"/>
        </w:rPr>
        <w:t>”</w:t>
      </w:r>
      <w:r>
        <w:rPr>
          <w:spacing w:val="-90"/>
        </w:rPr>
        <w:t>）</w:t>
      </w:r>
      <w:r>
        <w:rPr/>
        <w:t>。本公司之联营企业</w:t>
      </w:r>
      <w:r>
        <w:rPr>
          <w:rFonts w:ascii="Times New Roman" w:hAnsi="Times New Roman" w:cs="Times New Roman" w:eastAsia="Times New Roman" w:hint="default"/>
        </w:rPr>
        <w:t>——</w:t>
      </w:r>
      <w:r>
        <w:rPr/>
        <w:t>华融创新资本投资有限公司已于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日起施行新金融工具准则。</w:t>
      </w:r>
    </w:p>
    <w:p>
      <w:pPr>
        <w:pStyle w:val="BodyText"/>
        <w:spacing w:line="300" w:lineRule="auto" w:before="13"/>
        <w:ind w:left="474" w:right="1132" w:firstLine="420"/>
        <w:jc w:val="both"/>
      </w:pPr>
      <w:r>
        <w:rPr/>
        <w:t>联营企业</w:t>
      </w:r>
      <w:r>
        <w:rPr>
          <w:rFonts w:ascii="Times New Roman" w:hAnsi="Times New Roman" w:cs="Times New Roman" w:eastAsia="Times New Roman" w:hint="default"/>
        </w:rPr>
        <w:t>——</w:t>
      </w:r>
      <w:r>
        <w:rPr/>
        <w:t>华融创新资本投资有限公司因实施新金融工具准则，调整减少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日的未分配利润</w:t>
      </w:r>
      <w:r>
        <w:rPr>
          <w:rFonts w:ascii="Times New Roman" w:hAnsi="Times New Roman" w:cs="Times New Roman" w:eastAsia="Times New Roman" w:hint="default"/>
        </w:rPr>
        <w:t>30,431,281.86 </w:t>
      </w:r>
      <w:r>
        <w:rPr/>
        <w:t>元，因此影响本集团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日未分配利润减少金额为</w:t>
      </w:r>
      <w:r>
        <w:rPr>
          <w:rFonts w:ascii="Times New Roman" w:hAnsi="Times New Roman" w:cs="Times New Roman" w:eastAsia="Times New Roman" w:hint="default"/>
        </w:rPr>
        <w:t>6,086,256.37</w:t>
      </w:r>
      <w:r>
        <w:rPr/>
        <w:t>元、长期股权投资减少金额为</w:t>
      </w:r>
      <w:r>
        <w:rPr>
          <w:rFonts w:ascii="Times New Roman" w:hAnsi="Times New Roman" w:cs="Times New Roman" w:eastAsia="Times New Roman" w:hint="default"/>
        </w:rPr>
        <w:t>6,086,256.37</w:t>
      </w:r>
      <w:r>
        <w:rPr/>
        <w:t>元。</w:t>
      </w:r>
    </w:p>
    <w:p>
      <w:pPr>
        <w:pStyle w:val="BodyText"/>
        <w:spacing w:line="300" w:lineRule="auto" w:before="13"/>
        <w:ind w:left="894" w:right="1122"/>
        <w:jc w:val="left"/>
      </w:pPr>
      <w:r>
        <w:rPr/>
        <w:t>（</w:t>
      </w:r>
      <w:r>
        <w:rPr>
          <w:rFonts w:ascii="Times New Roman" w:hAnsi="Times New Roman" w:cs="Times New Roman" w:eastAsia="Times New Roman" w:hint="default"/>
        </w:rPr>
        <w:t>3</w:t>
      </w:r>
      <w:r>
        <w:rPr/>
        <w:t>）个人所得税手续费返还 </w:t>
      </w: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月发布了《关于</w:t>
      </w:r>
      <w:r>
        <w:rPr>
          <w:rFonts w:ascii="Times New Roman" w:hAnsi="Times New Roman" w:cs="Times New Roman" w:eastAsia="Times New Roman" w:hint="default"/>
          <w:spacing w:val="-2"/>
        </w:rPr>
        <w:t>2018</w:t>
      </w:r>
      <w:r>
        <w:rPr>
          <w:spacing w:val="-2"/>
        </w:rPr>
        <w:t>年度一般企业财务报表格式有关问题的解读》，根据《中华人民共和国个人所得</w:t>
      </w:r>
    </w:p>
    <w:p>
      <w:pPr>
        <w:pStyle w:val="BodyText"/>
        <w:spacing w:line="300" w:lineRule="auto" w:before="13"/>
        <w:ind w:left="474" w:right="1122"/>
        <w:jc w:val="left"/>
      </w:pPr>
      <w:r>
        <w:rPr>
          <w:spacing w:val="-2"/>
        </w:rPr>
        <w:t>税法》收到的扣缴税款手续费，应作为其他与日常活动相关的项目在利润表的</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项目中填列。本集团据此调整可比</w:t>
      </w:r>
      <w:r>
        <w:rPr>
          <w:spacing w:val="-43"/>
        </w:rPr>
        <w:t> </w:t>
      </w:r>
      <w:r>
        <w:rPr>
          <w:spacing w:val="-43"/>
        </w:rPr>
      </w:r>
      <w:r>
        <w:rPr/>
        <w:t>期间列报项目，具体如下表：</w:t>
      </w:r>
    </w:p>
    <w:tbl>
      <w:tblPr>
        <w:tblW w:w="0" w:type="auto"/>
        <w:jc w:val="left"/>
        <w:tblInd w:w="466" w:type="dxa"/>
        <w:tblLayout w:type="fixed"/>
        <w:tblCellMar>
          <w:top w:w="0" w:type="dxa"/>
          <w:left w:w="0" w:type="dxa"/>
          <w:bottom w:w="0" w:type="dxa"/>
          <w:right w:w="0" w:type="dxa"/>
        </w:tblCellMar>
        <w:tblLook w:val="01E0"/>
      </w:tblPr>
      <w:tblGrid>
        <w:gridCol w:w="1810"/>
        <w:gridCol w:w="1700"/>
        <w:gridCol w:w="1276"/>
        <w:gridCol w:w="1560"/>
        <w:gridCol w:w="930"/>
        <w:gridCol w:w="1048"/>
        <w:gridCol w:w="1050"/>
      </w:tblGrid>
      <w:tr>
        <w:trPr>
          <w:trHeight w:val="602" w:hRule="exact"/>
        </w:trPr>
        <w:tc>
          <w:tcPr>
            <w:tcW w:w="1810" w:type="dxa"/>
            <w:vMerge w:val="restart"/>
            <w:tcBorders>
              <w:top w:val="single" w:sz="12" w:space="0" w:color="000000"/>
              <w:left w:val="single" w:sz="6" w:space="0" w:color="000000"/>
              <w:right w:val="single" w:sz="6" w:space="0" w:color="000000"/>
            </w:tcBorders>
          </w:tcPr>
          <w:p>
            <w:pPr>
              <w:pStyle w:val="TableParagraph"/>
              <w:spacing w:line="240" w:lineRule="auto" w:before="140"/>
              <w:ind w:left="53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4536"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本集团</w:t>
            </w:r>
          </w:p>
        </w:tc>
        <w:tc>
          <w:tcPr>
            <w:tcW w:w="3028" w:type="dxa"/>
            <w:gridSpan w:val="3"/>
            <w:tcBorders>
              <w:top w:val="single" w:sz="12" w:space="0" w:color="000000"/>
              <w:left w:val="single" w:sz="6" w:space="0" w:color="000000"/>
              <w:bottom w:val="single" w:sz="12" w:space="0" w:color="000000"/>
              <w:right w:val="nil" w:sz="6" w:space="0" w:color="auto"/>
            </w:tcBorders>
          </w:tcPr>
          <w:p>
            <w:pPr>
              <w:pStyle w:val="TableParagraph"/>
              <w:spacing w:line="240" w:lineRule="auto" w:before="140"/>
              <w:ind w:right="7"/>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601" w:hRule="exact"/>
        </w:trPr>
        <w:tc>
          <w:tcPr>
            <w:tcW w:w="1810" w:type="dxa"/>
            <w:vMerge/>
            <w:tcBorders>
              <w:left w:val="single" w:sz="6" w:space="0" w:color="000000"/>
              <w:bottom w:val="single" w:sz="12" w:space="0" w:color="000000"/>
              <w:right w:val="single" w:sz="6" w:space="0" w:color="000000"/>
            </w:tcBorders>
          </w:tcPr>
          <w:p>
            <w:pP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0"/>
              <w:ind w:left="270"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0"/>
              <w:ind w:left="50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0"/>
              <w:ind w:left="18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0"/>
              <w:ind w:left="155"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0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0"/>
              <w:ind w:left="24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60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4,360,953.66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19,916.89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4,380,870.55</w:t>
            </w:r>
          </w:p>
        </w:tc>
        <w:tc>
          <w:tcPr>
            <w:tcW w:w="930" w:type="dxa"/>
            <w:tcBorders>
              <w:top w:val="single" w:sz="12" w:space="0" w:color="000000"/>
              <w:left w:val="single" w:sz="6" w:space="0" w:color="000000"/>
              <w:bottom w:val="single" w:sz="12" w:space="0" w:color="000000"/>
              <w:right w:val="single" w:sz="6" w:space="0" w:color="000000"/>
            </w:tcBorders>
          </w:tcPr>
          <w:p>
            <w:pPr/>
          </w:p>
        </w:tc>
        <w:tc>
          <w:tcPr>
            <w:tcW w:w="1048" w:type="dxa"/>
            <w:tcBorders>
              <w:top w:val="single" w:sz="12" w:space="0" w:color="000000"/>
              <w:left w:val="single" w:sz="6" w:space="0" w:color="000000"/>
              <w:bottom w:val="single" w:sz="12" w:space="0" w:color="000000"/>
              <w:right w:val="single" w:sz="6" w:space="0" w:color="000000"/>
            </w:tcBorders>
          </w:tcPr>
          <w:p>
            <w:pPr/>
          </w:p>
        </w:tc>
        <w:tc>
          <w:tcPr>
            <w:tcW w:w="1050" w:type="dxa"/>
            <w:tcBorders>
              <w:top w:val="single" w:sz="12" w:space="0" w:color="000000"/>
              <w:left w:val="single" w:sz="6" w:space="0" w:color="000000"/>
              <w:bottom w:val="single" w:sz="12" w:space="0" w:color="000000"/>
              <w:right w:val="nil" w:sz="6" w:space="0" w:color="auto"/>
            </w:tcBorders>
          </w:tcPr>
          <w:p>
            <w:pPr/>
          </w:p>
        </w:tc>
      </w:tr>
      <w:tr>
        <w:trPr>
          <w:trHeight w:val="60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814,570,532.71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-19,916.89</w:t>
            </w:r>
            <w:r>
              <w:rPr>
                <w:rFonts w:ascii="Times New Roman"/>
                <w:sz w:val="18"/>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814,550,615.82</w:t>
            </w:r>
          </w:p>
        </w:tc>
        <w:tc>
          <w:tcPr>
            <w:tcW w:w="930" w:type="dxa"/>
            <w:tcBorders>
              <w:top w:val="single" w:sz="12" w:space="0" w:color="000000"/>
              <w:left w:val="single" w:sz="6" w:space="0" w:color="000000"/>
              <w:bottom w:val="single" w:sz="12" w:space="0" w:color="000000"/>
              <w:right w:val="single" w:sz="6" w:space="0" w:color="000000"/>
            </w:tcBorders>
          </w:tcPr>
          <w:p>
            <w:pPr/>
          </w:p>
        </w:tc>
        <w:tc>
          <w:tcPr>
            <w:tcW w:w="1048" w:type="dxa"/>
            <w:tcBorders>
              <w:top w:val="single" w:sz="12" w:space="0" w:color="000000"/>
              <w:left w:val="single" w:sz="6" w:space="0" w:color="000000"/>
              <w:bottom w:val="single" w:sz="12" w:space="0" w:color="000000"/>
              <w:right w:val="single" w:sz="6" w:space="0" w:color="000000"/>
            </w:tcBorders>
          </w:tcPr>
          <w:p>
            <w:pPr/>
          </w:p>
        </w:tc>
        <w:tc>
          <w:tcPr>
            <w:tcW w:w="1050" w:type="dxa"/>
            <w:tcBorders>
              <w:top w:val="single" w:sz="12" w:space="0" w:color="000000"/>
              <w:left w:val="single" w:sz="6" w:space="0" w:color="000000"/>
              <w:bottom w:val="single" w:sz="12" w:space="0" w:color="000000"/>
              <w:right w:val="nil" w:sz="6" w:space="0" w:color="auto"/>
            </w:tcBorders>
          </w:tcPr>
          <w:p>
            <w:pPr/>
          </w:p>
        </w:tc>
      </w:tr>
    </w:tbl>
    <w:p>
      <w:pPr>
        <w:pStyle w:val="BodyText"/>
        <w:spacing w:line="300" w:lineRule="auto" w:before="31"/>
        <w:ind w:left="894" w:right="7092"/>
        <w:jc w:val="left"/>
      </w:pPr>
      <w:r>
        <w:rPr>
          <w:rFonts w:ascii="Times New Roman" w:hAnsi="Times New Roman" w:cs="Times New Roman" w:eastAsia="Times New Roman" w:hint="default"/>
        </w:rPr>
        <w:t>2.</w:t>
      </w:r>
      <w:r>
        <w:rPr/>
        <w:t>会计估计变更 本集团在报告期内无会计估计变更事项。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474" w:right="1122"/>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47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474" w:right="1122"/>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47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0"/>
          <w:szCs w:val="20"/>
        </w:rPr>
      </w:pPr>
    </w:p>
    <w:p>
      <w:pPr>
        <w:pStyle w:val="Heading3"/>
        <w:spacing w:line="240" w:lineRule="auto"/>
        <w:ind w:left="474" w:right="1122"/>
        <w:jc w:val="left"/>
        <w:rPr>
          <w:b w:val="0"/>
          <w:bCs w:val="0"/>
        </w:rPr>
      </w:pPr>
      <w:r>
        <w:rPr>
          <w:rFonts w:ascii="Times New Roman" w:hAnsi="Times New Roman" w:cs="Times New Roman" w:eastAsia="Times New Roman" w:hint="default"/>
        </w:rPr>
        <w:t>1.</w:t>
      </w:r>
      <w:r>
        <w:rPr/>
        <w:t>非同一控制下企业合并</w:t>
      </w:r>
      <w:r>
        <w:rPr>
          <w:b w:val="0"/>
          <w:bCs w:val="0"/>
        </w:rPr>
      </w:r>
    </w:p>
    <w:p>
      <w:pPr>
        <w:pStyle w:val="Heading4"/>
        <w:tabs>
          <w:tab w:pos="562" w:val="left" w:leader="none"/>
        </w:tabs>
        <w:spacing w:line="240" w:lineRule="auto" w:before="127"/>
        <w:ind w:left="114" w:right="1122"/>
        <w:jc w:val="left"/>
      </w:pPr>
      <w:r>
        <w:rPr>
          <w:rFonts w:ascii="宋体" w:hAnsi="宋体" w:cs="宋体" w:eastAsia="宋体" w:hint="default"/>
          <w:w w:val="95"/>
        </w:rPr>
        <w:t>1.</w:t>
        <w:tab/>
      </w:r>
      <w:r>
        <w:rPr/>
        <w:t>（</w:t>
      </w:r>
      <w:r>
        <w:rPr>
          <w:rFonts w:ascii="Times New Roman" w:hAnsi="Times New Roman" w:cs="Times New Roman" w:eastAsia="Times New Roman" w:hint="default"/>
        </w:rPr>
        <w:t>1</w:t>
      </w:r>
      <w:r>
        <w:rPr/>
        <w:t>）本年发生的非同一控制下企业合并</w:t>
      </w:r>
    </w:p>
    <w:p>
      <w:pPr>
        <w:spacing w:line="240" w:lineRule="auto" w:before="6"/>
        <w:rPr>
          <w:rFonts w:ascii="宋体" w:hAnsi="宋体" w:cs="宋体" w:eastAsia="宋体" w:hint="default"/>
          <w:sz w:val="11"/>
          <w:szCs w:val="11"/>
        </w:rPr>
      </w:pPr>
    </w:p>
    <w:tbl>
      <w:tblPr>
        <w:tblW w:w="0" w:type="auto"/>
        <w:jc w:val="left"/>
        <w:tblInd w:w="466" w:type="dxa"/>
        <w:tblLayout w:type="fixed"/>
        <w:tblCellMar>
          <w:top w:w="0" w:type="dxa"/>
          <w:left w:w="0" w:type="dxa"/>
          <w:bottom w:w="0" w:type="dxa"/>
          <w:right w:w="0" w:type="dxa"/>
        </w:tblCellMar>
        <w:tblLook w:val="01E0"/>
      </w:tblPr>
      <w:tblGrid>
        <w:gridCol w:w="759"/>
        <w:gridCol w:w="1051"/>
        <w:gridCol w:w="1038"/>
        <w:gridCol w:w="803"/>
        <w:gridCol w:w="627"/>
        <w:gridCol w:w="1144"/>
        <w:gridCol w:w="1037"/>
        <w:gridCol w:w="956"/>
        <w:gridCol w:w="894"/>
      </w:tblGrid>
      <w:tr>
        <w:trPr>
          <w:trHeight w:val="1291" w:hRule="exact"/>
        </w:trPr>
        <w:tc>
          <w:tcPr>
            <w:tcW w:w="7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90" w:right="11"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5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28" w:right="66"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3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22" w:right="59"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80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51" w:firstLine="31"/>
              <w:jc w:val="left"/>
              <w:rPr>
                <w:rFonts w:ascii="宋体" w:hAnsi="宋体" w:cs="宋体" w:eastAsia="宋体" w:hint="default"/>
                <w:sz w:val="18"/>
                <w:szCs w:val="18"/>
              </w:rPr>
            </w:pPr>
            <w:r>
              <w:rPr>
                <w:rFonts w:ascii="宋体" w:hAnsi="宋体" w:cs="宋体" w:eastAsia="宋体" w:hint="default"/>
                <w:sz w:val="18"/>
                <w:szCs w:val="18"/>
              </w:rPr>
              <w:t>股权取得 </w:t>
            </w:r>
            <w:r>
              <w:rPr>
                <w:rFonts w:ascii="宋体" w:hAnsi="宋体" w:cs="宋体" w:eastAsia="宋体" w:hint="default"/>
                <w:spacing w:val="-7"/>
                <w:sz w:val="18"/>
                <w:szCs w:val="18"/>
              </w:rPr>
              <w:t>比例（</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宋体" w:hAnsi="宋体" w:cs="宋体" w:eastAsia="宋体" w:hint="default"/>
                <w:sz w:val="18"/>
                <w:szCs w:val="18"/>
              </w:rPr>
            </w:r>
          </w:p>
        </w:tc>
        <w:tc>
          <w:tcPr>
            <w:tcW w:w="62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5" w:right="34"/>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1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9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41" w:right="5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95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9" w:right="21"/>
              <w:jc w:val="center"/>
              <w:rPr>
                <w:rFonts w:ascii="宋体" w:hAnsi="宋体" w:cs="宋体" w:eastAsia="宋体" w:hint="default"/>
                <w:sz w:val="18"/>
                <w:szCs w:val="18"/>
              </w:rPr>
            </w:pPr>
            <w:r>
              <w:rPr>
                <w:rFonts w:ascii="宋体" w:hAnsi="宋体" w:cs="宋体" w:eastAsia="宋体" w:hint="default"/>
                <w:sz w:val="18"/>
                <w:szCs w:val="18"/>
              </w:rPr>
              <w:t>购买日至年 末被购买方 的收入</w:t>
            </w:r>
          </w:p>
        </w:tc>
        <w:tc>
          <w:tcPr>
            <w:tcW w:w="89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79" w:right="85"/>
              <w:jc w:val="center"/>
              <w:rPr>
                <w:rFonts w:ascii="宋体" w:hAnsi="宋体" w:cs="宋体" w:eastAsia="宋体" w:hint="default"/>
                <w:sz w:val="18"/>
                <w:szCs w:val="18"/>
              </w:rPr>
            </w:pPr>
            <w:r>
              <w:rPr>
                <w:rFonts w:ascii="宋体" w:hAnsi="宋体" w:cs="宋体" w:eastAsia="宋体" w:hint="default"/>
                <w:sz w:val="18"/>
                <w:szCs w:val="18"/>
              </w:rPr>
              <w:t>购买日至 年末被购 买方的净 利润</w:t>
            </w:r>
          </w:p>
        </w:tc>
      </w:tr>
      <w:tr>
        <w:trPr>
          <w:trHeight w:val="665" w:hRule="exact"/>
        </w:trPr>
        <w:tc>
          <w:tcPr>
            <w:tcW w:w="7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500px,Inc</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p>
          <w:p>
            <w:pPr>
              <w:pStyle w:val="TableParagraph"/>
              <w:spacing w:line="240" w:lineRule="auto" w:before="63"/>
              <w:ind w:right="38"/>
              <w:jc w:val="center"/>
              <w:rPr>
                <w:rFonts w:ascii="宋体" w:hAnsi="宋体" w:cs="宋体" w:eastAsia="宋体" w:hint="default"/>
                <w:sz w:val="18"/>
                <w:szCs w:val="18"/>
              </w:rPr>
            </w:pPr>
            <w:r>
              <w:rPr>
                <w:rFonts w:ascii="宋体" w:hAnsi="宋体" w:cs="宋体" w:eastAsia="宋体" w:hint="default"/>
                <w:sz w:val="18"/>
                <w:szCs w:val="18"/>
              </w:rPr>
              <w:t>日</w:t>
            </w:r>
          </w:p>
        </w:tc>
        <w:tc>
          <w:tcPr>
            <w:tcW w:w="1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101,660,041.</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50</w:t>
            </w:r>
          </w:p>
        </w:tc>
        <w:tc>
          <w:tcPr>
            <w:tcW w:w="8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90" w:right="0"/>
              <w:jc w:val="left"/>
              <w:rPr>
                <w:rFonts w:ascii="Times New Roman" w:hAnsi="Times New Roman" w:cs="Times New Roman" w:eastAsia="Times New Roman" w:hint="default"/>
                <w:sz w:val="18"/>
                <w:szCs w:val="18"/>
              </w:rPr>
            </w:pPr>
            <w:r>
              <w:rPr>
                <w:rFonts w:ascii="Times New Roman"/>
                <w:sz w:val="18"/>
              </w:rPr>
              <w:t>100.00</w:t>
            </w:r>
          </w:p>
        </w:tc>
        <w:tc>
          <w:tcPr>
            <w:tcW w:w="6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1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0" w:right="0"/>
              <w:jc w:val="left"/>
              <w:rPr>
                <w:rFonts w:ascii="宋体" w:hAnsi="宋体" w:cs="宋体" w:eastAsia="宋体" w:hint="default"/>
                <w:sz w:val="18"/>
                <w:szCs w:val="18"/>
              </w:rPr>
            </w:pPr>
            <w:r>
              <w:rPr>
                <w:rFonts w:ascii="宋体" w:hAnsi="宋体" w:cs="宋体" w:eastAsia="宋体" w:hint="default"/>
                <w:sz w:val="18"/>
                <w:szCs w:val="18"/>
              </w:rPr>
              <w:t>完成变更</w:t>
            </w:r>
          </w:p>
        </w:tc>
        <w:tc>
          <w:tcPr>
            <w:tcW w:w="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29,389,906.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53</w:t>
            </w:r>
          </w:p>
        </w:tc>
        <w:tc>
          <w:tcPr>
            <w:tcW w:w="8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-1,627,439.</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66</w:t>
            </w:r>
          </w:p>
        </w:tc>
      </w:tr>
    </w:tbl>
    <w:p>
      <w:pPr>
        <w:spacing w:line="240" w:lineRule="auto" w:before="5"/>
        <w:rPr>
          <w:rFonts w:ascii="宋体" w:hAnsi="宋体" w:cs="宋体" w:eastAsia="宋体" w:hint="default"/>
          <w:sz w:val="5"/>
          <w:szCs w:val="5"/>
        </w:rPr>
      </w:pPr>
    </w:p>
    <w:p>
      <w:pPr>
        <w:pStyle w:val="Heading6"/>
        <w:spacing w:line="256" w:lineRule="auto" w:before="35"/>
        <w:ind w:left="474" w:right="1132"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日，视觉中国香港有限公司及其全资子公司</w:t>
      </w:r>
      <w:r>
        <w:rPr>
          <w:rFonts w:ascii="Times New Roman" w:hAnsi="Times New Roman" w:cs="Times New Roman" w:eastAsia="Times New Roman" w:hint="default"/>
          <w:spacing w:val="-2"/>
        </w:rPr>
        <w:t>JPEGAcquisitionCorp.</w:t>
      </w:r>
      <w:r>
        <w:rPr>
          <w:spacing w:val="-2"/>
        </w:rPr>
        <w:t>、</w:t>
      </w:r>
      <w:r>
        <w:rPr>
          <w:rFonts w:ascii="Times New Roman" w:hAnsi="Times New Roman" w:cs="Times New Roman" w:eastAsia="Times New Roman" w:hint="default"/>
          <w:spacing w:val="-2"/>
        </w:rPr>
        <w:t>500px</w:t>
      </w:r>
      <w:r>
        <w:rPr>
          <w:spacing w:val="-2"/>
        </w:rPr>
        <w:t>以及其他有关方</w:t>
      </w:r>
      <w:r>
        <w:rPr>
          <w:w w:val="99"/>
        </w:rPr>
        <w:t> </w:t>
      </w:r>
      <w:r>
        <w:rPr/>
        <w:t>签订了《合并协议》。根据《合并协议》，</w:t>
      </w:r>
      <w:r>
        <w:rPr>
          <w:rFonts w:ascii="Times New Roman" w:hAnsi="Times New Roman" w:cs="Times New Roman" w:eastAsia="Times New Roman" w:hint="default"/>
        </w:rPr>
        <w:t>JPEGAcquisitionCorp.</w:t>
      </w:r>
      <w:r>
        <w:rPr/>
        <w:t>将通过反向合并的方式与</w:t>
      </w:r>
      <w:r>
        <w:rPr>
          <w:rFonts w:ascii="Times New Roman" w:hAnsi="Times New Roman" w:cs="Times New Roman" w:eastAsia="Times New Roman" w:hint="default"/>
        </w:rPr>
        <w:t>500px</w:t>
      </w:r>
      <w:r>
        <w:rPr/>
        <w:t>合并，合</w:t>
      </w:r>
      <w:r>
        <w:rPr>
          <w:w w:val="99"/>
        </w:rPr>
        <w:t> </w:t>
      </w:r>
      <w:r>
        <w:rPr>
          <w:spacing w:val="-2"/>
        </w:rPr>
        <w:t>并完成后，</w:t>
      </w:r>
      <w:r>
        <w:rPr>
          <w:rFonts w:ascii="Times New Roman" w:hAnsi="Times New Roman" w:cs="Times New Roman" w:eastAsia="Times New Roman" w:hint="default"/>
          <w:spacing w:val="-2"/>
        </w:rPr>
        <w:t>JPEGAcquisitionCorp.</w:t>
      </w:r>
      <w:r>
        <w:rPr>
          <w:spacing w:val="-2"/>
        </w:rPr>
        <w:t>将并入</w:t>
      </w:r>
      <w:r>
        <w:rPr>
          <w:rFonts w:ascii="Times New Roman" w:hAnsi="Times New Roman" w:cs="Times New Roman" w:eastAsia="Times New Roman" w:hint="default"/>
          <w:spacing w:val="-2"/>
        </w:rPr>
        <w:t>500px</w:t>
      </w:r>
      <w:r>
        <w:rPr>
          <w:spacing w:val="-2"/>
        </w:rPr>
        <w:t>，</w:t>
      </w:r>
      <w:r>
        <w:rPr>
          <w:rFonts w:ascii="Times New Roman" w:hAnsi="Times New Roman" w:cs="Times New Roman" w:eastAsia="Times New Roman" w:hint="default"/>
          <w:spacing w:val="-2"/>
        </w:rPr>
        <w:t>500px</w:t>
      </w:r>
      <w:r>
        <w:rPr>
          <w:spacing w:val="-2"/>
        </w:rPr>
        <w:t>继续存续，并成为视觉中国香港有限公司的全资子公</w:t>
      </w:r>
    </w:p>
    <w:p>
      <w:pPr>
        <w:spacing w:after="0" w:line="256" w:lineRule="auto"/>
        <w:jc w:val="both"/>
        <w:sectPr>
          <w:pgSz w:w="11910" w:h="16840"/>
          <w:pgMar w:header="747" w:footer="979" w:top="1060" w:bottom="1160" w:left="66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司。</w:t>
      </w:r>
    </w:p>
    <w:p>
      <w:pPr>
        <w:pStyle w:val="Heading6"/>
        <w:spacing w:line="256" w:lineRule="auto" w:before="157"/>
        <w:ind w:left="156" w:right="1119" w:firstLine="42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日本公司召开的第八届董事会第三十四次会议审议通过了《关于收购</w:t>
      </w:r>
      <w:r>
        <w:rPr>
          <w:rFonts w:ascii="Times New Roman" w:hAnsi="Times New Roman" w:cs="Times New Roman" w:eastAsia="Times New Roman" w:hint="default"/>
        </w:rPr>
        <w:t>500pxInc.100%</w:t>
      </w:r>
      <w:r>
        <w:rPr/>
        <w:t>股 权的议案》，同意由全资子公司视觉中国香港有限公司以现金方式收购</w:t>
      </w:r>
      <w:r>
        <w:rPr>
          <w:rFonts w:ascii="Times New Roman" w:hAnsi="Times New Roman" w:cs="Times New Roman" w:eastAsia="Times New Roman" w:hint="default"/>
        </w:rPr>
        <w:t>500PX,INC.100%</w:t>
      </w:r>
      <w:r>
        <w:rPr/>
        <w:t>股权。</w:t>
      </w:r>
    </w:p>
    <w:p>
      <w:pPr>
        <w:pStyle w:val="Heading6"/>
        <w:spacing w:line="256" w:lineRule="auto" w:before="125"/>
        <w:ind w:left="156" w:right="0" w:firstLine="420"/>
        <w:jc w:val="left"/>
      </w:pP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日，特拉华州州务卿</w:t>
      </w:r>
      <w:r>
        <w:rPr>
          <w:rFonts w:ascii="Times New Roman" w:hAnsi="Times New Roman" w:cs="Times New Roman" w:eastAsia="Times New Roman" w:hint="default"/>
          <w:spacing w:val="-2"/>
        </w:rPr>
        <w:t>JeffreyW.Bullock</w:t>
      </w:r>
      <w:r>
        <w:rPr>
          <w:spacing w:val="-2"/>
        </w:rPr>
        <w:t>出具认证证书，</w:t>
      </w:r>
      <w:r>
        <w:rPr>
          <w:rFonts w:ascii="Times New Roman" w:hAnsi="Times New Roman" w:cs="Times New Roman" w:eastAsia="Times New Roman" w:hint="default"/>
          <w:spacing w:val="-2"/>
        </w:rPr>
        <w:t>JPEGAcquisitionCorp.</w:t>
      </w:r>
      <w:r>
        <w:rPr>
          <w:spacing w:val="-2"/>
        </w:rPr>
        <w:t>与</w:t>
      </w:r>
      <w:r>
        <w:rPr>
          <w:rFonts w:ascii="Times New Roman" w:hAnsi="Times New Roman" w:cs="Times New Roman" w:eastAsia="Times New Roman" w:hint="default"/>
          <w:spacing w:val="-2"/>
        </w:rPr>
        <w:t>500px</w:t>
      </w:r>
      <w:r>
        <w:rPr>
          <w:spacing w:val="-2"/>
        </w:rPr>
        <w:t>合并</w:t>
      </w:r>
      <w:r>
        <w:rPr>
          <w:w w:val="99"/>
        </w:rPr>
        <w:t> </w:t>
      </w:r>
      <w:r>
        <w:rPr/>
        <w:t>的合并证书，并于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日下午</w:t>
      </w:r>
      <w:r>
        <w:rPr>
          <w:rFonts w:ascii="Times New Roman" w:hAnsi="Times New Roman" w:cs="Times New Roman" w:eastAsia="Times New Roman" w:hint="default"/>
        </w:rPr>
        <w:t>1:51</w:t>
      </w:r>
      <w:r>
        <w:rPr/>
        <w:t>分提交特拉华州州务办公室备案。</w:t>
      </w:r>
    </w:p>
    <w:p>
      <w:pPr>
        <w:pStyle w:val="Heading4"/>
        <w:spacing w:line="240" w:lineRule="auto" w:before="117"/>
        <w:ind w:left="154" w:right="0"/>
        <w:jc w:val="left"/>
      </w:pPr>
      <w:r>
        <w:rPr/>
        <w:t>①</w:t>
      </w:r>
      <w:r>
        <w:rPr>
          <w:spacing w:val="-26"/>
        </w:rPr>
        <w:t> </w:t>
      </w:r>
      <w:r>
        <w:rPr/>
        <w:t>合并成本及商誉</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548"/>
        <w:gridCol w:w="2759"/>
      </w:tblGrid>
      <w:tr>
        <w:trPr>
          <w:trHeight w:val="355" w:hRule="exact"/>
        </w:trPr>
        <w:tc>
          <w:tcPr>
            <w:tcW w:w="55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center"/>
              <w:rPr>
                <w:rFonts w:ascii="Times New Roman" w:hAnsi="Times New Roman" w:cs="Times New Roman" w:eastAsia="Times New Roman" w:hint="default"/>
                <w:sz w:val="18"/>
                <w:szCs w:val="18"/>
              </w:rPr>
            </w:pPr>
            <w:r>
              <w:rPr>
                <w:rFonts w:ascii="Times New Roman"/>
                <w:sz w:val="18"/>
              </w:rPr>
              <w:t>500px,Inc.</w:t>
            </w:r>
          </w:p>
        </w:tc>
      </w:tr>
      <w:tr>
        <w:trPr>
          <w:trHeight w:val="352"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7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101,660,041.50</w:t>
            </w:r>
          </w:p>
        </w:tc>
      </w:tr>
      <w:tr>
        <w:trPr>
          <w:trHeight w:val="353"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7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101,660,041.50</w:t>
            </w:r>
          </w:p>
        </w:tc>
      </w:tr>
      <w:tr>
        <w:trPr>
          <w:trHeight w:val="352"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75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275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75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75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275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75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7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101,660,041.50</w:t>
            </w:r>
          </w:p>
        </w:tc>
      </w:tr>
      <w:tr>
        <w:trPr>
          <w:trHeight w:val="352"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7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16,715,174.00</w:t>
            </w:r>
          </w:p>
        </w:tc>
      </w:tr>
      <w:tr>
        <w:trPr>
          <w:trHeight w:val="353" w:hRule="exact"/>
        </w:trPr>
        <w:tc>
          <w:tcPr>
            <w:tcW w:w="5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27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84,944,867.50</w:t>
            </w:r>
          </w:p>
        </w:tc>
      </w:tr>
    </w:tbl>
    <w:p>
      <w:pPr>
        <w:spacing w:line="240" w:lineRule="auto" w:before="13"/>
        <w:rPr>
          <w:rFonts w:ascii="宋体" w:hAnsi="宋体" w:cs="宋体" w:eastAsia="宋体" w:hint="default"/>
          <w:sz w:val="4"/>
          <w:szCs w:val="4"/>
        </w:rPr>
      </w:pPr>
    </w:p>
    <w:p>
      <w:pPr>
        <w:pStyle w:val="Heading4"/>
        <w:spacing w:line="261" w:lineRule="auto"/>
        <w:ind w:left="154" w:right="1121"/>
        <w:jc w:val="left"/>
      </w:pPr>
      <w:r>
        <w:rPr>
          <w:spacing w:val="-1"/>
        </w:rPr>
        <w:t>合并成本的确定：由沃克森（北京）国际资产评估有限公司估值，并出具了《</w:t>
      </w:r>
      <w:r>
        <w:rPr>
          <w:rFonts w:ascii="宋体" w:hAnsi="宋体" w:cs="宋体" w:eastAsia="宋体" w:hint="default"/>
          <w:spacing w:val="-1"/>
        </w:rPr>
        <w:t>500PX,INC.</w:t>
      </w:r>
      <w:r>
        <w:rPr>
          <w:spacing w:val="-1"/>
        </w:rPr>
        <w:t>可辨识资产</w:t>
      </w:r>
      <w:r>
        <w:rPr>
          <w:w w:val="99"/>
        </w:rPr>
        <w:t> </w:t>
      </w:r>
      <w:r>
        <w:rPr/>
        <w:t>和负债公允价值估值报告》（沃克森咨报字</w:t>
      </w:r>
      <w:r>
        <w:rPr>
          <w:rFonts w:ascii="宋体" w:hAnsi="宋体" w:cs="宋体" w:eastAsia="宋体" w:hint="default"/>
        </w:rPr>
        <w:t>[2018]</w:t>
      </w:r>
      <w:r>
        <w:rPr/>
        <w:t>第</w:t>
      </w:r>
      <w:r>
        <w:rPr>
          <w:rFonts w:ascii="宋体" w:hAnsi="宋体" w:cs="宋体" w:eastAsia="宋体" w:hint="default"/>
        </w:rPr>
        <w:t>1659</w:t>
      </w:r>
      <w:r>
        <w:rPr/>
        <w:t>号）。</w:t>
      </w:r>
    </w:p>
    <w:p>
      <w:pPr>
        <w:pStyle w:val="Heading4"/>
        <w:spacing w:line="240" w:lineRule="auto" w:before="124"/>
        <w:ind w:left="154" w:right="0"/>
        <w:jc w:val="left"/>
      </w:pPr>
      <w:r>
        <w:rPr/>
        <w:t>②</w:t>
      </w:r>
      <w:r>
        <w:rPr>
          <w:spacing w:val="-29"/>
        </w:rPr>
        <w:t> </w:t>
      </w:r>
      <w:r>
        <w:rPr/>
        <w:t>被购买方于购买日可辨认资产、负债</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770"/>
        <w:gridCol w:w="2769"/>
        <w:gridCol w:w="2769"/>
      </w:tblGrid>
      <w:tr>
        <w:trPr>
          <w:trHeight w:val="355" w:hRule="exact"/>
        </w:trPr>
        <w:tc>
          <w:tcPr>
            <w:tcW w:w="277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53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500px,Inc.</w:t>
            </w:r>
          </w:p>
        </w:tc>
      </w:tr>
      <w:tr>
        <w:trPr>
          <w:trHeight w:val="352" w:hRule="exact"/>
        </w:trPr>
        <w:tc>
          <w:tcPr>
            <w:tcW w:w="2770" w:type="dxa"/>
            <w:vMerge/>
            <w:tcBorders>
              <w:left w:val="single" w:sz="6" w:space="0" w:color="000000"/>
              <w:bottom w:val="single" w:sz="12" w:space="0" w:color="000000"/>
              <w:right w:val="single" w:sz="6" w:space="0" w:color="000000"/>
            </w:tcBorders>
          </w:tcPr>
          <w:p>
            <w:pP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46"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46"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3"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769" w:type="dxa"/>
            <w:tcBorders>
              <w:top w:val="single" w:sz="12" w:space="0" w:color="000000"/>
              <w:left w:val="single" w:sz="6" w:space="0" w:color="000000"/>
              <w:bottom w:val="single" w:sz="12" w:space="0" w:color="000000"/>
              <w:right w:val="single" w:sz="6" w:space="0" w:color="000000"/>
            </w:tcBorders>
          </w:tcPr>
          <w:p>
            <w:pPr/>
          </w:p>
        </w:tc>
        <w:tc>
          <w:tcPr>
            <w:tcW w:w="276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12,846,352.87</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12,846,352.87</w:t>
            </w: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3,776,342.29</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3,776,342.29</w:t>
            </w:r>
          </w:p>
        </w:tc>
      </w:tr>
      <w:tr>
        <w:trPr>
          <w:trHeight w:val="353"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1,302,652.61</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1,302,652.61</w:t>
            </w: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39,032.50</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25,488.88</w:t>
            </w: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40,668,915.56</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195,006.62</w:t>
            </w:r>
          </w:p>
        </w:tc>
      </w:tr>
      <w:tr>
        <w:trPr>
          <w:trHeight w:val="353"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2,051,116.41</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2,051,116.41</w:t>
            </w: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769" w:type="dxa"/>
            <w:tcBorders>
              <w:top w:val="single" w:sz="12" w:space="0" w:color="000000"/>
              <w:left w:val="single" w:sz="6" w:space="0" w:color="000000"/>
              <w:bottom w:val="single" w:sz="12" w:space="0" w:color="000000"/>
              <w:right w:val="single" w:sz="6" w:space="0" w:color="000000"/>
            </w:tcBorders>
          </w:tcPr>
          <w:p>
            <w:pPr/>
          </w:p>
        </w:tc>
        <w:tc>
          <w:tcPr>
            <w:tcW w:w="276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749,558.62</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749,558.62</w:t>
            </w:r>
          </w:p>
        </w:tc>
      </w:tr>
      <w:tr>
        <w:trPr>
          <w:trHeight w:val="353"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9,561,487.67</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9,561,487.67</w:t>
            </w: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25,821,165.85</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25,821,165.85</w:t>
            </w: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7,837,026.10</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3,180,969.07</w:t>
            </w:r>
          </w:p>
        </w:tc>
      </w:tr>
      <w:tr>
        <w:trPr>
          <w:trHeight w:val="353"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16,715,174.00</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-19,116,221.53</w:t>
            </w: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769" w:type="dxa"/>
            <w:tcBorders>
              <w:top w:val="single" w:sz="12" w:space="0" w:color="000000"/>
              <w:left w:val="single" w:sz="6" w:space="0" w:color="000000"/>
              <w:bottom w:val="single" w:sz="12" w:space="0" w:color="000000"/>
              <w:right w:val="single" w:sz="6" w:space="0" w:color="000000"/>
            </w:tcBorders>
          </w:tcPr>
          <w:p>
            <w:pPr/>
          </w:p>
        </w:tc>
        <w:tc>
          <w:tcPr>
            <w:tcW w:w="276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7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16,715,174.00</w:t>
            </w:r>
          </w:p>
        </w:tc>
        <w:tc>
          <w:tcPr>
            <w:tcW w:w="27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-19,116,221.53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4"/>
        <w:rPr>
          <w:rFonts w:ascii="宋体" w:hAnsi="宋体" w:cs="宋体" w:eastAsia="宋体" w:hint="default"/>
          <w:sz w:val="24"/>
          <w:szCs w:val="24"/>
        </w:rPr>
      </w:pPr>
    </w:p>
    <w:p>
      <w:pPr>
        <w:pStyle w:val="Heading3"/>
        <w:spacing w:line="240" w:lineRule="auto" w:before="31"/>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处置子公司</w:t>
      </w:r>
      <w:r>
        <w:rPr>
          <w:b w:val="0"/>
          <w:bCs w:val="0"/>
        </w:rPr>
      </w:r>
    </w:p>
    <w:p>
      <w:pPr>
        <w:pStyle w:val="Heading4"/>
        <w:spacing w:line="240" w:lineRule="auto" w:before="127"/>
        <w:ind w:left="595" w:right="0"/>
        <w:jc w:val="left"/>
      </w:pPr>
      <w:r>
        <w:rPr/>
        <w:t>单次处置对子公司投资即丧失控制权的情形</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187"/>
        <w:gridCol w:w="1187"/>
        <w:gridCol w:w="1188"/>
        <w:gridCol w:w="1187"/>
        <w:gridCol w:w="1186"/>
        <w:gridCol w:w="1186"/>
        <w:gridCol w:w="1187"/>
      </w:tblGrid>
      <w:tr>
        <w:trPr>
          <w:trHeight w:val="1915" w:hRule="exact"/>
        </w:trPr>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股权处置比例</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1"/>
              <w:ind w:left="405" w:right="43" w:hanging="360"/>
              <w:jc w:val="left"/>
              <w:rPr>
                <w:rFonts w:ascii="宋体" w:hAnsi="宋体" w:cs="宋体" w:eastAsia="宋体" w:hint="default"/>
                <w:sz w:val="18"/>
                <w:szCs w:val="18"/>
              </w:rPr>
            </w:pPr>
            <w:r>
              <w:rPr>
                <w:rFonts w:ascii="宋体" w:hAnsi="宋体" w:cs="宋体" w:eastAsia="宋体" w:hint="default"/>
                <w:sz w:val="18"/>
                <w:szCs w:val="18"/>
              </w:rPr>
              <w:t>丧失控制权的 时点</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1"/>
              <w:ind w:left="45" w:right="45"/>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187"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6" w:right="50"/>
              <w:jc w:val="center"/>
              <w:rPr>
                <w:rFonts w:ascii="宋体" w:hAnsi="宋体" w:cs="宋体" w:eastAsia="宋体" w:hint="default"/>
                <w:sz w:val="18"/>
                <w:szCs w:val="18"/>
              </w:rPr>
            </w:pPr>
            <w:r>
              <w:rPr>
                <w:rFonts w:ascii="宋体" w:hAnsi="宋体" w:cs="宋体" w:eastAsia="宋体" w:hint="default"/>
                <w:sz w:val="18"/>
                <w:szCs w:val="18"/>
              </w:rPr>
              <w:t>处置价款与处 置投资对应的 合并报表层面 享有该子公司 净资产份额的 差额</w:t>
            </w:r>
          </w:p>
        </w:tc>
      </w:tr>
      <w:tr>
        <w:trPr>
          <w:trHeight w:val="664" w:hRule="exact"/>
        </w:trPr>
        <w:tc>
          <w:tcPr>
            <w:tcW w:w="11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11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6" w:right="0"/>
              <w:jc w:val="center"/>
              <w:rPr>
                <w:rFonts w:ascii="Times New Roman" w:hAnsi="Times New Roman" w:cs="Times New Roman" w:eastAsia="Times New Roman" w:hint="default"/>
                <w:sz w:val="18"/>
                <w:szCs w:val="18"/>
              </w:rPr>
            </w:pPr>
            <w:r>
              <w:rPr>
                <w:rFonts w:ascii="Times New Roman"/>
                <w:sz w:val="18"/>
              </w:rPr>
              <w:t>216,849,700.00</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676" w:right="0"/>
              <w:jc w:val="left"/>
              <w:rPr>
                <w:rFonts w:ascii="Times New Roman" w:hAnsi="Times New Roman" w:cs="Times New Roman" w:eastAsia="Times New Roman" w:hint="default"/>
                <w:sz w:val="18"/>
                <w:szCs w:val="18"/>
              </w:rPr>
            </w:pPr>
            <w:r>
              <w:rPr>
                <w:rFonts w:ascii="Times New Roman"/>
                <w:sz w:val="18"/>
              </w:rPr>
              <w:t>100.00</w:t>
            </w:r>
          </w:p>
        </w:tc>
        <w:tc>
          <w:tcPr>
            <w:tcW w:w="11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完成变更</w:t>
            </w:r>
          </w:p>
        </w:tc>
        <w:tc>
          <w:tcPr>
            <w:tcW w:w="11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75" w:right="0"/>
              <w:jc w:val="left"/>
              <w:rPr>
                <w:rFonts w:ascii="Times New Roman" w:hAnsi="Times New Roman" w:cs="Times New Roman" w:eastAsia="Times New Roman" w:hint="default"/>
                <w:sz w:val="18"/>
                <w:szCs w:val="18"/>
              </w:rPr>
            </w:pPr>
            <w:r>
              <w:rPr>
                <w:rFonts w:ascii="Times New Roman"/>
                <w:sz w:val="18"/>
              </w:rPr>
              <w:t>-18,757,617.29</w:t>
            </w:r>
          </w:p>
        </w:tc>
      </w:tr>
    </w:tbl>
    <w:p>
      <w:pPr>
        <w:spacing w:line="240" w:lineRule="auto" w:before="13"/>
        <w:rPr>
          <w:rFonts w:ascii="宋体" w:hAnsi="宋体" w:cs="宋体" w:eastAsia="宋体" w:hint="default"/>
          <w:sz w:val="4"/>
          <w:szCs w:val="4"/>
        </w:rPr>
      </w:pPr>
    </w:p>
    <w:p>
      <w:pPr>
        <w:pStyle w:val="Heading4"/>
        <w:spacing w:line="240" w:lineRule="auto"/>
        <w:ind w:left="595" w:right="0"/>
        <w:jc w:val="left"/>
      </w:pPr>
      <w:r>
        <w:rPr>
          <w:w w:val="99"/>
        </w:rPr>
        <w:t>续</w:t>
      </w:r>
      <w:r>
        <w:rPr/>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187"/>
        <w:gridCol w:w="1187"/>
        <w:gridCol w:w="1188"/>
        <w:gridCol w:w="1187"/>
        <w:gridCol w:w="1186"/>
        <w:gridCol w:w="1186"/>
        <w:gridCol w:w="1187"/>
      </w:tblGrid>
      <w:tr>
        <w:trPr>
          <w:trHeight w:val="1604" w:hRule="exact"/>
        </w:trPr>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6" w:right="43"/>
              <w:jc w:val="both"/>
              <w:rPr>
                <w:rFonts w:ascii="宋体" w:hAnsi="宋体" w:cs="宋体" w:eastAsia="宋体" w:hint="default"/>
                <w:sz w:val="18"/>
                <w:szCs w:val="18"/>
              </w:rPr>
            </w:pPr>
            <w:r>
              <w:rPr>
                <w:rFonts w:ascii="宋体" w:hAnsi="宋体" w:cs="宋体" w:eastAsia="宋体" w:hint="default"/>
                <w:sz w:val="18"/>
                <w:szCs w:val="18"/>
              </w:rPr>
              <w:t>丧失控制权之 日剩余股权的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6" w:right="44"/>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5" w:right="45"/>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5" w:right="43"/>
              <w:jc w:val="center"/>
              <w:rPr>
                <w:rFonts w:ascii="宋体" w:hAnsi="宋体" w:cs="宋体" w:eastAsia="宋体" w:hint="default"/>
                <w:sz w:val="18"/>
                <w:szCs w:val="18"/>
              </w:rPr>
            </w:pPr>
            <w:r>
              <w:rPr>
                <w:rFonts w:ascii="宋体" w:hAnsi="宋体" w:cs="宋体" w:eastAsia="宋体" w:hint="default"/>
                <w:sz w:val="18"/>
                <w:szCs w:val="18"/>
              </w:rPr>
              <w:t>按照公允价值 重新计量剩余 股权产生的利 得或损失</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5" w:right="45"/>
              <w:jc w:val="center"/>
              <w:rPr>
                <w:rFonts w:ascii="宋体" w:hAnsi="宋体" w:cs="宋体" w:eastAsia="宋体" w:hint="default"/>
                <w:sz w:val="18"/>
                <w:szCs w:val="18"/>
              </w:rPr>
            </w:pPr>
            <w:r>
              <w:rPr>
                <w:rFonts w:ascii="宋体" w:hAnsi="宋体" w:cs="宋体" w:eastAsia="宋体" w:hint="default"/>
                <w:sz w:val="18"/>
                <w:szCs w:val="18"/>
              </w:rPr>
              <w:t>丧失控制权之 日剩余股权公 允价值的确定 方法及主要假 设</w:t>
            </w:r>
          </w:p>
        </w:tc>
        <w:tc>
          <w:tcPr>
            <w:tcW w:w="1187"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6" w:right="50"/>
              <w:jc w:val="center"/>
              <w:rPr>
                <w:rFonts w:ascii="宋体" w:hAnsi="宋体" w:cs="宋体" w:eastAsia="宋体" w:hint="default"/>
                <w:sz w:val="18"/>
                <w:szCs w:val="18"/>
              </w:rPr>
            </w:pPr>
            <w:r>
              <w:rPr>
                <w:rFonts w:ascii="宋体" w:hAnsi="宋体" w:cs="宋体" w:eastAsia="宋体" w:hint="default"/>
                <w:sz w:val="18"/>
                <w:szCs w:val="18"/>
              </w:rPr>
              <w:t>与原子公司股 权投资相关的 其他综合收益 转入投资损益 的金额</w:t>
            </w:r>
          </w:p>
        </w:tc>
      </w:tr>
      <w:tr>
        <w:trPr>
          <w:trHeight w:val="352" w:hRule="exact"/>
        </w:trPr>
        <w:tc>
          <w:tcPr>
            <w:tcW w:w="11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11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12" w:space="0" w:color="000000"/>
              <w:left w:val="single" w:sz="6" w:space="0" w:color="000000"/>
              <w:bottom w:val="single" w:sz="12" w:space="0" w:color="000000"/>
              <w:right w:val="single" w:sz="6" w:space="0" w:color="000000"/>
            </w:tcBorders>
          </w:tcPr>
          <w:p>
            <w:pPr/>
          </w:p>
        </w:tc>
        <w:tc>
          <w:tcPr>
            <w:tcW w:w="11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4"/>
          <w:szCs w:val="14"/>
        </w:rPr>
      </w:pPr>
    </w:p>
    <w:p>
      <w:pPr>
        <w:spacing w:line="340" w:lineRule="auto" w:before="31"/>
        <w:ind w:left="595" w:right="0" w:hanging="442"/>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其他原因的合并范围变动</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北京汉华易美图片有限公司于</w:t>
      </w:r>
      <w:r>
        <w:rPr>
          <w:rFonts w:ascii="Times New Roman" w:hAnsi="Times New Roman" w:cs="Times New Roman" w:eastAsia="Times New Roman" w:hint="default"/>
          <w:w w:val="95"/>
          <w:sz w:val="22"/>
          <w:szCs w:val="22"/>
        </w:rPr>
        <w:t>2018</w:t>
      </w:r>
      <w:r>
        <w:rPr>
          <w:rFonts w:ascii="宋体" w:hAnsi="宋体" w:cs="宋体" w:eastAsia="宋体" w:hint="default"/>
          <w:w w:val="95"/>
          <w:sz w:val="22"/>
          <w:szCs w:val="22"/>
        </w:rPr>
        <w:t>年</w:t>
      </w:r>
      <w:r>
        <w:rPr>
          <w:rFonts w:ascii="Times New Roman" w:hAnsi="Times New Roman" w:cs="Times New Roman" w:eastAsia="Times New Roman" w:hint="default"/>
          <w:w w:val="95"/>
          <w:sz w:val="22"/>
          <w:szCs w:val="22"/>
        </w:rPr>
        <w:t>6</w:t>
      </w:r>
      <w:r>
        <w:rPr>
          <w:rFonts w:ascii="宋体" w:hAnsi="宋体" w:cs="宋体" w:eastAsia="宋体" w:hint="default"/>
          <w:w w:val="95"/>
          <w:sz w:val="22"/>
          <w:szCs w:val="22"/>
        </w:rPr>
        <w:t>月</w:t>
      </w:r>
      <w:r>
        <w:rPr>
          <w:rFonts w:ascii="Times New Roman" w:hAnsi="Times New Roman" w:cs="Times New Roman" w:eastAsia="Times New Roman" w:hint="default"/>
          <w:w w:val="95"/>
          <w:sz w:val="22"/>
          <w:szCs w:val="22"/>
        </w:rPr>
        <w:t>12</w:t>
      </w:r>
      <w:r>
        <w:rPr>
          <w:rFonts w:ascii="宋体" w:hAnsi="宋体" w:cs="宋体" w:eastAsia="宋体" w:hint="default"/>
          <w:w w:val="95"/>
          <w:sz w:val="22"/>
          <w:szCs w:val="22"/>
        </w:rPr>
        <w:t>日设立全资子公司上海悦芷网络科技有限公司。</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68"/>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中审众环会计师事务所（特殊有限合伙）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黄丽琼 安素强</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本年度，公司聘请中审中环会计师事务所（特殊普通合伙）为内部审计会计师事务所，审计费</w:t>
      </w:r>
      <w:r>
        <w:rPr>
          <w:rFonts w:ascii="Times New Roman" w:hAnsi="Times New Roman" w:cs="Times New Roman" w:eastAsia="Times New Roman" w:hint="default"/>
        </w:rPr>
        <w:t>20</w:t>
      </w:r>
      <w:r>
        <w:rPr/>
        <w:t>万元。</w:t>
      </w: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48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北京创新 乐知信息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公司关 联自然 人为关 联方的 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方销售 产品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视觉内 容与服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以市场 交易价 格为基 础</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6.84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会第三 十五次 会议决 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298"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露网 站：巨 潮资讯 网</w:t>
            </w:r>
          </w:p>
        </w:tc>
      </w:tr>
      <w:tr>
        <w:trPr>
          <w:trHeight w:val="47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公司关 联自然 人为关 联方的 董事长</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方销售 产品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视觉内 容与服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04"/>
              <w:jc w:val="both"/>
              <w:rPr>
                <w:rFonts w:ascii="宋体" w:hAnsi="宋体" w:cs="宋体" w:eastAsia="宋体" w:hint="default"/>
                <w:sz w:val="18"/>
                <w:szCs w:val="18"/>
              </w:rPr>
            </w:pPr>
            <w:r>
              <w:rPr>
                <w:rFonts w:ascii="宋体" w:hAnsi="宋体" w:cs="宋体" w:eastAsia="宋体" w:hint="default"/>
                <w:sz w:val="18"/>
                <w:szCs w:val="18"/>
              </w:rPr>
              <w:t>以市场 交易价 格为基 础</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99"/>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会第三 十五次 会议决 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14" w:lineRule="auto" w:before="65"/>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47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公司关 联自然 人为关 联方的 董事长</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方销售 产品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视觉内 容与服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04"/>
              <w:jc w:val="both"/>
              <w:rPr>
                <w:rFonts w:ascii="宋体" w:hAnsi="宋体" w:cs="宋体" w:eastAsia="宋体" w:hint="default"/>
                <w:sz w:val="18"/>
                <w:szCs w:val="18"/>
              </w:rPr>
            </w:pPr>
            <w:r>
              <w:rPr>
                <w:rFonts w:ascii="宋体" w:hAnsi="宋体" w:cs="宋体" w:eastAsia="宋体" w:hint="default"/>
                <w:sz w:val="18"/>
                <w:szCs w:val="18"/>
              </w:rPr>
              <w:t>以市场 交易价 格为基 础</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99"/>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28.21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会第三 十五次 会议决 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14" w:lineRule="auto" w:before="65"/>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285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46"/>
              <w:jc w:val="both"/>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公司关 联自然 人为关 联方的 董事长</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02"/>
              <w:jc w:val="both"/>
              <w:rPr>
                <w:rFonts w:ascii="宋体" w:hAnsi="宋体" w:cs="宋体" w:eastAsia="宋体" w:hint="default"/>
                <w:sz w:val="18"/>
                <w:szCs w:val="18"/>
              </w:rPr>
            </w:pPr>
            <w:r>
              <w:rPr>
                <w:rFonts w:ascii="宋体" w:hAnsi="宋体" w:cs="宋体" w:eastAsia="宋体" w:hint="default"/>
                <w:sz w:val="18"/>
                <w:szCs w:val="18"/>
              </w:rPr>
              <w:t>从关联 方采购 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31"/>
              <w:jc w:val="both"/>
              <w:rPr>
                <w:rFonts w:ascii="宋体" w:hAnsi="宋体" w:cs="宋体" w:eastAsia="宋体" w:hint="default"/>
                <w:sz w:val="18"/>
                <w:szCs w:val="18"/>
              </w:rPr>
            </w:pPr>
            <w:r>
              <w:rPr>
                <w:rFonts w:ascii="宋体" w:hAnsi="宋体" w:cs="宋体" w:eastAsia="宋体" w:hint="default"/>
                <w:sz w:val="18"/>
                <w:szCs w:val="18"/>
              </w:rPr>
              <w:t>视觉内 容与服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以市场 交易价 格为基 础</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14.82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14.82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会第三 十五次 会议决 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923"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14" w:lineRule="auto" w:before="65"/>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53.41</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214.82</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6"/>
        <w:gridCol w:w="805"/>
        <w:gridCol w:w="796"/>
        <w:gridCol w:w="800"/>
        <w:gridCol w:w="796"/>
        <w:gridCol w:w="798"/>
        <w:gridCol w:w="797"/>
        <w:gridCol w:w="798"/>
        <w:gridCol w:w="796"/>
        <w:gridCol w:w="792"/>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643" w:hRule="exact"/>
        </w:trPr>
        <w:tc>
          <w:tcPr>
            <w:tcW w:w="80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53"/>
              <w:ind w:left="22" w:right="105"/>
              <w:jc w:val="left"/>
              <w:rPr>
                <w:rFonts w:ascii="Times New Roman" w:hAnsi="Times New Roman" w:cs="Times New Roman" w:eastAsia="Times New Roman" w:hint="default"/>
                <w:sz w:val="18"/>
                <w:szCs w:val="18"/>
              </w:rPr>
            </w:pPr>
            <w:r>
              <w:rPr>
                <w:rFonts w:ascii="Times New Roman"/>
                <w:sz w:val="18"/>
              </w:rPr>
              <w:t>eSoon</w:t>
            </w:r>
            <w:r>
              <w:rPr>
                <w:rFonts w:ascii="Times New Roman"/>
                <w:w w:val="99"/>
                <w:sz w:val="18"/>
              </w:rPr>
              <w:t> </w:t>
            </w:r>
            <w:r>
              <w:rPr>
                <w:rFonts w:ascii="Times New Roman"/>
                <w:sz w:val="18"/>
              </w:rPr>
              <w:t>Group</w:t>
            </w:r>
            <w:r>
              <w:rPr>
                <w:rFonts w:ascii="Times New Roman"/>
                <w:w w:val="99"/>
                <w:sz w:val="18"/>
              </w:rPr>
              <w:t> </w:t>
            </w:r>
            <w:r>
              <w:rPr>
                <w:rFonts w:ascii="Times New Roman"/>
                <w:sz w:val="18"/>
              </w:rPr>
              <w:t>Holdings</w:t>
            </w:r>
            <w:r>
              <w:rPr>
                <w:rFonts w:ascii="Times New Roman"/>
                <w:w w:val="99"/>
                <w:sz w:val="18"/>
              </w:rPr>
              <w:t> </w:t>
            </w:r>
            <w:r>
              <w:rPr>
                <w:rFonts w:ascii="Times New Roman"/>
                <w:sz w:val="18"/>
              </w:rPr>
              <w:t>Limited</w:t>
            </w:r>
          </w:p>
        </w:tc>
        <w:tc>
          <w:tcPr>
            <w:tcW w:w="799" w:type="dxa"/>
            <w:tcBorders>
              <w:top w:val="single" w:sz="4" w:space="0" w:color="000000"/>
              <w:left w:val="single" w:sz="4" w:space="0" w:color="000000"/>
              <w:bottom w:val="single" w:sz="12" w:space="0" w:color="D2D2D2"/>
              <w:right w:val="single" w:sz="4" w:space="0" w:color="000000"/>
            </w:tcBorders>
          </w:tcPr>
          <w:p>
            <w:pPr>
              <w:pStyle w:val="TableParagraph"/>
              <w:spacing w:line="316" w:lineRule="auto" w:before="53"/>
              <w:ind w:left="22" w:right="44"/>
              <w:jc w:val="both"/>
              <w:rPr>
                <w:rFonts w:ascii="宋体" w:hAnsi="宋体" w:cs="宋体" w:eastAsia="宋体" w:hint="default"/>
                <w:sz w:val="18"/>
                <w:szCs w:val="18"/>
              </w:rPr>
            </w:pPr>
            <w:r>
              <w:rPr>
                <w:rFonts w:ascii="宋体" w:hAnsi="宋体" w:cs="宋体" w:eastAsia="宋体" w:hint="default"/>
                <w:sz w:val="18"/>
                <w:szCs w:val="18"/>
              </w:rPr>
              <w:t>本次交易 受让方的 实际控制 人为廖杰 先生，廖 杰先生为 公司董事 长，根据</w:t>
            </w:r>
          </w:p>
          <w:p>
            <w:pPr>
              <w:pStyle w:val="TableParagraph"/>
              <w:spacing w:line="316" w:lineRule="auto" w:before="19"/>
              <w:ind w:left="22" w:right="44"/>
              <w:jc w:val="both"/>
              <w:rPr>
                <w:rFonts w:ascii="宋体" w:hAnsi="宋体" w:cs="宋体" w:eastAsia="宋体" w:hint="default"/>
                <w:sz w:val="18"/>
                <w:szCs w:val="18"/>
              </w:rPr>
            </w:pPr>
            <w:r>
              <w:rPr>
                <w:rFonts w:ascii="宋体" w:hAnsi="宋体" w:cs="宋体" w:eastAsia="宋体" w:hint="default"/>
                <w:sz w:val="18"/>
                <w:szCs w:val="18"/>
              </w:rPr>
              <w:t>《深圳证 券交易所 股票上市 规则</w:t>
            </w:r>
          </w:p>
          <w:p>
            <w:pPr>
              <w:pStyle w:val="TableParagraph"/>
              <w:spacing w:line="312"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 </w:t>
            </w:r>
            <w:r>
              <w:rPr>
                <w:rFonts w:ascii="宋体" w:hAnsi="宋体" w:cs="宋体" w:eastAsia="宋体" w:hint="default"/>
                <w:spacing w:val="-32"/>
                <w:sz w:val="18"/>
                <w:szCs w:val="18"/>
              </w:rPr>
              <w:t>修订）》中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第十章 </w:t>
            </w:r>
            <w:r>
              <w:rPr>
                <w:rFonts w:ascii="Times New Roman" w:hAnsi="Times New Roman" w:cs="Times New Roman" w:eastAsia="Times New Roman" w:hint="default"/>
                <w:sz w:val="18"/>
                <w:szCs w:val="18"/>
              </w:rPr>
              <w:t>“</w:t>
            </w:r>
            <w:r>
              <w:rPr>
                <w:rFonts w:ascii="宋体" w:hAnsi="宋体" w:cs="宋体" w:eastAsia="宋体" w:hint="default"/>
                <w:sz w:val="18"/>
                <w:szCs w:val="18"/>
              </w:rPr>
              <w:t>关联交 易</w:t>
            </w:r>
            <w:r>
              <w:rPr>
                <w:rFonts w:ascii="Times New Roman" w:hAnsi="Times New Roman" w:cs="Times New Roman" w:eastAsia="Times New Roman" w:hint="default"/>
                <w:sz w:val="18"/>
                <w:szCs w:val="18"/>
              </w:rPr>
              <w:t>”</w:t>
            </w:r>
            <w:r>
              <w:rPr>
                <w:rFonts w:ascii="宋体" w:hAnsi="宋体" w:cs="宋体" w:eastAsia="宋体" w:hint="default"/>
                <w:sz w:val="18"/>
                <w:szCs w:val="18"/>
              </w:rPr>
              <w:t>的相 关规定， 本次交易 构成关联 交易。</w:t>
            </w:r>
          </w:p>
        </w:tc>
        <w:tc>
          <w:tcPr>
            <w:tcW w:w="79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股权出售</w:t>
            </w:r>
          </w:p>
        </w:tc>
        <w:tc>
          <w:tcPr>
            <w:tcW w:w="805"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38" w:lineRule="auto"/>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视觉中国 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eSoon Group Holdings</w:t>
            </w:r>
          </w:p>
          <w:p>
            <w:pPr>
              <w:pStyle w:val="TableParagraph"/>
              <w:spacing w:line="316" w:lineRule="auto" w:before="2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 </w:t>
            </w:r>
            <w:r>
              <w:rPr>
                <w:rFonts w:ascii="宋体" w:hAnsi="宋体" w:cs="宋体" w:eastAsia="宋体" w:hint="default"/>
                <w:sz w:val="18"/>
                <w:szCs w:val="18"/>
              </w:rPr>
              <w:t>转让其持 有的亿迅 资产组股 权</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以评估价 值为基础</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36" w:right="0"/>
              <w:jc w:val="left"/>
              <w:rPr>
                <w:rFonts w:ascii="Times New Roman" w:hAnsi="Times New Roman" w:cs="Times New Roman" w:eastAsia="Times New Roman" w:hint="default"/>
                <w:sz w:val="18"/>
                <w:szCs w:val="18"/>
              </w:rPr>
            </w:pPr>
            <w:r>
              <w:rPr>
                <w:rFonts w:ascii="Times New Roman"/>
                <w:sz w:val="18"/>
              </w:rPr>
              <w:t>6,687.99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33" w:right="0"/>
              <w:jc w:val="left"/>
              <w:rPr>
                <w:rFonts w:ascii="Times New Roman" w:hAnsi="Times New Roman" w:cs="Times New Roman" w:eastAsia="Times New Roman" w:hint="default"/>
                <w:sz w:val="18"/>
                <w:szCs w:val="18"/>
              </w:rPr>
            </w:pPr>
            <w:r>
              <w:rPr>
                <w:rFonts w:ascii="Times New Roman"/>
                <w:sz w:val="18"/>
              </w:rPr>
              <w:t>31,078.3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44" w:right="0"/>
              <w:jc w:val="left"/>
              <w:rPr>
                <w:rFonts w:ascii="Times New Roman" w:hAnsi="Times New Roman" w:cs="Times New Roman" w:eastAsia="Times New Roman" w:hint="default"/>
                <w:sz w:val="18"/>
                <w:szCs w:val="18"/>
              </w:rPr>
            </w:pPr>
            <w:r>
              <w:rPr>
                <w:rFonts w:ascii="Times New Roman"/>
                <w:sz w:val="18"/>
              </w:rPr>
              <w:t>21,684.97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按照协议 约定结算</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59" w:right="0"/>
              <w:jc w:val="left"/>
              <w:rPr>
                <w:rFonts w:ascii="Times New Roman" w:hAnsi="Times New Roman" w:cs="Times New Roman" w:eastAsia="Times New Roman" w:hint="default"/>
                <w:sz w:val="18"/>
                <w:szCs w:val="18"/>
              </w:rPr>
            </w:pPr>
            <w:r>
              <w:rPr>
                <w:rFonts w:ascii="Times New Roman"/>
                <w:sz w:val="18"/>
              </w:rPr>
              <w:t>700.5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《关于转 让亿迅资 产组股权 暨关联交 易的公 </w:t>
            </w:r>
            <w:r>
              <w:rPr>
                <w:rFonts w:ascii="宋体" w:hAnsi="宋体" w:cs="宋体" w:eastAsia="宋体" w:hint="default"/>
                <w:spacing w:val="-33"/>
                <w:sz w:val="18"/>
                <w:szCs w:val="18"/>
              </w:rPr>
              <w:t>告》，公告</w:t>
            </w:r>
            <w:r>
              <w:rPr>
                <w:rFonts w:ascii="宋体" w:hAnsi="宋体" w:cs="宋体" w:eastAsia="宋体" w:hint="default"/>
                <w:sz w:val="18"/>
                <w:szCs w:val="18"/>
              </w:rPr>
              <w:t> 编号：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2018-060</w:t>
            </w:r>
          </w:p>
          <w:p>
            <w:pPr>
              <w:pStyle w:val="TableParagraph"/>
              <w:spacing w:line="319" w:lineRule="auto" w:before="65"/>
              <w:ind w:left="22" w:right="37"/>
              <w:jc w:val="both"/>
              <w:rPr>
                <w:rFonts w:ascii="宋体" w:hAnsi="宋体" w:cs="宋体" w:eastAsia="宋体" w:hint="default"/>
                <w:sz w:val="18"/>
                <w:szCs w:val="18"/>
              </w:rPr>
            </w:pPr>
            <w:r>
              <w:rPr>
                <w:rFonts w:ascii="宋体" w:hAnsi="宋体" w:cs="宋体" w:eastAsia="宋体" w:hint="default"/>
                <w:sz w:val="18"/>
                <w:szCs w:val="18"/>
              </w:rPr>
              <w:t>，披露网 站：巨潮 资讯网</w:t>
            </w:r>
          </w:p>
        </w:tc>
      </w:tr>
      <w:tr>
        <w:trPr>
          <w:trHeight w:val="40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00"/>
        <w:gridCol w:w="6373"/>
      </w:tblGrid>
      <w:tr>
        <w:trPr>
          <w:trHeight w:val="36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大的原因（如有）</w:t>
            </w:r>
          </w:p>
        </w:tc>
        <w:tc>
          <w:tcPr>
            <w:tcW w:w="637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交易完成后，将可提高公司资金使用效率、优化资产结构，更好的集中资源聚焦 </w:t>
            </w:r>
            <w:r>
              <w:rPr>
                <w:rFonts w:ascii="宋体" w:hAnsi="宋体" w:cs="宋体" w:eastAsia="宋体" w:hint="default"/>
                <w:spacing w:val="-2"/>
                <w:sz w:val="18"/>
                <w:szCs w:val="18"/>
              </w:rPr>
              <w:t>核心主业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视觉内容与服务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，加速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视觉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生态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战略的布局，持续提升公司长远价</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值的经营策略。</w:t>
            </w:r>
          </w:p>
        </w:tc>
      </w:tr>
      <w:tr>
        <w:trPr>
          <w:trHeight w:val="714"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94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5"/>
        <w:gridCol w:w="944"/>
        <w:gridCol w:w="956"/>
        <w:gridCol w:w="958"/>
        <w:gridCol w:w="956"/>
        <w:gridCol w:w="958"/>
        <w:gridCol w:w="956"/>
        <w:gridCol w:w="958"/>
        <w:gridCol w:w="956"/>
        <w:gridCol w:w="991"/>
      </w:tblGrid>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240" w:lineRule="auto" w:before="51"/>
        <w:ind w:right="0"/>
        <w:jc w:val="left"/>
      </w:pPr>
      <w:r>
        <w:rPr/>
        <w:t>应付关联方债务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714"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514.36</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514.36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5" w:right="0"/>
              <w:jc w:val="lef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5"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临时补充上市公司营运资金，本期偿还完毕</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9"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深圳艾特凡斯智能科 技有限公司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4"/>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6"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视觉中国香港有限公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北京汉华易美图片有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26,953.98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北京汉华易美图片有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华夏视觉（天津）信 息技术有限公司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华盖创意（天津）视 讯科技有限公司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亿迅信息技术有限公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视觉（中国）文化发 展股份有限公司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视觉中国集团控股有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视觉（中</w:t>
            </w:r>
            <w:r>
              <w:rPr>
                <w:rFonts w:ascii="宋体" w:hAnsi="宋体" w:cs="宋体" w:eastAsia="宋体" w:hint="default"/>
                <w:spacing w:val="3"/>
                <w:sz w:val="18"/>
                <w:szCs w:val="18"/>
              </w:rPr>
              <w:t> </w:t>
            </w:r>
            <w:r>
              <w:rPr>
                <w:rFonts w:ascii="宋体" w:hAnsi="宋体" w:cs="宋体" w:eastAsia="宋体" w:hint="default"/>
                <w:spacing w:val="-6"/>
                <w:sz w:val="18"/>
                <w:szCs w:val="18"/>
              </w:rPr>
              <w:t>国）文化发</w:t>
            </w:r>
            <w:r>
              <w:rPr>
                <w:rFonts w:ascii="宋体" w:hAnsi="宋体" w:cs="宋体" w:eastAsia="宋体" w:hint="default"/>
                <w:sz w:val="18"/>
                <w:szCs w:val="18"/>
              </w:rPr>
              <w:t> 展股份有限公司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视觉（中</w:t>
            </w:r>
            <w:r>
              <w:rPr>
                <w:rFonts w:ascii="宋体" w:hAnsi="宋体" w:cs="宋体" w:eastAsia="宋体" w:hint="default"/>
                <w:spacing w:val="3"/>
                <w:sz w:val="18"/>
                <w:szCs w:val="18"/>
              </w:rPr>
              <w:t> </w:t>
            </w:r>
            <w:r>
              <w:rPr>
                <w:rFonts w:ascii="宋体" w:hAnsi="宋体" w:cs="宋体" w:eastAsia="宋体" w:hint="default"/>
                <w:spacing w:val="-6"/>
                <w:sz w:val="18"/>
                <w:szCs w:val="18"/>
              </w:rPr>
              <w:t>国）文化发</w:t>
            </w:r>
            <w:r>
              <w:rPr>
                <w:rFonts w:ascii="宋体" w:hAnsi="宋体" w:cs="宋体" w:eastAsia="宋体" w:hint="default"/>
                <w:sz w:val="18"/>
                <w:szCs w:val="18"/>
              </w:rPr>
              <w:t> 展股份有限公司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2,762.92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239.45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华盖创意（天津）视 讯科技有限公司</w:t>
            </w:r>
          </w:p>
        </w:tc>
        <w:tc>
          <w:tcPr>
            <w:tcW w:w="92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22,515.57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98"/>
        <w:gridCol w:w="910"/>
        <w:gridCol w:w="923"/>
        <w:gridCol w:w="1316"/>
        <w:gridCol w:w="1041"/>
        <w:gridCol w:w="1046"/>
        <w:gridCol w:w="1053"/>
        <w:gridCol w:w="786"/>
        <w:gridCol w:w="790"/>
      </w:tblGrid>
      <w:tr>
        <w:trPr>
          <w:trHeight w:val="362"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225,214</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69,561.95</w:t>
            </w:r>
          </w:p>
        </w:tc>
      </w:tr>
      <w:tr>
        <w:trPr>
          <w:trHeight w:val="393"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698" w:type="dxa"/>
            <w:vMerge w:val="restart"/>
            <w:tcBorders>
              <w:top w:val="single" w:sz="4" w:space="0" w:color="000000"/>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98"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1"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698" w:type="dxa"/>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041"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8"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5,000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762.92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0" w:right="111"/>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88,200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22,515.57</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233,114</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69,561.95</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暂时闲置的自有资金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both"/>
      </w:pPr>
      <w:r>
        <w:rPr/>
        <w:t>单项金额重大或安全性较低、流动性较差、不保本的高风险委托理财具体情况</w:t>
      </w:r>
    </w:p>
    <w:p>
      <w:pPr>
        <w:pStyle w:val="BodyText"/>
        <w:spacing w:line="340" w:lineRule="auto" w:before="116"/>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5"/>
        <w:spacing w:line="240" w:lineRule="auto"/>
        <w:ind w:right="0"/>
        <w:jc w:val="both"/>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98"/>
      <w:bookmarkEnd w:id="98"/>
      <w:r>
        <w:rPr>
          <w:b w:val="0"/>
          <w:bCs w:val="0"/>
        </w:rPr>
      </w:r>
      <w:r>
        <w:rPr/>
        <w:t>十八、社会责任情况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 履行社会责任情况" w:id="99"/>
      <w:bookmarkEnd w:id="99"/>
      <w:r>
        <w:rPr>
          <w:b w:val="0"/>
          <w:bCs w:val="0"/>
        </w:rPr>
      </w:r>
      <w:r>
        <w:rPr>
          <w:rFonts w:ascii="Times New Roman" w:hAnsi="Times New Roman" w:cs="Times New Roman" w:eastAsia="Times New Roman" w:hint="default"/>
        </w:rPr>
        <w:t>1</w:t>
      </w:r>
      <w:r>
        <w:rPr/>
        <w:t>、</w:t>
      </w:r>
      <w:r>
        <w:rPr>
          <w:spacing w:val="-65"/>
        </w:rPr>
        <w:t> </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right="112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年，公司与社会各界广泛合作，依托公司优质内容与签约摄影师资源，通过影像参与社会公益活动。</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月，视 </w:t>
      </w:r>
      <w:r>
        <w:rPr>
          <w:spacing w:val="-1"/>
        </w:rPr>
        <w:t>觉中国和联合国开发计划署共同启动“她的故事”公益影像计划，在线上线下同步启动“她的故事”公益影展，组织</w:t>
      </w:r>
      <w:r>
        <w:rPr>
          <w:spacing w:val="-33"/>
        </w:rPr>
        <w:t> </w:t>
      </w:r>
      <w:r>
        <w:rPr>
          <w:rFonts w:ascii="Times New Roman" w:hAnsi="Times New Roman" w:cs="Times New Roman" w:eastAsia="Times New Roman" w:hint="default"/>
        </w:rPr>
        <w:t>500px</w:t>
      </w:r>
      <w:r>
        <w:rPr>
          <w:rFonts w:ascii="Times New Roman" w:hAnsi="Times New Roman" w:cs="Times New Roman" w:eastAsia="Times New Roman" w:hint="default"/>
          <w:spacing w:val="-43"/>
        </w:rPr>
        <w:t> </w:t>
      </w:r>
      <w:r>
        <w:rPr/>
        <w:t>社区摄影师会员拍摄职场优秀女性的图片故事，宣传性别平等的重要性，促进中国女性的职业发展和经济赋权。</w:t>
      </w:r>
      <w:r>
        <w:rPr>
          <w:rFonts w:ascii="Times New Roman" w:hAnsi="Times New Roman" w:cs="Times New Roman" w:eastAsia="Times New Roman" w:hint="default"/>
        </w:rPr>
        <w:t>2018 </w:t>
      </w:r>
      <w:r>
        <w:rPr/>
        <w:t>年</w:t>
      </w:r>
      <w:r>
        <w:rPr>
          <w:spacing w:val="9"/>
        </w:rPr>
        <w:t> </w:t>
      </w:r>
      <w:r>
        <w:rPr>
          <w:rFonts w:ascii="Times New Roman" w:hAnsi="Times New Roman" w:cs="Times New Roman" w:eastAsia="Times New Roman" w:hint="default"/>
        </w:rPr>
        <w:t>7 </w:t>
      </w:r>
      <w:r>
        <w:rPr>
          <w:spacing w:val="-2"/>
        </w:rPr>
        <w:t>月，视觉中国与新华社、青基会、海尔家电合作“拥抱吧，爸爸”公益项目，在上海、深圳、云南等地开展线下图片展览活</w:t>
      </w:r>
      <w:r>
        <w:rPr>
          <w:spacing w:val="-69"/>
        </w:rPr>
        <w:t> </w:t>
      </w:r>
      <w:r>
        <w:rPr>
          <w:spacing w:val="-69"/>
        </w:rPr>
      </w:r>
      <w:r>
        <w:rPr/>
        <w:t>动，号召社会关注留守儿童问题。</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年，公司还与人民日报、新华社、民盟等合作，多次承办庆祝改革开放</w:t>
      </w:r>
      <w:r>
        <w:rPr>
          <w:spacing w:val="-58"/>
        </w:rPr>
        <w:t> </w:t>
      </w:r>
      <w:r>
        <w:rPr>
          <w:rFonts w:ascii="Times New Roman" w:hAnsi="Times New Roman" w:cs="Times New Roman" w:eastAsia="Times New Roman" w:hint="default"/>
        </w:rPr>
        <w:t>40</w:t>
      </w:r>
      <w:r>
        <w:rPr>
          <w:rFonts w:ascii="Times New Roman" w:hAnsi="Times New Roman" w:cs="Times New Roman" w:eastAsia="Times New Roman" w:hint="default"/>
          <w:spacing w:val="-13"/>
        </w:rPr>
        <w:t> </w:t>
      </w:r>
      <w:r>
        <w:rPr/>
        <w:t>周年摄影 展，并出版《时间的力量</w:t>
      </w:r>
      <w:r>
        <w:rPr>
          <w:rFonts w:ascii="Times New Roman" w:hAnsi="Times New Roman" w:cs="Times New Roman" w:eastAsia="Times New Roman" w:hint="default"/>
        </w:rPr>
        <w:t>——</w:t>
      </w:r>
      <w:r>
        <w:rPr/>
        <w:t>改革开放</w:t>
      </w:r>
      <w:r>
        <w:rPr>
          <w:spacing w:val="-41"/>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年影像记》大型画册，受到国家有关部门的好评；通过一系列的精彩图片生动展</w:t>
      </w:r>
    </w:p>
    <w:p>
      <w:pPr>
        <w:pStyle w:val="BodyText"/>
        <w:spacing w:line="240" w:lineRule="auto" w:before="10"/>
        <w:ind w:right="0"/>
        <w:jc w:val="both"/>
      </w:pPr>
      <w:r>
        <w:rPr/>
        <w:t>示在党的领导下，改革开放</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年来国家取得的巨大成果，取得了良好的社会效果。</w:t>
      </w:r>
    </w:p>
    <w:p>
      <w:pPr>
        <w:pStyle w:val="BodyText"/>
        <w:spacing w:line="309" w:lineRule="auto" w:before="101"/>
        <w:ind w:right="1095" w:firstLine="9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年，公司将进一步加强与主管部门、行业协会和业内专家的定期沟通，共同探索符合中国市场需求的图片版权确权、 </w:t>
      </w:r>
      <w:r>
        <w:rPr>
          <w:spacing w:val="-2"/>
        </w:rPr>
        <w:t>授权、保护和争议解决机制。在公司还将与各方共同努力，共建版权保护、服务机制，扩大保护知识产权的社会共识，继续</w:t>
      </w:r>
      <w:r>
        <w:rPr>
          <w:spacing w:val="-68"/>
        </w:rPr>
        <w:t> </w:t>
      </w:r>
      <w:r>
        <w:rPr>
          <w:spacing w:val="-68"/>
        </w:rPr>
      </w:r>
      <w:r>
        <w:rPr/>
        <w:t>发挥第三方平台在保护知识产权、维护创作者权益中的积极作用，推动内容正版化，共同构建合作共赢的行业生态。</w:t>
      </w:r>
    </w:p>
    <w:p>
      <w:pPr>
        <w:pStyle w:val="BodyText"/>
        <w:spacing w:line="302" w:lineRule="auto" w:before="64"/>
        <w:ind w:right="1118" w:firstLine="9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8"/>
        </w:rPr>
        <w:t>，</w:t>
      </w:r>
      <w:r>
        <w:rPr/>
        <w:t>公司还将依托自身内容优势</w:t>
      </w:r>
      <w:r>
        <w:rPr>
          <w:spacing w:val="-8"/>
        </w:rPr>
        <w:t>，</w:t>
      </w:r>
      <w:r>
        <w:rPr/>
        <w:t>积极参与新中国成立</w:t>
      </w:r>
      <w:r>
        <w:rPr>
          <w:spacing w:val="-46"/>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周年</w:t>
      </w:r>
      <w:r>
        <w:rPr>
          <w:spacing w:val="-96"/>
        </w:rPr>
        <w:t>、</w:t>
      </w:r>
      <w:r>
        <w:rPr/>
        <w:t>“扶贫攻坚</w:t>
      </w:r>
      <w:r>
        <w:rPr>
          <w:spacing w:val="-90"/>
        </w:rPr>
        <w:t>”</w:t>
      </w:r>
      <w:r>
        <w:rPr>
          <w:spacing w:val="-98"/>
        </w:rPr>
        <w:t>、</w:t>
      </w:r>
      <w:r>
        <w:rPr/>
        <w:t>“一带一路</w:t>
      </w:r>
      <w:r>
        <w:rPr>
          <w:spacing w:val="-8"/>
        </w:rPr>
        <w:t>”</w:t>
      </w:r>
      <w:r>
        <w:rPr/>
        <w:t>等重大活动有关的摄影展</w:t>
      </w:r>
      <w:r>
        <w:rPr/>
        <w:t> 览、图书出版、公益拍摄等活动，对内传播正能量，对外讲好“中国故事</w:t>
      </w:r>
      <w:r>
        <w:rPr>
          <w:spacing w:val="-90"/>
        </w:rPr>
        <w:t>”</w:t>
      </w:r>
      <w:r>
        <w:rPr/>
        <w:t>。</w:t>
      </w:r>
    </w:p>
    <w:p>
      <w:pPr>
        <w:spacing w:line="240" w:lineRule="auto" w:before="2"/>
        <w:rPr>
          <w:rFonts w:ascii="宋体" w:hAnsi="宋体" w:cs="宋体" w:eastAsia="宋体" w:hint="default"/>
          <w:sz w:val="23"/>
          <w:szCs w:val="23"/>
        </w:rPr>
      </w:pPr>
    </w:p>
    <w:p>
      <w:pPr>
        <w:pStyle w:val="Heading5"/>
        <w:spacing w:line="240" w:lineRule="auto"/>
        <w:ind w:right="0"/>
        <w:jc w:val="both"/>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2" w:lineRule="auto" w:before="0"/>
        <w:ind w:right="1040"/>
        <w:jc w:val="left"/>
      </w:pPr>
      <w:r>
        <w:rPr>
          <w:spacing w:val="-3"/>
        </w:rPr>
        <w:t>公司在报告期内暂未开展精准扶贫工作。基于</w:t>
      </w:r>
      <w:r>
        <w:rPr>
          <w:rFonts w:ascii="Times New Roman" w:hAnsi="Times New Roman" w:cs="Times New Roman" w:eastAsia="Times New Roman" w:hint="default"/>
          <w:spacing w:val="-3"/>
        </w:rPr>
        <w:t>“</w:t>
      </w:r>
      <w:r>
        <w:rPr>
          <w:spacing w:val="-3"/>
        </w:rPr>
        <w:t>视觉服务中国</w:t>
      </w:r>
      <w:r>
        <w:rPr>
          <w:rFonts w:ascii="Times New Roman" w:hAnsi="Times New Roman" w:cs="Times New Roman" w:eastAsia="Times New Roman" w:hint="default"/>
          <w:spacing w:val="-3"/>
        </w:rPr>
        <w:t>”</w:t>
      </w:r>
      <w:r>
        <w:rPr>
          <w:spacing w:val="-3"/>
        </w:rPr>
        <w:t>的使命，公司计划在履行社会责任，积极主办与参与公益活动，</w:t>
      </w:r>
      <w:r>
        <w:rPr>
          <w:spacing w:val="-77"/>
        </w:rPr>
        <w:t> </w:t>
      </w:r>
      <w:r>
        <w:rPr>
          <w:spacing w:val="-77"/>
        </w:rPr>
      </w:r>
      <w:r>
        <w:rPr/>
        <w:t>以视觉的力量向社会传达正能量的同时，开展精准扶贫相关工作。</w:t>
      </w:r>
    </w:p>
    <w:p>
      <w:pPr>
        <w:spacing w:after="0" w:line="302"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both"/>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712"/>
        <w:jc w:val="left"/>
      </w:pPr>
      <w:r>
        <w:rPr/>
        <w:t>上市公司及其子公司是否属于环境保护部门公布的重点排污单位 否</w:t>
      </w:r>
    </w:p>
    <w:p>
      <w:pPr>
        <w:pStyle w:val="BodyText"/>
        <w:spacing w:line="309" w:lineRule="auto" w:before="28"/>
        <w:ind w:right="1130"/>
        <w:jc w:val="both"/>
      </w:pPr>
      <w:r>
        <w:rPr>
          <w:spacing w:val="-2"/>
        </w:rPr>
        <w:t>基于</w:t>
      </w:r>
      <w:r>
        <w:rPr>
          <w:rFonts w:ascii="Times New Roman" w:hAnsi="Times New Roman" w:cs="Times New Roman" w:eastAsia="Times New Roman" w:hint="default"/>
          <w:spacing w:val="-2"/>
        </w:rPr>
        <w:t>“</w:t>
      </w:r>
      <w:r>
        <w:rPr>
          <w:spacing w:val="-2"/>
        </w:rPr>
        <w:t>视觉无处不在、视觉服务中国</w:t>
      </w:r>
      <w:r>
        <w:rPr>
          <w:rFonts w:ascii="Times New Roman" w:hAnsi="Times New Roman" w:cs="Times New Roman" w:eastAsia="Times New Roman" w:hint="default"/>
          <w:spacing w:val="-2"/>
        </w:rPr>
        <w:t>”</w:t>
      </w:r>
      <w:r>
        <w:rPr>
          <w:spacing w:val="-2"/>
        </w:rPr>
        <w:t>公司愿景，公司严格按照相关法律法规的要求，依托公司核心竞争力诚信守法经营、注</w:t>
      </w:r>
      <w:r>
        <w:rPr>
          <w:spacing w:val="-44"/>
        </w:rPr>
        <w:t> </w:t>
      </w:r>
      <w:r>
        <w:rPr>
          <w:spacing w:val="-44"/>
        </w:rPr>
      </w:r>
      <w:r>
        <w:rPr>
          <w:spacing w:val="-2"/>
        </w:rPr>
        <w:t>重节约资源、强化环境保护，坚持走绿色健康发展道路，以实际行动回报社会。公司主营业务、经营模式、上下游产业链均</w:t>
      </w:r>
      <w:r>
        <w:rPr>
          <w:spacing w:val="-68"/>
        </w:rPr>
        <w:t> </w:t>
      </w:r>
      <w:r>
        <w:rPr>
          <w:spacing w:val="-68"/>
        </w:rPr>
      </w:r>
      <w:r>
        <w:rPr/>
        <w:t>为绿色环保健康产业，报告期内，公司未以临时报告的形式披露环境信息内容</w:t>
      </w:r>
      <w:r>
        <w:rPr>
          <w:spacing w:val="-16"/>
        </w:rPr>
        <w:t> </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both"/>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签订战略合作协议情况：</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日披露的《视觉 中国：关于签订战略合作协议的自愿性信息披露公告》（公告编号</w:t>
      </w:r>
      <w:r>
        <w:rPr>
          <w:spacing w:val="19"/>
        </w:rPr>
        <w:t> </w:t>
      </w:r>
      <w:r>
        <w:rPr>
          <w:rFonts w:ascii="Times New Roman" w:hAnsi="Times New Roman" w:cs="Times New Roman" w:eastAsia="Times New Roman" w:hint="default"/>
        </w:rPr>
        <w:t>2018-004</w:t>
      </w:r>
      <w:r>
        <w:rPr/>
        <w:t>）、《视觉中国：关于与优视科技（中国）有</w:t>
      </w:r>
      <w:r>
        <w:rPr>
          <w:spacing w:val="-82"/>
        </w:rPr>
        <w:t> </w:t>
      </w:r>
      <w:r>
        <w:rPr>
          <w:spacing w:val="-82"/>
        </w:rPr>
      </w:r>
      <w:r>
        <w:rPr/>
        <w:t>限公司签订战略合作协议的自愿性信息披露公告》（公告编号</w:t>
      </w:r>
      <w:r>
        <w:rPr>
          <w:spacing w:val="22"/>
        </w:rPr>
        <w:t> </w:t>
      </w:r>
      <w:r>
        <w:rPr>
          <w:rFonts w:ascii="Times New Roman" w:hAnsi="Times New Roman" w:cs="Times New Roman" w:eastAsia="Times New Roman" w:hint="default"/>
        </w:rPr>
        <w:t>2018-005</w:t>
      </w:r>
      <w:r>
        <w:rPr/>
        <w:t>）、《视觉中国：关于与淘宝（中国）软件有限公</w:t>
      </w:r>
      <w:r>
        <w:rPr>
          <w:spacing w:val="-83"/>
        </w:rPr>
        <w:t> </w:t>
      </w:r>
      <w:r>
        <w:rPr>
          <w:spacing w:val="-83"/>
        </w:rPr>
      </w:r>
      <w:r>
        <w:rPr/>
        <w:t>司签订战略合作协议的自愿性信息披露公告》（公告编号</w:t>
      </w:r>
      <w:r>
        <w:rPr>
          <w:spacing w:val="23"/>
        </w:rPr>
        <w:t> </w:t>
      </w:r>
      <w:r>
        <w:rPr>
          <w:rFonts w:ascii="Times New Roman" w:hAnsi="Times New Roman" w:cs="Times New Roman" w:eastAsia="Times New Roman" w:hint="default"/>
        </w:rPr>
        <w:t>2018-022</w:t>
      </w:r>
      <w:r>
        <w:rPr/>
        <w:t>）、《视觉中国：关于与北京奇虎科技有限公司签订战</w:t>
      </w:r>
      <w:r>
        <w:rPr>
          <w:spacing w:val="-83"/>
        </w:rPr>
        <w:t> </w:t>
      </w:r>
      <w:r>
        <w:rPr>
          <w:spacing w:val="-83"/>
        </w:rPr>
      </w:r>
      <w:r>
        <w:rPr/>
        <w:t>略合作协议的自愿性信息披露公告》（公告编号</w:t>
      </w:r>
      <w:r>
        <w:rPr>
          <w:spacing w:val="22"/>
        </w:rPr>
        <w:t> </w:t>
      </w:r>
      <w:r>
        <w:rPr>
          <w:rFonts w:ascii="Times New Roman" w:hAnsi="Times New Roman" w:cs="Times New Roman" w:eastAsia="Times New Roman" w:hint="default"/>
        </w:rPr>
        <w:t>2018-041</w:t>
      </w:r>
      <w:r>
        <w:rPr/>
        <w:t>）、《视觉中国：关于与腾讯社交广告平台签订战略合作协议的</w:t>
      </w:r>
      <w:r>
        <w:rPr>
          <w:spacing w:val="-83"/>
        </w:rPr>
        <w:t> </w:t>
      </w:r>
      <w:r>
        <w:rPr>
          <w:spacing w:val="-83"/>
        </w:rPr>
      </w:r>
      <w:r>
        <w:rPr/>
        <w:t>自愿性信息披露公告》（公告编号</w:t>
      </w:r>
      <w:r>
        <w:rPr>
          <w:spacing w:val="-19"/>
        </w:rPr>
        <w:t> </w:t>
      </w:r>
      <w:r>
        <w:rPr>
          <w:rFonts w:ascii="Times New Roman" w:hAnsi="Times New Roman" w:cs="Times New Roman" w:eastAsia="Times New Roman" w:hint="default"/>
        </w:rPr>
        <w:t>2018-047</w:t>
      </w:r>
      <w:r>
        <w:rPr/>
        <w:t>）。</w:t>
      </w:r>
    </w:p>
    <w:p>
      <w:pPr>
        <w:pStyle w:val="BodyText"/>
        <w:spacing w:line="302" w:lineRule="auto" w:before="53"/>
        <w:ind w:right="106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持股</w:t>
      </w:r>
      <w:r>
        <w:rPr>
          <w:rFonts w:ascii="Times New Roman" w:hAnsi="Times New Roman" w:cs="Times New Roman" w:eastAsia="Times New Roman" w:hint="default"/>
        </w:rPr>
        <w:t>5%</w:t>
      </w:r>
      <w:r>
        <w:rPr/>
        <w:t>以上股东变动情况。原持股</w:t>
      </w:r>
      <w:r>
        <w:rPr>
          <w:rFonts w:ascii="Times New Roman" w:hAnsi="Times New Roman" w:cs="Times New Roman" w:eastAsia="Times New Roman" w:hint="default"/>
        </w:rPr>
        <w:t>5%</w:t>
      </w:r>
      <w:r>
        <w:rPr/>
        <w:t>以上股东黄厄文、视觉中国控股有限公司、常州服装集团有限公司减持公司股份， 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日披露的《视觉中国：简式权益变动报告书》。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3"/>
        <w:ind w:right="0"/>
        <w:jc w:val="both"/>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rPr>
          <w:rFonts w:ascii="Times New Roman" w:hAnsi="Times New Roman" w:cs="Times New Roman" w:eastAsia="Times New Roman"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t>收购</w:t>
      </w:r>
      <w:r>
        <w:rPr>
          <w:rFonts w:ascii="Times New Roman" w:hAnsi="Times New Roman" w:cs="Times New Roman" w:eastAsia="Times New Roman" w:hint="default"/>
          <w:w w:val="99"/>
        </w:rPr>
        <w:t>500P</w:t>
      </w:r>
      <w:r>
        <w:rPr>
          <w:rFonts w:ascii="Times New Roman" w:hAnsi="Times New Roman" w:cs="Times New Roman" w:eastAsia="Times New Roman" w:hint="default"/>
          <w:spacing w:val="-1"/>
          <w:w w:val="99"/>
        </w:rPr>
        <w:t>X</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2"/>
        </w:rPr>
        <w:t>I</w:t>
      </w:r>
      <w:r>
        <w:rPr>
          <w:rFonts w:ascii="Times New Roman" w:hAnsi="Times New Roman" w:cs="Times New Roman" w:eastAsia="Times New Roman" w:hint="default"/>
        </w:rPr>
        <w:t>NC.100%</w:t>
      </w:r>
      <w:r>
        <w:rPr/>
        <w:t>股权</w:t>
      </w:r>
      <w:r>
        <w:rPr>
          <w:spacing w:val="-88"/>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spacing w:val="-88"/>
        </w:rPr>
        <w:t>，</w:t>
      </w:r>
      <w:r>
        <w:rPr/>
        <w:t>公司全资子公司视觉中国香港有限公司以现金方式收购美国</w:t>
      </w:r>
      <w:r>
        <w:rPr>
          <w:rFonts w:ascii="Times New Roman" w:hAnsi="Times New Roman" w:cs="Times New Roman" w:eastAsia="Times New Roman" w:hint="default"/>
          <w:w w:val="99"/>
        </w:rPr>
        <w:t>500P</w:t>
      </w:r>
      <w:r>
        <w:rPr>
          <w:rFonts w:ascii="Times New Roman" w:hAnsi="Times New Roman" w:cs="Times New Roman" w:eastAsia="Times New Roman" w:hint="default"/>
          <w:spacing w:val="-1"/>
          <w:w w:val="99"/>
        </w:rPr>
        <w:t>X</w:t>
      </w:r>
      <w:r>
        <w:rPr>
          <w:rFonts w:ascii="Times New Roman" w:hAnsi="Times New Roman" w:cs="Times New Roman" w:eastAsia="Times New Roman" w:hint="default"/>
        </w:rPr>
        <w:t>,INC.</w:t>
      </w:r>
      <w:r>
        <w:rPr/>
        <w:t>公司</w:t>
      </w:r>
      <w:r>
        <w:rPr>
          <w:rFonts w:ascii="Times New Roman" w:hAnsi="Times New Roman" w:cs="Times New Roman" w:eastAsia="Times New Roman" w:hint="default"/>
        </w:rPr>
        <w:t>100%</w:t>
      </w:r>
    </w:p>
    <w:p>
      <w:pPr>
        <w:pStyle w:val="BodyText"/>
        <w:spacing w:line="240" w:lineRule="auto" w:before="63"/>
        <w:ind w:right="0"/>
        <w:jc w:val="both"/>
      </w:pPr>
      <w:r>
        <w:rPr/>
        <w:t>股权</w:t>
      </w:r>
      <w:r>
        <w:rPr>
          <w:spacing w:val="-68"/>
        </w:rPr>
        <w:t>，</w:t>
      </w:r>
      <w:r>
        <w:rPr/>
        <w:t>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w:t>
      </w:r>
      <w:r>
        <w:rPr>
          <w:spacing w:val="-68"/>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日披露</w:t>
      </w:r>
      <w:r>
        <w:rPr>
          <w:spacing w:val="-68"/>
        </w:rPr>
        <w:t>的</w:t>
      </w:r>
      <w:r>
        <w:rPr/>
        <w:t>《视觉中国</w:t>
      </w:r>
      <w:r>
        <w:rPr>
          <w:spacing w:val="-68"/>
        </w:rPr>
        <w:t>：</w:t>
      </w:r>
      <w:r>
        <w:rPr/>
        <w:t>关于收购</w:t>
      </w:r>
      <w:r>
        <w:rPr>
          <w:rFonts w:ascii="Times New Roman" w:hAnsi="Times New Roman" w:cs="Times New Roman" w:eastAsia="Times New Roman" w:hint="default"/>
        </w:rPr>
        <w:t>500P</w:t>
      </w:r>
      <w:r>
        <w:rPr>
          <w:rFonts w:ascii="Times New Roman" w:hAnsi="Times New Roman" w:cs="Times New Roman" w:eastAsia="Times New Roman" w:hint="default"/>
          <w:w w:val="99"/>
        </w:rPr>
        <w:t>X,</w:t>
      </w:r>
      <w:r>
        <w:rPr>
          <w:rFonts w:ascii="Times New Roman" w:hAnsi="Times New Roman" w:cs="Times New Roman" w:eastAsia="Times New Roman" w:hint="default"/>
          <w:spacing w:val="-8"/>
        </w:rPr>
        <w:t> </w:t>
      </w:r>
      <w:r>
        <w:rPr>
          <w:rFonts w:ascii="Times New Roman" w:hAnsi="Times New Roman" w:cs="Times New Roman" w:eastAsia="Times New Roman" w:hint="default"/>
        </w:rPr>
        <w:t>INC.100%</w:t>
      </w:r>
      <w:r>
        <w:rPr>
          <w:spacing w:val="-2"/>
        </w:rPr>
        <w:t>股</w:t>
      </w:r>
      <w:r>
        <w:rPr/>
        <w:t>权的公告</w:t>
      </w:r>
      <w:r>
        <w:rPr>
          <w:spacing w:val="-135"/>
        </w:rPr>
        <w:t>》</w:t>
      </w:r>
      <w:r>
        <w:rPr/>
        <w:t>（</w:t>
      </w:r>
      <w:r>
        <w:rPr>
          <w:spacing w:val="1"/>
        </w:rPr>
        <w:t>公</w:t>
      </w:r>
      <w:r>
        <w:rPr/>
        <w:t>告编号</w:t>
      </w:r>
      <w:r>
        <w:rPr>
          <w:rFonts w:ascii="Times New Roman" w:hAnsi="Times New Roman" w:cs="Times New Roman" w:eastAsia="Times New Roman" w:hint="default"/>
        </w:rPr>
        <w:t>:2018-014</w:t>
      </w:r>
      <w:r>
        <w:rPr>
          <w:spacing w:val="-68"/>
        </w:rPr>
        <w:t>）、</w:t>
      </w:r>
      <w:r>
        <w:rPr/>
      </w:r>
    </w:p>
    <w:p>
      <w:pPr>
        <w:pStyle w:val="BodyText"/>
        <w:spacing w:line="240" w:lineRule="auto" w:before="63"/>
        <w:ind w:right="0"/>
        <w:jc w:val="both"/>
      </w:pPr>
      <w:r>
        <w:rPr/>
        <w:t>《视觉中国：关于收购</w:t>
      </w:r>
      <w:r>
        <w:rPr>
          <w:spacing w:val="-19"/>
        </w:rPr>
        <w:t> </w:t>
      </w:r>
      <w:r>
        <w:rPr>
          <w:rFonts w:ascii="Times New Roman" w:hAnsi="Times New Roman" w:cs="Times New Roman" w:eastAsia="Times New Roman" w:hint="default"/>
        </w:rPr>
        <w:t>500PX,INC.100%</w:t>
      </w:r>
      <w:r>
        <w:rPr/>
        <w:t>股权完成的公告》（公告编号</w:t>
      </w:r>
      <w:r>
        <w:rPr>
          <w:rFonts w:ascii="Times New Roman" w:hAnsi="Times New Roman" w:cs="Times New Roman" w:eastAsia="Times New Roman" w:hint="default"/>
        </w:rPr>
        <w:t>:2018-020</w:t>
      </w:r>
      <w:r>
        <w:rPr/>
        <w:t>）。</w:t>
      </w:r>
    </w:p>
    <w:p>
      <w:pPr>
        <w:pStyle w:val="BodyText"/>
        <w:spacing w:line="300" w:lineRule="auto" w:before="63"/>
        <w:ind w:right="112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全资子公司</w:t>
      </w:r>
      <w:r>
        <w:rPr>
          <w:rFonts w:ascii="Times New Roman" w:hAnsi="Times New Roman" w:cs="Times New Roman" w:eastAsia="Times New Roman" w:hint="default"/>
        </w:rPr>
        <w:t>500PX,INC.</w:t>
      </w:r>
      <w:r>
        <w:rPr/>
        <w:t>制定员工股权激励方案，详见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日披露的《视觉中国：关于全资子公司</w:t>
      </w:r>
      <w:r>
        <w:rPr>
          <w:rFonts w:ascii="Times New Roman" w:hAnsi="Times New Roman" w:cs="Times New Roman" w:eastAsia="Times New Roman" w:hint="default"/>
        </w:rPr>
        <w:t>500PX,INC.</w:t>
      </w:r>
      <w:r>
        <w:rPr/>
        <w:t>员工</w:t>
      </w:r>
      <w:r>
        <w:rPr>
          <w:spacing w:val="-80"/>
        </w:rPr>
        <w:t> </w:t>
      </w:r>
      <w:r>
        <w:rPr/>
        <w:t>股权激励框架方案的公告》（公告编号</w:t>
      </w:r>
      <w:r>
        <w:rPr>
          <w:rFonts w:ascii="Times New Roman" w:hAnsi="Times New Roman" w:cs="Times New Roman" w:eastAsia="Times New Roman" w:hint="default"/>
        </w:rPr>
        <w:t>:2018-037</w:t>
      </w:r>
      <w:r>
        <w:rPr/>
        <w:t>）。</w:t>
      </w:r>
    </w:p>
    <w:p>
      <w:pPr>
        <w:pStyle w:val="BodyText"/>
        <w:spacing w:line="240" w:lineRule="auto" w:before="13"/>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16"/>
        </w:rPr>
        <w:t> </w:t>
      </w:r>
      <w:r>
        <w:rPr>
          <w:spacing w:val="-2"/>
        </w:rPr>
        <w:t>收购联景国际有限公司</w:t>
      </w:r>
      <w:r>
        <w:rPr>
          <w:rFonts w:ascii="Times New Roman" w:hAnsi="Times New Roman" w:cs="Times New Roman" w:eastAsia="Times New Roman" w:hint="default"/>
          <w:spacing w:val="-2"/>
        </w:rPr>
        <w:t>100%</w:t>
      </w:r>
      <w:r>
        <w:rPr>
          <w:spacing w:val="-2"/>
        </w:rPr>
        <w:t>股权完成变更登记手续，详见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日披露的《视觉中国：关于收购联景国际有限公司</w:t>
      </w:r>
    </w:p>
    <w:p>
      <w:pPr>
        <w:pStyle w:val="BodyText"/>
        <w:spacing w:line="240" w:lineRule="auto" w:before="63"/>
        <w:ind w:right="0"/>
        <w:jc w:val="both"/>
      </w:pPr>
      <w:r>
        <w:rPr>
          <w:rFonts w:ascii="Times New Roman" w:hAnsi="Times New Roman" w:cs="Times New Roman" w:eastAsia="Times New Roman" w:hint="default"/>
        </w:rPr>
        <w:t>100%</w:t>
      </w:r>
      <w:r>
        <w:rPr/>
        <w:t>股权完成变更登记手续的公告》（公告编号</w:t>
      </w:r>
      <w:r>
        <w:rPr>
          <w:rFonts w:ascii="Times New Roman" w:hAnsi="Times New Roman" w:cs="Times New Roman" w:eastAsia="Times New Roman" w:hint="default"/>
        </w:rPr>
        <w:t>:2018-021</w:t>
      </w:r>
      <w:r>
        <w:rPr/>
        <w:t>）。</w:t>
      </w:r>
    </w:p>
    <w:p>
      <w:pPr>
        <w:pStyle w:val="BodyText"/>
        <w:spacing w:line="300" w:lineRule="auto" w:before="63"/>
        <w:ind w:right="113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完成出售亿迅资产组股权，详见于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日披露的《视觉中国：关于转让亿迅资产组股权暨关联交易的公告》（公 告编号：</w:t>
      </w:r>
      <w:r>
        <w:rPr>
          <w:rFonts w:ascii="Times New Roman" w:hAnsi="Times New Roman" w:cs="Times New Roman" w:eastAsia="Times New Roman" w:hint="default"/>
        </w:rPr>
        <w:t>2018-060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日披露的《视觉中国：</w:t>
      </w:r>
      <w:r>
        <w:rPr>
          <w:rFonts w:ascii="Times New Roman" w:hAnsi="Times New Roman" w:cs="Times New Roman" w:eastAsia="Times New Roman" w:hint="default"/>
        </w:rPr>
        <w:t>2018</w:t>
      </w:r>
      <w:r>
        <w:rPr/>
        <w:t>年第三次临时股东大会</w:t>
      </w:r>
    </w:p>
    <w:p>
      <w:pPr>
        <w:pStyle w:val="BodyText"/>
        <w:spacing w:line="240" w:lineRule="auto" w:before="13"/>
        <w:ind w:right="0"/>
        <w:jc w:val="both"/>
      </w:pPr>
      <w:r>
        <w:rPr/>
        <w:t>决议公告》（公告编号：</w:t>
      </w:r>
      <w:r>
        <w:rPr>
          <w:rFonts w:ascii="Times New Roman" w:hAnsi="Times New Roman" w:cs="Times New Roman" w:eastAsia="Times New Roman" w:hint="default"/>
        </w:rPr>
        <w:t>2018-068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日披露的《关于出售亿迅资产组股权完成变更登记的公告》（公告编号：</w:t>
      </w:r>
    </w:p>
    <w:p>
      <w:pPr>
        <w:pStyle w:val="BodyText"/>
        <w:spacing w:line="240" w:lineRule="auto" w:before="63"/>
        <w:ind w:right="0"/>
        <w:jc w:val="both"/>
      </w:pPr>
      <w:r>
        <w:rPr>
          <w:rFonts w:ascii="Times New Roman" w:hAnsi="Times New Roman" w:cs="Times New Roman" w:eastAsia="Times New Roman" w:hint="default"/>
        </w:rPr>
        <w:t>2018-076</w:t>
      </w:r>
      <w:r>
        <w:rPr/>
        <w:t>）。</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6" w:id="104"/>
      <w:bookmarkStart w:name="第六节 股份变动及股东情况" w:id="105"/>
      <w:r>
        <w:rPr>
          <w:b w:val="0"/>
          <w:bCs w:val="0"/>
        </w:rPr>
      </w:r>
      <w:r>
        <w:rPr/>
        <w:t>第六节</w:t>
      </w:r>
      <w:r>
        <w:rPr>
          <w:spacing w:val="-10"/>
        </w:rPr>
        <w:t> </w:t>
      </w:r>
      <w:r>
        <w:rPr/>
        <w:t>股份变动及股东情况</w:t>
      </w:r>
      <w:bookmarkEnd w:id="10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420,705,1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60.05%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-30,590,2</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-30,590,2</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390,114,8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55.68%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13,912,45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1.99%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-13,912,4</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-13,912,4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406,792,6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58.06%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-16,677,8</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-16,677,8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390,114,8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55.68%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18,752,77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2.67%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-16,678,2</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-16,678,2</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2,074,522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0.29%</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388,039,8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55.39%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450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450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388,040,3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55.39%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279,872,3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39.95%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310,462,5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44.32%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279,872,3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39.95%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310,462,5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44.32%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700,577,4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700,577,4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月公司职工监事苏华先生通过深圳证券交易所证券交易系统集中竞价方式购买了公司股票</w:t>
      </w:r>
      <w:r>
        <w:rPr>
          <w:rFonts w:ascii="Times New Roman" w:hAnsi="Times New Roman" w:cs="Times New Roman" w:eastAsia="Times New Roman" w:hint="default"/>
        </w:rPr>
        <w:t>600</w:t>
      </w:r>
      <w:r>
        <w:rPr/>
        <w:t>股，详见公司于</w:t>
      </w:r>
      <w:r>
        <w:rPr>
          <w:rFonts w:ascii="Times New Roman" w:hAnsi="Times New Roman" w:cs="Times New Roman" w:eastAsia="Times New Roman" w:hint="default"/>
        </w:rPr>
        <w:t>2018</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ind w:right="1133"/>
        <w:jc w:val="left"/>
      </w:pP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日披露的《视觉中国：关于监事购买公司股票的公告》（公告编号：</w:t>
      </w:r>
      <w:r>
        <w:rPr>
          <w:rFonts w:ascii="Times New Roman" w:hAnsi="Times New Roman" w:cs="Times New Roman" w:eastAsia="Times New Roman" w:hint="default"/>
        </w:rPr>
        <w:t>2018-003</w:t>
      </w:r>
      <w:r>
        <w:rPr/>
        <w:t>）。 </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w:t>
      </w:r>
      <w:r>
        <w:rPr>
          <w:spacing w:val="-4"/>
        </w:rPr>
        <w:t>日</w:t>
      </w:r>
      <w:r>
        <w:rPr>
          <w:rFonts w:ascii="Times New Roman" w:hAnsi="Times New Roman" w:cs="Times New Roman" w:eastAsia="Times New Roman" w:hint="default"/>
          <w:spacing w:val="-4"/>
        </w:rPr>
        <w:t>30,590,700</w:t>
      </w:r>
      <w:r>
        <w:rPr>
          <w:spacing w:val="-4"/>
        </w:rPr>
        <w:t>限售股上市流通，详见公司于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31</w:t>
      </w:r>
      <w:r>
        <w:rPr>
          <w:spacing w:val="-4"/>
        </w:rPr>
        <w:t>日披露的《关于部分限售股份解除限售的提示性公告》（公</w:t>
      </w:r>
      <w:r>
        <w:rPr/>
        <w:t> 告编号：</w:t>
      </w:r>
      <w:r>
        <w:rPr>
          <w:rFonts w:ascii="Times New Roman" w:hAnsi="Times New Roman" w:cs="Times New Roman" w:eastAsia="Times New Roman" w:hint="default"/>
        </w:rPr>
        <w:t>2018-050</w:t>
      </w:r>
      <w:r>
        <w:rPr/>
        <w:t>）。</w:t>
      </w:r>
    </w:p>
    <w:p>
      <w:pPr>
        <w:pStyle w:val="BodyText"/>
        <w:spacing w:line="240" w:lineRule="auto" w:before="53"/>
        <w:ind w:right="0"/>
        <w:jc w:val="left"/>
      </w:pPr>
      <w:r>
        <w:rPr/>
        <w:t>股份变动的批准情况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常州产业投资集 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江苏国经控股集 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6,192,550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6,192,550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江苏慧德科技发 展有限公司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6,192,550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6,192,550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东方证券股份有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华泰柏瑞基金－ 上海银行－ 东方 证券－视觉中国 特定多客户资产 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4,574,600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4,574,600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华泰柏瑞基金－ 上海银行－ 视觉 中国特定多客户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8"/>
              <w:jc w:val="center"/>
              <w:rPr>
                <w:rFonts w:ascii="宋体" w:hAnsi="宋体" w:cs="宋体" w:eastAsia="宋体" w:hint="default"/>
                <w:sz w:val="18"/>
                <w:szCs w:val="18"/>
              </w:rPr>
            </w:pPr>
            <w:r>
              <w:rPr>
                <w:rFonts w:ascii="宋体" w:hAnsi="宋体" w:cs="宋体" w:eastAsia="宋体" w:hint="default"/>
                <w:sz w:val="18"/>
                <w:szCs w:val="18"/>
              </w:rPr>
              <w:t>监事证券账户内</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611"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36"/>
              <w:jc w:val="both"/>
              <w:rPr>
                <w:rFonts w:ascii="宋体" w:hAnsi="宋体" w:cs="宋体" w:eastAsia="宋体" w:hint="default"/>
                <w:sz w:val="18"/>
                <w:szCs w:val="18"/>
              </w:rPr>
            </w:pPr>
            <w:r>
              <w:rPr>
                <w:rFonts w:ascii="宋体" w:hAnsi="宋体" w:cs="宋体" w:eastAsia="宋体" w:hint="default"/>
                <w:sz w:val="18"/>
                <w:szCs w:val="18"/>
              </w:rPr>
              <w:t>通过二级市场购 买年内新增的本 公司无限售条件 股份，按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自 动锁定</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30,590,700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30,590,700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pict>
          <v:shape style="position:absolute;margin-left:455.937012pt;margin-top:70.551735pt;width:79pt;height:31.2pt;mso-position-horizontal-relative:page;mso-position-vertical-relative:paragraph;z-index:-1246888" type="#_x0000_t202" filled="false" stroked="false">
            <v:textbox inset="0,0,0,0">
              <w:txbxContent>
                <w:p>
                  <w:pPr>
                    <w:pStyle w:val="BodyText"/>
                    <w:spacing w:line="205" w:lineRule="exact" w:before="0"/>
                    <w:ind w:left="0" w:right="0"/>
                    <w:jc w:val="left"/>
                  </w:pPr>
                  <w:r>
                    <w:rPr/>
                    <w:t>（如有）</w:t>
                  </w:r>
                </w:p>
              </w:txbxContent>
            </v:textbox>
            <w10:wrap type="none"/>
          </v:shape>
        </w:pict>
      </w:r>
      <w:r>
        <w:rPr/>
        <w:pict>
          <v:group style="position:absolute;margin-left:489.119995pt;margin-top:70.551735pt;width:45.8pt;height:31.2pt;mso-position-horizontal-relative:page;mso-position-vertical-relative:paragraph;z-index:-1246864" coordorigin="9782,1411" coordsize="916,624">
            <v:shape style="position:absolute;left:9782;top:1411;width:916;height:624" coordorigin="9782,1411" coordsize="916,624" path="m9782,2035l10698,2035,10698,1411,9782,1411,9782,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268"/>
        <w:gridCol w:w="940"/>
        <w:gridCol w:w="472"/>
        <w:gridCol w:w="810"/>
        <w:gridCol w:w="764"/>
        <w:gridCol w:w="344"/>
        <w:gridCol w:w="445"/>
        <w:gridCol w:w="786"/>
        <w:gridCol w:w="208"/>
        <w:gridCol w:w="632"/>
        <w:gridCol w:w="455"/>
        <w:gridCol w:w="895"/>
        <w:gridCol w:w="412"/>
        <w:gridCol w:w="446"/>
        <w:gridCol w:w="491"/>
      </w:tblGrid>
      <w:tr>
        <w:trPr>
          <w:trHeight w:val="161"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25,375</w:t>
            </w:r>
          </w:p>
        </w:tc>
        <w:tc>
          <w:tcPr>
            <w:tcW w:w="1282" w:type="dxa"/>
            <w:gridSpan w:val="2"/>
            <w:vMerge w:val="restart"/>
            <w:tcBorders>
              <w:top w:val="single" w:sz="4" w:space="0" w:color="000000"/>
              <w:left w:val="single" w:sz="4" w:space="0" w:color="000000"/>
              <w:right w:val="single" w:sz="4" w:space="0" w:color="000000"/>
            </w:tcBorders>
            <w:shd w:val="clear" w:color="auto" w:fill="D2D2D2"/>
          </w:tcPr>
          <w:p>
            <w:pPr/>
          </w:p>
        </w:tc>
        <w:tc>
          <w:tcPr>
            <w:tcW w:w="110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26,972</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282" w:type="dxa"/>
            <w:gridSpan w:val="2"/>
            <w:vMerge/>
            <w:tcBorders>
              <w:left w:val="single" w:sz="4" w:space="0" w:color="000000"/>
              <w:bottom w:val="single" w:sz="4" w:space="0" w:color="000000"/>
              <w:right w:val="single" w:sz="4" w:space="0" w:color="000000"/>
            </w:tcBorders>
            <w:shd w:val="clear" w:color="auto" w:fill="D2D2D2"/>
          </w:tcPr>
          <w:p>
            <w:pPr/>
          </w:p>
        </w:tc>
        <w:tc>
          <w:tcPr>
            <w:tcW w:w="1108" w:type="dxa"/>
            <w:gridSpan w:val="2"/>
            <w:vMerge/>
            <w:tcBorders>
              <w:left w:val="single" w:sz="9" w:space="0" w:color="D2D2D2"/>
              <w:bottom w:val="single" w:sz="4" w:space="0" w:color="000000"/>
              <w:right w:val="single" w:sz="9" w:space="0" w:color="D2D2D2"/>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4"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13.98%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97,912,62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97,912,62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35,860,000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12.73%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56,351,000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12.73%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52,550,000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7.10%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 w:right="0"/>
              <w:jc w:val="left"/>
              <w:rPr>
                <w:rFonts w:ascii="Times New Roman" w:hAnsi="Times New Roman" w:cs="Times New Roman" w:eastAsia="Times New Roman" w:hint="default"/>
                <w:sz w:val="18"/>
                <w:szCs w:val="18"/>
              </w:rPr>
            </w:pPr>
            <w:r>
              <w:rPr>
                <w:rFonts w:ascii="Times New Roman"/>
                <w:sz w:val="18"/>
              </w:rPr>
              <w:t>49,762,12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49,762,12</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41,500,000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6"/>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30,610,12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30,610,12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14,830,76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14,830,76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中信银行股份有 限公司－交银施 罗德新生活力灵 活配置混合型证 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13,376,87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+13,376,8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13,376,87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常州产业投资集 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5,618,633</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份有限公司－博 时主题行业混合 型证券投资基金</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12,000,03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+5,200,01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12,000,03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常州服装集团有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10,178,71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-5,923,71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10,178,71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吴春红、廖道训、吴玉瑞、柴继军、姜海林、陈智华同为公司实际控制人（即十名一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致行动人范围内）。常州产业投资集团有限公司、常州服装集团有限公司实际控制人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同为江苏省常州市国资委，为公司战略投资者。</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中信银行股份有限公司－交银施罗 德新生活力灵活配置混合型证券投 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13,376,872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13,376,872</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常州产业投资集团有限公司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12,868,633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12,868,633</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中国建设银行股份有限公司－博时 主题行业混合型证券投资基金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12,000,034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常州服装集团有限公司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10,178,711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10,178,711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中国农业银行股份有限公司－交银 施罗德精选混合型证券投资基金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6,625,529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6,625,529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BodyText"/>
        <w:spacing w:line="240" w:lineRule="auto"/>
        <w:ind w:left="0" w:right="1141"/>
        <w:jc w:val="right"/>
      </w:pPr>
      <w:r>
        <w:rPr/>
        <w:pict>
          <v:shape style="position:absolute;margin-left:56.459999pt;margin-top:-151.468292pt;width:479.2pt;height:230.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89"/>
                    <w:gridCol w:w="1349"/>
                    <w:gridCol w:w="1349"/>
                  </w:tblGrid>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中国工商银行股份有限公司－泓德 泓富灵活配置混合型证券投资基金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6,551,320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6,551,320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华泰柏瑞基金－上海银行－视觉中 国特定多客户资产管理计划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5,911,100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江苏慧德科技发展有限公司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5,819,850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5,819,850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招商银行股份有限公司－交银施罗 德新成长混合型证券投资基金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5,708,534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5,708,534</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 w:right="21"/>
                          <w:jc w:val="left"/>
                          <w:rPr>
                            <w:rFonts w:ascii="宋体" w:hAnsi="宋体" w:cs="宋体" w:eastAsia="宋体" w:hint="default"/>
                            <w:sz w:val="18"/>
                            <w:szCs w:val="18"/>
                          </w:rPr>
                        </w:pPr>
                        <w:r>
                          <w:rPr>
                            <w:rFonts w:ascii="宋体" w:hAnsi="宋体" w:cs="宋体" w:eastAsia="宋体" w:hint="default"/>
                            <w:spacing w:val="-1"/>
                            <w:sz w:val="18"/>
                            <w:szCs w:val="18"/>
                          </w:rPr>
                          <w:t>常州产业投资集团有限公司、常州服装集团有限公司实际控制人同为江苏省常州市国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资委。无法得知其他股东关联关系。公司未知其他前十名股东之间是否存在关联关系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也未知是否属于《上市公司信息披露管理办法》中规定的一致行动人。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2"/>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0" w:right="1141"/>
        <w:jc w:val="right"/>
      </w:pPr>
      <w:r>
        <w:rPr/>
        <w:pict>
          <v:shape style="position:absolute;margin-left:56.459999pt;margin-top:-221.948273pt;width:479.2pt;height:308.6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169"/>
                    <w:gridCol w:w="3982"/>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4"/>
                            <w:sz w:val="18"/>
                            <w:szCs w:val="18"/>
                          </w:rPr>
                          <w:t>柴继军为公司董事、副总裁、总编辑、董秘。其他自然人股东均未在公司任职</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吴春红、廖道训、吴玉瑞、姜海林、袁闯、梁世平间接控制中国智能交通系统</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（控股）有限公司（</w:t>
                        </w:r>
                        <w:r>
                          <w:rPr>
                            <w:rFonts w:ascii="Times New Roman" w:hAnsi="Times New Roman" w:cs="Times New Roman" w:eastAsia="Times New Roman" w:hint="default"/>
                            <w:w w:val="99"/>
                            <w:sz w:val="18"/>
                            <w:szCs w:val="18"/>
                          </w:rPr>
                          <w:t>H</w:t>
                        </w:r>
                        <w:r>
                          <w:rPr>
                            <w:rFonts w:ascii="Times New Roman" w:hAnsi="Times New Roman" w:cs="Times New Roman" w:eastAsia="Times New Roman" w:hint="default"/>
                            <w:spacing w:val="-1"/>
                            <w:w w:val="99"/>
                            <w:sz w:val="18"/>
                            <w:szCs w:val="18"/>
                          </w:rPr>
                          <w:t>K</w:t>
                        </w:r>
                        <w:r>
                          <w:rPr>
                            <w:rFonts w:ascii="Times New Roman" w:hAnsi="Times New Roman" w:cs="Times New Roman" w:eastAsia="Times New Roman" w:hint="default"/>
                            <w:sz w:val="18"/>
                            <w:szCs w:val="18"/>
                          </w:rPr>
                          <w:t>.1900</w:t>
                        </w:r>
                        <w:r>
                          <w:rPr>
                            <w:rFonts w:ascii="宋体" w:hAnsi="宋体" w:cs="宋体" w:eastAsia="宋体" w:hint="default"/>
                            <w:spacing w:val="-90"/>
                            <w:sz w:val="18"/>
                            <w:szCs w:val="18"/>
                          </w:rPr>
                          <w:t>）</w:t>
                        </w:r>
                        <w:r>
                          <w:rPr>
                            <w:rFonts w:ascii="宋体" w:hAnsi="宋体" w:cs="宋体" w:eastAsia="宋体" w:hint="default"/>
                            <w:sz w:val="18"/>
                            <w:szCs w:val="18"/>
                          </w:rPr>
                          <w:t>。李学凌直接持有纳斯达克上市公司欢聚时代</w:t>
                        </w:r>
                      </w:p>
                      <w:p>
                        <w:pPr>
                          <w:pStyle w:val="TableParagraph"/>
                          <w:spacing w:line="302" w:lineRule="auto" w:before="63"/>
                          <w:ind w:left="23"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YY.O</w:t>
                        </w:r>
                        <w:r>
                          <w:rPr>
                            <w:rFonts w:ascii="宋体" w:hAnsi="宋体" w:cs="宋体" w:eastAsia="宋体" w:hint="default"/>
                            <w:sz w:val="18"/>
                            <w:szCs w:val="18"/>
                          </w:rPr>
                          <w:t>）</w:t>
                        </w:r>
                        <w:r>
                          <w:rPr>
                            <w:rFonts w:ascii="Times New Roman" w:hAnsi="Times New Roman" w:cs="Times New Roman" w:eastAsia="Times New Roman" w:hint="default"/>
                            <w:sz w:val="18"/>
                            <w:szCs w:val="18"/>
                          </w:rPr>
                          <w:t>13.4%</w:t>
                        </w:r>
                        <w:r>
                          <w:rPr>
                            <w:rFonts w:ascii="宋体" w:hAnsi="宋体" w:cs="宋体" w:eastAsia="宋体" w:hint="default"/>
                            <w:sz w:val="18"/>
                            <w:szCs w:val="18"/>
                          </w:rPr>
                          <w:t>股份，并任职董事会主席及代理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r>
                          <w:rPr>
                            <w:rFonts w:ascii="Times New Roman" w:hAnsi="Times New Roman" w:cs="Times New Roman" w:eastAsia="Times New Roman" w:hint="default"/>
                            <w:sz w:val="18"/>
                            <w:szCs w:val="18"/>
                          </w:rPr>
                          <w:t>YY</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直接持有纽约证券 交易所上市公司虎牙直播（</w:t>
                        </w:r>
                        <w:r>
                          <w:rPr>
                            <w:rFonts w:ascii="Times New Roman" w:hAnsi="Times New Roman" w:cs="Times New Roman" w:eastAsia="Times New Roman" w:hint="default"/>
                            <w:sz w:val="18"/>
                            <w:szCs w:val="18"/>
                          </w:rPr>
                          <w:t>HUYA.N</w:t>
                        </w:r>
                        <w:r>
                          <w:rPr>
                            <w:rFonts w:ascii="宋体" w:hAnsi="宋体" w:cs="宋体" w:eastAsia="宋体" w:hint="default"/>
                            <w:sz w:val="18"/>
                            <w:szCs w:val="18"/>
                          </w:rPr>
                          <w:t>）</w:t>
                        </w:r>
                        <w:r>
                          <w:rPr>
                            <w:rFonts w:ascii="Times New Roman" w:hAnsi="Times New Roman" w:cs="Times New Roman" w:eastAsia="Times New Roman" w:hint="default"/>
                            <w:sz w:val="18"/>
                            <w:szCs w:val="18"/>
                          </w:rPr>
                          <w:t>44.0%</w:t>
                        </w:r>
                        <w:r>
                          <w:rPr>
                            <w:rFonts w:ascii="宋体" w:hAnsi="宋体" w:cs="宋体" w:eastAsia="宋体" w:hint="default"/>
                            <w:sz w:val="18"/>
                            <w:szCs w:val="18"/>
                          </w:rPr>
                          <w:t>股份，李学凌任职董事会主席。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0"/>
        <w:ind w:right="0"/>
        <w:jc w:val="left"/>
      </w:pPr>
      <w:r>
        <w:rPr/>
        <w:t>控股股东报告期内变更</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2"/>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0"/>
        <w:ind w:left="0" w:right="1148"/>
        <w:jc w:val="right"/>
      </w:pPr>
      <w:r>
        <w:rPr/>
        <w:pict>
          <v:shape style="position:absolute;margin-left:56.459999pt;margin-top:-244.26828pt;width:479.2pt;height:308.6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4"/>
                    <w:gridCol w:w="1650"/>
                    <w:gridCol w:w="1650"/>
                    <w:gridCol w:w="3514"/>
                  </w:tblGrid>
                  <w:tr>
                    <w:trPr>
                      <w:trHeight w:val="402"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柴继军为公司董事、副总裁、总编辑、董秘。其他自然人股东均未在公司任职。</w:t>
                        </w:r>
                      </w:p>
                    </w:tc>
                  </w:tr>
                  <w:tr>
                    <w:trPr>
                      <w:trHeight w:val="1338"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10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 司情况</w:t>
                        </w:r>
                      </w:p>
                    </w:tc>
                    <w:tc>
                      <w:tcPr>
                        <w:tcW w:w="6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吴春红、廖道训、吴玉瑞、姜海林、袁闯、梁世平间接控制中国智能交通系统（控股 </w:t>
                        </w:r>
                        <w:r>
                          <w:rPr>
                            <w:rFonts w:ascii="宋体" w:hAnsi="宋体" w:cs="宋体" w:eastAsia="宋体" w:hint="default"/>
                            <w:spacing w:val="-3"/>
                            <w:w w:val="99"/>
                            <w:sz w:val="18"/>
                            <w:szCs w:val="18"/>
                          </w:rPr>
                          <w:t>有限公司（</w:t>
                        </w:r>
                        <w:r>
                          <w:rPr>
                            <w:rFonts w:ascii="Times New Roman" w:hAnsi="Times New Roman" w:cs="Times New Roman" w:eastAsia="Times New Roman" w:hint="default"/>
                            <w:spacing w:val="-3"/>
                            <w:w w:val="99"/>
                            <w:sz w:val="18"/>
                            <w:szCs w:val="18"/>
                          </w:rPr>
                          <w:t>HK.1900</w:t>
                        </w:r>
                        <w:r>
                          <w:rPr>
                            <w:rFonts w:ascii="宋体" w:hAnsi="宋体" w:cs="宋体" w:eastAsia="宋体" w:hint="default"/>
                            <w:spacing w:val="-3"/>
                            <w:w w:val="99"/>
                            <w:sz w:val="18"/>
                            <w:szCs w:val="18"/>
                          </w:rPr>
                          <w:t>）。李学凌直接持有纳斯达克上市公司欢聚时代（</w:t>
                        </w:r>
                        <w:r>
                          <w:rPr>
                            <w:rFonts w:ascii="Times New Roman" w:hAnsi="Times New Roman" w:cs="Times New Roman" w:eastAsia="Times New Roman" w:hint="default"/>
                            <w:spacing w:val="-3"/>
                            <w:w w:val="99"/>
                            <w:sz w:val="18"/>
                            <w:szCs w:val="18"/>
                          </w:rPr>
                          <w:t>YY.O</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13.4%</w:t>
                        </w:r>
                        <w:r>
                          <w:rPr>
                            <w:rFonts w:ascii="宋体" w:hAnsi="宋体" w:cs="宋体" w:eastAsia="宋体" w:hint="default"/>
                            <w:spacing w:val="-3"/>
                            <w:w w:val="99"/>
                            <w:sz w:val="18"/>
                            <w:szCs w:val="18"/>
                          </w:rPr>
                          <w:t>股</w:t>
                        </w:r>
                        <w:r>
                          <w:rPr>
                            <w:rFonts w:ascii="宋体" w:hAnsi="宋体" w:cs="宋体" w:eastAsia="宋体" w:hint="default"/>
                            <w:spacing w:val="-71"/>
                            <w:w w:val="99"/>
                            <w:sz w:val="18"/>
                            <w:szCs w:val="18"/>
                          </w:rPr>
                          <w:t> </w:t>
                        </w:r>
                        <w:r>
                          <w:rPr>
                            <w:rFonts w:ascii="宋体" w:hAnsi="宋体" w:cs="宋体" w:eastAsia="宋体" w:hint="default"/>
                            <w:sz w:val="18"/>
                            <w:szCs w:val="18"/>
                          </w:rPr>
                          <w:t>份，并任职董事会主席及代理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r>
                          <w:rPr>
                            <w:rFonts w:ascii="Times New Roman" w:hAnsi="Times New Roman" w:cs="Times New Roman" w:eastAsia="Times New Roman" w:hint="default"/>
                            <w:sz w:val="18"/>
                            <w:szCs w:val="18"/>
                          </w:rPr>
                          <w:t>YY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直接持有纽约证券交易所上市公司虎牙直播</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HUYA.N</w:t>
                        </w:r>
                        <w:r>
                          <w:rPr>
                            <w:rFonts w:ascii="宋体" w:hAnsi="宋体" w:cs="宋体" w:eastAsia="宋体" w:hint="default"/>
                            <w:sz w:val="18"/>
                            <w:szCs w:val="18"/>
                          </w:rPr>
                          <w:t>）</w:t>
                        </w:r>
                        <w:r>
                          <w:rPr>
                            <w:rFonts w:ascii="Times New Roman" w:hAnsi="Times New Roman" w:cs="Times New Roman" w:eastAsia="Times New Roman" w:hint="default"/>
                            <w:sz w:val="18"/>
                            <w:szCs w:val="18"/>
                          </w:rPr>
                          <w:t>44.0%</w:t>
                        </w:r>
                        <w:r>
                          <w:rPr>
                            <w:rFonts w:ascii="宋体" w:hAnsi="宋体" w:cs="宋体" w:eastAsia="宋体" w:hint="default"/>
                            <w:sz w:val="18"/>
                            <w:szCs w:val="18"/>
                          </w:rPr>
                          <w:t>股份，李学凌任职董事会主席。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6"/>
          <w:szCs w:val="16"/>
        </w:rPr>
      </w:pPr>
    </w:p>
    <w:p>
      <w:pPr>
        <w:spacing w:line="2415" w:lineRule="exact"/>
        <w:ind w:left="1358"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4589784" cy="1533525"/>
            <wp:effectExtent l="0" t="0" r="0" b="0"/>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18" cstate="print"/>
                    <a:stretch>
                      <a:fillRect/>
                    </a:stretch>
                  </pic:blipFill>
                  <pic:spPr>
                    <a:xfrm>
                      <a:off x="0" y="0"/>
                      <a:ext cx="4589784" cy="1533525"/>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0"/>
        <w:rPr>
          <w:rFonts w:ascii="宋体" w:hAnsi="宋体" w:cs="宋体" w:eastAsia="宋体" w:hint="default"/>
          <w:sz w:val="18"/>
          <w:szCs w:val="18"/>
        </w:rPr>
      </w:pPr>
    </w:p>
    <w:p>
      <w:pPr>
        <w:spacing w:before="135"/>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2"/>
        <w:rPr>
          <w:rFonts w:ascii="宋体" w:hAnsi="宋体" w:cs="宋体" w:eastAsia="宋体" w:hint="default"/>
          <w:sz w:val="30"/>
          <w:szCs w:val="30"/>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19"/>
      <w:bookmarkStart w:name="第七节 优先股相关情况" w:id="120"/>
      <w:r>
        <w:rPr>
          <w:b w:val="0"/>
          <w:bCs w:val="0"/>
        </w:rPr>
      </w:r>
      <w:r>
        <w:rPr/>
        <w:t>第七节</w:t>
      </w:r>
      <w:r>
        <w:rPr>
          <w:spacing w:val="-8"/>
        </w:rPr>
        <w:t> </w:t>
      </w:r>
      <w:r>
        <w:rPr/>
        <w:t>优先股相关情况</w:t>
      </w:r>
      <w:bookmarkEnd w:id="119"/>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1"/>
      <w:bookmarkStart w:name="第八节 董事、监事、高级管理人员和员工情况" w:id="122"/>
      <w:r>
        <w:rPr>
          <w:b w:val="0"/>
          <w:bCs w:val="0"/>
        </w:rPr>
      </w:r>
      <w:r>
        <w:rPr/>
        <w:t>第八节</w:t>
      </w:r>
      <w:r>
        <w:rPr>
          <w:spacing w:val="-16"/>
        </w:rPr>
        <w:t> </w:t>
      </w:r>
      <w:r>
        <w:rPr/>
        <w:t>董事、监事、高级管理人员和员工情况</w:t>
      </w:r>
      <w:bookmarkEnd w:id="12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总裁、董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钱朝晖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张宏麟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49,763,22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钱朝晖</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监事会主席、监 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增补独立董事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监事会主席、监</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增补监事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监事会主席、监 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董事、总裁、财 务负责人</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董事、副总裁、 董事会秘书</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张宏麟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BodyText"/>
        <w:spacing w:line="302" w:lineRule="auto" w:before="115"/>
        <w:ind w:right="0"/>
        <w:jc w:val="left"/>
      </w:pPr>
      <w:r>
        <w:rPr>
          <w:spacing w:val="-1"/>
        </w:rPr>
        <w:t>廖杰，男，</w:t>
      </w:r>
      <w:r>
        <w:rPr>
          <w:rFonts w:ascii="Times New Roman" w:hAnsi="Times New Roman" w:cs="Times New Roman" w:eastAsia="Times New Roman" w:hint="default"/>
          <w:spacing w:val="-1"/>
        </w:rPr>
        <w:t>1966</w:t>
      </w:r>
      <w:r>
        <w:rPr>
          <w:spacing w:val="-1"/>
        </w:rPr>
        <w:t>年</w:t>
      </w:r>
      <w:r>
        <w:rPr>
          <w:rFonts w:ascii="Times New Roman" w:hAnsi="Times New Roman" w:cs="Times New Roman" w:eastAsia="Times New Roman" w:hint="default"/>
          <w:spacing w:val="-1"/>
        </w:rPr>
        <w:t>3</w:t>
      </w:r>
      <w:r>
        <w:rPr>
          <w:spacing w:val="-1"/>
        </w:rPr>
        <w:t>月出生，加拿大国籍，硕士学历。</w:t>
      </w:r>
      <w:r>
        <w:rPr>
          <w:rFonts w:ascii="Times New Roman" w:hAnsi="Times New Roman" w:cs="Times New Roman" w:eastAsia="Times New Roman" w:hint="default"/>
          <w:spacing w:val="-1"/>
        </w:rPr>
        <w:t>2011</w:t>
      </w:r>
      <w:r>
        <w:rPr>
          <w:spacing w:val="-1"/>
        </w:rPr>
        <w:t>年至今，历任中国智能交通系统</w:t>
      </w:r>
      <w:r>
        <w:rPr>
          <w:rFonts w:ascii="Times New Roman" w:hAnsi="Times New Roman" w:cs="Times New Roman" w:eastAsia="Times New Roman" w:hint="default"/>
          <w:spacing w:val="-1"/>
        </w:rPr>
        <w:t>(</w:t>
      </w:r>
      <w:r>
        <w:rPr>
          <w:spacing w:val="-1"/>
        </w:rPr>
        <w:t>控股</w:t>
      </w:r>
      <w:r>
        <w:rPr>
          <w:rFonts w:ascii="Times New Roman" w:hAnsi="Times New Roman" w:cs="Times New Roman" w:eastAsia="Times New Roman" w:hint="default"/>
          <w:spacing w:val="-1"/>
        </w:rPr>
        <w:t>)</w:t>
      </w:r>
      <w:r>
        <w:rPr>
          <w:spacing w:val="-1"/>
        </w:rPr>
        <w:t>有限公司执行董事、总裁，</w:t>
      </w:r>
      <w:r>
        <w:rPr>
          <w:spacing w:val="-58"/>
        </w:rPr>
        <w:t> </w:t>
      </w:r>
      <w:r>
        <w:rPr>
          <w:spacing w:val="-58"/>
        </w:rPr>
      </w:r>
      <w:r>
        <w:rPr/>
        <w:t>现任董事会主席。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日至今任视觉（中国）文化发展股份有限公司董事长。 </w:t>
      </w:r>
      <w:r>
        <w:rPr>
          <w:spacing w:val="-3"/>
        </w:rPr>
        <w:t>吴斯远，男，</w:t>
      </w:r>
      <w:r>
        <w:rPr>
          <w:rFonts w:ascii="Times New Roman" w:hAnsi="Times New Roman" w:cs="Times New Roman" w:eastAsia="Times New Roman" w:hint="default"/>
          <w:spacing w:val="-3"/>
        </w:rPr>
        <w:t>1964</w:t>
      </w:r>
      <w:r>
        <w:rPr>
          <w:spacing w:val="-3"/>
        </w:rPr>
        <w:t>年</w:t>
      </w:r>
      <w:r>
        <w:rPr>
          <w:rFonts w:ascii="Times New Roman" w:hAnsi="Times New Roman" w:cs="Times New Roman" w:eastAsia="Times New Roman" w:hint="default"/>
          <w:spacing w:val="-3"/>
        </w:rPr>
        <w:t>4</w:t>
      </w:r>
      <w:r>
        <w:rPr>
          <w:spacing w:val="-3"/>
        </w:rPr>
        <w:t>月出生，硕士研究生学历。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月，任华侨城股份有限公司副总裁；</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8"/>
        </w:rPr>
        <w:t> </w:t>
      </w:r>
      <w:r>
        <w:rPr>
          <w:spacing w:val="-2"/>
        </w:rPr>
        <w:t>年</w:t>
      </w:r>
      <w:r>
        <w:rPr>
          <w:rFonts w:ascii="Times New Roman" w:hAnsi="Times New Roman" w:cs="Times New Roman" w:eastAsia="Times New Roman" w:hint="default"/>
          <w:spacing w:val="-2"/>
        </w:rPr>
        <w:t>11</w:t>
      </w:r>
      <w:r>
        <w:rPr>
          <w:spacing w:val="-2"/>
        </w:rPr>
        <w:t>月，任康佳集团股份公司董事长；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月，任华侨城集团公司副总经理；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月，任唱</w:t>
      </w:r>
      <w:r>
        <w:rPr>
          <w:spacing w:val="-46"/>
        </w:rPr>
        <w:t> </w:t>
      </w:r>
      <w:r>
        <w:rPr>
          <w:spacing w:val="-46"/>
        </w:rPr>
      </w:r>
      <w:r>
        <w:rPr>
          <w:spacing w:val="-2"/>
        </w:rPr>
        <w:t>游信息技术有限公司董事长、法定代表人；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月至今任深圳海王集团股份有限公司副董事长。</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29</w:t>
      </w:r>
      <w:r>
        <w:rPr>
          <w:spacing w:val="-2"/>
        </w:rPr>
        <w:t>日至今任视</w:t>
      </w:r>
      <w:r>
        <w:rPr>
          <w:spacing w:val="-54"/>
        </w:rPr>
        <w:t> </w:t>
      </w:r>
      <w:r>
        <w:rPr/>
        <w:t>觉（中国）文化发展股份有限公司副董事长。 </w:t>
      </w:r>
      <w:r>
        <w:rPr>
          <w:spacing w:val="-5"/>
        </w:rPr>
        <w:t>梁军，女，</w:t>
      </w:r>
      <w:r>
        <w:rPr>
          <w:rFonts w:ascii="Times New Roman" w:hAnsi="Times New Roman" w:cs="Times New Roman" w:eastAsia="Times New Roman" w:hint="default"/>
          <w:spacing w:val="-5"/>
        </w:rPr>
        <w:t>1966</w:t>
      </w:r>
      <w:r>
        <w:rPr>
          <w:spacing w:val="-5"/>
        </w:rPr>
        <w:t>年</w:t>
      </w:r>
      <w:r>
        <w:rPr>
          <w:rFonts w:ascii="Times New Roman" w:hAnsi="Times New Roman" w:cs="Times New Roman" w:eastAsia="Times New Roman" w:hint="default"/>
          <w:spacing w:val="-5"/>
        </w:rPr>
        <w:t>7</w:t>
      </w:r>
      <w:r>
        <w:rPr>
          <w:spacing w:val="-5"/>
        </w:rPr>
        <w:t>月出生，美国国籍，硕士学历。</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11</w:t>
      </w:r>
      <w:r>
        <w:rPr>
          <w:spacing w:val="-5"/>
        </w:rPr>
        <w:t>月至</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8</w:t>
      </w:r>
      <w:r>
        <w:rPr>
          <w:spacing w:val="-5"/>
        </w:rPr>
        <w:t>月任优力易美（北京）图像技术有限公司董事；</w:t>
      </w:r>
      <w:r>
        <w:rPr>
          <w:rFonts w:ascii="Times New Roman" w:hAnsi="Times New Roman" w:cs="Times New Roman" w:eastAsia="Times New Roman" w:hint="default"/>
          <w:spacing w:val="-5"/>
        </w:rPr>
        <w:t>2005</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月任华盖创意（北京）图像技术有限公司董事、总经理；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月任北京汉华易美图片有限公</w:t>
      </w:r>
      <w:r>
        <w:rPr>
          <w:spacing w:val="-50"/>
        </w:rPr>
        <w:t> </w:t>
      </w:r>
      <w:r>
        <w:rPr/>
        <w:t>司董事、总经理。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日至今任视觉（中国）文化发展股份有限公司总裁，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日至今任视觉（中国）文化 发展股份有限公司董事。 </w:t>
      </w:r>
      <w:r>
        <w:rPr>
          <w:spacing w:val="-2"/>
        </w:rPr>
        <w:t>柴继军，男，</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4</w:t>
      </w:r>
      <w:r>
        <w:rPr>
          <w:spacing w:val="-2"/>
        </w:rPr>
        <w:t>月出生，本科学历。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月任中国青年报图片编辑、摄影记者；</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月至今任北京</w:t>
      </w:r>
      <w:r>
        <w:rPr>
          <w:spacing w:val="-48"/>
        </w:rPr>
        <w:t> </w:t>
      </w:r>
      <w:r>
        <w:rPr/>
        <w:t>汉华易美图片有限公司董事、总编辑；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月至今任华夏视觉（北京）图像技术有限公司执行董事、总编辑；</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 </w:t>
      </w:r>
      <w:r>
        <w:rPr>
          <w:spacing w:val="-2"/>
        </w:rPr>
        <w:t>月</w:t>
      </w:r>
      <w:r>
        <w:rPr>
          <w:rFonts w:ascii="Times New Roman" w:hAnsi="Times New Roman" w:cs="Times New Roman" w:eastAsia="Times New Roman" w:hint="default"/>
          <w:spacing w:val="-2"/>
        </w:rPr>
        <w:t>15</w:t>
      </w:r>
      <w:r>
        <w:rPr>
          <w:spacing w:val="-2"/>
        </w:rPr>
        <w:t>日至今任视觉（中国）文化发展股份有限公司副总裁、总编辑；</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日至今任视觉（中国）文化发展股份有限公</w:t>
      </w:r>
      <w:r>
        <w:rPr>
          <w:spacing w:val="-60"/>
        </w:rPr>
        <w:t> </w:t>
      </w:r>
      <w:r>
        <w:rPr>
          <w:spacing w:val="-60"/>
        </w:rPr>
      </w:r>
      <w:r>
        <w:rPr/>
        <w:t>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日至今任视觉（中国）文化发展股份有限公司董事会秘书。 周云东，男，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3</w:t>
      </w:r>
      <w:r>
        <w:rPr/>
        <w:t>月出生，研究生学历，中共党员。</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月任常州市发展和改革委员会副主任；</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月任常州工贸国有资产经营有限公司党委书记；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月任常州产业投资集团有限公司党委</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ind w:right="1032"/>
        <w:jc w:val="left"/>
      </w:pPr>
      <w:r>
        <w:rPr>
          <w:spacing w:val="-2"/>
        </w:rPr>
        <w:t>书记；</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月至今任常州产业投资集团有限公司党委书记、董事长兼总经理；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月至今任常州高新技术风险投资有</w:t>
      </w:r>
      <w:r>
        <w:rPr>
          <w:spacing w:val="-56"/>
        </w:rPr>
        <w:t> </w:t>
      </w:r>
      <w:r>
        <w:rPr/>
        <w:t>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月至今任江苏国光信息产业股份有限公司董事；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月至今任常州服装集团有限公司法定代表人、 </w:t>
      </w:r>
      <w:r>
        <w:rPr>
          <w:spacing w:val="-2"/>
        </w:rPr>
        <w:t>董事长、总经理；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月至今任常州金润服饰有限公司法定代表人、执行董事、总经理；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月至今任江南金融租赁</w:t>
      </w:r>
      <w:r>
        <w:rPr>
          <w:spacing w:val="-55"/>
        </w:rPr>
        <w:t> </w:t>
      </w:r>
      <w:r>
        <w:rPr>
          <w:spacing w:val="-2"/>
        </w:rPr>
        <w:t>有限公司董事；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月任常州企业征信服务有限公司法定代表人、董事长、总经理；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日至今任视</w:t>
      </w:r>
      <w:r>
        <w:rPr>
          <w:spacing w:val="-48"/>
        </w:rPr>
        <w:t> </w:t>
      </w:r>
      <w:r>
        <w:rPr/>
        <w:t>觉（中国）文化发展股份有限公司董事。 朱武祥，男，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5</w:t>
      </w:r>
      <w:r>
        <w:rPr/>
        <w:t>月出生，清华大学数量经济专业博士。</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12</w:t>
      </w:r>
      <w:r>
        <w:rPr/>
        <w:t>月至今，任教于清华大学经济管理学院。现任清华大 </w:t>
      </w:r>
      <w:r>
        <w:rPr>
          <w:spacing w:val="-2"/>
        </w:rPr>
        <w:t>学经济管理学院金融系教授、博士生导师。目前担任中国信达、华夏幸福基业、北京建设（控股）有限公司独立董事，光大</w:t>
      </w:r>
      <w:r>
        <w:rPr>
          <w:spacing w:val="-72"/>
        </w:rPr>
        <w:t> </w:t>
      </w:r>
      <w:r>
        <w:rPr>
          <w:spacing w:val="-72"/>
        </w:rPr>
      </w:r>
      <w:r>
        <w:rPr/>
        <w:t>证券、紫光股份监事；最近五年，还担任过中兴通讯、东兴证券等上市公司独立董事；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日至今任视觉（中国） 文化发展股份有限公司独立董事。 汪天润，男，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2</w:t>
      </w:r>
      <w:r>
        <w:rPr/>
        <w:t>月出生，中国科学院大学管理科学博士。现任北京中财富国投资管理有限公司监事；北京天旭投资管 </w:t>
      </w:r>
      <w:r>
        <w:rPr>
          <w:spacing w:val="-2"/>
        </w:rPr>
        <w:t>理有限公司、北京天润财富投资管理有限公司董事长、经理、法定代表人；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日至今任视觉（中国）文化发展股份</w:t>
      </w:r>
      <w:r>
        <w:rPr>
          <w:spacing w:val="-61"/>
        </w:rPr>
        <w:t> </w:t>
      </w:r>
      <w:r>
        <w:rPr>
          <w:spacing w:val="-61"/>
        </w:rPr>
      </w:r>
      <w:r>
        <w:rPr/>
        <w:t>有限公司独立董事。 潘帅，女，</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3</w:t>
      </w:r>
      <w:r>
        <w:rPr/>
        <w:t>月出生，硕士。中国注册会计师、高级会计师，瑞华会计师事务所合伙人。潘帅自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 </w:t>
      </w:r>
      <w:r>
        <w:rPr/>
        <w:t>月任北京世纪瑞尔技术股份有限公司独立董事，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月至今任北京城市副中心投资建设集团有限公司外部董事；</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日至今任视觉（中国）文化发展股份有限公司独立董事。 岳蓉，女，</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7</w:t>
      </w:r>
      <w:r>
        <w:rPr/>
        <w:t>月出生，博士研究生学历。</w:t>
      </w:r>
      <w:r>
        <w:rPr>
          <w:rFonts w:ascii="Times New Roman" w:hAnsi="Times New Roman" w:cs="Times New Roman" w:eastAsia="Times New Roman" w:hint="default"/>
        </w:rPr>
        <w:t>2003</w:t>
      </w:r>
      <w:r>
        <w:rPr/>
        <w:t>年至今，任武汉华工创业投资有限责任公司副总经理；</w:t>
      </w:r>
      <w:r>
        <w:rPr>
          <w:rFonts w:ascii="Times New Roman" w:hAnsi="Times New Roman" w:cs="Times New Roman" w:eastAsia="Times New Roman" w:hint="default"/>
        </w:rPr>
        <w:t>2005</w:t>
      </w:r>
      <w:r>
        <w:rPr/>
        <w:t>年至今，任 武汉华科大生命科技有限公司董事长、法定代表人；</w:t>
      </w:r>
      <w:r>
        <w:rPr>
          <w:rFonts w:ascii="Times New Roman" w:hAnsi="Times New Roman" w:cs="Times New Roman" w:eastAsia="Times New Roman" w:hint="default"/>
        </w:rPr>
        <w:t>2011</w:t>
      </w:r>
      <w:r>
        <w:rPr/>
        <w:t>年至今，任科华银赛创业投资有限公司董事、总经理。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14</w:t>
      </w:r>
      <w:r>
        <w:rPr/>
        <w:t>日至今任视觉（中国）文化发展股份有限公司监事、监事会主席。 </w:t>
      </w:r>
      <w:r>
        <w:rPr>
          <w:spacing w:val="-5"/>
        </w:rPr>
        <w:t>杨霞，女，</w:t>
      </w:r>
      <w:r>
        <w:rPr>
          <w:rFonts w:ascii="Times New Roman" w:hAnsi="Times New Roman" w:cs="Times New Roman" w:eastAsia="Times New Roman" w:hint="default"/>
          <w:spacing w:val="-5"/>
        </w:rPr>
        <w:t>1982</w:t>
      </w:r>
      <w:r>
        <w:rPr>
          <w:spacing w:val="-5"/>
        </w:rPr>
        <w:t>年</w:t>
      </w:r>
      <w:r>
        <w:rPr>
          <w:rFonts w:ascii="Times New Roman" w:hAnsi="Times New Roman" w:cs="Times New Roman" w:eastAsia="Times New Roman" w:hint="default"/>
          <w:spacing w:val="-5"/>
        </w:rPr>
        <w:t>5</w:t>
      </w:r>
      <w:r>
        <w:rPr>
          <w:spacing w:val="-5"/>
        </w:rPr>
        <w:t>月出生，本科学历。</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1</w:t>
      </w:r>
      <w:r>
        <w:rPr>
          <w:spacing w:val="-5"/>
        </w:rPr>
        <w:t>月至今在华盖创意（北京）图像技术有限公司任职，现任助理运营总监。</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日至今任视觉（中国）文化发展股份有限公司监事。 苏华，男，</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月出生，本科学历。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月至今在视觉（中国）文化发展股份有限公司任职，现任技术部技术总监；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月至今任常州远东文化产业有限公司监事；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日至今任视觉（中国）文化发展股份有限公司职工监事。 王刚，男，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10</w:t>
      </w:r>
      <w:r>
        <w:rPr/>
        <w:t>月出生，硕士学历。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月至今任华盖创意（北京）图像技术有限公司副总裁；</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月至今 任 </w:t>
      </w:r>
      <w:r>
        <w:rPr>
          <w:spacing w:val="-2"/>
        </w:rPr>
        <w:t>北京汉华易美图片有限公司副总裁；</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月至今任华夏视觉（北京）图像技术有限公司副总裁。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日至今任视</w:t>
      </w:r>
      <w:r>
        <w:rPr>
          <w:spacing w:val="-52"/>
        </w:rPr>
        <w:t> </w:t>
      </w:r>
      <w:r>
        <w:rPr/>
        <w:t>觉（中国）文化发展股份有限公司副总裁。 张宏麟，男，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7</w:t>
      </w:r>
      <w:r>
        <w:rPr/>
        <w:t>月出生，大学本科学历。自</w:t>
      </w:r>
      <w:r>
        <w:rPr>
          <w:rFonts w:ascii="Times New Roman" w:hAnsi="Times New Roman" w:cs="Times New Roman" w:eastAsia="Times New Roman" w:hint="default"/>
        </w:rPr>
        <w:t>2005</w:t>
      </w:r>
      <w:r>
        <w:rPr/>
        <w:t>年加入视觉中国集团旗下华盖创意（北京）图像技术有限公司，历任 </w:t>
      </w:r>
      <w:r>
        <w:rPr>
          <w:spacing w:val="-2"/>
        </w:rPr>
        <w:t>经理、高级经理、总监、高级总监；</w:t>
      </w:r>
      <w:r>
        <w:rPr>
          <w:rFonts w:ascii="Times New Roman" w:hAnsi="Times New Roman" w:cs="Times New Roman" w:eastAsia="Times New Roman" w:hint="default"/>
          <w:spacing w:val="-2"/>
        </w:rPr>
        <w:t>2014</w:t>
      </w:r>
      <w:r>
        <w:rPr>
          <w:spacing w:val="-2"/>
        </w:rPr>
        <w:t>年起担任视觉（中国）文化发展股份有限公司助理副总裁。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日至今任</w:t>
      </w:r>
      <w:r>
        <w:rPr>
          <w:spacing w:val="-58"/>
        </w:rPr>
        <w:t> </w:t>
      </w:r>
      <w:r>
        <w:rPr>
          <w:spacing w:val="-58"/>
        </w:rPr>
      </w:r>
      <w:r>
        <w:rPr/>
        <w:t>视觉（中国）文化发展股份有限公司副总裁。</w:t>
      </w:r>
    </w:p>
    <w:p>
      <w:pPr>
        <w:spacing w:line="240" w:lineRule="auto" w:before="0"/>
        <w:rPr>
          <w:rFonts w:ascii="宋体" w:hAnsi="宋体" w:cs="宋体" w:eastAsia="宋体" w:hint="default"/>
          <w:sz w:val="18"/>
          <w:szCs w:val="18"/>
        </w:rPr>
      </w:pPr>
    </w:p>
    <w:p>
      <w:pPr>
        <w:pStyle w:val="BodyText"/>
        <w:spacing w:line="240" w:lineRule="auto" w:before="145"/>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常州产业投资集团有限公司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党委书记、董</w:t>
            </w:r>
            <w:r>
              <w:rPr>
                <w:rFonts w:ascii="宋体" w:hAnsi="宋体" w:cs="宋体" w:eastAsia="宋体" w:hint="default"/>
                <w:sz w:val="18"/>
                <w:szCs w:val="18"/>
              </w:rPr>
              <w:t> </w:t>
            </w:r>
            <w:r>
              <w:rPr>
                <w:rFonts w:ascii="宋体" w:hAnsi="宋体" w:cs="宋体" w:eastAsia="宋体" w:hint="default"/>
                <w:spacing w:val="-10"/>
                <w:sz w:val="18"/>
                <w:szCs w:val="18"/>
              </w:rPr>
              <w:t>事长、总经理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常州服装集团有限公司</w:t>
            </w:r>
          </w:p>
        </w:tc>
        <w:tc>
          <w:tcPr>
            <w:tcW w:w="1076"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0"/>
                <w:sz w:val="18"/>
                <w:szCs w:val="18"/>
              </w:rPr>
              <w:t>董事长、总经</w:t>
            </w:r>
            <w:r>
              <w:rPr>
                <w:rFonts w:ascii="宋体" w:hAnsi="宋体" w:cs="宋体" w:eastAsia="宋体" w:hint="default"/>
                <w:sz w:val="18"/>
                <w:szCs w:val="18"/>
              </w:rPr>
              <w:t> 理</w:t>
            </w:r>
          </w:p>
        </w:tc>
        <w:tc>
          <w:tcPr>
            <w:tcW w:w="1212" w:type="dxa"/>
            <w:tcBorders>
              <w:top w:val="single" w:sz="4" w:space="0" w:color="000000"/>
              <w:left w:val="single" w:sz="10" w:space="0" w:color="FFFFFF"/>
              <w:bottom w:val="single" w:sz="4" w:space="0" w:color="000000"/>
              <w:right w:val="single" w:sz="4" w:space="0" w:color="000000"/>
            </w:tcBorders>
          </w:tcPr>
          <w:p>
            <w:pPr>
              <w:pStyle w:val="TableParagraph"/>
              <w:spacing w:line="156" w:lineRule="exact"/>
              <w:ind w:left="-8"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60.15pt;height:7.8pt;mso-position-horizontal-relative:char;mso-position-vertical-relative:line" coordorigin="0,0" coordsize="1203,156">
                  <v:group style="position:absolute;left:0;top:0;width:1203;height:156" coordorigin="0,0" coordsize="1203,156">
                    <v:shape style="position:absolute;left:0;top:0;width:1203;height:156" coordorigin="0,0" coordsize="1203,156" path="m0,156l1202,156,1202,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详见简历部分。</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中国智能交通系统（控股）有限公司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中国智能交通系统有限公司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常州瑞华赢数字技术有限公司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上海科锐福克斯人才顾问有限公司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江苏唱游数据技术有限公司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Best Partners Developments</w:t>
            </w:r>
            <w:r>
              <w:rPr>
                <w:rFonts w:ascii="Times New Roman"/>
                <w:spacing w:val="-6"/>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8"/>
              <w:jc w:val="left"/>
              <w:rPr>
                <w:rFonts w:ascii="Times New Roman" w:hAnsi="Times New Roman" w:cs="Times New Roman" w:eastAsia="Times New Roman" w:hint="default"/>
                <w:sz w:val="18"/>
                <w:szCs w:val="18"/>
              </w:rPr>
            </w:pPr>
            <w:r>
              <w:rPr>
                <w:rFonts w:ascii="Times New Roman"/>
                <w:sz w:val="18"/>
              </w:rPr>
              <w:t>China Expressway intelligent</w:t>
            </w:r>
            <w:r>
              <w:rPr>
                <w:rFonts w:ascii="Times New Roman"/>
                <w:spacing w:val="-17"/>
                <w:sz w:val="18"/>
              </w:rPr>
              <w:t> </w:t>
            </w:r>
            <w:r>
              <w:rPr>
                <w:rFonts w:ascii="Times New Roman"/>
                <w:sz w:val="18"/>
              </w:rPr>
              <w:t>Transportation</w:t>
            </w:r>
            <w:r>
              <w:rPr>
                <w:rFonts w:ascii="Times New Roman"/>
                <w:sz w:val="18"/>
              </w:rPr>
              <w:t> Technology Group</w:t>
            </w:r>
            <w:r>
              <w:rPr>
                <w:rFonts w:ascii="Times New Roman"/>
                <w:spacing w:val="-16"/>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Joyful Business Holdings</w:t>
            </w:r>
            <w:r>
              <w:rPr>
                <w:rFonts w:ascii="Times New Roman"/>
                <w:spacing w:val="-7"/>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King Victory Holdings</w:t>
            </w:r>
            <w:r>
              <w:rPr>
                <w:rFonts w:ascii="Times New Roman"/>
                <w:spacing w:val="-20"/>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Golden Circuit </w:t>
            </w:r>
            <w:r>
              <w:rPr>
                <w:rFonts w:ascii="Times New Roman"/>
                <w:spacing w:val="-3"/>
                <w:sz w:val="18"/>
              </w:rPr>
              <w:t>Ventures</w:t>
            </w:r>
            <w:r>
              <w:rPr>
                <w:rFonts w:ascii="Times New Roman"/>
                <w:spacing w:val="-6"/>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Gold Insight Investments</w:t>
            </w:r>
            <w:r>
              <w:rPr>
                <w:rFonts w:ascii="Times New Roman"/>
                <w:spacing w:val="-6"/>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eSoon</w:t>
            </w:r>
            <w:r>
              <w:rPr>
                <w:rFonts w:ascii="Times New Roman"/>
                <w:spacing w:val="-2"/>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eSoon</w:t>
            </w:r>
            <w:r>
              <w:rPr>
                <w:rFonts w:ascii="Times New Roman"/>
                <w:spacing w:val="-1"/>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eSoon Group Holdings</w:t>
            </w:r>
            <w:r>
              <w:rPr>
                <w:rFonts w:ascii="Times New Roman"/>
                <w:spacing w:val="-2"/>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CSDN Group</w:t>
            </w:r>
            <w:r>
              <w:rPr>
                <w:rFonts w:ascii="Times New Roman"/>
                <w:spacing w:val="-3"/>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深圳海王集团股份有限公司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副董事长、执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深圳市国民健康云科技有限公司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吉林省吉商实业有限公司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兼法人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湖州海王康山投资发展有限公司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杭州海王生物工程有限公司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南宁海王健康发展有限公司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南宁海王健康生物科技有限公司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吉林海王健康生物科技有限公司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杭州海王实业投资有限公司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江苏海王健康生物科技有限公司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三亚海王海洋生物科技有限公司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湖州海王康山地产发展有限公司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常州天博文化发展有限公司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常州天博投资管理中心（有限合伙）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常州高新技术风险投资有限公司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江苏国光信息产业股份有限公司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常州金润服饰有限公司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江南金融租赁有限公司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常州企业征信服务有限公司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中国信达资产管理股份有限公司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华夏幸福基业股份有限公司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北京建设（控股）有限公司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北京中财富国投资管理有限公司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北京天旭投资管理有限公司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董事长、经 </w:t>
            </w:r>
            <w:r>
              <w:rPr>
                <w:rFonts w:ascii="宋体" w:hAnsi="宋体" w:cs="宋体" w:eastAsia="宋体" w:hint="default"/>
                <w:spacing w:val="-8"/>
                <w:sz w:val="18"/>
                <w:szCs w:val="18"/>
              </w:rPr>
              <w:t>理、法定代表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北京天润财富投资管理有限公司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董事长、经 </w:t>
            </w:r>
            <w:r>
              <w:rPr>
                <w:rFonts w:ascii="宋体" w:hAnsi="宋体" w:cs="宋体" w:eastAsia="宋体" w:hint="default"/>
                <w:spacing w:val="-8"/>
                <w:sz w:val="18"/>
                <w:szCs w:val="18"/>
              </w:rPr>
              <w:t>理、法定代表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北京城市副中心投资建设集团有限公司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北京世纪瑞尔技术股份有限公司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董事长、法定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湖北菲利华石英玻璃股份有限公司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武汉欣雪药业有限公司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天津灏洋华科生物科技有限公司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董事长、法定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天津市灏洋生物制品科技有限责任公司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定代表人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湖北省中国青年旅行社有限公司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湖北宏泰科华创业投资基金管理有限公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032"/>
        <w:jc w:val="left"/>
      </w:pPr>
      <w:r>
        <w:rPr/>
        <w:t>董事、监事、高级管理人员报酬的决策程序、确定依据、实际支付情况 董事、监事、高级管理人员报酬的决策程序：独立董事、董事、监事报酬由股东大会审议通过，其他高管各自所在的岗位、 所承担的责任风险和所做贡献等因素，核定其薪酬。</w:t>
      </w:r>
    </w:p>
    <w:p>
      <w:pPr>
        <w:pStyle w:val="BodyText"/>
        <w:spacing w:line="338" w:lineRule="auto" w:before="2"/>
        <w:ind w:right="0"/>
        <w:jc w:val="left"/>
      </w:pPr>
      <w:r>
        <w:rPr>
          <w:spacing w:val="-2"/>
        </w:rPr>
        <w:t>董事、监事、高级管理人员报酬确定依据：根据董事、监事及高级管理人员管理岗位的主要范围、职责、重要性，参照同行</w:t>
      </w:r>
      <w:r>
        <w:rPr>
          <w:spacing w:val="-72"/>
        </w:rPr>
        <w:t> </w:t>
      </w:r>
      <w:r>
        <w:rPr>
          <w:spacing w:val="-72"/>
        </w:rPr>
      </w:r>
      <w:r>
        <w:rPr/>
        <w:t>业其他相关企业相关岗位的薪酬水平并结合本公司的具体情况制定薪酬标准。 董事、监事和高级管理人员报酬的实际支付情况：董事、监事和高级管理人员报酬按月支付。</w:t>
      </w:r>
    </w:p>
    <w:p>
      <w:pPr>
        <w:spacing w:line="240" w:lineRule="auto" w:before="11"/>
        <w:rPr>
          <w:rFonts w:ascii="宋体" w:hAnsi="宋体" w:cs="宋体" w:eastAsia="宋体" w:hint="default"/>
          <w:sz w:val="26"/>
          <w:szCs w:val="26"/>
        </w:rPr>
      </w:pPr>
    </w:p>
    <w:p>
      <w:pPr>
        <w:pStyle w:val="BodyText"/>
        <w:spacing w:line="240" w:lineRule="auto"/>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董事、副总裁、 总编辑、董事会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钱朝晖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345.01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公司按照《中华人民共和国劳动合同法》和其他有关劳动法律、法规的规定，与员工签订劳动合同，并严格执行国家用工制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2"/>
        <w:jc w:val="both"/>
      </w:pPr>
      <w:r>
        <w:rPr>
          <w:spacing w:val="-2"/>
        </w:rPr>
        <w:t>度、劳动保护制度、社会保障制度和医疗保障制度，按照国家规定为员工缴纳五险一金。根据公平、竞争、激励的原则，公</w:t>
      </w:r>
      <w:r>
        <w:rPr>
          <w:spacing w:val="-71"/>
        </w:rPr>
        <w:t> </w:t>
      </w:r>
      <w:r>
        <w:rPr>
          <w:spacing w:val="-71"/>
        </w:rPr>
      </w:r>
      <w:r>
        <w:rPr>
          <w:spacing w:val="-2"/>
        </w:rPr>
        <w:t>司建立了具备市场竞争力与内部公平性的薪酬体系，以岗位和职级为薪酬基准线，同时完善了绩效考核管理制度，将绩效考</w:t>
      </w:r>
      <w:r>
        <w:rPr>
          <w:spacing w:val="-66"/>
        </w:rPr>
        <w:t> </w:t>
      </w:r>
      <w:r>
        <w:rPr>
          <w:spacing w:val="-66"/>
        </w:rPr>
      </w:r>
      <w:r>
        <w:rPr>
          <w:spacing w:val="-2"/>
        </w:rPr>
        <w:t>核结果运用到员工薪酬调整中去，公司也会定期根据市场情况、公司业绩完成情况对员工薪酬作出适当调整。公司薪酬政策</w:t>
      </w:r>
      <w:r>
        <w:rPr>
          <w:spacing w:val="-66"/>
        </w:rPr>
        <w:t> </w:t>
      </w:r>
      <w:r>
        <w:rPr>
          <w:spacing w:val="-66"/>
        </w:rPr>
      </w:r>
      <w:r>
        <w:rPr/>
        <w:t>确保了个人绩效公平，充分调动了公司员工的积极性，同时增加了对人才的吸引力。</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jc w:val="left"/>
      </w:pPr>
      <w:r>
        <w:rPr/>
        <w:t>公司通过内训、外训、行业精英交流会、案例分享等形式，开展一系列的培训活动。课程涵盖几大方向：新员工入职培训、 </w:t>
      </w:r>
      <w:r>
        <w:rPr>
          <w:spacing w:val="-2"/>
        </w:rPr>
        <w:t>专业技能、通用技能、管理能力、商务礼仪、社保报销培训等。同时，公司也通过员工生日会、运动会等一系列员工关怀项</w:t>
      </w:r>
      <w:r>
        <w:rPr>
          <w:spacing w:val="-72"/>
        </w:rPr>
        <w:t> </w:t>
      </w:r>
      <w:r>
        <w:rPr>
          <w:spacing w:val="-72"/>
        </w:rPr>
      </w:r>
      <w:r>
        <w:rPr/>
        <w:t>目，增强员工对集团的主人翁意识和归属感。</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39"/>
        <w:jc w:val="center"/>
        <w:rPr>
          <w:b w:val="0"/>
          <w:bCs w:val="0"/>
        </w:rPr>
      </w:pPr>
      <w:bookmarkStart w:name="_TOC_250003" w:id="132"/>
      <w:bookmarkStart w:name="第九节 公司治理" w:id="133"/>
      <w:r>
        <w:rPr>
          <w:b w:val="0"/>
          <w:bCs w:val="0"/>
        </w:rPr>
      </w:r>
      <w:r>
        <w:rPr/>
        <w:t>第九节</w:t>
      </w:r>
      <w:r>
        <w:rPr>
          <w:spacing w:val="-5"/>
        </w:rPr>
        <w:t> </w:t>
      </w:r>
      <w:r>
        <w:rPr/>
        <w:t>公司治理</w:t>
      </w:r>
      <w:bookmarkEnd w:id="13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032"/>
        <w:jc w:val="left"/>
      </w:pPr>
      <w:r>
        <w:rPr/>
        <w:t>（一）公司治理基本情况 公司按照《公司法》、《企业内部控制基本规范》及配套指引、《上市公司治理准则》、《深圳证券交易所股票上市规则》 </w:t>
      </w:r>
      <w:r>
        <w:rPr>
          <w:spacing w:val="-2"/>
        </w:rPr>
        <w:t>等相关法律法规和业务规则的要求，进一步完善公司法人治理结构和提升内部控制的有效性，形成了以《公司章程》为基础</w:t>
      </w:r>
      <w:r>
        <w:rPr>
          <w:spacing w:val="-66"/>
        </w:rPr>
        <w:t> </w:t>
      </w:r>
      <w:r>
        <w:rPr>
          <w:spacing w:val="-66"/>
        </w:rPr>
      </w:r>
      <w:r>
        <w:rPr>
          <w:spacing w:val="-2"/>
        </w:rPr>
        <w:t>的内控制度体系和以股东大会、董事会、监事会为主体的较为完善的法人治理结构。报告期内，公司重新修订及审议通过了</w:t>
      </w:r>
    </w:p>
    <w:p>
      <w:pPr>
        <w:pStyle w:val="BodyText"/>
        <w:spacing w:line="316" w:lineRule="auto" w:before="19"/>
        <w:ind w:right="0"/>
        <w:jc w:val="left"/>
      </w:pPr>
      <w:r>
        <w:rPr>
          <w:spacing w:val="-2"/>
        </w:rPr>
        <w:t>《公司章程》、《股东大会议事规则》、《董事会议事规则》、《对外担保管理制度》、《委托理财管理制度》、《证券投</w:t>
      </w:r>
      <w:r>
        <w:rPr>
          <w:spacing w:val="-71"/>
        </w:rPr>
        <w:t> </w:t>
      </w:r>
      <w:r>
        <w:rPr>
          <w:spacing w:val="-71"/>
        </w:rPr>
      </w:r>
      <w:r>
        <w:rPr/>
        <w:t>资管理制度》、《对外提供财务资助管理制度》等重要制度。</w:t>
      </w:r>
    </w:p>
    <w:p>
      <w:pPr>
        <w:pStyle w:val="BodyText"/>
        <w:spacing w:line="338" w:lineRule="auto" w:before="19"/>
        <w:ind w:right="0"/>
        <w:jc w:val="left"/>
      </w:pPr>
      <w:r>
        <w:rPr/>
        <w:t>（二）内幕信息知情人管理工作 </w:t>
      </w:r>
      <w:r>
        <w:rPr>
          <w:spacing w:val="-2"/>
        </w:rPr>
        <w:t>报告期内，公司董事、监事、高级管理人员及员工严格遵守《深圳证券交易所股票上市规则》、《深圳证券交易所主板上市</w:t>
      </w:r>
      <w:r>
        <w:rPr>
          <w:spacing w:val="-70"/>
        </w:rPr>
        <w:t> </w:t>
      </w:r>
      <w:r>
        <w:rPr>
          <w:spacing w:val="-70"/>
        </w:rPr>
      </w:r>
      <w:r>
        <w:rPr>
          <w:spacing w:val="-2"/>
        </w:rPr>
        <w:t>公司规范运作指引》、公司《董事、监事和高级管理人员持有和买卖本公司股票管理制度》及《内幕信息知情人登记管理制</w:t>
      </w:r>
    </w:p>
    <w:p>
      <w:pPr>
        <w:pStyle w:val="BodyText"/>
        <w:spacing w:line="319" w:lineRule="auto" w:before="2"/>
        <w:ind w:right="1129"/>
        <w:jc w:val="both"/>
      </w:pPr>
      <w:r>
        <w:rPr>
          <w:spacing w:val="-2"/>
        </w:rPr>
        <w:t>度》、《重大信息内部报告制度》的相关规定，严格内幕信息的防控，对于有可能影响公司股价的重大财务或经营信息做到</w:t>
      </w:r>
      <w:r>
        <w:rPr>
          <w:spacing w:val="-67"/>
        </w:rPr>
        <w:t> </w:t>
      </w:r>
      <w:r>
        <w:rPr>
          <w:spacing w:val="-67"/>
        </w:rPr>
      </w:r>
      <w:r>
        <w:rPr>
          <w:spacing w:val="-2"/>
        </w:rPr>
        <w:t>严控知情人范围，并尽量缩短从信息产生到对外发布的时间。在公司重大事项、定期报告等窗口期及时对相关内幕信息之前</w:t>
      </w:r>
      <w:r>
        <w:rPr>
          <w:spacing w:val="-66"/>
        </w:rPr>
        <w:t> </w:t>
      </w:r>
      <w:r>
        <w:rPr>
          <w:spacing w:val="-66"/>
        </w:rPr>
      </w:r>
      <w:r>
        <w:rPr/>
        <w:t>人员进行提醒，杜绝内幕交易。报告期内，公司无内幕信息知情人违规买卖公司股票的行为。</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before="0"/>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8"/>
        <w:jc w:val="left"/>
      </w:pPr>
      <w:r>
        <w:rPr>
          <w:spacing w:val="-2"/>
        </w:rPr>
        <w:t>公司的实际控制人为十名一致行动人，公司业务、人员、资产、机构、财务等方面具有独立性，不存在不能保存自主经营能</w:t>
      </w:r>
      <w:r>
        <w:rPr>
          <w:spacing w:val="-67"/>
        </w:rPr>
        <w:t> </w:t>
      </w:r>
      <w:r>
        <w:rPr>
          <w:spacing w:val="-67"/>
        </w:rPr>
      </w:r>
      <w:r>
        <w:rPr/>
        <w:t>力的情况。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2018-002</w:t>
            </w:r>
            <w:r>
              <w:rPr>
                <w:rFonts w:ascii="宋体" w:hAnsi="宋体" w:cs="宋体" w:eastAsia="宋体" w:hint="default"/>
                <w:spacing w:val="-7"/>
                <w:sz w:val="18"/>
                <w:szCs w:val="18"/>
              </w:rPr>
              <w:t>），巨潮资</w:t>
            </w:r>
            <w:r>
              <w:rPr>
                <w:rFonts w:ascii="宋体" w:hAnsi="宋体" w:cs="宋体" w:eastAsia="宋体" w:hint="default"/>
                <w:sz w:val="18"/>
                <w:szCs w:val="18"/>
              </w:rPr>
              <w:t> 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59"/>
              <w:jc w:val="left"/>
              <w:rPr>
                <w:rFonts w:ascii="宋体" w:hAnsi="宋体" w:cs="宋体" w:eastAsia="宋体" w:hint="default"/>
                <w:sz w:val="18"/>
                <w:szCs w:val="18"/>
              </w:rPr>
            </w:pPr>
            <w:r>
              <w:rPr>
                <w:rFonts w:ascii="宋体" w:hAnsi="宋体" w:cs="宋体" w:eastAsia="宋体" w:hint="default"/>
                <w:sz w:val="18"/>
                <w:szCs w:val="18"/>
              </w:rPr>
              <w:t>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2018-019</w:t>
            </w:r>
            <w:r>
              <w:rPr>
                <w:rFonts w:ascii="宋体" w:hAnsi="宋体" w:cs="宋体" w:eastAsia="宋体" w:hint="default"/>
                <w:spacing w:val="-7"/>
                <w:sz w:val="18"/>
                <w:szCs w:val="18"/>
              </w:rPr>
              <w:t>），巨潮资</w:t>
            </w:r>
            <w:r>
              <w:rPr>
                <w:rFonts w:ascii="宋体" w:hAnsi="宋体" w:cs="宋体" w:eastAsia="宋体" w:hint="default"/>
                <w:sz w:val="18"/>
                <w:szCs w:val="18"/>
              </w:rPr>
              <w:t> 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2018-068</w:t>
            </w:r>
            <w:r>
              <w:rPr>
                <w:rFonts w:ascii="宋体" w:hAnsi="宋体" w:cs="宋体" w:eastAsia="宋体" w:hint="default"/>
                <w:spacing w:val="-7"/>
                <w:sz w:val="18"/>
                <w:szCs w:val="18"/>
              </w:rPr>
              <w:t>），巨潮资</w:t>
            </w:r>
            <w:r>
              <w:rPr>
                <w:rFonts w:ascii="宋体" w:hAnsi="宋体" w:cs="宋体" w:eastAsia="宋体" w:hint="default"/>
                <w:sz w:val="18"/>
                <w:szCs w:val="18"/>
              </w:rPr>
              <w:t> 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告编号：</w:t>
            </w:r>
          </w:p>
          <w:p>
            <w:pPr>
              <w:pStyle w:val="TableParagraph"/>
              <w:spacing w:line="302" w:lineRule="auto" w:before="24"/>
              <w:ind w:left="23" w:right="59"/>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2018-038</w:t>
            </w:r>
            <w:r>
              <w:rPr>
                <w:rFonts w:ascii="宋体" w:hAnsi="宋体" w:cs="宋体" w:eastAsia="宋体" w:hint="default"/>
                <w:spacing w:val="-7"/>
                <w:sz w:val="18"/>
                <w:szCs w:val="18"/>
              </w:rPr>
              <w:t>），巨潮资</w:t>
            </w:r>
            <w:r>
              <w:rPr>
                <w:rFonts w:ascii="宋体" w:hAnsi="宋体" w:cs="宋体" w:eastAsia="宋体" w:hint="default"/>
                <w:sz w:val="18"/>
                <w:szCs w:val="18"/>
              </w:rPr>
              <w:t> 讯网</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4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无</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994" w:right="0"/>
        <w:jc w:val="left"/>
      </w:pPr>
      <w:r>
        <w:rPr>
          <w:rFonts w:ascii="宋体" w:hAnsi="宋体" w:cs="宋体" w:eastAsia="宋体" w:hint="default"/>
        </w:rPr>
        <w:t>1.  </w:t>
      </w:r>
      <w:r>
        <w:rPr/>
        <w:t>董事会战略委员会履职情况</w:t>
      </w:r>
    </w:p>
    <w:p>
      <w:pPr>
        <w:pStyle w:val="BodyText"/>
        <w:spacing w:line="300" w:lineRule="auto" w:before="76"/>
        <w:ind w:left="514" w:right="1129" w:firstLine="48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14</w:t>
      </w:r>
      <w:r>
        <w:rPr>
          <w:spacing w:val="-3"/>
        </w:rPr>
        <w:t>日，战略委员会召开</w:t>
      </w:r>
      <w:r>
        <w:rPr>
          <w:rFonts w:ascii="Times New Roman" w:hAnsi="Times New Roman" w:cs="Times New Roman" w:eastAsia="Times New Roman" w:hint="default"/>
          <w:spacing w:val="-3"/>
        </w:rPr>
        <w:t>2018</w:t>
      </w:r>
      <w:r>
        <w:rPr>
          <w:spacing w:val="-3"/>
        </w:rPr>
        <w:t>年度第一次会议，审议通过了《关于收购</w:t>
      </w:r>
      <w:r>
        <w:rPr>
          <w:rFonts w:ascii="Times New Roman" w:hAnsi="Times New Roman" w:cs="Times New Roman" w:eastAsia="Times New Roman" w:hint="default"/>
          <w:spacing w:val="-3"/>
        </w:rPr>
        <w:t>500px</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7"/>
        </w:rPr>
        <w:t>Inc.100%</w:t>
      </w:r>
      <w:r>
        <w:rPr>
          <w:spacing w:val="-7"/>
        </w:rPr>
        <w:t>股权的议案》；</w:t>
      </w:r>
      <w:r>
        <w:rPr>
          <w:rFonts w:ascii="Times New Roman" w:hAnsi="Times New Roman" w:cs="Times New Roman" w:eastAsia="Times New Roman" w:hint="default"/>
          <w:spacing w:val="-7"/>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日，战略委员会召开</w:t>
      </w:r>
      <w:r>
        <w:rPr>
          <w:rFonts w:ascii="Times New Roman" w:hAnsi="Times New Roman" w:cs="Times New Roman" w:eastAsia="Times New Roman" w:hint="default"/>
        </w:rPr>
        <w:t>2018</w:t>
      </w:r>
      <w:r>
        <w:rPr/>
        <w:t>年度第二次会议，审议通过了《关于全资子公司投资认购华盖安鹭（厦门）文化产业</w:t>
      </w:r>
      <w:r>
        <w:rPr>
          <w:spacing w:val="-87"/>
        </w:rPr>
        <w:t> </w:t>
      </w:r>
      <w:r>
        <w:rPr>
          <w:spacing w:val="-87"/>
        </w:rPr>
      </w:r>
      <w:r>
        <w:rPr>
          <w:spacing w:val="-3"/>
        </w:rPr>
        <w:t>投资基金的议案》；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27</w:t>
      </w:r>
      <w:r>
        <w:rPr>
          <w:spacing w:val="-3"/>
        </w:rPr>
        <w:t>日，战略委员会召开</w:t>
      </w:r>
      <w:r>
        <w:rPr>
          <w:rFonts w:ascii="Times New Roman" w:hAnsi="Times New Roman" w:cs="Times New Roman" w:eastAsia="Times New Roman" w:hint="default"/>
          <w:spacing w:val="-3"/>
        </w:rPr>
        <w:t>2018</w:t>
      </w:r>
      <w:r>
        <w:rPr>
          <w:spacing w:val="-3"/>
        </w:rPr>
        <w:t>年度第三次会议，审议通过了《关于转让亿迅资产组股权暨关</w:t>
      </w:r>
      <w:r>
        <w:rPr/>
        <w:t> </w:t>
      </w:r>
      <w:r>
        <w:rPr>
          <w:spacing w:val="-2"/>
        </w:rPr>
        <w:t>联交易的议案》；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日，战略委员会召开</w:t>
      </w:r>
      <w:r>
        <w:rPr>
          <w:rFonts w:ascii="Times New Roman" w:hAnsi="Times New Roman" w:cs="Times New Roman" w:eastAsia="Times New Roman" w:hint="default"/>
          <w:spacing w:val="-2"/>
        </w:rPr>
        <w:t>2018</w:t>
      </w:r>
      <w:r>
        <w:rPr>
          <w:spacing w:val="-2"/>
        </w:rPr>
        <w:t>年度第四次会议，审议通过了《关于公司追加对云南富银消费</w:t>
      </w:r>
      <w:r>
        <w:rPr>
          <w:spacing w:val="-56"/>
        </w:rPr>
        <w:t> </w:t>
      </w:r>
      <w:r>
        <w:rPr>
          <w:spacing w:val="-56"/>
        </w:rPr>
      </w:r>
      <w:r>
        <w:rPr>
          <w:spacing w:val="-6"/>
        </w:rPr>
        <w:t>金融有限责任公司投资的议案》。</w:t>
      </w:r>
    </w:p>
    <w:p>
      <w:pPr>
        <w:pStyle w:val="BodyText"/>
        <w:spacing w:line="240" w:lineRule="auto" w:before="31"/>
        <w:ind w:left="994" w:right="0"/>
        <w:jc w:val="left"/>
      </w:pPr>
      <w:r>
        <w:rPr>
          <w:rFonts w:ascii="宋体" w:hAnsi="宋体" w:cs="宋体" w:eastAsia="宋体" w:hint="default"/>
        </w:rPr>
        <w:t>2.  </w:t>
      </w:r>
      <w:r>
        <w:rPr/>
        <w:t>董事会审计委员会履职情况</w:t>
      </w:r>
    </w:p>
    <w:p>
      <w:pPr>
        <w:pStyle w:val="BodyText"/>
        <w:spacing w:line="300" w:lineRule="auto" w:before="76"/>
        <w:ind w:left="514" w:right="1129"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日，审计委员会召开</w:t>
      </w:r>
      <w:r>
        <w:rPr>
          <w:rFonts w:ascii="Times New Roman" w:hAnsi="Times New Roman" w:cs="Times New Roman" w:eastAsia="Times New Roman" w:hint="default"/>
          <w:spacing w:val="-2"/>
        </w:rPr>
        <w:t>2018</w:t>
      </w:r>
      <w:r>
        <w:rPr>
          <w:spacing w:val="-2"/>
        </w:rPr>
        <w:t>年度第一次会议，审议通过了《关于</w:t>
      </w:r>
      <w:r>
        <w:rPr>
          <w:rFonts w:ascii="Times New Roman" w:hAnsi="Times New Roman" w:cs="Times New Roman" w:eastAsia="Times New Roman" w:hint="default"/>
          <w:spacing w:val="-2"/>
        </w:rPr>
        <w:t>2017</w:t>
      </w:r>
      <w:r>
        <w:rPr>
          <w:spacing w:val="-2"/>
        </w:rPr>
        <w:t>年度审计工作计划的议案》；</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日，审计委员会召开</w:t>
      </w:r>
      <w:r>
        <w:rPr>
          <w:rFonts w:ascii="Times New Roman" w:hAnsi="Times New Roman" w:cs="Times New Roman" w:eastAsia="Times New Roman" w:hint="default"/>
        </w:rPr>
        <w:t>2018</w:t>
      </w:r>
      <w:r>
        <w:rPr/>
        <w:t>年度第二次会议，审议通过了《视觉（中国）文化发展股份有限公司</w:t>
      </w:r>
      <w:r>
        <w:rPr>
          <w:rFonts w:ascii="Times New Roman" w:hAnsi="Times New Roman" w:cs="Times New Roman" w:eastAsia="Times New Roman" w:hint="default"/>
        </w:rPr>
        <w:t>2017</w:t>
      </w:r>
      <w:r>
        <w:rPr/>
        <w:t>年年度报告</w:t>
      </w:r>
      <w:r>
        <w:rPr>
          <w:spacing w:val="-82"/>
        </w:rPr>
        <w:t> </w:t>
      </w:r>
      <w:r>
        <w:rPr>
          <w:spacing w:val="-82"/>
        </w:rPr>
      </w:r>
      <w:r>
        <w:rPr>
          <w:spacing w:val="-2"/>
        </w:rPr>
        <w:t>提交审计稿》；</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日，审计委员会召开</w:t>
      </w:r>
      <w:r>
        <w:rPr>
          <w:rFonts w:ascii="Times New Roman" w:hAnsi="Times New Roman" w:cs="Times New Roman" w:eastAsia="Times New Roman" w:hint="default"/>
          <w:spacing w:val="-2"/>
        </w:rPr>
        <w:t>2018</w:t>
      </w:r>
      <w:r>
        <w:rPr>
          <w:spacing w:val="-2"/>
        </w:rPr>
        <w:t>年度第三次会议，审议通过了《听取中审众环会计师事务所（特殊</w:t>
      </w:r>
      <w:r>
        <w:rPr>
          <w:spacing w:val="-59"/>
        </w:rPr>
        <w:t> </w:t>
      </w:r>
      <w:r>
        <w:rPr>
          <w:spacing w:val="-59"/>
        </w:rPr>
      </w:r>
      <w:r>
        <w:rPr>
          <w:spacing w:val="-8"/>
        </w:rPr>
        <w:t>普通合伙）介绍视觉（中国）文化发展股份有限公司</w:t>
      </w:r>
      <w:r>
        <w:rPr>
          <w:rFonts w:ascii="Times New Roman" w:hAnsi="Times New Roman" w:cs="Times New Roman" w:eastAsia="Times New Roman" w:hint="default"/>
          <w:spacing w:val="-8"/>
        </w:rPr>
        <w:t>2017</w:t>
      </w:r>
      <w:r>
        <w:rPr>
          <w:spacing w:val="-8"/>
        </w:rPr>
        <w:t>年度审计工作情况》、《视觉（中国）文化发展股份有限公司</w:t>
      </w:r>
      <w:r>
        <w:rPr>
          <w:rFonts w:ascii="Times New Roman" w:hAnsi="Times New Roman" w:cs="Times New Roman" w:eastAsia="Times New Roman" w:hint="default"/>
          <w:spacing w:val="-8"/>
        </w:rPr>
        <w:t>2017</w:t>
      </w:r>
      <w:r>
        <w:rPr>
          <w:rFonts w:ascii="Times New Roman" w:hAnsi="Times New Roman" w:cs="Times New Roman" w:eastAsia="Times New Roman" w:hint="default"/>
          <w:spacing w:val="-29"/>
        </w:rPr>
        <w:t> </w:t>
      </w:r>
      <w:r>
        <w:rPr>
          <w:spacing w:val="-3"/>
        </w:rPr>
        <w:t>年度财务报告（会计师事务所初步审计意见稿）》；</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12</w:t>
      </w:r>
      <w:r>
        <w:rPr>
          <w:spacing w:val="-3"/>
        </w:rPr>
        <w:t>日，审计委员会召开</w:t>
      </w:r>
      <w:r>
        <w:rPr>
          <w:rFonts w:ascii="Times New Roman" w:hAnsi="Times New Roman" w:cs="Times New Roman" w:eastAsia="Times New Roman" w:hint="default"/>
          <w:spacing w:val="-3"/>
        </w:rPr>
        <w:t>2018</w:t>
      </w:r>
      <w:r>
        <w:rPr>
          <w:spacing w:val="-3"/>
        </w:rPr>
        <w:t>年度第四次会议，审议通过了</w:t>
      </w:r>
    </w:p>
    <w:p>
      <w:pPr>
        <w:pStyle w:val="BodyText"/>
        <w:spacing w:line="240" w:lineRule="auto" w:before="13"/>
        <w:ind w:left="514" w:right="0"/>
        <w:jc w:val="both"/>
      </w:pPr>
      <w:r>
        <w:rPr>
          <w:spacing w:val="4"/>
        </w:rPr>
        <w:t>《关于公</w:t>
      </w:r>
      <w:r>
        <w:rPr>
          <w:spacing w:val="5"/>
        </w:rPr>
        <w:t>司</w:t>
      </w:r>
      <w:r>
        <w:rPr>
          <w:rFonts w:ascii="Times New Roman" w:hAnsi="Times New Roman" w:cs="Times New Roman" w:eastAsia="Times New Roman" w:hint="default"/>
        </w:rPr>
        <w:t>201</w:t>
      </w:r>
      <w:r>
        <w:rPr>
          <w:rFonts w:ascii="Times New Roman" w:hAnsi="Times New Roman" w:cs="Times New Roman" w:eastAsia="Times New Roman" w:hint="default"/>
          <w:spacing w:val="4"/>
        </w:rPr>
        <w:t>7</w:t>
      </w:r>
      <w:r>
        <w:rPr>
          <w:spacing w:val="4"/>
        </w:rPr>
        <w:t>年度经审计的财务报告的议案</w:t>
      </w:r>
      <w:r>
        <w:rPr>
          <w:spacing w:val="-86"/>
        </w:rPr>
        <w:t>》、</w:t>
      </w:r>
      <w:r>
        <w:rPr>
          <w:spacing w:val="4"/>
        </w:rPr>
        <w:t>《关</w:t>
      </w:r>
      <w:r>
        <w:rPr>
          <w:spacing w:val="5"/>
        </w:rPr>
        <w:t>于</w:t>
      </w:r>
      <w:r>
        <w:rPr>
          <w:rFonts w:ascii="Times New Roman" w:hAnsi="Times New Roman" w:cs="Times New Roman" w:eastAsia="Times New Roman" w:hint="default"/>
        </w:rPr>
        <w:t>&lt;201</w:t>
      </w:r>
      <w:r>
        <w:rPr>
          <w:rFonts w:ascii="Times New Roman" w:hAnsi="Times New Roman" w:cs="Times New Roman" w:eastAsia="Times New Roman" w:hint="default"/>
          <w:spacing w:val="5"/>
        </w:rPr>
        <w:t>7</w:t>
      </w:r>
      <w:r>
        <w:rPr>
          <w:spacing w:val="4"/>
        </w:rPr>
        <w:t>年年度报告</w:t>
      </w:r>
      <w:r>
        <w:rPr>
          <w:rFonts w:ascii="Times New Roman" w:hAnsi="Times New Roman" w:cs="Times New Roman" w:eastAsia="Times New Roman" w:hint="default"/>
          <w:spacing w:val="5"/>
        </w:rPr>
        <w:t>&gt;</w:t>
      </w:r>
      <w:r>
        <w:rPr>
          <w:spacing w:val="4"/>
        </w:rPr>
        <w:t>及</w:t>
      </w:r>
      <w:r>
        <w:rPr>
          <w:rFonts w:ascii="Times New Roman" w:hAnsi="Times New Roman" w:cs="Times New Roman" w:eastAsia="Times New Roman" w:hint="default"/>
        </w:rPr>
        <w:t>&lt;201</w:t>
      </w:r>
      <w:r>
        <w:rPr>
          <w:rFonts w:ascii="Times New Roman" w:hAnsi="Times New Roman" w:cs="Times New Roman" w:eastAsia="Times New Roman" w:hint="default"/>
          <w:spacing w:val="5"/>
        </w:rPr>
        <w:t>7</w:t>
      </w:r>
      <w:r>
        <w:rPr>
          <w:spacing w:val="4"/>
        </w:rPr>
        <w:t>年年度报告摘</w:t>
      </w:r>
      <w:r>
        <w:rPr>
          <w:spacing w:val="5"/>
        </w:rPr>
        <w:t>要</w:t>
      </w:r>
      <w:r>
        <w:rPr>
          <w:rFonts w:ascii="Times New Roman" w:hAnsi="Times New Roman" w:cs="Times New Roman" w:eastAsia="Times New Roman" w:hint="default"/>
          <w:spacing w:val="5"/>
        </w:rPr>
        <w:t>&gt;</w:t>
      </w:r>
      <w:r>
        <w:rPr>
          <w:spacing w:val="4"/>
        </w:rPr>
        <w:t>的议案</w:t>
      </w:r>
      <w:r>
        <w:rPr>
          <w:spacing w:val="-86"/>
        </w:rPr>
        <w:t>》、</w:t>
      </w:r>
      <w:r>
        <w:rPr>
          <w:spacing w:val="4"/>
        </w:rPr>
        <w:t>《关</w:t>
      </w:r>
      <w:r>
        <w:rPr/>
        <w:t>于</w:t>
      </w:r>
    </w:p>
    <w:p>
      <w:pPr>
        <w:pStyle w:val="BodyText"/>
        <w:spacing w:line="300" w:lineRule="auto" w:before="63"/>
        <w:ind w:left="514" w:right="1129"/>
        <w:jc w:val="both"/>
      </w:pPr>
      <w:r>
        <w:rPr>
          <w:rFonts w:ascii="Times New Roman" w:hAnsi="Times New Roman" w:cs="Times New Roman" w:eastAsia="Times New Roman" w:hint="default"/>
        </w:rPr>
        <w:t>&lt;201</w:t>
      </w:r>
      <w:r>
        <w:rPr>
          <w:rFonts w:ascii="Times New Roman" w:hAnsi="Times New Roman" w:cs="Times New Roman" w:eastAsia="Times New Roman" w:hint="default"/>
          <w:spacing w:val="2"/>
        </w:rPr>
        <w:t>8</w:t>
      </w:r>
      <w:r>
        <w:rPr>
          <w:spacing w:val="1"/>
        </w:rPr>
        <w:t>年第一</w:t>
      </w:r>
      <w:r>
        <w:rPr/>
        <w:t>季</w:t>
      </w:r>
      <w:r>
        <w:rPr>
          <w:spacing w:val="1"/>
        </w:rPr>
        <w:t>度报告全</w:t>
      </w:r>
      <w:r>
        <w:rPr>
          <w:spacing w:val="2"/>
        </w:rPr>
        <w:t>文</w:t>
      </w:r>
      <w:r>
        <w:rPr>
          <w:rFonts w:ascii="Times New Roman" w:hAnsi="Times New Roman" w:cs="Times New Roman" w:eastAsia="Times New Roman" w:hint="default"/>
          <w:spacing w:val="1"/>
        </w:rPr>
        <w:t>&gt;</w:t>
      </w:r>
      <w:r>
        <w:rPr/>
        <w:t>及</w:t>
      </w:r>
      <w:r>
        <w:rPr>
          <w:rFonts w:ascii="Times New Roman" w:hAnsi="Times New Roman" w:cs="Times New Roman" w:eastAsia="Times New Roman" w:hint="default"/>
        </w:rPr>
        <w:t>&lt;201</w:t>
      </w:r>
      <w:r>
        <w:rPr>
          <w:rFonts w:ascii="Times New Roman" w:hAnsi="Times New Roman" w:cs="Times New Roman" w:eastAsia="Times New Roman" w:hint="default"/>
          <w:spacing w:val="1"/>
        </w:rPr>
        <w:t>8</w:t>
      </w:r>
      <w:r>
        <w:rPr>
          <w:spacing w:val="1"/>
        </w:rPr>
        <w:t>年第一</w:t>
      </w:r>
      <w:r>
        <w:rPr/>
        <w:t>季</w:t>
      </w:r>
      <w:r>
        <w:rPr>
          <w:spacing w:val="1"/>
        </w:rPr>
        <w:t>度报告正</w:t>
      </w:r>
      <w:r>
        <w:rPr>
          <w:spacing w:val="2"/>
        </w:rPr>
        <w:t>文</w:t>
      </w:r>
      <w:r>
        <w:rPr>
          <w:rFonts w:ascii="Times New Roman" w:hAnsi="Times New Roman" w:cs="Times New Roman" w:eastAsia="Times New Roman" w:hint="default"/>
          <w:spacing w:val="1"/>
        </w:rPr>
        <w:t>&gt;</w:t>
      </w:r>
      <w:r>
        <w:rPr/>
        <w:t>的</w:t>
      </w:r>
      <w:r>
        <w:rPr>
          <w:spacing w:val="1"/>
        </w:rPr>
        <w:t>议案</w:t>
      </w:r>
      <w:r>
        <w:rPr>
          <w:spacing w:val="-89"/>
        </w:rPr>
        <w:t>》、</w:t>
      </w:r>
      <w:r>
        <w:rPr>
          <w:spacing w:val="1"/>
        </w:rPr>
        <w:t>《关</w:t>
      </w:r>
      <w:r>
        <w:rPr/>
        <w:t>于</w:t>
      </w:r>
      <w:r>
        <w:rPr>
          <w:spacing w:val="1"/>
        </w:rPr>
        <w:t>公司</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spacing w:val="1"/>
        </w:rPr>
        <w:t>年</w:t>
      </w:r>
      <w:r>
        <w:rPr/>
        <w:t>年</w:t>
      </w:r>
      <w:r>
        <w:rPr>
          <w:spacing w:val="1"/>
        </w:rPr>
        <w:t>度利润分配</w:t>
      </w:r>
      <w:r>
        <w:rPr/>
        <w:t>预</w:t>
      </w:r>
      <w:r>
        <w:rPr>
          <w:spacing w:val="1"/>
        </w:rPr>
        <w:t>案的议案</w:t>
      </w:r>
      <w:r>
        <w:rPr>
          <w:spacing w:val="-89"/>
        </w:rPr>
        <w:t>》、</w:t>
      </w:r>
      <w:r>
        <w:rPr/>
        <w:t>《关</w:t>
      </w:r>
      <w:r>
        <w:rPr/>
        <w:t> </w:t>
      </w:r>
      <w:r>
        <w:rPr>
          <w:spacing w:val="1"/>
        </w:rPr>
        <w:t>于</w:t>
      </w:r>
      <w:r>
        <w:rPr>
          <w:rFonts w:ascii="Times New Roman" w:hAnsi="Times New Roman" w:cs="Times New Roman" w:eastAsia="Times New Roman" w:hint="default"/>
        </w:rPr>
        <w:t>&lt;201</w:t>
      </w:r>
      <w:r>
        <w:rPr>
          <w:rFonts w:ascii="Times New Roman" w:hAnsi="Times New Roman" w:cs="Times New Roman" w:eastAsia="Times New Roman" w:hint="default"/>
          <w:spacing w:val="1"/>
        </w:rPr>
        <w:t>7</w:t>
      </w:r>
      <w:r>
        <w:rPr>
          <w:spacing w:val="1"/>
        </w:rPr>
        <w:t>年度</w:t>
      </w:r>
      <w:r>
        <w:rPr/>
        <w:t>内</w:t>
      </w:r>
      <w:r>
        <w:rPr>
          <w:spacing w:val="1"/>
        </w:rPr>
        <w:t>部控制评价</w:t>
      </w:r>
      <w:r>
        <w:rPr/>
        <w:t>报</w:t>
      </w:r>
      <w:r>
        <w:rPr>
          <w:spacing w:val="2"/>
        </w:rPr>
        <w:t>告</w:t>
      </w:r>
      <w:r>
        <w:rPr>
          <w:rFonts w:ascii="Times New Roman" w:hAnsi="Times New Roman" w:cs="Times New Roman" w:eastAsia="Times New Roman" w:hint="default"/>
          <w:spacing w:val="1"/>
        </w:rPr>
        <w:t>&gt;</w:t>
      </w:r>
      <w:r>
        <w:rPr>
          <w:spacing w:val="1"/>
        </w:rPr>
        <w:t>的议案</w:t>
      </w:r>
      <w:r>
        <w:rPr>
          <w:spacing w:val="-89"/>
        </w:rPr>
        <w:t>》</w:t>
      </w:r>
      <w:r>
        <w:rPr>
          <w:spacing w:val="-90"/>
        </w:rPr>
        <w:t>、</w:t>
      </w:r>
      <w:r>
        <w:rPr/>
        <w:t>《</w:t>
      </w:r>
      <w:r>
        <w:rPr>
          <w:spacing w:val="1"/>
        </w:rPr>
        <w:t>关</w:t>
      </w:r>
      <w:r>
        <w:rPr>
          <w:spacing w:val="2"/>
        </w:rPr>
        <w:t>于</w:t>
      </w:r>
      <w:r>
        <w:rPr>
          <w:rFonts w:ascii="Times New Roman" w:hAnsi="Times New Roman" w:cs="Times New Roman" w:eastAsia="Times New Roman" w:hint="default"/>
        </w:rPr>
        <w:t>&lt;201</w:t>
      </w:r>
      <w:r>
        <w:rPr>
          <w:rFonts w:ascii="Times New Roman" w:hAnsi="Times New Roman" w:cs="Times New Roman" w:eastAsia="Times New Roman" w:hint="default"/>
          <w:spacing w:val="1"/>
        </w:rPr>
        <w:t>7</w:t>
      </w:r>
      <w:r>
        <w:rPr>
          <w:spacing w:val="1"/>
        </w:rPr>
        <w:t>年</w:t>
      </w:r>
      <w:r>
        <w:rPr/>
        <w:t>度</w:t>
      </w:r>
      <w:r>
        <w:rPr>
          <w:spacing w:val="1"/>
        </w:rPr>
        <w:t>募集资金存</w:t>
      </w:r>
      <w:r>
        <w:rPr/>
        <w:t>放</w:t>
      </w:r>
      <w:r>
        <w:rPr>
          <w:spacing w:val="1"/>
        </w:rPr>
        <w:t>与使用情况</w:t>
      </w:r>
      <w:r>
        <w:rPr/>
        <w:t>的</w:t>
      </w:r>
      <w:r>
        <w:rPr>
          <w:spacing w:val="1"/>
        </w:rPr>
        <w:t>专项报</w:t>
      </w:r>
      <w:r>
        <w:rPr>
          <w:spacing w:val="3"/>
        </w:rPr>
        <w:t>告</w:t>
      </w:r>
      <w:r>
        <w:rPr>
          <w:rFonts w:ascii="Times New Roman" w:hAnsi="Times New Roman" w:cs="Times New Roman" w:eastAsia="Times New Roman" w:hint="default"/>
          <w:spacing w:val="1"/>
        </w:rPr>
        <w:t>&gt;</w:t>
      </w:r>
      <w:r>
        <w:rPr>
          <w:spacing w:val="1"/>
        </w:rPr>
        <w:t>的</w:t>
      </w:r>
      <w:r>
        <w:rPr/>
        <w:t>议</w:t>
      </w:r>
      <w:r>
        <w:rPr>
          <w:spacing w:val="1"/>
        </w:rPr>
        <w:t>案</w:t>
      </w:r>
      <w:r>
        <w:rPr>
          <w:spacing w:val="-89"/>
        </w:rPr>
        <w:t>》、</w:t>
      </w:r>
      <w:r>
        <w:rPr>
          <w:spacing w:val="1"/>
        </w:rPr>
        <w:t>《关于</w:t>
      </w:r>
      <w:r>
        <w:rPr/>
        <w:t>预计</w:t>
      </w:r>
      <w:r>
        <w:rPr/>
        <w:t> </w:t>
      </w:r>
      <w:r>
        <w:rPr>
          <w:spacing w:val="2"/>
        </w:rPr>
        <w:t>公司</w:t>
      </w:r>
      <w:r>
        <w:rPr>
          <w:rFonts w:ascii="Times New Roman" w:hAnsi="Times New Roman" w:cs="Times New Roman" w:eastAsia="Times New Roman" w:hint="default"/>
        </w:rPr>
        <w:t>201</w:t>
      </w:r>
      <w:r>
        <w:rPr>
          <w:rFonts w:ascii="Times New Roman" w:hAnsi="Times New Roman" w:cs="Times New Roman" w:eastAsia="Times New Roman" w:hint="default"/>
          <w:spacing w:val="2"/>
        </w:rPr>
        <w:t>8</w:t>
      </w:r>
      <w:r>
        <w:rPr>
          <w:spacing w:val="1"/>
        </w:rPr>
        <w:t>年度</w:t>
      </w:r>
      <w:r>
        <w:rPr>
          <w:spacing w:val="2"/>
        </w:rPr>
        <w:t>日常关</w:t>
      </w:r>
      <w:r>
        <w:rPr>
          <w:spacing w:val="1"/>
        </w:rPr>
        <w:t>联</w:t>
      </w:r>
      <w:r>
        <w:rPr>
          <w:spacing w:val="2"/>
        </w:rPr>
        <w:t>交</w:t>
      </w:r>
      <w:r>
        <w:rPr>
          <w:spacing w:val="1"/>
        </w:rPr>
        <w:t>易</w:t>
      </w:r>
      <w:r>
        <w:rPr>
          <w:spacing w:val="2"/>
        </w:rPr>
        <w:t>的议案</w:t>
      </w:r>
      <w:r>
        <w:rPr>
          <w:spacing w:val="-89"/>
        </w:rPr>
        <w:t>》</w:t>
      </w:r>
      <w:r>
        <w:rPr>
          <w:spacing w:val="-88"/>
        </w:rPr>
        <w:t>、</w:t>
      </w:r>
      <w:r>
        <w:rPr>
          <w:spacing w:val="1"/>
        </w:rPr>
        <w:t>《关</w:t>
      </w:r>
      <w:r>
        <w:rPr>
          <w:spacing w:val="2"/>
        </w:rPr>
        <w:t>于公</w:t>
      </w:r>
      <w:r>
        <w:rPr>
          <w:spacing w:val="5"/>
        </w:rPr>
        <w:t>司</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spacing w:val="1"/>
        </w:rPr>
        <w:t>年</w:t>
      </w:r>
      <w:r>
        <w:rPr>
          <w:spacing w:val="2"/>
        </w:rPr>
        <w:t>度关联</w:t>
      </w:r>
      <w:r>
        <w:rPr>
          <w:spacing w:val="1"/>
        </w:rPr>
        <w:t>交</w:t>
      </w:r>
      <w:r>
        <w:rPr>
          <w:spacing w:val="2"/>
        </w:rPr>
        <w:t>易</w:t>
      </w:r>
      <w:r>
        <w:rPr>
          <w:spacing w:val="1"/>
        </w:rPr>
        <w:t>的</w:t>
      </w:r>
      <w:r>
        <w:rPr>
          <w:spacing w:val="2"/>
        </w:rPr>
        <w:t>议案</w:t>
      </w:r>
      <w:r>
        <w:rPr>
          <w:spacing w:val="-88"/>
        </w:rPr>
        <w:t>》</w:t>
      </w:r>
      <w:r>
        <w:rPr>
          <w:spacing w:val="-89"/>
        </w:rPr>
        <w:t>、</w:t>
      </w:r>
      <w:r>
        <w:rPr>
          <w:spacing w:val="2"/>
        </w:rPr>
        <w:t>《</w:t>
      </w:r>
      <w:r>
        <w:rPr>
          <w:spacing w:val="1"/>
        </w:rPr>
        <w:t>关于</w:t>
      </w:r>
      <w:r>
        <w:rPr>
          <w:spacing w:val="2"/>
        </w:rPr>
        <w:t>会计政</w:t>
      </w:r>
      <w:r>
        <w:rPr>
          <w:spacing w:val="1"/>
        </w:rPr>
        <w:t>策</w:t>
      </w:r>
      <w:r>
        <w:rPr>
          <w:spacing w:val="2"/>
        </w:rPr>
        <w:t>变</w:t>
      </w:r>
      <w:r>
        <w:rPr>
          <w:spacing w:val="1"/>
        </w:rPr>
        <w:t>更</w:t>
      </w:r>
      <w:r>
        <w:rPr>
          <w:spacing w:val="2"/>
        </w:rPr>
        <w:t>的议案</w:t>
      </w:r>
      <w:r>
        <w:rPr>
          <w:spacing w:val="-89"/>
        </w:rPr>
        <w:t>》</w:t>
      </w:r>
      <w:r>
        <w:rPr>
          <w:spacing w:val="-88"/>
        </w:rPr>
        <w:t>、</w:t>
      </w:r>
      <w:r>
        <w:rPr>
          <w:spacing w:val="1"/>
        </w:rPr>
        <w:t>《关</w:t>
      </w:r>
      <w:r>
        <w:rPr>
          <w:spacing w:val="7"/>
        </w:rPr>
        <w:t>于</w:t>
      </w:r>
      <w:r>
        <w:rPr>
          <w:rFonts w:ascii="Times New Roman" w:hAnsi="Times New Roman" w:cs="Times New Roman" w:eastAsia="Times New Roman" w:hint="default"/>
        </w:rPr>
        <w:t>2017 </w:t>
      </w:r>
      <w:r>
        <w:rPr/>
        <w:t>年核销资产的议案</w:t>
      </w:r>
      <w:r>
        <w:rPr>
          <w:spacing w:val="-90"/>
        </w:rPr>
        <w:t>》</w:t>
      </w:r>
      <w:r>
        <w:rPr>
          <w:spacing w:val="-111"/>
        </w:rPr>
        <w:t>、</w:t>
      </w:r>
      <w:r>
        <w:rPr/>
        <w:t>《关于续聘中审众环会计师事务</w:t>
      </w:r>
      <w:r>
        <w:rPr>
          <w:spacing w:val="-21"/>
        </w:rPr>
        <w:t>所</w:t>
      </w:r>
      <w:r>
        <w:rPr/>
        <w:t>（特殊普通合伙</w:t>
      </w:r>
      <w:r>
        <w:rPr>
          <w:spacing w:val="-21"/>
        </w:rPr>
        <w:t>）</w:t>
      </w:r>
      <w:r>
        <w:rPr/>
        <w:t>作为公司</w:t>
      </w:r>
      <w:r>
        <w:rPr>
          <w:rFonts w:ascii="Times New Roman" w:hAnsi="Times New Roman" w:cs="Times New Roman" w:eastAsia="Times New Roman" w:hint="default"/>
        </w:rPr>
        <w:t>2018</w:t>
      </w:r>
      <w:r>
        <w:rPr/>
        <w:t>年度审计机构的议案</w:t>
      </w:r>
      <w:r>
        <w:rPr>
          <w:spacing w:val="-90"/>
        </w:rPr>
        <w:t>》</w:t>
      </w:r>
      <w:r>
        <w:rPr>
          <w:spacing w:val="-111"/>
        </w:rPr>
        <w:t>、</w:t>
      </w:r>
      <w:r>
        <w:rPr/>
        <w:t>《关于为</w:t>
      </w:r>
      <w:r>
        <w:rPr/>
        <w:t> 全资子公司提供担保的议案</w:t>
      </w:r>
      <w:r>
        <w:rPr>
          <w:spacing w:val="-90"/>
        </w:rPr>
        <w:t>》</w:t>
      </w:r>
      <w:r>
        <w:rPr>
          <w:spacing w:val="-20"/>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w:t>
      </w:r>
      <w:r>
        <w:rPr>
          <w:spacing w:val="-21"/>
        </w:rPr>
        <w:t>，</w:t>
      </w:r>
      <w:r>
        <w:rPr/>
        <w:t>审计委员会召</w:t>
      </w:r>
      <w:r>
        <w:rPr>
          <w:spacing w:val="-1"/>
        </w:rPr>
        <w:t>开</w:t>
      </w:r>
      <w:r>
        <w:rPr>
          <w:rFonts w:ascii="Times New Roman" w:hAnsi="Times New Roman" w:cs="Times New Roman" w:eastAsia="Times New Roman" w:hint="default"/>
        </w:rPr>
        <w:t>2018</w:t>
      </w:r>
      <w:r>
        <w:rPr/>
        <w:t>年度第五次会议</w:t>
      </w:r>
      <w:r>
        <w:rPr>
          <w:spacing w:val="-21"/>
        </w:rPr>
        <w:t>，</w:t>
      </w:r>
      <w:r>
        <w:rPr/>
        <w:t>审议通过</w:t>
      </w:r>
      <w:r>
        <w:rPr>
          <w:spacing w:val="-21"/>
        </w:rPr>
        <w:t>了</w:t>
      </w:r>
      <w:r>
        <w:rPr/>
        <w:t>《关于公司</w:t>
      </w:r>
      <w:r>
        <w:rPr>
          <w:rFonts w:ascii="Times New Roman" w:hAnsi="Times New Roman" w:cs="Times New Roman" w:eastAsia="Times New Roman" w:hint="default"/>
        </w:rPr>
        <w:t>2018</w:t>
      </w:r>
      <w:r>
        <w:rPr/>
        <w:t>年半 年度报告全文及摘要的议案</w:t>
      </w:r>
      <w:r>
        <w:rPr>
          <w:spacing w:val="-90"/>
        </w:rPr>
        <w:t>》</w:t>
      </w:r>
      <w:r>
        <w:rPr>
          <w:spacing w:val="-118"/>
        </w:rPr>
        <w:t>、</w:t>
      </w:r>
      <w:r>
        <w:rPr/>
        <w:t>《关于</w:t>
      </w:r>
      <w:r>
        <w:rPr>
          <w:rFonts w:ascii="Times New Roman" w:hAnsi="Times New Roman" w:cs="Times New Roman" w:eastAsia="Times New Roman" w:hint="default"/>
        </w:rPr>
        <w:t>2018</w:t>
      </w:r>
      <w:r>
        <w:rPr/>
        <w:t>年上半年坏账核销的议案</w:t>
      </w:r>
      <w:r>
        <w:rPr>
          <w:spacing w:val="-90"/>
        </w:rPr>
        <w:t>》</w:t>
      </w:r>
      <w:r>
        <w:rPr>
          <w:spacing w:val="-28"/>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r>
        <w:rPr>
          <w:spacing w:val="-28"/>
        </w:rPr>
        <w:t>，</w:t>
      </w:r>
      <w:r>
        <w:rPr/>
        <w:t>审计委员会召开</w:t>
      </w:r>
      <w:r>
        <w:rPr>
          <w:rFonts w:ascii="Times New Roman" w:hAnsi="Times New Roman" w:cs="Times New Roman" w:eastAsia="Times New Roman" w:hint="default"/>
        </w:rPr>
        <w:t>2018</w:t>
      </w:r>
      <w:r>
        <w:rPr/>
        <w:t>年度第六次 会议，审议</w:t>
      </w:r>
      <w:r>
        <w:rPr>
          <w:spacing w:val="1"/>
        </w:rPr>
        <w:t>通</w:t>
      </w:r>
      <w:r>
        <w:rPr/>
        <w:t>过了《关于</w:t>
      </w:r>
      <w:r>
        <w:rPr>
          <w:spacing w:val="1"/>
        </w:rPr>
        <w:t>转</w:t>
      </w:r>
      <w:r>
        <w:rPr/>
        <w:t>让亿迅资产</w:t>
      </w:r>
      <w:r>
        <w:rPr>
          <w:spacing w:val="1"/>
        </w:rPr>
        <w:t>组</w:t>
      </w:r>
      <w:r>
        <w:rPr/>
        <w:t>股权暨关联</w:t>
      </w:r>
      <w:r>
        <w:rPr>
          <w:spacing w:val="1"/>
        </w:rPr>
        <w:t>交</w:t>
      </w:r>
      <w:r>
        <w:rPr/>
        <w:t>易的议案</w:t>
      </w:r>
      <w:r>
        <w:rPr>
          <w:spacing w:val="-90"/>
        </w:rPr>
        <w:t>》</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spacing w:val="1"/>
        </w:rPr>
        <w:t>日</w:t>
      </w:r>
      <w:r>
        <w:rPr/>
        <w:t>，审计委员</w:t>
      </w:r>
      <w:r>
        <w:rPr>
          <w:spacing w:val="1"/>
        </w:rPr>
        <w:t>会</w:t>
      </w:r>
      <w:r>
        <w:rPr/>
        <w:t>召开</w:t>
      </w:r>
      <w:r>
        <w:rPr>
          <w:rFonts w:ascii="Times New Roman" w:hAnsi="Times New Roman" w:cs="Times New Roman" w:eastAsia="Times New Roman" w:hint="default"/>
        </w:rPr>
        <w:t>2018</w:t>
      </w:r>
      <w:r>
        <w:rPr/>
        <w:t>年</w:t>
      </w:r>
      <w:r>
        <w:rPr>
          <w:spacing w:val="1"/>
        </w:rPr>
        <w:t>度</w:t>
      </w:r>
      <w:r>
        <w:rPr/>
        <w:t>第七次</w:t>
      </w:r>
      <w:r>
        <w:rPr/>
        <w:t> </w:t>
      </w:r>
      <w:r>
        <w:rPr>
          <w:spacing w:val="1"/>
        </w:rPr>
        <w:t>会议，审议</w:t>
      </w:r>
      <w:r>
        <w:rPr/>
        <w:t>通</w:t>
      </w:r>
      <w:r>
        <w:rPr>
          <w:spacing w:val="1"/>
        </w:rPr>
        <w:t>过了《关</w:t>
      </w:r>
      <w:r>
        <w:rPr>
          <w:spacing w:val="2"/>
        </w:rPr>
        <w:t>于</w:t>
      </w:r>
      <w:r>
        <w:rPr>
          <w:rFonts w:ascii="Times New Roman" w:hAnsi="Times New Roman" w:cs="Times New Roman" w:eastAsia="Times New Roman" w:hint="default"/>
        </w:rPr>
        <w:t>&lt;2</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spacing w:val="1"/>
        </w:rPr>
        <w:t>年第三季</w:t>
      </w:r>
      <w:r>
        <w:rPr/>
        <w:t>度</w:t>
      </w:r>
      <w:r>
        <w:rPr>
          <w:spacing w:val="1"/>
        </w:rPr>
        <w:t>报告全</w:t>
      </w:r>
      <w:r>
        <w:rPr>
          <w:spacing w:val="2"/>
        </w:rPr>
        <w:t>文</w:t>
      </w:r>
      <w:r>
        <w:rPr>
          <w:rFonts w:ascii="Times New Roman" w:hAnsi="Times New Roman" w:cs="Times New Roman" w:eastAsia="Times New Roman" w:hint="default"/>
          <w:spacing w:val="1"/>
        </w:rPr>
        <w:t>&gt;</w:t>
      </w:r>
      <w:r>
        <w:rPr/>
        <w:t>及</w:t>
      </w:r>
      <w:r>
        <w:rPr>
          <w:rFonts w:ascii="Times New Roman" w:hAnsi="Times New Roman" w:cs="Times New Roman" w:eastAsia="Times New Roman" w:hint="default"/>
        </w:rPr>
        <w:t>&lt;</w:t>
      </w:r>
      <w:r>
        <w:rPr>
          <w:rFonts w:ascii="Times New Roman" w:hAnsi="Times New Roman" w:cs="Times New Roman" w:eastAsia="Times New Roman" w:hint="default"/>
          <w:spacing w:val="-1"/>
        </w:rPr>
        <w:t>2</w:t>
      </w:r>
      <w:r>
        <w:rPr>
          <w:rFonts w:ascii="Times New Roman" w:hAnsi="Times New Roman" w:cs="Times New Roman" w:eastAsia="Times New Roman" w:hint="default"/>
        </w:rPr>
        <w:t>01</w:t>
      </w:r>
      <w:r>
        <w:rPr>
          <w:rFonts w:ascii="Times New Roman" w:hAnsi="Times New Roman" w:cs="Times New Roman" w:eastAsia="Times New Roman" w:hint="default"/>
          <w:spacing w:val="1"/>
        </w:rPr>
        <w:t>8</w:t>
      </w:r>
      <w:r>
        <w:rPr>
          <w:spacing w:val="1"/>
        </w:rPr>
        <w:t>年第三季</w:t>
      </w:r>
      <w:r>
        <w:rPr/>
        <w:t>度</w:t>
      </w:r>
      <w:r>
        <w:rPr>
          <w:spacing w:val="1"/>
        </w:rPr>
        <w:t>报告正</w:t>
      </w:r>
      <w:r>
        <w:rPr>
          <w:spacing w:val="2"/>
        </w:rPr>
        <w:t>文</w:t>
      </w:r>
      <w:r>
        <w:rPr>
          <w:rFonts w:ascii="Times New Roman" w:hAnsi="Times New Roman" w:cs="Times New Roman" w:eastAsia="Times New Roman" w:hint="default"/>
          <w:spacing w:val="1"/>
        </w:rPr>
        <w:t>&gt;</w:t>
      </w:r>
      <w:r>
        <w:rPr>
          <w:spacing w:val="1"/>
        </w:rPr>
        <w:t>的</w:t>
      </w:r>
      <w:r>
        <w:rPr/>
        <w:t>议</w:t>
      </w:r>
      <w:r>
        <w:rPr>
          <w:spacing w:val="1"/>
        </w:rPr>
        <w:t>案</w:t>
      </w:r>
      <w:r>
        <w:rPr>
          <w:spacing w:val="-89"/>
        </w:rPr>
        <w:t>》、</w:t>
      </w:r>
      <w:r>
        <w:rPr>
          <w:spacing w:val="1"/>
        </w:rPr>
        <w:t>《关于</w:t>
      </w:r>
      <w:r>
        <w:rPr/>
        <w:t>会</w:t>
      </w:r>
      <w:r>
        <w:rPr>
          <w:spacing w:val="1"/>
        </w:rPr>
        <w:t>计政策变更的</w:t>
      </w:r>
      <w:r>
        <w:rPr/>
        <w:t>议</w:t>
      </w:r>
      <w:r>
        <w:rPr/>
        <w:t> 案</w:t>
      </w:r>
      <w:r>
        <w:rPr>
          <w:spacing w:val="-90"/>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rPr>
        <w:t>14</w:t>
      </w:r>
      <w:r>
        <w:rPr/>
        <w:t>日，审</w:t>
      </w:r>
      <w:r>
        <w:rPr>
          <w:spacing w:val="1"/>
        </w:rPr>
        <w:t>计</w:t>
      </w:r>
      <w:r>
        <w:rPr/>
        <w:t>委员会召开</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t>年度第八次</w:t>
      </w:r>
      <w:r>
        <w:rPr>
          <w:spacing w:val="1"/>
        </w:rPr>
        <w:t>会</w:t>
      </w:r>
      <w:r>
        <w:rPr/>
        <w:t>议，审议通</w:t>
      </w:r>
      <w:r>
        <w:rPr>
          <w:spacing w:val="1"/>
        </w:rPr>
        <w:t>过</w:t>
      </w:r>
      <w:r>
        <w:rPr/>
        <w:t>了《关于</w:t>
      </w:r>
      <w:r>
        <w:rPr>
          <w:rFonts w:ascii="Times New Roman" w:hAnsi="Times New Roman" w:cs="Times New Roman" w:eastAsia="Times New Roman" w:hint="default"/>
        </w:rPr>
        <w:t>201</w:t>
      </w:r>
      <w:r>
        <w:rPr>
          <w:rFonts w:ascii="Times New Roman" w:hAnsi="Times New Roman" w:cs="Times New Roman" w:eastAsia="Times New Roman" w:hint="default"/>
          <w:spacing w:val="1"/>
        </w:rPr>
        <w:t>9</w:t>
      </w:r>
      <w:r>
        <w:rPr/>
        <w:t>年度公司及</w:t>
      </w:r>
      <w:r>
        <w:rPr>
          <w:spacing w:val="1"/>
        </w:rPr>
        <w:t>子</w:t>
      </w:r>
      <w:r>
        <w:rPr/>
        <w:t>公司担保额</w:t>
      </w:r>
      <w:r>
        <w:rPr>
          <w:spacing w:val="1"/>
        </w:rPr>
        <w:t>度</w:t>
      </w:r>
      <w:r>
        <w:rPr/>
        <w:t>的议</w:t>
      </w:r>
      <w:r>
        <w:rPr/>
        <w:t> 案</w:t>
      </w:r>
      <w:r>
        <w:rPr>
          <w:spacing w:val="-90"/>
        </w:rPr>
        <w:t>》</w:t>
      </w:r>
      <w:r>
        <w:rPr/>
        <w:t>。</w:t>
      </w:r>
    </w:p>
    <w:p>
      <w:pPr>
        <w:pStyle w:val="BodyText"/>
        <w:spacing w:line="240" w:lineRule="auto" w:before="31"/>
        <w:ind w:left="994" w:right="0"/>
        <w:jc w:val="left"/>
      </w:pPr>
      <w:r>
        <w:rPr>
          <w:rFonts w:ascii="宋体" w:hAnsi="宋体" w:cs="宋体" w:eastAsia="宋体" w:hint="default"/>
        </w:rPr>
        <w:t>3.  </w:t>
      </w:r>
      <w:r>
        <w:rPr/>
        <w:t>董事会提名委员会履职情况</w:t>
      </w:r>
    </w:p>
    <w:p>
      <w:pPr>
        <w:pStyle w:val="BodyText"/>
        <w:spacing w:line="240" w:lineRule="auto" w:before="76"/>
        <w:ind w:left="99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r>
        <w:rPr>
          <w:spacing w:val="-6"/>
        </w:rPr>
        <w:t>，</w:t>
      </w:r>
      <w:r>
        <w:rPr/>
        <w:t>提名委员会召</w:t>
      </w:r>
      <w:r>
        <w:rPr>
          <w:spacing w:val="-1"/>
        </w:rPr>
        <w:t>开</w:t>
      </w:r>
      <w:r>
        <w:rPr>
          <w:rFonts w:ascii="Times New Roman" w:hAnsi="Times New Roman" w:cs="Times New Roman" w:eastAsia="Times New Roman" w:hint="default"/>
        </w:rPr>
        <w:t>2018</w:t>
      </w:r>
      <w:r>
        <w:rPr/>
        <w:t>年度第一次会议</w:t>
      </w:r>
      <w:r>
        <w:rPr>
          <w:spacing w:val="-6"/>
        </w:rPr>
        <w:t>，</w:t>
      </w:r>
      <w:r>
        <w:rPr/>
        <w:t>审议通过</w:t>
      </w:r>
      <w:r>
        <w:rPr>
          <w:spacing w:val="-6"/>
        </w:rPr>
        <w:t>了</w:t>
      </w:r>
      <w:r>
        <w:rPr/>
        <w:t>《关于董事会换届选举的议案</w:t>
      </w:r>
      <w:r>
        <w:rPr>
          <w:spacing w:val="-90"/>
        </w:rPr>
        <w:t>》</w:t>
      </w:r>
      <w:r>
        <w:rPr>
          <w:spacing w:val="-6"/>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t>月</w:t>
      </w:r>
    </w:p>
    <w:p>
      <w:pPr>
        <w:pStyle w:val="BodyText"/>
        <w:spacing w:line="300" w:lineRule="auto" w:before="63"/>
        <w:ind w:left="514" w:right="1117"/>
        <w:jc w:val="left"/>
      </w:pPr>
      <w:r>
        <w:rPr>
          <w:rFonts w:ascii="Times New Roman" w:hAnsi="Times New Roman" w:cs="Times New Roman" w:eastAsia="Times New Roman" w:hint="default"/>
        </w:rPr>
        <w:t>19</w:t>
      </w:r>
      <w:r>
        <w:rPr/>
        <w:t>日</w:t>
      </w:r>
      <w:r>
        <w:rPr>
          <w:spacing w:val="-17"/>
        </w:rPr>
        <w:t>，</w:t>
      </w:r>
      <w:r>
        <w:rPr/>
        <w:t>提名委员会召</w:t>
      </w:r>
      <w:r>
        <w:rPr>
          <w:spacing w:val="-1"/>
        </w:rPr>
        <w:t>开</w:t>
      </w:r>
      <w:r>
        <w:rPr>
          <w:rFonts w:ascii="Times New Roman" w:hAnsi="Times New Roman" w:cs="Times New Roman" w:eastAsia="Times New Roman" w:hint="default"/>
        </w:rPr>
        <w:t>2018</w:t>
      </w:r>
      <w:r>
        <w:rPr/>
        <w:t>年度第二次会议</w:t>
      </w:r>
      <w:r>
        <w:rPr>
          <w:spacing w:val="-17"/>
        </w:rPr>
        <w:t>，</w:t>
      </w:r>
      <w:r>
        <w:rPr/>
        <w:t>审议通过</w:t>
      </w:r>
      <w:r>
        <w:rPr>
          <w:spacing w:val="-17"/>
        </w:rPr>
        <w:t>了</w:t>
      </w:r>
      <w:r>
        <w:rPr/>
        <w:t>《关于聘任公司总裁</w:t>
      </w:r>
      <w:r>
        <w:rPr>
          <w:spacing w:val="-17"/>
        </w:rPr>
        <w:t>、</w:t>
      </w:r>
      <w:r>
        <w:rPr/>
        <w:t>财务负责人的议案</w:t>
      </w:r>
      <w:r>
        <w:rPr>
          <w:spacing w:val="-90"/>
        </w:rPr>
        <w:t>》</w:t>
      </w:r>
      <w:r>
        <w:rPr>
          <w:spacing w:val="-107"/>
        </w:rPr>
        <w:t>、</w:t>
      </w:r>
      <w:r>
        <w:rPr/>
        <w:t>《关于聘任公</w:t>
      </w:r>
      <w:r>
        <w:rPr>
          <w:spacing w:val="1"/>
        </w:rPr>
        <w:t>司</w:t>
      </w:r>
      <w:r>
        <w:rPr/>
        <w:t>副</w:t>
      </w:r>
      <w:r>
        <w:rPr/>
        <w:t> 总裁的议案</w:t>
      </w:r>
      <w:r>
        <w:rPr>
          <w:spacing w:val="-90"/>
        </w:rPr>
        <w:t>》、</w:t>
      </w:r>
      <w:r>
        <w:rPr/>
        <w:t>《关于聘任董事会秘书的议案</w:t>
      </w:r>
      <w:r>
        <w:rPr>
          <w:spacing w:val="-90"/>
        </w:rPr>
        <w:t>》、</w:t>
      </w:r>
      <w:r>
        <w:rPr/>
        <w:t>《关于聘任证券事务代表的议案</w:t>
      </w:r>
      <w:r>
        <w:rPr>
          <w:spacing w:val="-90"/>
        </w:rPr>
        <w:t>》、</w:t>
      </w:r>
      <w:r>
        <w:rPr/>
        <w:t>《关于聘任内部审计负责人的议案</w:t>
      </w:r>
      <w:r>
        <w:rPr>
          <w:spacing w:val="-90"/>
        </w:rPr>
        <w:t>》</w:t>
      </w:r>
      <w:r>
        <w:rPr/>
        <w:t>。</w:t>
      </w:r>
    </w:p>
    <w:p>
      <w:pPr>
        <w:pStyle w:val="BodyText"/>
        <w:spacing w:line="240" w:lineRule="auto" w:before="31"/>
        <w:ind w:left="1005" w:right="0"/>
        <w:jc w:val="left"/>
      </w:pPr>
      <w:r>
        <w:rPr>
          <w:rFonts w:ascii="宋体" w:hAnsi="宋体" w:cs="宋体" w:eastAsia="宋体" w:hint="default"/>
        </w:rPr>
        <w:t>4.</w:t>
      </w:r>
      <w:r>
        <w:rPr/>
        <w:t>董事会薪酬与考核委员会履职情况</w:t>
      </w:r>
    </w:p>
    <w:p>
      <w:pPr>
        <w:pStyle w:val="BodyText"/>
        <w:spacing w:line="300" w:lineRule="auto" w:before="76"/>
        <w:ind w:left="514"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日，薪酬与考核委员会召开</w:t>
      </w:r>
      <w:r>
        <w:rPr>
          <w:rFonts w:ascii="Times New Roman" w:hAnsi="Times New Roman" w:cs="Times New Roman" w:eastAsia="Times New Roman" w:hint="default"/>
        </w:rPr>
        <w:t>2018</w:t>
      </w:r>
      <w:r>
        <w:rPr/>
        <w:t>年度第一次会议，审议通过了《关于公司聘任高级管理人员年度薪酬 </w:t>
      </w:r>
      <w:r>
        <w:rPr>
          <w:spacing w:val="-18"/>
        </w:rPr>
        <w:t>的议案》。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jc w:val="both"/>
      </w:pPr>
      <w:r>
        <w:rPr>
          <w:spacing w:val="-2"/>
        </w:rPr>
        <w:t>报告期内，公司高级管理人员严格按照《公司法》、《公司章程》及有关法律法规认真履行职责，积极落实公司股东大会和</w:t>
      </w:r>
      <w:r>
        <w:rPr>
          <w:spacing w:val="-69"/>
        </w:rPr>
        <w:t> </w:t>
      </w:r>
      <w:r>
        <w:rPr>
          <w:spacing w:val="-69"/>
        </w:rPr>
      </w:r>
      <w:r>
        <w:rPr>
          <w:spacing w:val="-2"/>
        </w:rPr>
        <w:t>董事会各项决议，较好地完成了本年度的各项工作任务。董事会根据公司经营状况并参照社会及行业的平均水平制定了薪酬</w:t>
      </w:r>
      <w:r>
        <w:rPr>
          <w:spacing w:val="-64"/>
        </w:rPr>
        <w:t> </w:t>
      </w:r>
      <w:r>
        <w:rPr>
          <w:spacing w:val="-64"/>
        </w:rPr>
      </w:r>
      <w:r>
        <w:rPr/>
        <w:t>方案，公司高级管理人员依据其在公司的任职岗位领取相应薪酬。</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九、内部控制情况" w:id="147"/>
      <w:bookmarkEnd w:id="147"/>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BodyText"/>
        <w:spacing w:line="240" w:lineRule="auto"/>
        <w:ind w:left="0" w:right="1139"/>
        <w:jc w:val="right"/>
      </w:pPr>
      <w:r>
        <w:rPr/>
        <w:pict>
          <v:shape style="position:absolute;margin-left:56.459999pt;margin-top:-183.808289pt;width:479.2pt;height:420.0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98.47%</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97.02%</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480"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①出现以下情形的（包括但不限于），一般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应认定为财务报告内部控制重大缺陷：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董事、监事和高层管理人员滥用职权，发 </w:t>
                        </w:r>
                        <w:r>
                          <w:rPr>
                            <w:rFonts w:ascii="宋体" w:hAnsi="宋体" w:cs="宋体" w:eastAsia="宋体" w:hint="default"/>
                            <w:spacing w:val="-13"/>
                            <w:sz w:val="18"/>
                            <w:szCs w:val="18"/>
                          </w:rPr>
                          <w:t>生贪污、受贿、挪用公款等舞弊行为；</w:t>
                        </w:r>
                        <w:r>
                          <w:rPr>
                            <w:rFonts w:ascii="Times New Roman" w:hAnsi="Times New Roman" w:cs="Times New Roman" w:eastAsia="Times New Roman" w:hint="default"/>
                            <w:spacing w:val="-13"/>
                            <w:sz w:val="18"/>
                            <w:szCs w:val="18"/>
                          </w:rPr>
                          <w:t>B.</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司因发现以前年度存在重大会计差错，更 </w:t>
                        </w:r>
                        <w:r>
                          <w:rPr>
                            <w:rFonts w:ascii="宋体" w:hAnsi="宋体" w:cs="宋体" w:eastAsia="宋体" w:hint="default"/>
                            <w:spacing w:val="-4"/>
                            <w:sz w:val="18"/>
                            <w:szCs w:val="18"/>
                          </w:rPr>
                          <w:t>正已上报或披露的财务报告；</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公司审计</w:t>
                        </w:r>
                        <w:r>
                          <w:rPr>
                            <w:rFonts w:ascii="宋体" w:hAnsi="宋体" w:cs="宋体" w:eastAsia="宋体" w:hint="default"/>
                            <w:spacing w:val="-88"/>
                            <w:sz w:val="18"/>
                            <w:szCs w:val="18"/>
                          </w:rPr>
                          <w:t> </w:t>
                        </w:r>
                        <w:r>
                          <w:rPr>
                            <w:rFonts w:ascii="宋体" w:hAnsi="宋体" w:cs="宋体" w:eastAsia="宋体" w:hint="default"/>
                            <w:sz w:val="18"/>
                            <w:szCs w:val="18"/>
                          </w:rPr>
                          <w:t>委员会（或类似机构）和内部审机构对内 </w:t>
                        </w:r>
                        <w:r>
                          <w:rPr>
                            <w:rFonts w:ascii="宋体" w:hAnsi="宋体" w:cs="宋体" w:eastAsia="宋体" w:hint="default"/>
                            <w:spacing w:val="-6"/>
                            <w:sz w:val="18"/>
                            <w:szCs w:val="18"/>
                          </w:rPr>
                          <w:t>部控制监督无效；</w:t>
                        </w:r>
                        <w:r>
                          <w:rPr>
                            <w:rFonts w:ascii="Times New Roman" w:hAnsi="Times New Roman" w:cs="Times New Roman" w:eastAsia="Times New Roman" w:hint="default"/>
                            <w:spacing w:val="-6"/>
                            <w:sz w:val="18"/>
                            <w:szCs w:val="18"/>
                          </w:rPr>
                          <w:t>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外部审计师发现当期 财务报告存在重大错报，且内部控制运行 未能发现该错报。②出现以下情形的（包 </w:t>
                        </w:r>
                        <w:r>
                          <w:rPr>
                            <w:rFonts w:ascii="宋体" w:hAnsi="宋体" w:cs="宋体" w:eastAsia="宋体" w:hint="default"/>
                            <w:spacing w:val="-9"/>
                            <w:sz w:val="18"/>
                            <w:szCs w:val="18"/>
                          </w:rPr>
                          <w:t>括但不限于），一般应认定为财务报告内部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控制重要缺陷：</w:t>
                        </w:r>
                        <w:r>
                          <w:rPr>
                            <w:rFonts w:ascii="Times New Roman" w:hAnsi="Times New Roman" w:cs="Times New Roman" w:eastAsia="Times New Roman" w:hint="default"/>
                            <w:spacing w:val="-7"/>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未依照公认会计准则选 </w:t>
                        </w:r>
                        <w:r>
                          <w:rPr>
                            <w:rFonts w:ascii="宋体" w:hAnsi="宋体" w:cs="宋体" w:eastAsia="宋体" w:hint="default"/>
                            <w:spacing w:val="-5"/>
                            <w:sz w:val="18"/>
                            <w:szCs w:val="18"/>
                          </w:rPr>
                          <w:t>择和应用会计政策；</w:t>
                        </w:r>
                        <w:r>
                          <w:rPr>
                            <w:rFonts w:ascii="Times New Roman" w:hAnsi="Times New Roman" w:cs="Times New Roman" w:eastAsia="Times New Roman" w:hint="default"/>
                            <w:spacing w:val="-5"/>
                            <w:sz w:val="18"/>
                            <w:szCs w:val="18"/>
                          </w:rPr>
                          <w:t>B.</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未建立反舞弊程序 </w:t>
                        </w:r>
                        <w:r>
                          <w:rPr>
                            <w:rFonts w:ascii="宋体" w:hAnsi="宋体" w:cs="宋体" w:eastAsia="宋体" w:hint="default"/>
                            <w:spacing w:val="-6"/>
                            <w:sz w:val="18"/>
                            <w:szCs w:val="18"/>
                          </w:rPr>
                          <w:t>和控制措施；</w:t>
                        </w:r>
                        <w:r>
                          <w:rPr>
                            <w:rFonts w:ascii="Times New Roman" w:hAnsi="Times New Roman" w:cs="Times New Roman" w:eastAsia="Times New Roman" w:hint="default"/>
                            <w:spacing w:val="-6"/>
                            <w:sz w:val="18"/>
                            <w:szCs w:val="18"/>
                          </w:rPr>
                          <w:t>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对于非常规或特殊交易的 账务处理没有建立相应的控制机制或没有 </w:t>
                        </w:r>
                        <w:r>
                          <w:rPr>
                            <w:rFonts w:ascii="宋体" w:hAnsi="宋体" w:cs="宋体" w:eastAsia="宋体" w:hint="default"/>
                            <w:spacing w:val="-4"/>
                            <w:sz w:val="18"/>
                            <w:szCs w:val="18"/>
                          </w:rPr>
                          <w:t>实施且没有相应的补偿性控制；</w:t>
                        </w:r>
                        <w:r>
                          <w:rPr>
                            <w:rFonts w:ascii="Times New Roman" w:hAnsi="Times New Roman" w:cs="Times New Roman" w:eastAsia="Times New Roman" w:hint="default"/>
                            <w:spacing w:val="-4"/>
                            <w:sz w:val="18"/>
                            <w:szCs w:val="18"/>
                          </w:rPr>
                          <w:t>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对于期 末财务报告过程的控制存在一项或多项缺</w:t>
                        </w:r>
                      </w:p>
                    </w:tc>
                    <w:tc>
                      <w:tcPr>
                        <w:tcW w:w="3051"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42"/>
                          <w:jc w:val="left"/>
                          <w:rPr>
                            <w:rFonts w:ascii="宋体" w:hAnsi="宋体" w:cs="宋体" w:eastAsia="宋体" w:hint="default"/>
                            <w:sz w:val="18"/>
                            <w:szCs w:val="18"/>
                          </w:rPr>
                        </w:pPr>
                        <w:r>
                          <w:rPr>
                            <w:rFonts w:ascii="宋体" w:hAnsi="宋体" w:cs="宋体" w:eastAsia="宋体" w:hint="default"/>
                            <w:spacing w:val="-6"/>
                            <w:sz w:val="18"/>
                            <w:szCs w:val="18"/>
                          </w:rPr>
                          <w:t>①出现以下情形的（包括但不限于），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一般应认定为非财务报告内部控制重 </w:t>
                        </w:r>
                        <w:r>
                          <w:rPr>
                            <w:rFonts w:ascii="宋体" w:hAnsi="宋体" w:cs="宋体" w:eastAsia="宋体" w:hint="default"/>
                            <w:spacing w:val="-5"/>
                            <w:sz w:val="18"/>
                            <w:szCs w:val="18"/>
                          </w:rPr>
                          <w:t>大缺陷：</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对公司的战略制定、实施</w:t>
                        </w:r>
                        <w:r>
                          <w:rPr>
                            <w:rFonts w:ascii="宋体" w:hAnsi="宋体" w:cs="宋体" w:eastAsia="宋体" w:hint="default"/>
                            <w:sz w:val="18"/>
                            <w:szCs w:val="18"/>
                          </w:rPr>
                          <w:t> </w:t>
                        </w:r>
                        <w:r>
                          <w:rPr>
                            <w:rFonts w:ascii="宋体" w:hAnsi="宋体" w:cs="宋体" w:eastAsia="宋体" w:hint="default"/>
                            <w:spacing w:val="-4"/>
                            <w:sz w:val="18"/>
                            <w:szCs w:val="18"/>
                          </w:rPr>
                          <w:t>对公司经营产生重大影响，无法达到重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要营运目标或关键业绩指标。</w:t>
                        </w:r>
                        <w:r>
                          <w:rPr>
                            <w:rFonts w:ascii="Times New Roman" w:hAnsi="Times New Roman" w:cs="Times New Roman" w:eastAsia="Times New Roman" w:hint="default"/>
                            <w:sz w:val="18"/>
                            <w:szCs w:val="18"/>
                          </w:rPr>
                          <w:t>B. </w:t>
                        </w:r>
                        <w:r>
                          <w:rPr>
                            <w:rFonts w:ascii="宋体" w:hAnsi="宋体" w:cs="宋体" w:eastAsia="宋体" w:hint="default"/>
                            <w:sz w:val="18"/>
                            <w:szCs w:val="18"/>
                          </w:rPr>
                          <w:t>决策 不充分导致重大失误；</w:t>
                        </w:r>
                        <w:r>
                          <w:rPr>
                            <w:rFonts w:ascii="Times New Roman" w:hAnsi="Times New Roman" w:cs="Times New Roman" w:eastAsia="Times New Roman" w:hint="default"/>
                            <w:sz w:val="18"/>
                            <w:szCs w:val="18"/>
                          </w:rPr>
                          <w:t>C. </w:t>
                        </w:r>
                        <w:r>
                          <w:rPr>
                            <w:rFonts w:ascii="宋体" w:hAnsi="宋体" w:cs="宋体" w:eastAsia="宋体" w:hint="default"/>
                            <w:sz w:val="18"/>
                            <w:szCs w:val="18"/>
                          </w:rPr>
                          <w:t>违反国家法 律法规并受到重大处罚；</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中高级管 </w:t>
                        </w:r>
                        <w:r>
                          <w:rPr>
                            <w:rFonts w:ascii="宋体" w:hAnsi="宋体" w:cs="宋体" w:eastAsia="宋体" w:hint="default"/>
                            <w:spacing w:val="-4"/>
                            <w:sz w:val="18"/>
                            <w:szCs w:val="18"/>
                          </w:rPr>
                          <w:t>理人员和高级技术人员流失严重。②出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现以下情形的（包括但不限于），一般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应认定为非财务报告内部控制重要缺 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对公司的战略制定、实施，对 </w:t>
                        </w:r>
                        <w:r>
                          <w:rPr>
                            <w:rFonts w:ascii="宋体" w:hAnsi="宋体" w:cs="宋体" w:eastAsia="宋体" w:hint="default"/>
                            <w:spacing w:val="-4"/>
                            <w:sz w:val="18"/>
                            <w:szCs w:val="18"/>
                          </w:rPr>
                          <w:t>公司经营产生中度影响，对达到营运目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标或关键业绩指标产生部分负面影响。 </w:t>
                        </w:r>
                        <w:r>
                          <w:rPr>
                            <w:rFonts w:ascii="Times New Roman" w:hAnsi="Times New Roman" w:cs="Times New Roman" w:eastAsia="Times New Roman" w:hint="default"/>
                            <w:sz w:val="18"/>
                            <w:szCs w:val="18"/>
                          </w:rPr>
                          <w:t>B. </w:t>
                        </w:r>
                        <w:r>
                          <w:rPr>
                            <w:rFonts w:ascii="宋体" w:hAnsi="宋体" w:cs="宋体" w:eastAsia="宋体" w:hint="default"/>
                            <w:sz w:val="18"/>
                            <w:szCs w:val="18"/>
                          </w:rPr>
                          <w:t>决策程序不充分导致出现重要失 误；</w:t>
                        </w:r>
                        <w:r>
                          <w:rPr>
                            <w:rFonts w:ascii="Times New Roman" w:hAnsi="Times New Roman" w:cs="Times New Roman" w:eastAsia="Times New Roman" w:hint="default"/>
                            <w:sz w:val="18"/>
                            <w:szCs w:val="18"/>
                          </w:rPr>
                          <w:t>C. </w:t>
                        </w:r>
                        <w:r>
                          <w:rPr>
                            <w:rFonts w:ascii="宋体" w:hAnsi="宋体" w:cs="宋体" w:eastAsia="宋体" w:hint="default"/>
                            <w:sz w:val="18"/>
                            <w:szCs w:val="18"/>
                          </w:rPr>
                          <w:t>违反企业内部规章，形成较大 金额损失；</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关键岗位业务人员流失 </w:t>
                        </w:r>
                        <w:r>
                          <w:rPr>
                            <w:rFonts w:ascii="宋体" w:hAnsi="宋体" w:cs="宋体" w:eastAsia="宋体" w:hint="default"/>
                            <w:spacing w:val="-4"/>
                            <w:sz w:val="18"/>
                            <w:szCs w:val="18"/>
                          </w:rPr>
                          <w:t>严重。③出现以下情形的（包括但不限</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48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83.980011pt;margin-top:404.599976pt;width:149.8pt;height:31.25pt;mso-position-horizontal-relative:page;mso-position-vertical-relative:page;z-index:-1246720" coordorigin="7680,8092" coordsize="2996,625">
            <v:group style="position:absolute;left:7680;top:8092;width:2996;height:312" coordorigin="7680,8092" coordsize="2996,312">
              <v:shape style="position:absolute;left:7680;top:8092;width:2996;height:312" coordorigin="7680,8092" coordsize="2996,312" path="m7680,8404l10675,8404,10675,8092,7680,8092,7680,8404xe" filled="true" fillcolor="#ffffff" stroked="false">
                <v:path arrowok="t"/>
                <v:fill type="solid"/>
              </v:shape>
            </v:group>
            <v:group style="position:absolute;left:7680;top:8404;width:2996;height:313" coordorigin="7680,8404" coordsize="2996,313">
              <v:shape style="position:absolute;left:7680;top:8404;width:2996;height:313" coordorigin="7680,8404" coordsize="2996,313" path="m7680,8716l10675,8716,10675,8404,7680,8404,7680,871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35"/>
        <w:gridCol w:w="3039"/>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32"/>
              <w:jc w:val="left"/>
              <w:rPr>
                <w:rFonts w:ascii="宋体" w:hAnsi="宋体" w:cs="宋体" w:eastAsia="宋体" w:hint="default"/>
                <w:sz w:val="18"/>
                <w:szCs w:val="18"/>
              </w:rPr>
            </w:pPr>
            <w:r>
              <w:rPr>
                <w:rFonts w:ascii="宋体" w:hAnsi="宋体" w:cs="宋体" w:eastAsia="宋体" w:hint="default"/>
                <w:sz w:val="18"/>
                <w:szCs w:val="18"/>
              </w:rPr>
              <w:t>陷且不能合理保证编制的财务报表达到真 </w:t>
            </w:r>
            <w:r>
              <w:rPr>
                <w:rFonts w:ascii="宋体" w:hAnsi="宋体" w:cs="宋体" w:eastAsia="宋体" w:hint="default"/>
                <w:spacing w:val="-4"/>
                <w:sz w:val="18"/>
                <w:szCs w:val="18"/>
              </w:rPr>
              <w:t>实、准确的目标。</w:t>
            </w:r>
            <w:r>
              <w:rPr>
                <w:rFonts w:ascii="宋体" w:hAnsi="宋体" w:cs="宋体" w:eastAsia="宋体" w:hint="default"/>
                <w:spacing w:val="-31"/>
                <w:sz w:val="18"/>
                <w:szCs w:val="18"/>
              </w:rPr>
              <w:t> </w:t>
            </w:r>
            <w:r>
              <w:rPr>
                <w:rFonts w:ascii="宋体" w:hAnsi="宋体" w:cs="宋体" w:eastAsia="宋体" w:hint="default"/>
                <w:sz w:val="18"/>
                <w:szCs w:val="18"/>
              </w:rPr>
              <w:t>③其他不构成重大缺陷</w:t>
            </w:r>
            <w:r>
              <w:rPr>
                <w:rFonts w:ascii="宋体" w:hAnsi="宋体" w:cs="宋体" w:eastAsia="宋体" w:hint="default"/>
                <w:sz w:val="18"/>
                <w:szCs w:val="18"/>
              </w:rPr>
              <w:t> 或重要缺陷的其他内部控制缺陷为</w:t>
            </w:r>
            <w:r>
              <w:rPr>
                <w:rFonts w:ascii="Times New Roman" w:hAnsi="Times New Roman" w:cs="Times New Roman" w:eastAsia="Times New Roman" w:hint="default"/>
                <w:sz w:val="18"/>
                <w:szCs w:val="18"/>
              </w:rPr>
              <w:t>"</w:t>
            </w:r>
            <w:r>
              <w:rPr>
                <w:rFonts w:ascii="宋体" w:hAnsi="宋体" w:cs="宋体" w:eastAsia="宋体" w:hint="default"/>
                <w:sz w:val="18"/>
                <w:szCs w:val="18"/>
              </w:rPr>
              <w:t>一般 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1" w:right="20"/>
              <w:jc w:val="both"/>
              <w:rPr>
                <w:rFonts w:ascii="宋体" w:hAnsi="宋体" w:cs="宋体" w:eastAsia="宋体" w:hint="default"/>
                <w:sz w:val="18"/>
                <w:szCs w:val="18"/>
              </w:rPr>
            </w:pPr>
            <w:r>
              <w:rPr>
                <w:rFonts w:ascii="宋体" w:hAnsi="宋体" w:cs="宋体" w:eastAsia="宋体" w:hint="default"/>
                <w:spacing w:val="-6"/>
                <w:sz w:val="18"/>
                <w:szCs w:val="18"/>
              </w:rPr>
              <w:t>于），一般应认定为非财务报告内部控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制一般缺陷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对公司的战略制定、实</w:t>
            </w:r>
            <w:r>
              <w:rPr>
                <w:rFonts w:ascii="宋体" w:hAnsi="宋体" w:cs="宋体" w:eastAsia="宋体" w:hint="default"/>
                <w:sz w:val="18"/>
                <w:szCs w:val="18"/>
              </w:rPr>
              <w:t> </w:t>
            </w:r>
            <w:r>
              <w:rPr>
                <w:rFonts w:ascii="宋体" w:hAnsi="宋体" w:cs="宋体" w:eastAsia="宋体" w:hint="default"/>
                <w:spacing w:val="-4"/>
                <w:sz w:val="18"/>
                <w:szCs w:val="18"/>
              </w:rPr>
              <w:t>施，对公司经营产生轻微影响，减慢营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运运行，但对达到营运目标只有轻微影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响。</w:t>
            </w:r>
            <w:r>
              <w:rPr>
                <w:rFonts w:ascii="Times New Roman" w:hAnsi="Times New Roman" w:cs="Times New Roman" w:eastAsia="Times New Roman" w:hint="default"/>
                <w:spacing w:val="-5"/>
                <w:sz w:val="18"/>
                <w:szCs w:val="18"/>
              </w:rPr>
              <w:t>B. </w:t>
            </w:r>
            <w:r>
              <w:rPr>
                <w:rFonts w:ascii="宋体" w:hAnsi="宋体" w:cs="宋体" w:eastAsia="宋体" w:hint="default"/>
                <w:sz w:val="18"/>
                <w:szCs w:val="18"/>
              </w:rPr>
              <w:t>决策程序效率不高；</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违反内 部规章，但未形成损失；</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一般岗位 业务人员流失严重。</w:t>
            </w:r>
          </w:p>
        </w:tc>
      </w:tr>
      <w:tr>
        <w:trPr>
          <w:trHeight w:val="664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3" w:right="2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利润总额：重大缺陷定量标准：错报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w:t>
            </w:r>
            <w:r>
              <w:rPr>
                <w:rFonts w:ascii="宋体" w:hAnsi="宋体" w:cs="宋体" w:eastAsia="宋体" w:hint="default"/>
                <w:spacing w:val="-81"/>
                <w:sz w:val="18"/>
                <w:szCs w:val="18"/>
              </w:rPr>
              <w:t> </w:t>
            </w:r>
            <w:r>
              <w:rPr>
                <w:rFonts w:ascii="宋体" w:hAnsi="宋体" w:cs="宋体" w:eastAsia="宋体" w:hint="default"/>
                <w:sz w:val="18"/>
                <w:szCs w:val="18"/>
              </w:rPr>
              <w:t>润总额的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；重要缺陷定量标准：利润总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；一般缺陷</w:t>
            </w:r>
            <w:r>
              <w:rPr>
                <w:rFonts w:ascii="宋体" w:hAnsi="宋体" w:cs="宋体" w:eastAsia="宋体" w:hint="default"/>
                <w:sz w:val="18"/>
                <w:szCs w:val="18"/>
              </w:rPr>
              <w:t> 定量标准：错报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 </w:t>
            </w:r>
            <w:r>
              <w:rPr>
                <w:rFonts w:ascii="宋体" w:hAnsi="宋体" w:cs="宋体" w:eastAsia="宋体" w:hint="default"/>
                <w:spacing w:val="-4"/>
                <w:sz w:val="18"/>
                <w:szCs w:val="18"/>
              </w:rPr>
              <w:t>总额：重大缺陷定量标准：错报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资产总额</w:t>
            </w:r>
            <w:r>
              <w:rPr>
                <w:rFonts w:ascii="宋体" w:hAnsi="宋体" w:cs="宋体" w:eastAsia="宋体" w:hint="default"/>
                <w:spacing w:val="-87"/>
                <w:sz w:val="18"/>
                <w:szCs w:val="18"/>
              </w:rPr>
              <w:t> </w:t>
            </w:r>
            <w:r>
              <w:rPr>
                <w:rFonts w:ascii="宋体" w:hAnsi="宋体" w:cs="宋体" w:eastAsia="宋体" w:hint="default"/>
                <w:sz w:val="18"/>
                <w:szCs w:val="18"/>
              </w:rPr>
              <w:t>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；重要缺陷定量标准：资产总额的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pacing w:val="-7"/>
                <w:sz w:val="18"/>
                <w:szCs w:val="18"/>
              </w:rPr>
              <w:t>0.8%</w:t>
            </w:r>
            <w:r>
              <w:rPr>
                <w:rFonts w:ascii="宋体" w:hAnsi="宋体" w:cs="宋体" w:eastAsia="宋体" w:hint="default"/>
                <w:spacing w:val="-7"/>
                <w:sz w:val="18"/>
                <w:szCs w:val="18"/>
              </w:rPr>
              <w:t>；一般缺陷定</w:t>
            </w:r>
            <w:r>
              <w:rPr>
                <w:rFonts w:ascii="宋体" w:hAnsi="宋体" w:cs="宋体" w:eastAsia="宋体" w:hint="default"/>
                <w:sz w:val="18"/>
                <w:szCs w:val="18"/>
              </w:rPr>
              <w:t> </w:t>
            </w:r>
            <w:r>
              <w:rPr>
                <w:rFonts w:ascii="宋体" w:hAnsi="宋体" w:cs="宋体" w:eastAsia="宋体" w:hint="default"/>
                <w:spacing w:val="-4"/>
                <w:sz w:val="18"/>
                <w:szCs w:val="18"/>
              </w:rPr>
              <w:t>量标准：错报</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营业收</w:t>
            </w:r>
            <w:r>
              <w:rPr>
                <w:rFonts w:ascii="宋体" w:hAnsi="宋体" w:cs="宋体" w:eastAsia="宋体" w:hint="default"/>
                <w:spacing w:val="-88"/>
                <w:sz w:val="18"/>
                <w:szCs w:val="18"/>
              </w:rPr>
              <w:t> </w:t>
            </w:r>
            <w:r>
              <w:rPr>
                <w:rFonts w:ascii="宋体" w:hAnsi="宋体" w:cs="宋体" w:eastAsia="宋体" w:hint="default"/>
                <w:spacing w:val="-4"/>
                <w:sz w:val="18"/>
                <w:szCs w:val="18"/>
              </w:rPr>
              <w:t>入总额：重大缺陷定量标准：错报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营业收</w:t>
            </w:r>
            <w:r>
              <w:rPr>
                <w:rFonts w:ascii="宋体" w:hAnsi="宋体" w:cs="宋体" w:eastAsia="宋体" w:hint="default"/>
                <w:spacing w:val="-87"/>
                <w:sz w:val="18"/>
                <w:szCs w:val="18"/>
              </w:rPr>
              <w:t> </w:t>
            </w:r>
            <w:r>
              <w:rPr>
                <w:rFonts w:ascii="宋体" w:hAnsi="宋体" w:cs="宋体" w:eastAsia="宋体" w:hint="default"/>
                <w:sz w:val="18"/>
                <w:szCs w:val="18"/>
              </w:rPr>
              <w:t>入总额的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；重要缺陷定量标准：营业收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；一般缺陷定量标准：错报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 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所有者权益总额：重大缺 </w:t>
            </w:r>
            <w:r>
              <w:rPr>
                <w:rFonts w:ascii="宋体" w:hAnsi="宋体" w:cs="宋体" w:eastAsia="宋体" w:hint="default"/>
                <w:spacing w:val="-6"/>
                <w:w w:val="100"/>
                <w:sz w:val="18"/>
                <w:szCs w:val="18"/>
              </w:rPr>
              <w:t>陷定量标准：错报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所有者权益总额的</w:t>
            </w:r>
            <w:r>
              <w:rPr>
                <w:rFonts w:ascii="宋体" w:hAnsi="宋体" w:cs="宋体" w:eastAsia="宋体" w:hint="default"/>
                <w:spacing w:val="-43"/>
                <w:w w:val="10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重要缺陷定量标准：所有者权益总额总额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 </w:t>
            </w:r>
            <w:r>
              <w:rPr>
                <w:rFonts w:ascii="宋体" w:hAnsi="宋体" w:cs="宋体" w:eastAsia="宋体" w:hint="default"/>
                <w:spacing w:val="-5"/>
                <w:sz w:val="18"/>
                <w:szCs w:val="18"/>
              </w:rPr>
              <w:t>般缺陷定量标准：错报</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所有者权益总额的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0" w:lineRule="auto" w:before="51"/>
              <w:ind w:left="4"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利润总额：重大缺陷定量标准：影响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w w:val="100"/>
                <w:sz w:val="18"/>
                <w:szCs w:val="18"/>
              </w:rPr>
              <w:t>金额</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利润总额的</w:t>
            </w:r>
            <w:r>
              <w:rPr>
                <w:rFonts w:ascii="宋体" w:hAnsi="宋体" w:cs="宋体" w:eastAsia="宋体" w:hint="default"/>
                <w:spacing w:val="-41"/>
                <w:w w:val="100"/>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；重要缺陷定量标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准：利润总额的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；一般缺陷定量标准：影响金 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资产总额：重大</w:t>
            </w:r>
            <w:r>
              <w:rPr>
                <w:rFonts w:ascii="宋体" w:hAnsi="宋体" w:cs="宋体" w:eastAsia="宋体" w:hint="default"/>
                <w:sz w:val="18"/>
                <w:szCs w:val="18"/>
              </w:rPr>
              <w:t> 缺陷定量标准：影响金额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；重要缺陷定量标准：资产总额的</w:t>
            </w:r>
          </w:p>
          <w:p>
            <w:pPr>
              <w:pStyle w:val="TableParagraph"/>
              <w:spacing w:line="300" w:lineRule="auto" w:before="13"/>
              <w:ind w:left="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；一 般缺陷定量标准：影响金额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 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营业收入总额：重大缺陷定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量标准：影响金额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；重要缺陷定量标准：营业收入总 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；一般缺陷定量标准：影响金额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营</w:t>
            </w:r>
          </w:p>
          <w:p>
            <w:pPr>
              <w:pStyle w:val="TableParagraph"/>
              <w:spacing w:line="203" w:lineRule="exact" w:before="13"/>
              <w:ind w:left="4" w:right="0"/>
              <w:jc w:val="left"/>
              <w:rPr>
                <w:rFonts w:ascii="宋体" w:hAnsi="宋体" w:cs="宋体" w:eastAsia="宋体" w:hint="default"/>
                <w:sz w:val="18"/>
                <w:szCs w:val="18"/>
              </w:rPr>
            </w:pPr>
            <w:r>
              <w:rPr>
                <w:rFonts w:ascii="宋体" w:hAnsi="宋体" w:cs="宋体" w:eastAsia="宋体" w:hint="default"/>
                <w:sz w:val="18"/>
                <w:szCs w:val="18"/>
              </w:rPr>
              <w:t>业收入总额的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所有者权益总</w:t>
            </w:r>
          </w:p>
          <w:p>
            <w:pPr>
              <w:pStyle w:val="TableParagraph"/>
              <w:spacing w:line="149"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额：重大缺陷定量标准：影响金额</w:t>
            </w:r>
            <w:r>
              <w:rPr>
                <w:rFonts w:ascii="Times New Roman" w:hAnsi="Times New Roman" w:cs="Times New Roman" w:eastAsia="Times New Roman" w:hint="default"/>
                <w:sz w:val="18"/>
                <w:szCs w:val="18"/>
              </w:rPr>
              <w:t>≥</w:t>
            </w:r>
            <w:r>
              <w:rPr>
                <w:rFonts w:ascii="宋体" w:hAnsi="宋体" w:cs="宋体" w:eastAsia="宋体" w:hint="default"/>
                <w:sz w:val="18"/>
                <w:szCs w:val="18"/>
              </w:rPr>
              <w:t>所</w:t>
            </w:r>
          </w:p>
          <w:p>
            <w:pPr>
              <w:pStyle w:val="TableParagraph"/>
              <w:spacing w:line="300" w:lineRule="auto" w:before="63"/>
              <w:ind w:left="4" w:right="20"/>
              <w:jc w:val="left"/>
              <w:rPr>
                <w:rFonts w:ascii="宋体" w:hAnsi="宋体" w:cs="宋体" w:eastAsia="宋体" w:hint="default"/>
                <w:sz w:val="18"/>
                <w:szCs w:val="18"/>
              </w:rPr>
            </w:pPr>
            <w:r>
              <w:rPr>
                <w:rFonts w:ascii="宋体" w:hAnsi="宋体" w:cs="宋体" w:eastAsia="宋体" w:hint="default"/>
                <w:sz w:val="18"/>
                <w:szCs w:val="18"/>
              </w:rPr>
              <w:t>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；重要缺陷定量标 </w:t>
            </w:r>
            <w:r>
              <w:rPr>
                <w:rFonts w:ascii="宋体" w:hAnsi="宋体" w:cs="宋体" w:eastAsia="宋体" w:hint="default"/>
                <w:spacing w:val="-4"/>
                <w:sz w:val="18"/>
                <w:szCs w:val="18"/>
              </w:rPr>
              <w:t>准：所有者权益总额总额的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影响 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 陷定量标准：影响金额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 w:id="150"/>
      <w:bookmarkEnd w:id="150"/>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我们认为，视觉中国于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(2019)080211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1"/>
      <w:bookmarkStart w:name="第十节 公司债券相关情况" w:id="152"/>
      <w:r>
        <w:rPr>
          <w:b w:val="0"/>
          <w:bCs w:val="0"/>
        </w:rPr>
      </w:r>
      <w:r>
        <w:rPr/>
        <w:t>第十节</w:t>
      </w:r>
      <w:r>
        <w:rPr>
          <w:spacing w:val="-9"/>
        </w:rPr>
        <w:t> </w:t>
      </w:r>
      <w:r>
        <w:rPr/>
        <w:t>公司债券相关情况</w:t>
      </w:r>
      <w:bookmarkEnd w:id="151"/>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91" w:right="4569"/>
        <w:jc w:val="center"/>
        <w:rPr>
          <w:b w:val="0"/>
          <w:bCs w:val="0"/>
        </w:rPr>
      </w:pPr>
      <w:bookmarkStart w:name="_TOC_250001" w:id="153"/>
      <w:bookmarkStart w:name="第十一节 财务报告" w:id="154"/>
      <w:r>
        <w:rPr>
          <w:b w:val="0"/>
          <w:bCs w:val="0"/>
        </w:rPr>
      </w:r>
      <w:r>
        <w:rPr/>
        <w:t>第十一节</w:t>
      </w:r>
      <w:r>
        <w:rPr>
          <w:spacing w:val="-6"/>
        </w:rPr>
        <w:t> </w:t>
      </w:r>
      <w:r>
        <w:rPr/>
        <w:t>财务报告</w:t>
      </w:r>
      <w:bookmarkEnd w:id="15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54" w:right="1023"/>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080220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黄丽琼、安素强</w:t>
            </w:r>
          </w:p>
        </w:tc>
      </w:tr>
    </w:tbl>
    <w:p>
      <w:pPr>
        <w:pStyle w:val="BodyText"/>
        <w:spacing w:line="240" w:lineRule="auto" w:before="51"/>
        <w:ind w:left="3691" w:right="4567"/>
        <w:jc w:val="center"/>
      </w:pPr>
      <w:r>
        <w:rPr/>
        <w:t>审计报告正文</w:t>
      </w:r>
    </w:p>
    <w:p>
      <w:pPr>
        <w:spacing w:line="240" w:lineRule="auto" w:before="9"/>
        <w:rPr>
          <w:rFonts w:ascii="宋体" w:hAnsi="宋体" w:cs="宋体" w:eastAsia="宋体" w:hint="default"/>
          <w:sz w:val="13"/>
          <w:szCs w:val="13"/>
        </w:rPr>
      </w:pPr>
    </w:p>
    <w:p>
      <w:pPr>
        <w:pStyle w:val="Heading5"/>
        <w:spacing w:line="240" w:lineRule="auto"/>
        <w:ind w:left="254" w:right="1023"/>
        <w:jc w:val="left"/>
        <w:rPr>
          <w:b w:val="0"/>
          <w:bCs w:val="0"/>
        </w:rPr>
      </w:pPr>
      <w:r>
        <w:rPr/>
        <w:t>视觉（中国）文化发展股份有限公司全体股东：</w:t>
      </w:r>
      <w:r>
        <w:rPr>
          <w:b w:val="0"/>
          <w:bCs w:val="0"/>
        </w:rPr>
      </w:r>
    </w:p>
    <w:p>
      <w:pPr>
        <w:pStyle w:val="Heading5"/>
        <w:spacing w:line="240" w:lineRule="auto" w:before="144"/>
        <w:ind w:left="669" w:right="1023"/>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pStyle w:val="Heading6"/>
        <w:spacing w:line="331" w:lineRule="auto" w:before="124"/>
        <w:ind w:left="254" w:right="1129" w:firstLine="420"/>
        <w:jc w:val="both"/>
      </w:pPr>
      <w:r>
        <w:rPr/>
        <w:t>我们审计了视觉（中国）文化发展股份有限公司（以下简称视觉中国）的财务报表，包括 </w:t>
      </w:r>
      <w:r>
        <w:rPr>
          <w:rFonts w:ascii="Arial Narrow" w:hAnsi="Arial Narrow" w:cs="Arial Narrow" w:eastAsia="Arial Narrow" w:hint="default"/>
        </w:rPr>
        <w:t>2018 </w:t>
      </w:r>
      <w:r>
        <w:rPr/>
        <w:t>年</w:t>
      </w:r>
      <w:r>
        <w:rPr>
          <w:spacing w:val="-62"/>
        </w:rPr>
        <w:t> </w:t>
      </w:r>
      <w:r>
        <w:rPr>
          <w:rFonts w:ascii="Arial Narrow" w:hAnsi="Arial Narrow" w:cs="Arial Narrow" w:eastAsia="Arial Narrow" w:hint="default"/>
        </w:rPr>
        <w:t>12 </w:t>
      </w:r>
      <w:r>
        <w:rPr/>
        <w:t>月 </w:t>
      </w:r>
      <w:r>
        <w:rPr>
          <w:rFonts w:ascii="Arial Narrow" w:hAnsi="Arial Narrow" w:cs="Arial Narrow" w:eastAsia="Arial Narrow" w:hint="default"/>
        </w:rPr>
        <w:t>31 </w:t>
      </w:r>
      <w:r>
        <w:rPr/>
        <w:t>日的合并及公司资产负债表，</w:t>
      </w:r>
      <w:r>
        <w:rPr>
          <w:rFonts w:ascii="Arial Narrow" w:hAnsi="Arial Narrow" w:cs="Arial Narrow" w:eastAsia="Arial Narrow" w:hint="default"/>
        </w:rPr>
        <w:t>2018</w:t>
      </w:r>
      <w:r>
        <w:rPr>
          <w:rFonts w:ascii="Arial Narrow" w:hAnsi="Arial Narrow" w:cs="Arial Narrow" w:eastAsia="Arial Narrow" w:hint="default"/>
          <w:spacing w:val="-8"/>
        </w:rPr>
        <w:t> </w:t>
      </w:r>
      <w:r>
        <w:rPr/>
        <w:t>年度的合并及公司利润表、合并及公司现金流量表、合并及公司 股东权益变动表，以及相关财务报表附注。</w:t>
      </w:r>
    </w:p>
    <w:p>
      <w:pPr>
        <w:pStyle w:val="Heading6"/>
        <w:spacing w:line="240" w:lineRule="auto" w:before="45"/>
        <w:ind w:left="674" w:right="1023"/>
        <w:jc w:val="left"/>
        <w:rPr>
          <w:rFonts w:ascii="Arial Narrow" w:hAnsi="Arial Narrow" w:cs="Arial Narrow" w:eastAsia="Arial Narrow" w:hint="default"/>
        </w:rPr>
      </w:pPr>
      <w:r>
        <w:rPr>
          <w:spacing w:val="-1"/>
        </w:rPr>
        <w:t>我们认为，后附的财务报表在所有重大方面按照企业会计准则的规定编制，公允反映了视觉中国</w:t>
      </w:r>
      <w:r>
        <w:rPr>
          <w:spacing w:val="-50"/>
        </w:rPr>
        <w:t> </w:t>
      </w:r>
      <w:r>
        <w:rPr>
          <w:rFonts w:ascii="Arial Narrow" w:hAnsi="Arial Narrow" w:cs="Arial Narrow" w:eastAsia="Arial Narrow" w:hint="default"/>
        </w:rPr>
        <w:t>2018</w:t>
      </w:r>
    </w:p>
    <w:p>
      <w:pPr>
        <w:pStyle w:val="Heading6"/>
        <w:spacing w:line="340" w:lineRule="auto" w:before="110"/>
        <w:ind w:left="669" w:right="1023" w:hanging="416"/>
        <w:jc w:val="left"/>
      </w:pP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日的合并及公司财务状况以及</w:t>
      </w:r>
      <w:r>
        <w:rPr>
          <w:spacing w:val="-53"/>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年度的合并及公司经营成果和现金流量。 </w:t>
      </w:r>
      <w:r>
        <w:rPr>
          <w:rFonts w:ascii="黑体" w:hAnsi="黑体" w:cs="黑体" w:eastAsia="黑体" w:hint="default"/>
          <w:b/>
          <w:bCs/>
        </w:rPr>
        <w:t>二、形成审计意见的基础</w:t>
      </w:r>
      <w:r>
        <w:rPr>
          <w:rFonts w:ascii="黑体" w:hAnsi="黑体" w:cs="黑体" w:eastAsia="黑体" w:hint="default"/>
          <w:b/>
          <w:bCs/>
          <w:w w:val="99"/>
        </w:rPr>
        <w:t> </w:t>
      </w:r>
      <w:r>
        <w:rPr>
          <w:spacing w:val="-1"/>
        </w:rPr>
        <w:t>我们按照中国注册会计师审计准则的规定执行了审计工作。审计报告的“注册会计师对财务报表审计</w:t>
      </w:r>
    </w:p>
    <w:p>
      <w:pPr>
        <w:pStyle w:val="Heading6"/>
        <w:spacing w:line="350" w:lineRule="auto" w:before="36"/>
        <w:ind w:left="254" w:right="1131"/>
        <w:jc w:val="both"/>
      </w:pPr>
      <w:r>
        <w:rPr>
          <w:spacing w:val="-1"/>
        </w:rPr>
        <w:t>的责任”部分进一步阐述了我们在这些准则下的责任。按照中国注册会计师职业道德守则，我们独立于视</w:t>
      </w:r>
      <w:r>
        <w:rPr>
          <w:spacing w:val="-82"/>
        </w:rPr>
        <w:t> </w:t>
      </w:r>
      <w:r>
        <w:rPr>
          <w:spacing w:val="-82"/>
        </w:rPr>
      </w:r>
      <w:r>
        <w:rPr>
          <w:spacing w:val="-1"/>
        </w:rPr>
        <w:t>觉中国，并履行了职业道德方面的其他责任。我们相信，我们获取的审计证据是充分、适当的，为发表审</w:t>
      </w:r>
      <w:r>
        <w:rPr>
          <w:spacing w:val="-83"/>
        </w:rPr>
        <w:t> </w:t>
      </w:r>
      <w:r>
        <w:rPr>
          <w:spacing w:val="-83"/>
        </w:rPr>
      </w:r>
      <w:r>
        <w:rPr/>
        <w:t>计意见提供了基础。</w:t>
      </w:r>
    </w:p>
    <w:p>
      <w:pPr>
        <w:pStyle w:val="Heading5"/>
        <w:spacing w:line="240" w:lineRule="auto" w:before="28"/>
        <w:ind w:left="669" w:right="1023"/>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pStyle w:val="Heading6"/>
        <w:spacing w:line="331" w:lineRule="auto" w:before="91"/>
        <w:ind w:left="254" w:right="1023" w:firstLine="420"/>
        <w:jc w:val="left"/>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Heading6"/>
        <w:spacing w:line="240" w:lineRule="auto" w:before="25"/>
        <w:ind w:left="674" w:right="1023"/>
        <w:jc w:val="left"/>
      </w:pPr>
      <w:r>
        <w:rPr/>
        <w:t>我们在审计中识别出的关键审计事项汇总如下：</w:t>
      </w:r>
    </w:p>
    <w:p>
      <w:pPr>
        <w:spacing w:line="240" w:lineRule="auto" w:before="13"/>
        <w:rPr>
          <w:rFonts w:ascii="宋体" w:hAnsi="宋体" w:cs="宋体" w:eastAsia="宋体" w:hint="default"/>
          <w:sz w:val="19"/>
          <w:szCs w:val="19"/>
        </w:rPr>
      </w:pPr>
    </w:p>
    <w:p>
      <w:pPr>
        <w:pStyle w:val="Heading6"/>
        <w:spacing w:line="240" w:lineRule="auto" w:before="0"/>
        <w:ind w:left="674" w:right="1023"/>
        <w:jc w:val="left"/>
      </w:pPr>
      <w:r>
        <w:rPr/>
        <w:t>（一）</w:t>
      </w:r>
      <w:r>
        <w:rPr>
          <w:spacing w:val="-15"/>
        </w:rPr>
        <w:t> </w:t>
      </w:r>
      <w:r>
        <w:rPr/>
        <w:t>收入确认</w:t>
      </w:r>
    </w:p>
    <w:p>
      <w:pPr>
        <w:spacing w:line="240" w:lineRule="auto" w:before="6"/>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5310"/>
        <w:gridCol w:w="4560"/>
      </w:tblGrid>
      <w:tr>
        <w:trPr>
          <w:trHeight w:val="400" w:hRule="exact"/>
        </w:trPr>
        <w:tc>
          <w:tcPr>
            <w:tcW w:w="5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8"/>
              <w:ind w:left="1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5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8"/>
              <w:ind w:left="90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1921" w:hRule="exact"/>
        </w:trPr>
        <w:tc>
          <w:tcPr>
            <w:tcW w:w="5310" w:type="dxa"/>
            <w:tcBorders>
              <w:top w:val="single" w:sz="4" w:space="0" w:color="000000"/>
              <w:left w:val="nil" w:sz="6" w:space="0" w:color="auto"/>
              <w:bottom w:val="single" w:sz="12" w:space="0" w:color="000000"/>
              <w:right w:val="single" w:sz="4" w:space="0" w:color="000000"/>
            </w:tcBorders>
          </w:tcPr>
          <w:p>
            <w:pPr>
              <w:pStyle w:val="TableParagraph"/>
              <w:spacing w:line="400" w:lineRule="auto" w:before="63"/>
              <w:ind w:left="122" w:right="102" w:firstLine="420"/>
              <w:jc w:val="both"/>
              <w:rPr>
                <w:rFonts w:ascii="宋体" w:hAnsi="宋体" w:cs="宋体" w:eastAsia="宋体" w:hint="default"/>
                <w:sz w:val="21"/>
                <w:szCs w:val="21"/>
              </w:rPr>
            </w:pPr>
            <w:r>
              <w:rPr>
                <w:rFonts w:ascii="宋体" w:hAnsi="宋体" w:cs="宋体" w:eastAsia="宋体" w:hint="default"/>
                <w:sz w:val="21"/>
                <w:szCs w:val="21"/>
              </w:rPr>
              <w:t>请参见财务报表附注五（二十三）及附注七（三十 </w:t>
            </w:r>
            <w:r>
              <w:rPr>
                <w:rFonts w:ascii="宋体" w:hAnsi="宋体" w:cs="宋体" w:eastAsia="宋体" w:hint="default"/>
                <w:spacing w:val="-16"/>
                <w:sz w:val="21"/>
                <w:szCs w:val="21"/>
              </w:rPr>
              <w:t>四）。视觉中国</w:t>
            </w:r>
            <w:r>
              <w:rPr>
                <w:rFonts w:ascii="宋体" w:hAnsi="宋体" w:cs="宋体" w:eastAsia="宋体" w:hint="default"/>
                <w:spacing w:val="-42"/>
                <w:sz w:val="21"/>
                <w:szCs w:val="21"/>
              </w:rPr>
              <w:t> </w:t>
            </w:r>
            <w:r>
              <w:rPr>
                <w:rFonts w:ascii="Arial Narrow" w:hAnsi="Arial Narrow" w:cs="Arial Narrow" w:eastAsia="Arial Narrow" w:hint="default"/>
                <w:sz w:val="21"/>
                <w:szCs w:val="21"/>
              </w:rPr>
              <w:t>2018</w:t>
            </w:r>
            <w:r>
              <w:rPr>
                <w:rFonts w:ascii="Arial Narrow" w:hAnsi="Arial Narrow" w:cs="Arial Narrow" w:eastAsia="Arial Narrow" w:hint="default"/>
                <w:spacing w:val="15"/>
                <w:sz w:val="21"/>
                <w:szCs w:val="21"/>
              </w:rPr>
              <w:t> </w:t>
            </w:r>
            <w:r>
              <w:rPr>
                <w:rFonts w:ascii="宋体" w:hAnsi="宋体" w:cs="宋体" w:eastAsia="宋体" w:hint="default"/>
                <w:spacing w:val="-1"/>
                <w:sz w:val="21"/>
                <w:szCs w:val="21"/>
              </w:rPr>
              <w:t>年度的收入为</w:t>
            </w:r>
            <w:r>
              <w:rPr>
                <w:rFonts w:ascii="宋体" w:hAnsi="宋体" w:cs="宋体" w:eastAsia="宋体" w:hint="default"/>
                <w:spacing w:val="-42"/>
                <w:sz w:val="21"/>
                <w:szCs w:val="21"/>
              </w:rPr>
              <w:t> </w:t>
            </w:r>
            <w:r>
              <w:rPr>
                <w:rFonts w:ascii="Arial Narrow" w:hAnsi="Arial Narrow" w:cs="Arial Narrow" w:eastAsia="Arial Narrow" w:hint="default"/>
                <w:sz w:val="21"/>
                <w:szCs w:val="21"/>
              </w:rPr>
              <w:t>987,837,517.92</w:t>
            </w:r>
            <w:r>
              <w:rPr>
                <w:rFonts w:ascii="Arial Narrow" w:hAnsi="Arial Narrow" w:cs="Arial Narrow" w:eastAsia="Arial Narrow" w:hint="default"/>
                <w:spacing w:val="15"/>
                <w:sz w:val="21"/>
                <w:szCs w:val="21"/>
              </w:rPr>
              <w:t> </w:t>
            </w:r>
            <w:r>
              <w:rPr>
                <w:rFonts w:ascii="宋体" w:hAnsi="宋体" w:cs="宋体" w:eastAsia="宋体" w:hint="default"/>
                <w:spacing w:val="-1"/>
                <w:sz w:val="21"/>
                <w:szCs w:val="21"/>
              </w:rPr>
              <w:t>元，主</w:t>
            </w:r>
            <w:r>
              <w:rPr>
                <w:rFonts w:ascii="宋体" w:hAnsi="宋体" w:cs="宋体" w:eastAsia="宋体" w:hint="default"/>
                <w:sz w:val="21"/>
                <w:szCs w:val="21"/>
              </w:rPr>
              <w:t> 要来自于视觉内容与服务。由于视觉中国需要在业务系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统中处理当年各类销售而产生大量业务数据，因此在合</w:t>
            </w:r>
          </w:p>
        </w:tc>
        <w:tc>
          <w:tcPr>
            <w:tcW w:w="4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8"/>
              <w:ind w:left="34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15"/>
                <w:sz w:val="21"/>
                <w:szCs w:val="21"/>
              </w:rPr>
              <w:t> </w:t>
            </w:r>
            <w:r>
              <w:rPr>
                <w:rFonts w:ascii="宋体" w:hAnsi="宋体" w:cs="宋体" w:eastAsia="宋体" w:hint="default"/>
                <w:sz w:val="21"/>
                <w:szCs w:val="21"/>
              </w:rPr>
              <w:t>我们的审计程序中包括：</w:t>
            </w:r>
          </w:p>
          <w:p>
            <w:pPr>
              <w:pStyle w:val="TableParagraph"/>
              <w:spacing w:line="324" w:lineRule="auto" w:before="91"/>
              <w:ind w:left="87" w:right="99" w:firstLine="258"/>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）了解、评估并测试了视觉中国自审批客</w:t>
            </w:r>
            <w:r>
              <w:rPr>
                <w:rFonts w:ascii="宋体" w:hAnsi="宋体" w:cs="宋体" w:eastAsia="宋体" w:hint="default"/>
                <w:spacing w:val="1"/>
                <w:sz w:val="21"/>
                <w:szCs w:val="21"/>
              </w:rPr>
              <w:t> </w:t>
            </w:r>
            <w:r>
              <w:rPr>
                <w:rFonts w:ascii="宋体" w:hAnsi="宋体" w:cs="宋体" w:eastAsia="宋体" w:hint="default"/>
                <w:spacing w:val="8"/>
                <w:sz w:val="21"/>
                <w:szCs w:val="21"/>
              </w:rPr>
              <w:t>户订单至销售交易入账的收入流程以及管理层</w:t>
            </w:r>
            <w:r>
              <w:rPr>
                <w:rFonts w:ascii="宋体" w:hAnsi="宋体" w:cs="宋体" w:eastAsia="宋体" w:hint="default"/>
                <w:spacing w:val="8"/>
                <w:sz w:val="21"/>
                <w:szCs w:val="21"/>
              </w:rPr>
              <w:t> </w:t>
            </w:r>
            <w:r>
              <w:rPr>
                <w:rFonts w:ascii="宋体" w:hAnsi="宋体" w:cs="宋体" w:eastAsia="宋体" w:hint="default"/>
                <w:sz w:val="21"/>
                <w:szCs w:val="21"/>
              </w:rPr>
              <w:t>关键内部控制；</w:t>
            </w:r>
          </w:p>
          <w:p>
            <w:pPr>
              <w:pStyle w:val="TableParagraph"/>
              <w:spacing w:line="240" w:lineRule="auto" w:before="32"/>
              <w:ind w:left="345"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）利用本所内部信息技术专家的工作，评</w:t>
            </w:r>
          </w:p>
        </w:tc>
      </w:tr>
    </w:tbl>
    <w:p>
      <w:pPr>
        <w:spacing w:after="0" w:line="240" w:lineRule="auto"/>
        <w:jc w:val="left"/>
        <w:rPr>
          <w:rFonts w:ascii="宋体" w:hAnsi="宋体" w:cs="宋体" w:eastAsia="宋体" w:hint="default"/>
          <w:sz w:val="21"/>
          <w:szCs w:val="21"/>
        </w:rPr>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5310"/>
        <w:gridCol w:w="4560"/>
      </w:tblGrid>
      <w:tr>
        <w:trPr>
          <w:trHeight w:val="400" w:hRule="exact"/>
        </w:trPr>
        <w:tc>
          <w:tcPr>
            <w:tcW w:w="5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8"/>
              <w:ind w:left="1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5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8"/>
              <w:ind w:left="90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4200" w:hRule="exact"/>
        </w:trPr>
        <w:tc>
          <w:tcPr>
            <w:tcW w:w="5310" w:type="dxa"/>
            <w:tcBorders>
              <w:top w:val="single" w:sz="4" w:space="0" w:color="000000"/>
              <w:left w:val="nil" w:sz="6" w:space="0" w:color="auto"/>
              <w:bottom w:val="single" w:sz="12" w:space="0" w:color="000000"/>
              <w:right w:val="single" w:sz="4" w:space="0" w:color="000000"/>
            </w:tcBorders>
          </w:tcPr>
          <w:p>
            <w:pPr>
              <w:pStyle w:val="TableParagraph"/>
              <w:spacing w:line="408" w:lineRule="auto" w:before="63"/>
              <w:ind w:left="542" w:right="105" w:hanging="420"/>
              <w:jc w:val="left"/>
              <w:rPr>
                <w:rFonts w:ascii="宋体" w:hAnsi="宋体" w:cs="宋体" w:eastAsia="宋体" w:hint="default"/>
                <w:sz w:val="21"/>
                <w:szCs w:val="21"/>
              </w:rPr>
            </w:pPr>
            <w:r>
              <w:rPr>
                <w:rFonts w:ascii="宋体" w:hAnsi="宋体" w:cs="宋体" w:eastAsia="宋体" w:hint="default"/>
                <w:sz w:val="21"/>
                <w:szCs w:val="21"/>
              </w:rPr>
              <w:t>并财务报表中收入确认的准确性存在固有风险。 由于收入是视觉中国的关键绩效指标之一，且其涉</w:t>
            </w:r>
          </w:p>
          <w:p>
            <w:pPr>
              <w:pStyle w:val="TableParagraph"/>
              <w:spacing w:line="408" w:lineRule="auto" w:before="46"/>
              <w:ind w:left="122" w:right="107"/>
              <w:jc w:val="both"/>
              <w:rPr>
                <w:rFonts w:ascii="宋体" w:hAnsi="宋体" w:cs="宋体" w:eastAsia="宋体" w:hint="default"/>
                <w:sz w:val="21"/>
                <w:szCs w:val="21"/>
              </w:rPr>
            </w:pPr>
            <w:r>
              <w:rPr>
                <w:rFonts w:ascii="宋体" w:hAnsi="宋体" w:cs="宋体" w:eastAsia="宋体" w:hint="default"/>
                <w:sz w:val="21"/>
                <w:szCs w:val="21"/>
              </w:rPr>
              <w:t>及复杂的信息技术系统和管理层判断，使得收入存在可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能被确认于不正确的期间或被操控以达到目标或预期水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平的固有风险，我们将视觉中国的收入确认识别为关键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审计事项。</w:t>
            </w:r>
          </w:p>
        </w:tc>
        <w:tc>
          <w:tcPr>
            <w:tcW w:w="4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8"/>
              <w:ind w:left="87" w:right="0"/>
              <w:jc w:val="left"/>
              <w:rPr>
                <w:rFonts w:ascii="宋体" w:hAnsi="宋体" w:cs="宋体" w:eastAsia="宋体" w:hint="default"/>
                <w:sz w:val="21"/>
                <w:szCs w:val="21"/>
              </w:rPr>
            </w:pPr>
            <w:r>
              <w:rPr>
                <w:rFonts w:ascii="宋体" w:hAnsi="宋体" w:cs="宋体" w:eastAsia="宋体" w:hint="default"/>
                <w:sz w:val="21"/>
                <w:szCs w:val="21"/>
              </w:rPr>
              <w:t>价业务系统运行的完整性和准确性；</w:t>
            </w:r>
          </w:p>
          <w:p>
            <w:pPr>
              <w:pStyle w:val="TableParagraph"/>
              <w:spacing w:line="314" w:lineRule="auto" w:before="105"/>
              <w:ind w:left="87" w:right="105" w:firstLine="258"/>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）选取部分重要视觉内容与服务的业务系 统数据与财务系统数据进行核对；</w:t>
            </w:r>
          </w:p>
          <w:p>
            <w:pPr>
              <w:pStyle w:val="TableParagraph"/>
              <w:spacing w:line="324" w:lineRule="auto" w:before="40"/>
              <w:ind w:left="87" w:right="105" w:firstLine="258"/>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）选取视觉内容与服务业务中重要客户的 </w:t>
            </w:r>
            <w:r>
              <w:rPr>
                <w:rFonts w:ascii="宋体" w:hAnsi="宋体" w:cs="宋体" w:eastAsia="宋体" w:hint="default"/>
                <w:spacing w:val="-3"/>
                <w:sz w:val="21"/>
                <w:szCs w:val="21"/>
              </w:rPr>
              <w:t>合同进行检查，与相关的信息系统、财务数据进</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行核对；</w:t>
            </w:r>
          </w:p>
          <w:p>
            <w:pPr>
              <w:pStyle w:val="TableParagraph"/>
              <w:spacing w:line="324" w:lineRule="auto" w:before="32"/>
              <w:ind w:left="87" w:right="99" w:firstLine="258"/>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）对收入金额、毛利率进行不同月份和年 </w:t>
            </w:r>
            <w:r>
              <w:rPr>
                <w:rFonts w:ascii="宋体" w:hAnsi="宋体" w:cs="宋体" w:eastAsia="宋体" w:hint="default"/>
                <w:spacing w:val="8"/>
                <w:sz w:val="21"/>
                <w:szCs w:val="21"/>
              </w:rPr>
              <w:t>份之间分析比较，并对出现的重大波动进行分</w:t>
            </w:r>
            <w:r>
              <w:rPr>
                <w:rFonts w:ascii="宋体" w:hAnsi="宋体" w:cs="宋体" w:eastAsia="宋体" w:hint="default"/>
                <w:spacing w:val="8"/>
                <w:sz w:val="21"/>
                <w:szCs w:val="21"/>
              </w:rPr>
              <w:t> </w:t>
            </w:r>
            <w:r>
              <w:rPr>
                <w:rFonts w:ascii="宋体" w:hAnsi="宋体" w:cs="宋体" w:eastAsia="宋体" w:hint="default"/>
                <w:sz w:val="21"/>
                <w:szCs w:val="21"/>
              </w:rPr>
              <w:t>析；</w:t>
            </w:r>
          </w:p>
          <w:p>
            <w:pPr>
              <w:pStyle w:val="TableParagraph"/>
              <w:spacing w:line="240" w:lineRule="auto" w:before="32"/>
              <w:ind w:left="345"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6</w:t>
            </w:r>
            <w:r>
              <w:rPr>
                <w:rFonts w:ascii="宋体" w:hAnsi="宋体" w:cs="宋体" w:eastAsia="宋体" w:hint="default"/>
                <w:sz w:val="21"/>
                <w:szCs w:val="21"/>
              </w:rPr>
              <w:t>）向重要客户发函询证；</w:t>
            </w:r>
          </w:p>
          <w:p>
            <w:pPr>
              <w:pStyle w:val="TableParagraph"/>
              <w:spacing w:line="240" w:lineRule="auto" w:before="91"/>
              <w:ind w:left="345"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Arial Narrow" w:hAnsi="Arial Narrow" w:cs="Arial Narrow" w:eastAsia="Arial Narrow" w:hint="default"/>
                <w:spacing w:val="-5"/>
                <w:sz w:val="21"/>
                <w:szCs w:val="21"/>
              </w:rPr>
              <w:t>7</w:t>
            </w:r>
            <w:r>
              <w:rPr>
                <w:rFonts w:ascii="宋体" w:hAnsi="宋体" w:cs="宋体" w:eastAsia="宋体" w:hint="default"/>
                <w:spacing w:val="-5"/>
                <w:sz w:val="21"/>
                <w:szCs w:val="21"/>
              </w:rPr>
              <w:t>）选取样本，对收入的会计分录进行评价。</w:t>
            </w:r>
          </w:p>
        </w:tc>
      </w:tr>
    </w:tbl>
    <w:p>
      <w:pPr>
        <w:pStyle w:val="Heading6"/>
        <w:spacing w:line="240" w:lineRule="auto" w:before="58"/>
        <w:ind w:left="674" w:right="1023"/>
        <w:jc w:val="left"/>
      </w:pPr>
      <w:r>
        <w:rPr/>
        <w:t>（二）</w:t>
      </w:r>
      <w:r>
        <w:rPr>
          <w:spacing w:val="-15"/>
        </w:rPr>
        <w:t> </w:t>
      </w:r>
      <w:r>
        <w:rPr/>
        <w:t>商誉减值</w:t>
      </w:r>
    </w:p>
    <w:p>
      <w:pPr>
        <w:spacing w:line="240" w:lineRule="auto" w:before="7"/>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5310"/>
        <w:gridCol w:w="4560"/>
      </w:tblGrid>
      <w:tr>
        <w:trPr>
          <w:trHeight w:val="400" w:hRule="exact"/>
        </w:trPr>
        <w:tc>
          <w:tcPr>
            <w:tcW w:w="5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8"/>
              <w:ind w:left="1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5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8"/>
              <w:ind w:left="90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5876" w:hRule="exact"/>
        </w:trPr>
        <w:tc>
          <w:tcPr>
            <w:tcW w:w="5310" w:type="dxa"/>
            <w:tcBorders>
              <w:top w:val="single" w:sz="4" w:space="0" w:color="000000"/>
              <w:left w:val="nil" w:sz="6" w:space="0" w:color="auto"/>
              <w:bottom w:val="single" w:sz="12" w:space="0" w:color="000000"/>
              <w:right w:val="single" w:sz="4" w:space="0" w:color="000000"/>
            </w:tcBorders>
          </w:tcPr>
          <w:p>
            <w:pPr>
              <w:pStyle w:val="TableParagraph"/>
              <w:spacing w:line="331" w:lineRule="auto" w:before="58"/>
              <w:ind w:left="122" w:right="34" w:firstLine="420"/>
              <w:jc w:val="left"/>
              <w:rPr>
                <w:rFonts w:ascii="宋体" w:hAnsi="宋体" w:cs="宋体" w:eastAsia="宋体" w:hint="default"/>
                <w:sz w:val="21"/>
                <w:szCs w:val="21"/>
              </w:rPr>
            </w:pPr>
            <w:r>
              <w:rPr>
                <w:rFonts w:ascii="宋体" w:hAnsi="宋体" w:cs="宋体" w:eastAsia="宋体" w:hint="default"/>
                <w:spacing w:val="-5"/>
                <w:sz w:val="21"/>
                <w:szCs w:val="21"/>
              </w:rPr>
              <w:t>请参见财务报表附注五（十九）及附注七（十三）。</w:t>
            </w:r>
            <w:r>
              <w:rPr>
                <w:rFonts w:ascii="宋体" w:hAnsi="宋体" w:cs="宋体" w:eastAsia="宋体" w:hint="default"/>
                <w:sz w:val="21"/>
                <w:szCs w:val="21"/>
              </w:rPr>
              <w:t> 于 </w:t>
            </w:r>
            <w:r>
              <w:rPr>
                <w:rFonts w:ascii="Arial Narrow" w:hAnsi="Arial Narrow" w:cs="Arial Narrow" w:eastAsia="Arial Narrow" w:hint="default"/>
                <w:sz w:val="21"/>
                <w:szCs w:val="21"/>
              </w:rPr>
              <w:t>2018   </w:t>
            </w:r>
            <w:r>
              <w:rPr>
                <w:rFonts w:ascii="宋体" w:hAnsi="宋体" w:cs="宋体" w:eastAsia="宋体" w:hint="default"/>
                <w:sz w:val="21"/>
                <w:szCs w:val="21"/>
              </w:rPr>
              <w:t>年 </w:t>
            </w:r>
            <w:r>
              <w:rPr>
                <w:rFonts w:ascii="Arial Narrow" w:hAnsi="Arial Narrow" w:cs="Arial Narrow" w:eastAsia="Arial Narrow" w:hint="default"/>
                <w:sz w:val="21"/>
                <w:szCs w:val="21"/>
              </w:rPr>
              <w:t>12   </w:t>
            </w:r>
            <w:r>
              <w:rPr>
                <w:rFonts w:ascii="宋体" w:hAnsi="宋体" w:cs="宋体" w:eastAsia="宋体" w:hint="default"/>
                <w:sz w:val="21"/>
                <w:szCs w:val="21"/>
              </w:rPr>
              <w:t>月 </w:t>
            </w:r>
            <w:r>
              <w:rPr>
                <w:rFonts w:ascii="Arial Narrow" w:hAnsi="Arial Narrow" w:cs="Arial Narrow" w:eastAsia="Arial Narrow" w:hint="default"/>
                <w:sz w:val="21"/>
                <w:szCs w:val="21"/>
              </w:rPr>
              <w:t>31 </w:t>
            </w:r>
            <w:r>
              <w:rPr>
                <w:rFonts w:ascii="Arial Narrow" w:hAnsi="Arial Narrow" w:cs="Arial Narrow" w:eastAsia="Arial Narrow" w:hint="default"/>
                <w:spacing w:val="41"/>
                <w:sz w:val="21"/>
                <w:szCs w:val="21"/>
              </w:rPr>
              <w:t> </w:t>
            </w:r>
            <w:r>
              <w:rPr>
                <w:rFonts w:ascii="宋体" w:hAnsi="宋体" w:cs="宋体" w:eastAsia="宋体" w:hint="default"/>
                <w:spacing w:val="15"/>
                <w:sz w:val="21"/>
                <w:szCs w:val="21"/>
              </w:rPr>
              <w:t>日合并报表中商誉账面价值为</w:t>
            </w:r>
          </w:p>
          <w:p>
            <w:pPr>
              <w:pStyle w:val="TableParagraph"/>
              <w:spacing w:line="328" w:lineRule="auto"/>
              <w:ind w:left="122" w:right="-1"/>
              <w:jc w:val="left"/>
              <w:rPr>
                <w:rFonts w:ascii="宋体" w:hAnsi="宋体" w:cs="宋体" w:eastAsia="宋体" w:hint="default"/>
                <w:sz w:val="21"/>
                <w:szCs w:val="21"/>
              </w:rPr>
            </w:pPr>
            <w:r>
              <w:rPr>
                <w:rFonts w:ascii="Arial Narrow" w:hAnsi="Arial Narrow" w:cs="Arial Narrow" w:eastAsia="Arial Narrow" w:hint="default"/>
                <w:sz w:val="21"/>
                <w:szCs w:val="21"/>
              </w:rPr>
              <w:t>1,178,064,952.00 </w:t>
            </w:r>
            <w:r>
              <w:rPr>
                <w:rFonts w:ascii="宋体" w:hAnsi="宋体" w:cs="宋体" w:eastAsia="宋体" w:hint="default"/>
                <w:sz w:val="21"/>
                <w:szCs w:val="21"/>
              </w:rPr>
              <w:t>元。为非同一控制下的企业合并形成的， 商誉减值评估每年执行一次。减值评估基于各资产组的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可回收金额进行测算。管理层通过比较被分摊商誉的相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关资产组的可收回金额与该资产组及商誉的账面价值，</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对商誉进行减值测试。预测可收回金额涉及对资产组未</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来现金流量现值的预测，管理层在预测中需要做出重大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判断和假设，特别是对于未来收入增长率和利润及折现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率等。由于减值测试过程较为复杂，同时涉及重大判断，</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我们将视觉中国商誉潜在减值识别作为关键审计事项。</w:t>
            </w:r>
          </w:p>
        </w:tc>
        <w:tc>
          <w:tcPr>
            <w:tcW w:w="4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我们实施的审计程序包括：</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）评价相关内部控制设计及执行的情况；</w:t>
            </w:r>
          </w:p>
          <w:p>
            <w:pPr>
              <w:pStyle w:val="TableParagraph"/>
              <w:spacing w:line="316" w:lineRule="auto" w:before="89"/>
              <w:ind w:left="87" w:right="105" w:firstLine="258"/>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）评价历史的测试结果与实际是否存在重 大的差异；</w:t>
            </w:r>
          </w:p>
          <w:p>
            <w:pPr>
              <w:pStyle w:val="TableParagraph"/>
              <w:spacing w:line="326" w:lineRule="auto" w:before="38"/>
              <w:ind w:left="87" w:right="99" w:firstLine="258"/>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）在评价管理层所聘请外部估计专家的独 </w:t>
            </w:r>
            <w:r>
              <w:rPr>
                <w:rFonts w:ascii="宋体" w:hAnsi="宋体" w:cs="宋体" w:eastAsia="宋体" w:hint="default"/>
                <w:spacing w:val="-3"/>
                <w:sz w:val="21"/>
                <w:szCs w:val="21"/>
              </w:rPr>
              <w:t>立性、胜任能力、专业素质和客观性的基础上与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管理层聘请的估值专家讨论视觉中国使用的假</w:t>
            </w:r>
            <w:r>
              <w:rPr>
                <w:rFonts w:ascii="宋体" w:hAnsi="宋体" w:cs="宋体" w:eastAsia="宋体" w:hint="default"/>
                <w:spacing w:val="8"/>
                <w:sz w:val="21"/>
                <w:szCs w:val="21"/>
              </w:rPr>
              <w:t> </w:t>
            </w:r>
            <w:r>
              <w:rPr>
                <w:rFonts w:ascii="宋体" w:hAnsi="宋体" w:cs="宋体" w:eastAsia="宋体" w:hint="default"/>
                <w:spacing w:val="-3"/>
                <w:sz w:val="21"/>
                <w:szCs w:val="21"/>
              </w:rPr>
              <w:t>设和方法，特别是与所预测收入增长和利润率及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折现率相关的假设和方法。</w:t>
            </w:r>
          </w:p>
          <w:p>
            <w:pPr>
              <w:pStyle w:val="TableParagraph"/>
              <w:spacing w:line="324" w:lineRule="auto" w:before="30"/>
              <w:ind w:left="87" w:right="105" w:firstLine="258"/>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）同时，我们也利用了内部评估专家的工 </w:t>
            </w:r>
            <w:r>
              <w:rPr>
                <w:rFonts w:ascii="宋体" w:hAnsi="宋体" w:cs="宋体" w:eastAsia="宋体" w:hint="default"/>
                <w:spacing w:val="-3"/>
                <w:sz w:val="21"/>
                <w:szCs w:val="21"/>
              </w:rPr>
              <w:t>作，对管理层所聘请评估专家的工作成果进行了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复核。</w:t>
            </w:r>
          </w:p>
          <w:p>
            <w:pPr>
              <w:pStyle w:val="TableParagraph"/>
              <w:spacing w:line="331" w:lineRule="auto" w:before="32"/>
              <w:ind w:left="87" w:right="107" w:firstLine="258"/>
              <w:jc w:val="both"/>
              <w:rPr>
                <w:rFonts w:ascii="宋体" w:hAnsi="宋体" w:cs="宋体" w:eastAsia="宋体" w:hint="default"/>
                <w:sz w:val="21"/>
                <w:szCs w:val="21"/>
              </w:rPr>
            </w:pPr>
            <w:r>
              <w:rPr>
                <w:rFonts w:ascii="宋体" w:hAnsi="宋体" w:cs="宋体" w:eastAsia="宋体" w:hint="default"/>
                <w:spacing w:val="-5"/>
                <w:sz w:val="21"/>
                <w:szCs w:val="21"/>
              </w:rPr>
              <w:t>对于减值测试结果最为敏感的假设（即对于商</w:t>
            </w:r>
            <w:r>
              <w:rPr>
                <w:rFonts w:ascii="宋体" w:hAnsi="宋体" w:cs="宋体" w:eastAsia="宋体" w:hint="default"/>
                <w:sz w:val="21"/>
                <w:szCs w:val="21"/>
              </w:rPr>
              <w:t> </w:t>
            </w:r>
            <w:r>
              <w:rPr>
                <w:rFonts w:ascii="宋体" w:hAnsi="宋体" w:cs="宋体" w:eastAsia="宋体" w:hint="default"/>
                <w:spacing w:val="-3"/>
                <w:sz w:val="21"/>
                <w:szCs w:val="21"/>
              </w:rPr>
              <w:t>誉可回收金额影响最大），我们关注了视觉中国</w:t>
            </w:r>
            <w:r>
              <w:rPr>
                <w:rFonts w:ascii="宋体" w:hAnsi="宋体" w:cs="宋体" w:eastAsia="宋体" w:hint="default"/>
                <w:sz w:val="21"/>
                <w:szCs w:val="21"/>
              </w:rPr>
              <w:t> 对这些假设的披露是否适当。</w:t>
            </w:r>
          </w:p>
        </w:tc>
      </w:tr>
    </w:tbl>
    <w:p>
      <w:pPr>
        <w:pStyle w:val="Heading6"/>
        <w:spacing w:line="240" w:lineRule="auto" w:before="58"/>
        <w:ind w:left="674" w:right="1023"/>
        <w:jc w:val="left"/>
      </w:pPr>
      <w:r>
        <w:rPr/>
        <w:t>（三）</w:t>
      </w:r>
      <w:r>
        <w:rPr>
          <w:spacing w:val="-15"/>
        </w:rPr>
        <w:t> </w:t>
      </w:r>
      <w:r>
        <w:rPr/>
        <w:t>使用寿命不确定的图片素材资产减值</w:t>
      </w:r>
    </w:p>
    <w:p>
      <w:pPr>
        <w:spacing w:line="240" w:lineRule="auto" w:before="7"/>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5310"/>
        <w:gridCol w:w="4560"/>
      </w:tblGrid>
      <w:tr>
        <w:trPr>
          <w:trHeight w:val="399" w:hRule="exact"/>
        </w:trPr>
        <w:tc>
          <w:tcPr>
            <w:tcW w:w="5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8"/>
              <w:ind w:left="1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5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8"/>
              <w:ind w:left="90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1161" w:hRule="exact"/>
        </w:trPr>
        <w:tc>
          <w:tcPr>
            <w:tcW w:w="53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pacing w:val="-8"/>
                <w:sz w:val="21"/>
                <w:szCs w:val="21"/>
              </w:rPr>
              <w:t>请参见财务报表附注七（十六）。于 </w:t>
            </w:r>
            <w:r>
              <w:rPr>
                <w:rFonts w:ascii="Arial Narrow" w:hAnsi="Arial Narrow" w:cs="Arial Narrow" w:eastAsia="Arial Narrow" w:hint="default"/>
                <w:sz w:val="21"/>
                <w:szCs w:val="21"/>
              </w:rPr>
              <w:t>2018  </w:t>
            </w:r>
            <w:r>
              <w:rPr>
                <w:rFonts w:ascii="宋体" w:hAnsi="宋体" w:cs="宋体" w:eastAsia="宋体" w:hint="default"/>
                <w:sz w:val="21"/>
                <w:szCs w:val="21"/>
              </w:rPr>
              <w:t>年 </w:t>
            </w:r>
            <w:r>
              <w:rPr>
                <w:rFonts w:ascii="Arial Narrow" w:hAnsi="Arial Narrow" w:cs="Arial Narrow" w:eastAsia="Arial Narrow" w:hint="default"/>
                <w:sz w:val="21"/>
                <w:szCs w:val="21"/>
              </w:rPr>
              <w:t>12 </w:t>
            </w:r>
            <w:r>
              <w:rPr>
                <w:rFonts w:ascii="Arial Narrow" w:hAnsi="Arial Narrow" w:cs="Arial Narrow" w:eastAsia="Arial Narrow" w:hint="default"/>
                <w:spacing w:val="36"/>
                <w:sz w:val="21"/>
                <w:szCs w:val="21"/>
              </w:rPr>
              <w:t> </w:t>
            </w:r>
            <w:r>
              <w:rPr>
                <w:rFonts w:ascii="宋体" w:hAnsi="宋体" w:cs="宋体" w:eastAsia="宋体" w:hint="default"/>
                <w:sz w:val="21"/>
                <w:szCs w:val="21"/>
              </w:rPr>
              <w:t>月</w:t>
            </w:r>
          </w:p>
          <w:p>
            <w:pPr>
              <w:pStyle w:val="TableParagraph"/>
              <w:spacing w:line="240" w:lineRule="auto" w:before="8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31 </w:t>
            </w:r>
            <w:r>
              <w:rPr>
                <w:rFonts w:ascii="Arial Narrow" w:hAnsi="Arial Narrow" w:cs="Arial Narrow" w:eastAsia="Arial Narrow" w:hint="default"/>
                <w:spacing w:val="28"/>
                <w:sz w:val="21"/>
                <w:szCs w:val="21"/>
              </w:rPr>
              <w:t> </w:t>
            </w:r>
            <w:r>
              <w:rPr>
                <w:rFonts w:ascii="宋体" w:hAnsi="宋体" w:cs="宋体" w:eastAsia="宋体" w:hint="default"/>
                <w:spacing w:val="-3"/>
                <w:sz w:val="21"/>
                <w:szCs w:val="21"/>
              </w:rPr>
              <w:t>日，合并财务报表中使用寿命不确定非流动资产中的</w:t>
            </w:r>
          </w:p>
          <w:p>
            <w:pPr>
              <w:pStyle w:val="TableParagraph"/>
              <w:spacing w:line="240" w:lineRule="auto" w:before="91"/>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Corbis  </w:t>
            </w:r>
            <w:r>
              <w:rPr>
                <w:rFonts w:ascii="宋体" w:hAnsi="宋体" w:cs="宋体" w:eastAsia="宋体" w:hint="default"/>
                <w:sz w:val="21"/>
                <w:szCs w:val="21"/>
              </w:rPr>
              <w:t>图片素材账面价值为 </w:t>
            </w:r>
            <w:r>
              <w:rPr>
                <w:rFonts w:ascii="Arial Narrow" w:hAnsi="Arial Narrow" w:cs="Arial Narrow" w:eastAsia="Arial Narrow" w:hint="default"/>
                <w:sz w:val="21"/>
                <w:szCs w:val="21"/>
              </w:rPr>
              <w:t>540,782,182.85</w:t>
            </w:r>
            <w:r>
              <w:rPr>
                <w:rFonts w:ascii="Arial Narrow" w:hAnsi="Arial Narrow" w:cs="Arial Narrow" w:eastAsia="Arial Narrow" w:hint="default"/>
                <w:spacing w:val="-21"/>
                <w:sz w:val="21"/>
                <w:szCs w:val="21"/>
              </w:rPr>
              <w:t> </w:t>
            </w:r>
            <w:r>
              <w:rPr>
                <w:rFonts w:ascii="宋体" w:hAnsi="宋体" w:cs="宋体" w:eastAsia="宋体" w:hint="default"/>
                <w:sz w:val="21"/>
                <w:szCs w:val="21"/>
              </w:rPr>
              <w:t>元。作为寿命</w:t>
            </w:r>
          </w:p>
        </w:tc>
        <w:tc>
          <w:tcPr>
            <w:tcW w:w="4560" w:type="dxa"/>
            <w:tcBorders>
              <w:top w:val="single" w:sz="4" w:space="0" w:color="000000"/>
              <w:left w:val="single" w:sz="4" w:space="0" w:color="000000"/>
              <w:bottom w:val="single" w:sz="12" w:space="0" w:color="000000"/>
              <w:right w:val="nil" w:sz="6" w:space="0" w:color="auto"/>
            </w:tcBorders>
          </w:tcPr>
          <w:p>
            <w:pPr>
              <w:pStyle w:val="TableParagraph"/>
              <w:spacing w:line="331" w:lineRule="auto" w:before="60"/>
              <w:ind w:left="103" w:right="40"/>
              <w:jc w:val="left"/>
              <w:rPr>
                <w:rFonts w:ascii="宋体" w:hAnsi="宋体" w:cs="宋体" w:eastAsia="宋体" w:hint="default"/>
                <w:sz w:val="21"/>
                <w:szCs w:val="21"/>
              </w:rPr>
            </w:pPr>
            <w:r>
              <w:rPr>
                <w:rFonts w:ascii="宋体" w:hAnsi="宋体" w:cs="宋体" w:eastAsia="宋体" w:hint="default"/>
                <w:spacing w:val="6"/>
                <w:sz w:val="21"/>
                <w:szCs w:val="21"/>
              </w:rPr>
              <w:t>我们实施的审计程序包括了解和评估非流动资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产使用寿命不确定的减值准则的相关内部控制；</w:t>
            </w:r>
          </w:p>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与管理层讨论持有</w:t>
            </w:r>
            <w:r>
              <w:rPr>
                <w:rFonts w:ascii="宋体" w:hAnsi="宋体" w:cs="宋体" w:eastAsia="宋体" w:hint="default"/>
                <w:spacing w:val="-72"/>
                <w:sz w:val="21"/>
                <w:szCs w:val="21"/>
              </w:rPr>
              <w:t> </w:t>
            </w:r>
            <w:r>
              <w:rPr>
                <w:rFonts w:ascii="Arial Narrow" w:hAnsi="Arial Narrow" w:cs="Arial Narrow" w:eastAsia="Arial Narrow" w:hint="default"/>
                <w:sz w:val="21"/>
                <w:szCs w:val="21"/>
              </w:rPr>
              <w:t>Corbis</w:t>
            </w:r>
            <w:r>
              <w:rPr>
                <w:rFonts w:ascii="Arial Narrow" w:hAnsi="Arial Narrow" w:cs="Arial Narrow" w:eastAsia="Arial Narrow" w:hint="default"/>
                <w:spacing w:val="-16"/>
                <w:sz w:val="21"/>
                <w:szCs w:val="21"/>
              </w:rPr>
              <w:t> </w:t>
            </w:r>
            <w:r>
              <w:rPr>
                <w:rFonts w:ascii="宋体" w:hAnsi="宋体" w:cs="宋体" w:eastAsia="宋体" w:hint="default"/>
                <w:sz w:val="21"/>
                <w:szCs w:val="21"/>
              </w:rPr>
              <w:t>图片素材图片的目的及</w:t>
            </w:r>
          </w:p>
        </w:tc>
      </w:tr>
    </w:tbl>
    <w:p>
      <w:pPr>
        <w:spacing w:after="0" w:line="240" w:lineRule="auto"/>
        <w:jc w:val="left"/>
        <w:rPr>
          <w:rFonts w:ascii="宋体" w:hAnsi="宋体" w:cs="宋体" w:eastAsia="宋体" w:hint="default"/>
          <w:sz w:val="21"/>
          <w:szCs w:val="21"/>
        </w:rPr>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5310"/>
        <w:gridCol w:w="4560"/>
      </w:tblGrid>
      <w:tr>
        <w:trPr>
          <w:trHeight w:val="2077" w:hRule="exact"/>
        </w:trPr>
        <w:tc>
          <w:tcPr>
            <w:tcW w:w="5310" w:type="dxa"/>
            <w:tcBorders>
              <w:top w:val="single" w:sz="4" w:space="0" w:color="000000"/>
              <w:left w:val="nil" w:sz="6" w:space="0" w:color="auto"/>
              <w:bottom w:val="single" w:sz="12" w:space="0" w:color="000000"/>
              <w:right w:val="single" w:sz="4" w:space="0" w:color="000000"/>
            </w:tcBorders>
          </w:tcPr>
          <w:p>
            <w:pPr>
              <w:pStyle w:val="TableParagraph"/>
              <w:spacing w:line="326" w:lineRule="auto" w:before="58"/>
              <w:ind w:left="122" w:right="-1"/>
              <w:jc w:val="left"/>
              <w:rPr>
                <w:rFonts w:ascii="宋体" w:hAnsi="宋体" w:cs="宋体" w:eastAsia="宋体" w:hint="default"/>
                <w:sz w:val="21"/>
                <w:szCs w:val="21"/>
              </w:rPr>
            </w:pPr>
            <w:r>
              <w:rPr>
                <w:rFonts w:ascii="宋体" w:hAnsi="宋体" w:cs="宋体" w:eastAsia="宋体" w:hint="default"/>
                <w:sz w:val="21"/>
                <w:szCs w:val="21"/>
              </w:rPr>
              <w:t>不确定的非流动资产，管理层须每年对使用寿命不确定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的该项资产进行减值测试。由于减值测试过程较为复杂，</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同时涉及重大判断，我们将视觉中国 </w:t>
            </w:r>
            <w:r>
              <w:rPr>
                <w:rFonts w:ascii="Arial Narrow" w:hAnsi="Arial Narrow" w:cs="Arial Narrow" w:eastAsia="Arial Narrow" w:hint="default"/>
                <w:sz w:val="21"/>
                <w:szCs w:val="21"/>
              </w:rPr>
              <w:t>Corbis</w:t>
            </w:r>
            <w:r>
              <w:rPr>
                <w:rFonts w:ascii="Arial Narrow" w:hAnsi="Arial Narrow" w:cs="Arial Narrow" w:eastAsia="Arial Narrow" w:hint="default"/>
                <w:spacing w:val="16"/>
                <w:sz w:val="21"/>
                <w:szCs w:val="21"/>
              </w:rPr>
              <w:t> </w:t>
            </w:r>
            <w:r>
              <w:rPr>
                <w:rFonts w:ascii="宋体" w:hAnsi="宋体" w:cs="宋体" w:eastAsia="宋体" w:hint="default"/>
                <w:sz w:val="21"/>
                <w:szCs w:val="21"/>
              </w:rPr>
              <w:t>图片素材潜 在减值识别作为关键审计事项。</w:t>
            </w:r>
          </w:p>
        </w:tc>
        <w:tc>
          <w:tcPr>
            <w:tcW w:w="4560" w:type="dxa"/>
            <w:tcBorders>
              <w:top w:val="single" w:sz="4" w:space="0" w:color="000000"/>
              <w:left w:val="single" w:sz="4" w:space="0" w:color="000000"/>
              <w:bottom w:val="single" w:sz="12" w:space="0" w:color="000000"/>
              <w:right w:val="nil" w:sz="6" w:space="0" w:color="auto"/>
            </w:tcBorders>
          </w:tcPr>
          <w:p>
            <w:pPr>
              <w:pStyle w:val="TableParagraph"/>
              <w:spacing w:line="331" w:lineRule="auto" w:before="58"/>
              <w:ind w:left="103" w:right="40"/>
              <w:jc w:val="both"/>
              <w:rPr>
                <w:rFonts w:ascii="宋体" w:hAnsi="宋体" w:cs="宋体" w:eastAsia="宋体" w:hint="default"/>
                <w:sz w:val="21"/>
                <w:szCs w:val="21"/>
              </w:rPr>
            </w:pPr>
            <w:r>
              <w:rPr>
                <w:rFonts w:ascii="宋体" w:hAnsi="宋体" w:cs="宋体" w:eastAsia="宋体" w:hint="default"/>
                <w:spacing w:val="-4"/>
                <w:sz w:val="21"/>
                <w:szCs w:val="21"/>
              </w:rPr>
              <w:t>市场发展趋势；现场观察盘点图片资产，确认其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存在性和品质；与管理层所聘请的估值专家讨论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视觉中国对图片价值评估所使用的假设和方法， 并检查其评估报告，分析其关键参数的合理性； 同时我们关注了对该项资产披露的充分性。</w:t>
            </w:r>
          </w:p>
        </w:tc>
      </w:tr>
    </w:tbl>
    <w:p>
      <w:pPr>
        <w:pStyle w:val="Heading5"/>
        <w:spacing w:line="240" w:lineRule="auto" w:before="93"/>
        <w:ind w:left="669" w:right="1023"/>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pStyle w:val="Heading6"/>
        <w:spacing w:line="331" w:lineRule="auto" w:before="124"/>
        <w:ind w:left="254" w:right="1114" w:firstLine="420"/>
        <w:jc w:val="left"/>
      </w:pPr>
      <w:r>
        <w:rPr/>
        <w:t>视觉中国管理层对其他信息负责。其他信息包括视觉中国</w:t>
      </w:r>
      <w:r>
        <w:rPr>
          <w:spacing w:val="-72"/>
        </w:rPr>
        <w:t> </w:t>
      </w:r>
      <w:r>
        <w:rPr>
          <w:rFonts w:ascii="Arial Narrow" w:hAnsi="Arial Narrow" w:cs="Arial Narrow" w:eastAsia="Arial Narrow" w:hint="default"/>
        </w:rPr>
        <w:t>2018</w:t>
      </w:r>
      <w:r>
        <w:rPr>
          <w:rFonts w:ascii="Arial Narrow" w:hAnsi="Arial Narrow" w:cs="Arial Narrow" w:eastAsia="Arial Narrow" w:hint="default"/>
          <w:spacing w:val="-15"/>
        </w:rPr>
        <w:t> </w:t>
      </w:r>
      <w:r>
        <w:rPr>
          <w:spacing w:val="-3"/>
        </w:rPr>
        <w:t>年年度报告中涵盖的信息，但不包括财</w:t>
      </w:r>
      <w:r>
        <w:rPr/>
        <w:t> 务报表和我们的审计报告。</w:t>
      </w:r>
    </w:p>
    <w:p>
      <w:pPr>
        <w:pStyle w:val="Heading6"/>
        <w:spacing w:line="348" w:lineRule="auto" w:before="46"/>
        <w:ind w:left="674" w:right="1023"/>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Heading6"/>
        <w:spacing w:line="350" w:lineRule="auto" w:before="30"/>
        <w:ind w:left="674" w:right="1023"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Heading6"/>
        <w:spacing w:line="240" w:lineRule="auto" w:before="28"/>
        <w:ind w:left="254" w:right="1023"/>
        <w:jc w:val="left"/>
      </w:pPr>
      <w:r>
        <w:rPr/>
        <w:t>们无任何事项需要报告。</w:t>
      </w:r>
    </w:p>
    <w:p>
      <w:pPr>
        <w:pStyle w:val="Heading5"/>
        <w:spacing w:line="240" w:lineRule="auto" w:before="124"/>
        <w:ind w:left="669" w:right="1023"/>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pStyle w:val="Heading6"/>
        <w:spacing w:line="348" w:lineRule="auto" w:before="126"/>
        <w:ind w:left="254" w:right="1023" w:firstLine="420"/>
        <w:jc w:val="left"/>
      </w:pPr>
      <w:r>
        <w:rPr>
          <w:spacing w:val="-1"/>
        </w:rPr>
        <w:t>视觉中国管理层负责按照企业会计准则的规定编制财务报表，使其实现公允反映，并设计、执行和维</w:t>
      </w:r>
      <w:r>
        <w:rPr/>
        <w:t> 护必要的内部控制，以使财务报表不存在由于舞弊或错误导致的重大错报。</w:t>
      </w:r>
    </w:p>
    <w:p>
      <w:pPr>
        <w:pStyle w:val="Heading6"/>
        <w:spacing w:line="350" w:lineRule="auto" w:before="30"/>
        <w:ind w:left="254" w:right="1023" w:firstLine="420"/>
        <w:jc w:val="left"/>
      </w:pPr>
      <w:r>
        <w:rPr>
          <w:spacing w:val="-1"/>
        </w:rPr>
        <w:t>在编制财务报表时，管理层负责评估视觉中国的持续经营能力，并运用持续经营假设，除非管理层计</w:t>
      </w:r>
      <w:r>
        <w:rPr/>
        <w:t> 划清算视觉中国、终止运营或别无其他现实的选择。</w:t>
      </w:r>
    </w:p>
    <w:p>
      <w:pPr>
        <w:pStyle w:val="Heading6"/>
        <w:spacing w:line="240" w:lineRule="auto" w:before="28"/>
        <w:ind w:left="674" w:right="1023"/>
        <w:jc w:val="left"/>
      </w:pPr>
      <w:r>
        <w:rPr/>
        <w:t>治理层负责监督视觉中国的财务报告过程。</w:t>
      </w:r>
    </w:p>
    <w:p>
      <w:pPr>
        <w:pStyle w:val="Heading5"/>
        <w:spacing w:line="240" w:lineRule="auto" w:before="124"/>
        <w:ind w:left="669" w:right="1023"/>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line="240" w:lineRule="auto" w:before="3"/>
        <w:rPr>
          <w:rFonts w:ascii="黑体" w:hAnsi="黑体" w:cs="黑体" w:eastAsia="黑体" w:hint="default"/>
          <w:b/>
          <w:bCs/>
          <w:sz w:val="14"/>
          <w:szCs w:val="14"/>
        </w:rPr>
      </w:pPr>
    </w:p>
    <w:p>
      <w:pPr>
        <w:pStyle w:val="Heading6"/>
        <w:spacing w:line="400" w:lineRule="auto" w:before="0"/>
        <w:ind w:left="254" w:right="1130"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0"/>
        </w:rPr>
        <w:t> </w:t>
      </w:r>
      <w:r>
        <w:rPr>
          <w:spacing w:val="-80"/>
        </w:rPr>
      </w:r>
      <w:r>
        <w:rPr/>
        <w:t>用者依据财务报表作出的经济决策，则通常认为错报是重大的。</w:t>
      </w:r>
    </w:p>
    <w:p>
      <w:pPr>
        <w:pStyle w:val="Heading6"/>
        <w:spacing w:line="400" w:lineRule="auto" w:before="44"/>
        <w:ind w:left="254" w:right="1023" w:firstLine="420"/>
        <w:jc w:val="left"/>
      </w:pPr>
      <w:r>
        <w:rPr>
          <w:spacing w:val="-1"/>
        </w:rPr>
        <w:t>在按照审计准则执行审计工作的过程中，我们运用职业判断，并保持职业怀疑。同时，我们也执行以</w:t>
      </w:r>
      <w:r>
        <w:rPr/>
        <w:t> 下工作：</w:t>
      </w:r>
    </w:p>
    <w:p>
      <w:pPr>
        <w:pStyle w:val="Heading6"/>
        <w:spacing w:line="400" w:lineRule="auto" w:before="45"/>
        <w:ind w:left="254" w:right="1023" w:firstLine="420"/>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Heading6"/>
        <w:spacing w:line="240" w:lineRule="auto" w:before="44"/>
        <w:ind w:left="674" w:right="1023"/>
        <w:jc w:val="left"/>
        <w:rPr>
          <w:rFonts w:ascii="Times New Roman" w:hAnsi="Times New Roman" w:cs="Times New Roman" w:eastAsia="Times New Roman" w:hint="default"/>
        </w:rPr>
      </w:pPr>
      <w:r>
        <w:rPr/>
        <w:t>（二）了解与审计相关的内部控制，以设计恰当的审计程序</w:t>
      </w:r>
      <w:r>
        <w:rPr>
          <w:rFonts w:ascii="Times New Roman" w:hAnsi="Times New Roman" w:cs="Times New Roman" w:eastAsia="Times New Roman" w:hint="default"/>
        </w:rPr>
        <w:t>.</w:t>
      </w:r>
    </w:p>
    <w:p>
      <w:pPr>
        <w:pStyle w:val="Heading6"/>
        <w:spacing w:line="240" w:lineRule="auto" w:before="169"/>
        <w:ind w:left="674" w:right="1023"/>
        <w:jc w:val="left"/>
      </w:pPr>
      <w:r>
        <w:rPr/>
        <w:t>（三）评价管理层选用会计政策的恰当性和作出会计估计及相关披露的合理性。</w:t>
      </w:r>
    </w:p>
    <w:p>
      <w:pPr>
        <w:spacing w:after="0" w:line="240" w:lineRule="auto"/>
        <w:jc w:val="left"/>
        <w:sectPr>
          <w:pgSz w:w="11910" w:h="16840"/>
          <w:pgMar w:header="747" w:footer="979" w:top="1060" w:bottom="1160" w:left="8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6"/>
        <w:spacing w:line="400" w:lineRule="auto" w:before="35"/>
        <w:ind w:right="1131" w:firstLine="420"/>
        <w:jc w:val="both"/>
      </w:pPr>
      <w:r>
        <w:rPr>
          <w:spacing w:val="-1"/>
        </w:rPr>
        <w:t>（四）对管理层使用持续经营假设的恰当性得出结论。同时，根据获取的审计证据，就可能导致对视</w:t>
      </w:r>
      <w:r>
        <w:rPr/>
        <w:t> </w:t>
      </w:r>
      <w:r>
        <w:rPr>
          <w:spacing w:val="-1"/>
        </w:rPr>
        <w:t>觉中国持续经营能力产生重大疑虑的事项或情况是否存在重大不确定性得出结论。如果我们得出结论认为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项或情况可能导致视觉中国不能持续经营。</w:t>
      </w:r>
    </w:p>
    <w:p>
      <w:pPr>
        <w:pStyle w:val="Heading6"/>
        <w:spacing w:line="400" w:lineRule="auto" w:before="45"/>
        <w:ind w:right="1118" w:firstLine="420"/>
        <w:jc w:val="left"/>
      </w:pPr>
      <w:r>
        <w:rPr>
          <w:spacing w:val="-1"/>
        </w:rPr>
        <w:t>（五）评价财务报表的总体列报、结构和内容（包括披露），并评价财务报表是否公允反映相关交易</w:t>
      </w:r>
      <w:r>
        <w:rPr/>
        <w:t> 和事项。</w:t>
      </w:r>
    </w:p>
    <w:p>
      <w:pPr>
        <w:pStyle w:val="Heading6"/>
        <w:spacing w:line="403" w:lineRule="auto" w:before="44"/>
        <w:ind w:right="0" w:firstLine="420"/>
        <w:jc w:val="left"/>
      </w:pPr>
      <w:r>
        <w:rPr>
          <w:spacing w:val="-1"/>
        </w:rPr>
        <w:t>（六）就视觉中国中实体或业务活动的财务信息获取充分、适当的审计证据，以对财务报表发表审计</w:t>
      </w:r>
      <w:r>
        <w:rPr/>
        <w:t> 意见。我们负责指导、监督和执行集团审计，并对审计意见承担全部责任。</w:t>
      </w:r>
    </w:p>
    <w:p>
      <w:pPr>
        <w:pStyle w:val="Heading6"/>
        <w:spacing w:line="400" w:lineRule="auto" w:before="42"/>
        <w:ind w:right="0" w:firstLine="420"/>
        <w:jc w:val="left"/>
      </w:pPr>
      <w:r>
        <w:rPr>
          <w:spacing w:val="-1"/>
        </w:rPr>
        <w:t>我们与治理层就计划的审计范围、时间安排和重大审计发现等事项进行沟通，包括沟通我们在审计中</w:t>
      </w:r>
      <w:r>
        <w:rPr/>
        <w:t> 识别出的值得关注的内部控制缺陷。</w:t>
      </w:r>
    </w:p>
    <w:p>
      <w:pPr>
        <w:pStyle w:val="Heading6"/>
        <w:spacing w:line="400" w:lineRule="auto" w:before="45"/>
        <w:ind w:right="0" w:firstLine="420"/>
        <w:jc w:val="left"/>
      </w:pPr>
      <w:r>
        <w:rPr>
          <w:spacing w:val="-1"/>
        </w:rPr>
        <w:t>我们还就已遵守与独立性相关的职业道德要求向治理层提供声明，并与治理层沟通可能被合理认为影</w:t>
      </w:r>
      <w:r>
        <w:rPr/>
        <w:t> </w:t>
      </w:r>
      <w:r>
        <w:rPr>
          <w:spacing w:val="-4"/>
        </w:rPr>
        <w:t>响我们独立性的所有关系和其他事项，以及相关的防范措施（如适用）。</w:t>
      </w:r>
    </w:p>
    <w:p>
      <w:pPr>
        <w:pStyle w:val="Heading6"/>
        <w:spacing w:line="400" w:lineRule="auto" w:before="44"/>
        <w:ind w:right="1023" w:firstLine="420"/>
        <w:jc w:val="left"/>
      </w:pPr>
      <w:r>
        <w:rPr/>
        <w:t>从与视觉中国治理层沟通过的事项中，我们确定哪些事项对本期财务报表审计最为重要，因而构成关 </w:t>
      </w:r>
      <w:r>
        <w:rPr>
          <w:spacing w:val="-3"/>
        </w:rPr>
        <w:t>键审计事项。我们在审计报告中描述这些事项，除非法律法规禁止公开披露这些事项，或在极少数情形下，</w:t>
      </w:r>
      <w:r>
        <w:rPr>
          <w:spacing w:val="-90"/>
        </w:rPr>
        <w:t> </w:t>
      </w:r>
      <w:r>
        <w:rPr>
          <w:spacing w:val="-90"/>
        </w:rPr>
      </w:r>
      <w:r>
        <w:rPr/>
        <w:t>如果合理预期在审计报告中沟通某事项造成的负面后果超过在公众利益方面产生的益处，我们确定不应在</w:t>
      </w:r>
      <w:r>
        <w:rPr/>
        <w:t> 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tbl>
      <w:tblPr>
        <w:tblW w:w="0" w:type="auto"/>
        <w:jc w:val="left"/>
        <w:tblInd w:w="330" w:type="dxa"/>
        <w:tblLayout w:type="fixed"/>
        <w:tblCellMar>
          <w:top w:w="0" w:type="dxa"/>
          <w:left w:w="0" w:type="dxa"/>
          <w:bottom w:w="0" w:type="dxa"/>
          <w:right w:w="0" w:type="dxa"/>
        </w:tblCellMar>
        <w:tblLook w:val="01E0"/>
      </w:tblPr>
      <w:tblGrid>
        <w:gridCol w:w="4300"/>
        <w:gridCol w:w="2866"/>
      </w:tblGrid>
      <w:tr>
        <w:trPr>
          <w:trHeight w:val="583"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10" w:lineRule="exact"/>
              <w:ind w:right="118"/>
              <w:jc w:val="center"/>
              <w:rPr>
                <w:rFonts w:ascii="宋体" w:hAnsi="宋体" w:cs="宋体" w:eastAsia="宋体" w:hint="default"/>
                <w:sz w:val="21"/>
                <w:szCs w:val="21"/>
              </w:rPr>
            </w:pPr>
            <w:r>
              <w:rPr>
                <w:rFonts w:ascii="宋体" w:hAnsi="宋体" w:cs="宋体" w:eastAsia="宋体" w:hint="default"/>
                <w:sz w:val="21"/>
                <w:szCs w:val="21"/>
              </w:rPr>
              <w:t>中审众环会计师事务所（特殊普通合伙）</w:t>
            </w:r>
          </w:p>
        </w:tc>
        <w:tc>
          <w:tcPr>
            <w:tcW w:w="2866" w:type="dxa"/>
            <w:tcBorders>
              <w:top w:val="nil" w:sz="6" w:space="0" w:color="auto"/>
              <w:left w:val="nil" w:sz="6" w:space="0" w:color="auto"/>
              <w:bottom w:val="nil" w:sz="6" w:space="0" w:color="auto"/>
              <w:right w:val="nil" w:sz="6" w:space="0" w:color="auto"/>
            </w:tcBorders>
          </w:tcPr>
          <w:p>
            <w:pPr>
              <w:pStyle w:val="TableParagraph"/>
              <w:spacing w:line="210" w:lineRule="exact"/>
              <w:ind w:right="543"/>
              <w:jc w:val="center"/>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37"/>
              <w:ind w:right="417"/>
              <w:jc w:val="center"/>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332" w:hRule="exact"/>
        </w:trPr>
        <w:tc>
          <w:tcPr>
            <w:tcW w:w="4300"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spacing w:line="271" w:lineRule="exact"/>
              <w:ind w:left="320"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82"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86" w:lineRule="exact"/>
              <w:ind w:right="117"/>
              <w:jc w:val="center"/>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武汉</w:t>
            </w:r>
          </w:p>
        </w:tc>
        <w:tc>
          <w:tcPr>
            <w:tcW w:w="2866" w:type="dxa"/>
            <w:tcBorders>
              <w:top w:val="nil" w:sz="6" w:space="0" w:color="auto"/>
              <w:left w:val="nil" w:sz="6" w:space="0" w:color="auto"/>
              <w:bottom w:val="nil" w:sz="6" w:space="0" w:color="auto"/>
              <w:right w:val="nil" w:sz="6" w:space="0" w:color="auto"/>
            </w:tcBorders>
          </w:tcPr>
          <w:p>
            <w:pPr>
              <w:pStyle w:val="TableParagraph"/>
              <w:spacing w:line="271" w:lineRule="exact"/>
              <w:ind w:left="356" w:right="0"/>
              <w:jc w:val="left"/>
              <w:rPr>
                <w:rFonts w:ascii="宋体" w:hAnsi="宋体" w:cs="宋体" w:eastAsia="宋体" w:hint="default"/>
                <w:sz w:val="21"/>
                <w:szCs w:val="21"/>
              </w:rPr>
            </w:pPr>
            <w:r>
              <w:rPr>
                <w:rFonts w:ascii="宋体" w:hAnsi="宋体" w:cs="宋体" w:eastAsia="宋体" w:hint="default"/>
                <w:sz w:val="21"/>
                <w:szCs w:val="21"/>
              </w:rPr>
              <w:t>二〇一九年四月二十五日</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t>编制单位：视觉（中国）文化发展股份有限公司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3" w:equalWidth="0">
            <w:col w:w="3935" w:space="1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418,492,001.60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390,502,762.13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186,680,820.56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352,491,537.61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1,586,696.00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185,094,124.56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352,261,537.61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30,121,717.44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6,503,787.81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186,009,724.97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20,696,628.97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8,009,257.39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443,625.00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69,932,313.34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29,394,917.05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8,428,023.04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8,412,877.25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1,009,732,287.61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808,002,510.82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57,889,687.88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110,445,464.30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1,252,555,185.65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1,067,522,106.93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4,087,216.32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5,941,766.23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94,456,101.77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20,277,430.49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1,179,326,796.00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1,264,635,162.64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6,982,516.86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6,308,470.23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2,976,859.76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2,396,688.75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622,018,031.91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807,849,431.97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3,220,292,396.15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3,285,376,521.54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4,230,024,683.76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4,093,379,032.36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177,671,204.60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157,629,116.17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140,826,664.50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185,249,437.31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136,245,654.73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104,452,365.40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15,601,309.16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12,667,656.42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44,824,604.07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64,672,694.04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12,174,074.28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23,432,964.60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2,947,468.52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2,470,055.99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327,429,786.06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188,066,891.45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854,773,297.40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736,171,125.39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276,464,320.00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489,663,582.19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174,716,800.00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156,820,800.00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4,702,767.95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145,161.29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6,131,574.78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109,700,596.66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465,515,462.73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759,830,140.14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1,320,288,760.13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1,496,001,265.53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73,892,895.00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73,892,895.00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1,613,545,653.79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1,600,354,275.31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6,508,319.20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-12,214,473.17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12,253,120.86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8,943,162.85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1,183,914,073.79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895,436,916.54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2,890,114,062.64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2,566,412,776.53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19,621,860.99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30,964,990.30</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2,909,735,923.63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2,597,377,766.83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4,230,024,683.76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4,093,379,032.36</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法定代表人：廖杰</w:t>
        <w:tab/>
        <w:t>主管会计工作负责人：梁军</w:t>
        <w:tab/>
        <w:t>会计机构负责人：卢文菁</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129,668,145.26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115,142,739.66</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3,252,021.10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1,161,212.66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550,177,065.22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436,104,444.41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8,009,257.39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443,625.00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4,011,062.36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4,681,658.25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867,108,293.94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557,090,054.98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48,389,687.88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48,671,864.30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2,812,865,716.21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2,808,120,125.95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2,783,783.63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3,012,782.05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1,258,053.09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761,938.45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6,201,042.20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6,308,470.23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81,235,849.06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2,952,734,132.07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3,127,875,180.98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3,819,842,426.01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3,684,965,235.96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3,535,327.49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809,919.69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2,098,070.14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1,327,920.14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2,248,391.98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1,330,207.66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270,909.42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1,876,732.43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326,985,218.68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237,791,275.50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177,443.75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435,137,917.71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303,136,055.42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435,137,917.71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303,936,055.42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700,577,436.00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700,577,436.00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2,610,669,983.51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2,610,669,983.51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40,552,417.37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37,242,459.36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32,904,671.42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32,539,301.67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3,384,704,508.30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3,381,029,180.54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3,819,842,426.01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3,684,965,235.96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987,837,517.43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814,550,615.82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987,837,517.43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814,550,615.82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639,252,651.92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530,457,301.61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349,166,381.63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278,105,169.25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7,755,995.84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5,685,278.73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80,706,578.00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71,542,100.81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113,892,728.37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99,014,733.22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44,499,325.56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26,016,883.76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26,324,903.23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35,229,297.62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34,947,864.42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27,972,150.85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9,275,630.21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2,820,752.31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16,906,739.29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14,863,838.22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10,737,707.35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4,380,870.55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32,840,125.23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65,708,413.22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48,212,867.99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60,797,389.05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41,675.71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392,204,373.80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353,553,857.98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156,569.49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217,195.45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559,493.88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492,340.63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391,801,449.41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353,278,712.80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56,551,199.16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40,712,139.71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335,250,250.25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312,566,573.09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305,784,302.27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312,566,573.09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29,465,947.98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321,211,367.56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290,820,917.16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14,038,882.69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21,745,655.93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18,625,298.14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-15,905,926.41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18,722,792.37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-15,100,016.53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18,722,792.37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-15,100,016.53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-241,273.66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-1,214,600.82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18,964,066.03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-13,885,415.71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-97,494.23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-805,909.88</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353,875,548.39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296,660,646.68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339,934,159.93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275,720,900.63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13,941,388.46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20,939,746.05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0.4151</w:t>
            </w:r>
          </w:p>
        </w:tc>
      </w:tr>
    </w:tbl>
    <w:p>
      <w:pPr>
        <w:pStyle w:val="BodyText"/>
        <w:tabs>
          <w:tab w:pos="3574" w:val="left" w:leader="none"/>
          <w:tab w:pos="7715" w:val="left" w:leader="none"/>
        </w:tabs>
        <w:spacing w:line="592" w:lineRule="auto" w:before="51"/>
        <w:ind w:right="1229"/>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 法定代表人：廖杰</w:t>
        <w:tab/>
        <w:t>主管会计工作负责人：梁军</w:t>
        <w:tab/>
        <w:t>会计机构负责人：卢文菁 </w:t>
      </w:r>
      <w:bookmarkStart w:name="4、母公司利润表" w:id="160"/>
      <w:bookmarkEnd w:id="1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10,898,684.32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5,364,266.35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183,957.54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1,159,097.58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40,022.09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1,684,242.33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272,745.59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48,119,459.26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43,770,639.16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3,394,364.81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10,465,438.00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19,288,965.43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8,962,293.81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15,781,914.51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1,721,290.39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1,005,118.47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632,187.97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74,138,796.96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318,770,567.32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9,420,973.38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16,248,445.82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-8,470.80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33,086,088.31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266,150,483.04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24,500.92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95,120.00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10,010.08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33,099,580.06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266,235,592.96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33,099,580.06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266,235,592.96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33,099,580.06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266,235,592.96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33,099,580.06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266,235,592.96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917,929,120.96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839,855,674.35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8,917,945.69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2,345,887.20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63,200,622.64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74,577,397.23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990,047,689.29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916,778,958.78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357,454,473.91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303,853,644.52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125,951,736.78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117,951,384.39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121,472,208.29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85,104,874.84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94,119,787.20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159,741,425.15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698,998,206.18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666,651,328.90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291,049,483.11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250,127,629.88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2,163,559.22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23,429,726.38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32,221,744.48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5,132,796.51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115,854,082.95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43,497,554.67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174,933,233.03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144,416,605.84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252,816,251.40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28,895,102.17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15,071,781.61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45,792,920.38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108,905,000.00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279,758,022.55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425,616,781.61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-135,341,416.71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-172,800,530.21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233,526,476.53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400,006,650.42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233,526,476.53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417,006,650.42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294,035,769.49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242,712,877.72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61,016,300.71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45,089,540.53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17,322,331.30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8,060,516.89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268,100,962.14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363,112,587.09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555,903,380.39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-129,586,110.56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-138,896,729.97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1,964,283.63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-4,014,096.16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28,086,239.47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-65,583,726.46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380,004,762.13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445,588,488.59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408,091,001.60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380,004,762.13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8,022,082.74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5,325,343.57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834,569.23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515,096,167.23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558,148,050.36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523,952,819.20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563,473,393.93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1,847,347.00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3,582,291.90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15,331,803.07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15,979,436.57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1,556,016.73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88,685.20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489,607,891.79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538,574,034.35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508,343,058.59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558,224,448.02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15,609,760.61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5,248,945.91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2,160,980.56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5,875,383.12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48,628,210.94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174,933,233.03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5,875,383.12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225,722,424.53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4,781,054.99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6,108,920.07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5,981,054.99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11,108,920.07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-105,671.87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214,613,504.46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35,978,683.14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4,685,878.91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265,599,430.13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150,978,683.14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307,285,309.04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-978,683.14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-227,285,309.04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14,525,405.60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-7,422,858.67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104,838,739.66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112,261,598.33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119,364,145.26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104,838,739.66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8122"/>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251"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91"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-12,214,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473.17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8,943,1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901,523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,172.91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990.30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64,023.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-6,086,2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-6,086,2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56.37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-12,214,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473.17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8,943,1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895,436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,916.54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990.30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13,191,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378.48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18,722,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58.01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288,477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,157.25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-11,343,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129.31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312,358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,156.80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18,722,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321,211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,367.56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13,941,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388.46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353,875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,548.39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-7,532,0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-7,532,0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17.77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-7,532,0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17.77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-7,532,0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17.77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58.01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-32,734,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210.31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-47,176,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752.30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58.01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58.01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252.30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252.30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13,191,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378.48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13,191,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378.48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45,653.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6,508,3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12,253,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120.86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14,073.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19,621,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860.99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35,923.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619,145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,418.60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36,181,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459.14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2,332,9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59,591.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619,145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,418.60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36,181,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459.14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016.53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282,377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,754.31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-5,216,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468.84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270,504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,431.79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016.53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290,820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,917.16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746.05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296,660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,646.68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-15,843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,352.01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-15,843,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352.01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-15,843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,352.01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-15,843,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352.01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-10,312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,862.88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-10,312,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862.88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62.85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-10,312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,862.88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-10,312,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862.88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-12,214,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473.17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8,943,1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901,523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,172.91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30,964,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990.30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64,023.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436.00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37,242,45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9.36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18"/>
                <w:szCs w:val="18"/>
              </w:rPr>
            </w:pPr>
            <w:r>
              <w:rPr>
                <w:rFonts w:ascii="Times New Roman"/>
                <w:sz w:val="18"/>
              </w:rPr>
              <w:t>38,625,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558.04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11" w:right="0"/>
              <w:jc w:val="center"/>
              <w:rPr>
                <w:rFonts w:ascii="Times New Roman" w:hAnsi="Times New Roman" w:cs="Times New Roman" w:eastAsia="Times New Roman" w:hint="default"/>
                <w:sz w:val="18"/>
                <w:szCs w:val="18"/>
              </w:rPr>
            </w:pPr>
            <w:r>
              <w:rPr>
                <w:rFonts w:ascii="Times New Roman"/>
                <w:sz w:val="18"/>
              </w:rPr>
              <w:t>3,387,115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,436.91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-6,086,2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56.37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-6,086,25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6.37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436.00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37,242,45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9.36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32,539,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301.67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3,381,029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,180.54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3,309,958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365,369</w:t>
            </w:r>
          </w:p>
          <w:p>
            <w:pPr>
              <w:pStyle w:val="TableParagraph"/>
              <w:spacing w:line="240" w:lineRule="auto" w:before="106"/>
              <w:ind w:left="418" w:right="0"/>
              <w:jc w:val="left"/>
              <w:rPr>
                <w:rFonts w:ascii="Times New Roman" w:hAnsi="Times New Roman" w:cs="Times New Roman" w:eastAsia="Times New Roman" w:hint="default"/>
                <w:sz w:val="18"/>
                <w:szCs w:val="18"/>
              </w:rPr>
            </w:pPr>
            <w:r>
              <w:rPr>
                <w:rFonts w:ascii="Times New Roman"/>
                <w:sz w:val="18"/>
              </w:rPr>
              <w:t>.75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3,675,327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580.06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33,099,58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3,309,958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-32,734,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210.31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-29,424,2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52.30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3,309,958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58.01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252.30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-29,424,2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52.30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40,552,41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32,904,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671.42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3,384,704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,508.30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397" w:hRule="exact"/>
        </w:trPr>
        <w:tc>
          <w:tcPr>
            <w:tcW w:w="144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1"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1" w:hRule="exact"/>
        </w:trPr>
        <w:tc>
          <w:tcPr>
            <w:tcW w:w="1441"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436.00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z w:val="18"/>
              </w:rPr>
              <w:t>-219,16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3,120,879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,843.95</w:t>
            </w:r>
          </w:p>
        </w:tc>
      </w:tr>
      <w:tr>
        <w:trPr>
          <w:trHeight w:val="392" w:hRule="exact"/>
        </w:trPr>
        <w:tc>
          <w:tcPr>
            <w:tcW w:w="14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3,120,879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,843.95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8,443,162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257,792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,430.11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266,235,5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92.96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266,235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,592.96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266,235,5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92.96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8,443,162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62.85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8,443,162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62.85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37,242,45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38,625,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558.04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3,387,115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,436.91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5"/>
      <w:bookmarkEnd w:id="165"/>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6"/>
        <w:spacing w:line="264" w:lineRule="auto" w:before="0"/>
        <w:ind w:right="1131" w:firstLine="420"/>
        <w:jc w:val="both"/>
      </w:pPr>
      <w:r>
        <w:rPr>
          <w:spacing w:val="-1"/>
        </w:rPr>
        <w:t>视觉（中国）文化发展股份有限公司（以下简称公司或本公司）原名远东实业股份有限公司（以下简</w:t>
      </w:r>
      <w:r>
        <w:rPr/>
        <w:t> </w:t>
      </w:r>
      <w:r>
        <w:rPr>
          <w:spacing w:val="-1"/>
        </w:rPr>
        <w:t>称远东股份），远东股份成立时的发起人为远东服装有限公司、常州服装集团公司和中行江苏信托咨询公</w:t>
      </w:r>
      <w:r>
        <w:rPr>
          <w:spacing w:val="-82"/>
        </w:rPr>
        <w:t> </w:t>
      </w:r>
      <w:r>
        <w:rPr>
          <w:spacing w:val="-82"/>
        </w:rPr>
      </w:r>
      <w:r>
        <w:rPr>
          <w:spacing w:val="-1"/>
        </w:rPr>
        <w:t>司。经江苏省经济体制改革委员会</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w:t>
      </w:r>
      <w:r>
        <w:rPr>
          <w:spacing w:val="-1"/>
        </w:rPr>
        <w:t>日《关于同意设立远东实业股份有限公司的批复》（苏体</w:t>
      </w:r>
      <w:r>
        <w:rPr>
          <w:spacing w:val="-83"/>
        </w:rPr>
        <w:t> </w:t>
      </w:r>
      <w:r>
        <w:rPr>
          <w:spacing w:val="-83"/>
        </w:rPr>
      </w:r>
      <w:r>
        <w:rPr>
          <w:spacing w:val="-2"/>
        </w:rPr>
        <w:t>改生</w:t>
      </w:r>
      <w:r>
        <w:rPr>
          <w:rFonts w:ascii="Times New Roman" w:hAnsi="Times New Roman" w:cs="Times New Roman" w:eastAsia="Times New Roman" w:hint="default"/>
          <w:spacing w:val="-2"/>
        </w:rPr>
        <w:t>[1993]376</w:t>
      </w:r>
      <w:r>
        <w:rPr>
          <w:spacing w:val="-2"/>
        </w:rPr>
        <w:t>号）批准，由远东服装有限公司作为主要发起人，常州服装集团公司和中行江苏信托咨询公</w:t>
      </w:r>
      <w:r>
        <w:rPr>
          <w:spacing w:val="-63"/>
        </w:rPr>
        <w:t> </w:t>
      </w:r>
      <w:r>
        <w:rPr>
          <w:spacing w:val="-63"/>
        </w:rPr>
      </w:r>
      <w:r>
        <w:rPr/>
        <w:t>司作为共同发起人，向社会法人和内部职工定向募集设立公司，股本总额为</w:t>
      </w:r>
      <w:r>
        <w:rPr>
          <w:rFonts w:ascii="Times New Roman" w:hAnsi="Times New Roman" w:cs="Times New Roman" w:eastAsia="Times New Roman" w:hint="default"/>
        </w:rPr>
        <w:t>5,422.9377</w:t>
      </w:r>
      <w:r>
        <w:rPr/>
        <w:t>万元。</w:t>
      </w:r>
    </w:p>
    <w:p>
      <w:pPr>
        <w:pStyle w:val="Heading6"/>
        <w:spacing w:line="256" w:lineRule="auto" w:before="0"/>
        <w:ind w:right="1129" w:firstLine="420"/>
        <w:jc w:val="both"/>
      </w:pPr>
      <w:r>
        <w:rPr>
          <w:spacing w:val="-1"/>
        </w:rPr>
        <w:t>经远东股份</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日临时股东大会审议通过，并经江苏省人民政府</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日《省政府关于</w:t>
      </w:r>
      <w:r>
        <w:rPr/>
        <w:t> </w:t>
      </w:r>
      <w:r>
        <w:rPr>
          <w:spacing w:val="-4"/>
        </w:rPr>
        <w:t>同意远东实业股份有限公司分立的批复》（苏政复</w:t>
      </w:r>
      <w:r>
        <w:rPr>
          <w:rFonts w:ascii="Times New Roman" w:hAnsi="Times New Roman" w:cs="Times New Roman" w:eastAsia="Times New Roman" w:hint="default"/>
          <w:spacing w:val="-4"/>
        </w:rPr>
        <w:t>[1996]72</w:t>
      </w:r>
      <w:r>
        <w:rPr>
          <w:spacing w:val="-4"/>
        </w:rPr>
        <w:t>号）批准，远东股份因分立减少注册资本至</w:t>
      </w:r>
      <w:r>
        <w:rPr>
          <w:rFonts w:ascii="Times New Roman" w:hAnsi="Times New Roman" w:cs="Times New Roman" w:eastAsia="Times New Roman" w:hint="default"/>
          <w:spacing w:val="-4"/>
        </w:rPr>
        <w:t>3,750</w:t>
      </w:r>
      <w:r>
        <w:rPr>
          <w:rFonts w:ascii="Times New Roman" w:hAnsi="Times New Roman" w:cs="Times New Roman" w:eastAsia="Times New Roman" w:hint="default"/>
        </w:rPr>
        <w:t> </w:t>
      </w:r>
      <w:r>
        <w:rPr/>
        <w:t>万元。</w:t>
      </w:r>
    </w:p>
    <w:p>
      <w:pPr>
        <w:pStyle w:val="Heading6"/>
        <w:spacing w:line="261" w:lineRule="auto" w:before="22"/>
        <w:ind w:right="1129" w:firstLine="420"/>
        <w:jc w:val="both"/>
      </w:pPr>
      <w:r>
        <w:rPr>
          <w:spacing w:val="-1"/>
        </w:rPr>
        <w:t>根据江苏省经济体制改革委员会</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11</w:t>
      </w:r>
      <w:r>
        <w:rPr>
          <w:spacing w:val="-1"/>
        </w:rPr>
        <w:t>日《关于远东实业股份有限公司内部职工股清理情况的</w:t>
      </w:r>
      <w:r>
        <w:rPr/>
        <w:t> </w:t>
      </w:r>
      <w:r>
        <w:rPr>
          <w:spacing w:val="-11"/>
        </w:rPr>
        <w:t>报告》（苏体改生</w:t>
      </w:r>
      <w:r>
        <w:rPr>
          <w:rFonts w:ascii="Times New Roman" w:hAnsi="Times New Roman" w:cs="Times New Roman" w:eastAsia="Times New Roman" w:hint="default"/>
          <w:spacing w:val="-11"/>
        </w:rPr>
        <w:t>[1996]357</w:t>
      </w:r>
      <w:r>
        <w:rPr>
          <w:spacing w:val="-11"/>
        </w:rPr>
        <w:t>号）和《关于对远东实业股份有限公司股票托管情况的确认函》（苏体改函</w:t>
      </w:r>
      <w:r>
        <w:rPr>
          <w:rFonts w:ascii="Times New Roman" w:hAnsi="Times New Roman" w:cs="Times New Roman" w:eastAsia="Times New Roman" w:hint="default"/>
          <w:spacing w:val="-11"/>
        </w:rPr>
        <w:t>[1996]53</w:t>
      </w:r>
      <w:r>
        <w:rPr>
          <w:rFonts w:ascii="Times New Roman" w:hAnsi="Times New Roman" w:cs="Times New Roman" w:eastAsia="Times New Roman" w:hint="default"/>
          <w:spacing w:val="-35"/>
        </w:rPr>
        <w:t> </w:t>
      </w:r>
      <w:r>
        <w:rPr>
          <w:spacing w:val="-1"/>
        </w:rPr>
        <w:t>号），经征得内部职工股持有人同意、远东股份股东大会通过，将内部职工股全部转让给法人股东，并由</w:t>
      </w:r>
      <w:r>
        <w:rPr>
          <w:spacing w:val="-83"/>
        </w:rPr>
        <w:t> </w:t>
      </w:r>
      <w:r>
        <w:rPr>
          <w:spacing w:val="-83"/>
        </w:rPr>
      </w:r>
      <w:r>
        <w:rPr/>
        <w:t>常州市证券登记公司办理了股权转让手续，远东股份的所有股份全部办理托管手续。</w:t>
      </w:r>
    </w:p>
    <w:p>
      <w:pPr>
        <w:pStyle w:val="Heading6"/>
        <w:spacing w:line="256" w:lineRule="auto" w:before="18"/>
        <w:ind w:right="1115" w:firstLine="420"/>
        <w:jc w:val="left"/>
      </w:pPr>
      <w:r>
        <w:rPr/>
        <w:t>经远东股份</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日临时股东大会审议通过，并经中国证监会《关于远东实业股份有限公司申 </w:t>
      </w:r>
      <w:r>
        <w:rPr>
          <w:spacing w:val="-1"/>
        </w:rPr>
        <w:t>请公开发行股票的批复》（证监发字</w:t>
      </w:r>
      <w:r>
        <w:rPr>
          <w:rFonts w:ascii="Times New Roman" w:hAnsi="Times New Roman" w:cs="Times New Roman" w:eastAsia="Times New Roman" w:hint="default"/>
          <w:spacing w:val="-1"/>
        </w:rPr>
        <w:t>[1996]406</w:t>
      </w:r>
      <w:r>
        <w:rPr>
          <w:spacing w:val="-1"/>
        </w:rPr>
        <w:t>号）、《关于同意远东实业股份有限公司采用</w:t>
      </w:r>
      <w:r>
        <w:rPr>
          <w:rFonts w:ascii="Times New Roman" w:hAnsi="Times New Roman" w:cs="Times New Roman" w:eastAsia="Times New Roman" w:hint="default"/>
          <w:spacing w:val="-1"/>
        </w:rPr>
        <w:t>“</w:t>
      </w:r>
      <w:r>
        <w:rPr>
          <w:spacing w:val="-1"/>
        </w:rPr>
        <w:t>上网定价</w:t>
      </w:r>
      <w:r>
        <w:rPr>
          <w:rFonts w:ascii="Times New Roman" w:hAnsi="Times New Roman" w:cs="Times New Roman" w:eastAsia="Times New Roman" w:hint="default"/>
          <w:spacing w:val="-1"/>
        </w:rPr>
        <w:t>”</w:t>
      </w:r>
      <w:r>
        <w:rPr>
          <w:spacing w:val="-1"/>
        </w:rPr>
        <w:t>方</w:t>
      </w:r>
      <w:r>
        <w:rPr>
          <w:spacing w:val="-90"/>
        </w:rPr>
        <w:t> </w:t>
      </w:r>
      <w:r>
        <w:rPr/>
        <w:t>式发行</w:t>
      </w:r>
      <w:r>
        <w:rPr>
          <w:rFonts w:ascii="Times New Roman" w:hAnsi="Times New Roman" w:cs="Times New Roman" w:eastAsia="Times New Roman" w:hint="default"/>
        </w:rPr>
        <w:t>A</w:t>
      </w:r>
      <w:r>
        <w:rPr/>
        <w:t>股的批复》（证监发字</w:t>
      </w:r>
      <w:r>
        <w:rPr>
          <w:rFonts w:ascii="Times New Roman" w:hAnsi="Times New Roman" w:cs="Times New Roman" w:eastAsia="Times New Roman" w:hint="default"/>
        </w:rPr>
        <w:t>[1996]407</w:t>
      </w:r>
      <w:r>
        <w:rPr/>
        <w:t>号）批准，远东股份于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月向社会公开发行人民币普通股 </w:t>
      </w:r>
      <w:r>
        <w:rPr>
          <w:rFonts w:ascii="Times New Roman" w:hAnsi="Times New Roman" w:cs="Times New Roman" w:eastAsia="Times New Roman" w:hint="default"/>
          <w:spacing w:val="-1"/>
        </w:rPr>
        <w:t>1,250</w:t>
      </w:r>
      <w:r>
        <w:rPr>
          <w:spacing w:val="-1"/>
        </w:rPr>
        <w:t>万股（含职工股</w:t>
      </w:r>
      <w:r>
        <w:rPr>
          <w:rFonts w:ascii="Times New Roman" w:hAnsi="Times New Roman" w:cs="Times New Roman" w:eastAsia="Times New Roman" w:hint="default"/>
          <w:spacing w:val="-1"/>
        </w:rPr>
        <w:t>125</w:t>
      </w:r>
      <w:r>
        <w:rPr>
          <w:spacing w:val="-1"/>
        </w:rPr>
        <w:t>万股），远东股份的注册资本增加为</w:t>
      </w:r>
      <w:r>
        <w:rPr>
          <w:rFonts w:ascii="Times New Roman" w:hAnsi="Times New Roman" w:cs="Times New Roman" w:eastAsia="Times New Roman" w:hint="default"/>
          <w:spacing w:val="-1"/>
        </w:rPr>
        <w:t>5,000</w:t>
      </w:r>
      <w:r>
        <w:rPr>
          <w:spacing w:val="-1"/>
        </w:rPr>
        <w:t>万元，其中，职工股自本次发行的股票</w:t>
      </w:r>
      <w:r>
        <w:rPr>
          <w:spacing w:val="-80"/>
        </w:rPr>
        <w:t> </w:t>
      </w:r>
      <w:r>
        <w:rPr>
          <w:spacing w:val="-80"/>
        </w:rPr>
      </w:r>
      <w:r>
        <w:rPr/>
        <w:t>上市之日起期满半年后方可上市流通。远东股份股票于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日在深圳证券交易所挂牌交易，股票 代码：</w:t>
      </w:r>
      <w:r>
        <w:rPr>
          <w:rFonts w:ascii="Times New Roman" w:hAnsi="Times New Roman" w:cs="Times New Roman" w:eastAsia="Times New Roman" w:hint="default"/>
        </w:rPr>
        <w:t>000681</w:t>
      </w:r>
      <w:r>
        <w:rPr/>
        <w:t>，股票简称：苏常远东。</w:t>
      </w:r>
    </w:p>
    <w:p>
      <w:pPr>
        <w:pStyle w:val="Heading6"/>
        <w:spacing w:line="256" w:lineRule="auto" w:before="5"/>
        <w:ind w:right="1214" w:firstLine="420"/>
        <w:jc w:val="both"/>
      </w:pPr>
      <w:r>
        <w:rPr/>
        <w:t>经远东股份</w:t>
      </w:r>
      <w:r>
        <w:rPr>
          <w:rFonts w:ascii="Times New Roman" w:hAnsi="Times New Roman" w:cs="Times New Roman" w:eastAsia="Times New Roman" w:hint="default"/>
        </w:rPr>
        <w:t>1996</w:t>
      </w:r>
      <w:r>
        <w:rPr/>
        <w:t>年度股东大会审议通过，远东股份按总股本</w:t>
      </w:r>
      <w:r>
        <w:rPr>
          <w:rFonts w:ascii="Times New Roman" w:hAnsi="Times New Roman" w:cs="Times New Roman" w:eastAsia="Times New Roman" w:hint="default"/>
        </w:rPr>
        <w:t>5,000</w:t>
      </w:r>
      <w:r>
        <w:rPr/>
        <w:t>万股计算，实施了向全体股东每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股送红股</w:t>
      </w:r>
      <w:r>
        <w:rPr>
          <w:rFonts w:ascii="Times New Roman" w:hAnsi="Times New Roman" w:cs="Times New Roman" w:eastAsia="Times New Roman" w:hint="default"/>
        </w:rPr>
        <w:t>2.5</w:t>
      </w:r>
      <w:r>
        <w:rPr/>
        <w:t>股、用公积金向全体股东每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7.5</w:t>
      </w:r>
      <w:r>
        <w:rPr/>
        <w:t>股的利润分配方案及公积金转增股本方案，远东股份 的注册资本增加为</w:t>
      </w:r>
      <w:r>
        <w:rPr>
          <w:rFonts w:ascii="Times New Roman" w:hAnsi="Times New Roman" w:cs="Times New Roman" w:eastAsia="Times New Roman" w:hint="default"/>
        </w:rPr>
        <w:t>10,000</w:t>
      </w:r>
      <w:r>
        <w:rPr/>
        <w:t>万元，股份总数增加为</w:t>
      </w:r>
      <w:r>
        <w:rPr>
          <w:rFonts w:ascii="Times New Roman" w:hAnsi="Times New Roman" w:cs="Times New Roman" w:eastAsia="Times New Roman" w:hint="default"/>
        </w:rPr>
        <w:t>10,000</w:t>
      </w:r>
      <w:r>
        <w:rPr/>
        <w:t>万股。</w:t>
      </w:r>
    </w:p>
    <w:p>
      <w:pPr>
        <w:pStyle w:val="Heading6"/>
        <w:spacing w:line="256" w:lineRule="auto" w:before="5"/>
        <w:ind w:right="1130" w:firstLine="420"/>
        <w:jc w:val="both"/>
      </w:pPr>
      <w:r>
        <w:rPr/>
        <w:t>经远东股份</w:t>
      </w:r>
      <w:r>
        <w:rPr>
          <w:rFonts w:ascii="Times New Roman" w:hAnsi="Times New Roman" w:cs="Times New Roman" w:eastAsia="Times New Roman" w:hint="default"/>
        </w:rPr>
        <w:t>1999</w:t>
      </w:r>
      <w:r>
        <w:rPr/>
        <w:t>年度股东大会审议通过，远东股份以</w:t>
      </w:r>
      <w:r>
        <w:rPr>
          <w:rFonts w:ascii="Times New Roman" w:hAnsi="Times New Roman" w:cs="Times New Roman" w:eastAsia="Times New Roman" w:hint="default"/>
        </w:rPr>
        <w:t>1999</w:t>
      </w:r>
      <w:r>
        <w:rPr/>
        <w:t>年末总股本</w:t>
      </w:r>
      <w:r>
        <w:rPr>
          <w:rFonts w:ascii="Times New Roman" w:hAnsi="Times New Roman" w:cs="Times New Roman" w:eastAsia="Times New Roman" w:hint="default"/>
        </w:rPr>
        <w:t>10,000</w:t>
      </w:r>
      <w:r>
        <w:rPr/>
        <w:t>万股为基数，实施了每</w:t>
      </w:r>
      <w:r>
        <w:rPr>
          <w:rFonts w:ascii="Times New Roman" w:hAnsi="Times New Roman" w:cs="Times New Roman" w:eastAsia="Times New Roman" w:hint="default"/>
        </w:rPr>
        <w:t>10 </w:t>
      </w:r>
      <w:r>
        <w:rPr>
          <w:spacing w:val="-2"/>
        </w:rPr>
        <w:t>股送</w:t>
      </w:r>
      <w:r>
        <w:rPr>
          <w:rFonts w:ascii="Times New Roman" w:hAnsi="Times New Roman" w:cs="Times New Roman" w:eastAsia="Times New Roman" w:hint="default"/>
          <w:spacing w:val="-2"/>
        </w:rPr>
        <w:t>2.5</w:t>
      </w:r>
      <w:r>
        <w:rPr>
          <w:spacing w:val="-2"/>
        </w:rPr>
        <w:t>股、派现金股利</w:t>
      </w:r>
      <w:r>
        <w:rPr>
          <w:rFonts w:ascii="Times New Roman" w:hAnsi="Times New Roman" w:cs="Times New Roman" w:eastAsia="Times New Roman" w:hint="default"/>
          <w:spacing w:val="-2"/>
        </w:rPr>
        <w:t>0.625</w:t>
      </w:r>
      <w:r>
        <w:rPr>
          <w:spacing w:val="-2"/>
        </w:rPr>
        <w:t>元（含税）的利润分配方案，公司的注册资本增加为</w:t>
      </w:r>
      <w:r>
        <w:rPr>
          <w:rFonts w:ascii="Times New Roman" w:hAnsi="Times New Roman" w:cs="Times New Roman" w:eastAsia="Times New Roman" w:hint="default"/>
          <w:spacing w:val="-2"/>
        </w:rPr>
        <w:t>12,500</w:t>
      </w:r>
      <w:r>
        <w:rPr>
          <w:spacing w:val="-2"/>
        </w:rPr>
        <w:t>万元，股份总数增</w:t>
      </w:r>
      <w:r>
        <w:rPr>
          <w:spacing w:val="-77"/>
        </w:rPr>
        <w:t> </w:t>
      </w:r>
      <w:r>
        <w:rPr>
          <w:spacing w:val="-77"/>
        </w:rPr>
      </w:r>
      <w:r>
        <w:rPr/>
        <w:t>加为</w:t>
      </w:r>
      <w:r>
        <w:rPr>
          <w:rFonts w:ascii="Times New Roman" w:hAnsi="Times New Roman" w:cs="Times New Roman" w:eastAsia="Times New Roman" w:hint="default"/>
        </w:rPr>
        <w:t>12,500</w:t>
      </w:r>
      <w:r>
        <w:rPr/>
        <w:t>万股。</w:t>
      </w:r>
    </w:p>
    <w:p>
      <w:pPr>
        <w:pStyle w:val="Heading6"/>
        <w:spacing w:line="256" w:lineRule="auto" w:before="5"/>
        <w:ind w:right="1132" w:firstLine="420"/>
        <w:jc w:val="both"/>
      </w:pPr>
      <w:r>
        <w:rPr>
          <w:spacing w:val="-1"/>
        </w:rPr>
        <w:t>经远东股份</w:t>
      </w:r>
      <w:r>
        <w:rPr>
          <w:rFonts w:ascii="Times New Roman" w:hAnsi="Times New Roman" w:cs="Times New Roman" w:eastAsia="Times New Roman" w:hint="default"/>
          <w:spacing w:val="-1"/>
        </w:rPr>
        <w:t>1999</w:t>
      </w:r>
      <w:r>
        <w:rPr>
          <w:spacing w:val="-1"/>
        </w:rPr>
        <w:t>年度股东大会审议通过，并经中国证监会《关于远东实业股份有限公司申请配股的批</w:t>
      </w:r>
      <w:r>
        <w:rPr/>
        <w:t> 复》（证监公司字</w:t>
      </w:r>
      <w:r>
        <w:rPr>
          <w:rFonts w:ascii="Times New Roman" w:hAnsi="Times New Roman" w:cs="Times New Roman" w:eastAsia="Times New Roman" w:hint="default"/>
        </w:rPr>
        <w:t>[2000]134</w:t>
      </w:r>
      <w:r>
        <w:rPr/>
        <w:t>号）批准，远东股份向社会公众配售</w:t>
      </w:r>
      <w:r>
        <w:rPr>
          <w:rFonts w:ascii="Times New Roman" w:hAnsi="Times New Roman" w:cs="Times New Roman" w:eastAsia="Times New Roman" w:hint="default"/>
        </w:rPr>
        <w:t>750</w:t>
      </w:r>
      <w:r>
        <w:rPr/>
        <w:t>万股股份。远东股份的注册资本增加 为</w:t>
      </w:r>
      <w:r>
        <w:rPr>
          <w:rFonts w:ascii="Times New Roman" w:hAnsi="Times New Roman" w:cs="Times New Roman" w:eastAsia="Times New Roman" w:hint="default"/>
        </w:rPr>
        <w:t>13,250</w:t>
      </w:r>
      <w:r>
        <w:rPr/>
        <w:t>万元，股份总数增加为</w:t>
      </w:r>
      <w:r>
        <w:rPr>
          <w:rFonts w:ascii="Times New Roman" w:hAnsi="Times New Roman" w:cs="Times New Roman" w:eastAsia="Times New Roman" w:hint="default"/>
        </w:rPr>
        <w:t>13,250</w:t>
      </w:r>
      <w:r>
        <w:rPr/>
        <w:t>万股。</w:t>
      </w:r>
    </w:p>
    <w:p>
      <w:pPr>
        <w:pStyle w:val="Heading6"/>
        <w:spacing w:line="256" w:lineRule="auto" w:before="5"/>
        <w:ind w:right="1132" w:firstLine="420"/>
        <w:jc w:val="both"/>
      </w:pPr>
      <w:r>
        <w:rPr/>
        <w:t>经远东股份</w:t>
      </w:r>
      <w:r>
        <w:rPr>
          <w:rFonts w:ascii="Times New Roman" w:hAnsi="Times New Roman" w:cs="Times New Roman" w:eastAsia="Times New Roman" w:hint="default"/>
        </w:rPr>
        <w:t>2000</w:t>
      </w:r>
      <w:r>
        <w:rPr/>
        <w:t>年度股东大会审议通过，远东股份以</w:t>
      </w:r>
      <w:r>
        <w:rPr>
          <w:rFonts w:ascii="Times New Roman" w:hAnsi="Times New Roman" w:cs="Times New Roman" w:eastAsia="Times New Roman" w:hint="default"/>
        </w:rPr>
        <w:t>2000</w:t>
      </w:r>
      <w:r>
        <w:rPr/>
        <w:t>年末总股本</w:t>
      </w:r>
      <w:r>
        <w:rPr>
          <w:rFonts w:ascii="Times New Roman" w:hAnsi="Times New Roman" w:cs="Times New Roman" w:eastAsia="Times New Roman" w:hint="default"/>
        </w:rPr>
        <w:t>13,250</w:t>
      </w:r>
      <w:r>
        <w:rPr/>
        <w:t>万股为基数，实施了向全 </w:t>
      </w:r>
      <w:r>
        <w:rPr>
          <w:spacing w:val="-1"/>
        </w:rPr>
        <w:t>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w:t>
      </w:r>
      <w:r>
        <w:rPr>
          <w:spacing w:val="-1"/>
        </w:rPr>
        <w:t>元（含税）、以资本公积金每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股的利润分配方案，远东股份的注册</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56" w:lineRule="auto" w:before="35"/>
        <w:ind w:left="574" w:right="1197" w:hanging="420"/>
        <w:jc w:val="left"/>
      </w:pPr>
      <w:r>
        <w:rPr/>
        <w:t>资本增加为</w:t>
      </w:r>
      <w:r>
        <w:rPr>
          <w:rFonts w:ascii="Times New Roman" w:hAnsi="Times New Roman" w:cs="Times New Roman" w:eastAsia="Times New Roman" w:hint="default"/>
        </w:rPr>
        <w:t>19,875</w:t>
      </w:r>
      <w:r>
        <w:rPr/>
        <w:t>万元，股份总数增加为</w:t>
      </w:r>
      <w:r>
        <w:rPr>
          <w:rFonts w:ascii="Times New Roman" w:hAnsi="Times New Roman" w:cs="Times New Roman" w:eastAsia="Times New Roman" w:hint="default"/>
        </w:rPr>
        <w:t>19,875</w:t>
      </w:r>
      <w:r>
        <w:rPr/>
        <w:t>万股。 经远东股份</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日股权分置改革相关股东会议审议通过、并经商务部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日《商务部</w:t>
      </w:r>
    </w:p>
    <w:p>
      <w:pPr>
        <w:pStyle w:val="Heading6"/>
        <w:spacing w:line="256" w:lineRule="auto" w:before="5"/>
        <w:ind w:right="1131"/>
        <w:jc w:val="both"/>
      </w:pPr>
      <w:r>
        <w:rPr/>
        <w:t>关于同意远东实业股份有限公司股权转让等事项的批复》（商资批</w:t>
      </w:r>
      <w:r>
        <w:rPr>
          <w:rFonts w:ascii="Times New Roman" w:hAnsi="Times New Roman" w:cs="Times New Roman" w:eastAsia="Times New Roman" w:hint="default"/>
        </w:rPr>
        <w:t>[2006]1577</w:t>
      </w:r>
      <w:r>
        <w:rPr/>
        <w:t>号）批准，公司非流通股股 </w:t>
      </w:r>
      <w:r>
        <w:rPr>
          <w:spacing w:val="-1"/>
        </w:rPr>
        <w:t>东向截至</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日登记在册的流通股股东送股，流通股股东每</w:t>
      </w:r>
      <w:r>
        <w:rPr>
          <w:rFonts w:ascii="Times New Roman" w:hAnsi="Times New Roman" w:cs="Times New Roman" w:eastAsia="Times New Roman" w:hint="default"/>
          <w:spacing w:val="-1"/>
        </w:rPr>
        <w:t>10</w:t>
      </w:r>
      <w:r>
        <w:rPr>
          <w:spacing w:val="-1"/>
        </w:rPr>
        <w:t>股获送</w:t>
      </w:r>
      <w:r>
        <w:rPr>
          <w:rFonts w:ascii="Times New Roman" w:hAnsi="Times New Roman" w:cs="Times New Roman" w:eastAsia="Times New Roman" w:hint="default"/>
          <w:spacing w:val="-1"/>
        </w:rPr>
        <w:t>3</w:t>
      </w:r>
      <w:r>
        <w:rPr>
          <w:spacing w:val="-1"/>
        </w:rPr>
        <w:t>股股份，全体流通股股东共</w:t>
      </w:r>
      <w:r>
        <w:rPr>
          <w:spacing w:val="-83"/>
        </w:rPr>
        <w:t> </w:t>
      </w:r>
      <w:r>
        <w:rPr>
          <w:spacing w:val="-83"/>
        </w:rPr>
      </w:r>
      <w:r>
        <w:rPr/>
        <w:t>计获送</w:t>
      </w:r>
      <w:r>
        <w:rPr>
          <w:rFonts w:ascii="Times New Roman" w:hAnsi="Times New Roman" w:cs="Times New Roman" w:eastAsia="Times New Roman" w:hint="default"/>
        </w:rPr>
        <w:t>17,437,501</w:t>
      </w:r>
      <w:r>
        <w:rPr/>
        <w:t>股股份，公司的股份总数不变。</w:t>
      </w:r>
    </w:p>
    <w:p>
      <w:pPr>
        <w:pStyle w:val="Heading6"/>
        <w:spacing w:line="256" w:lineRule="auto" w:before="5"/>
        <w:ind w:right="0" w:firstLine="420"/>
        <w:jc w:val="left"/>
      </w:pPr>
      <w:r>
        <w:rPr/>
        <w:t>经远东股份</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日临时股东大会审议通过，并于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日经中国证监会《关于核准远 </w:t>
      </w:r>
      <w:r>
        <w:rPr>
          <w:spacing w:val="-2"/>
        </w:rPr>
        <w:t>东实业股份有限公司向柴继军等发行股份购买资产的批复》（证监许可</w:t>
      </w:r>
      <w:r>
        <w:rPr>
          <w:rFonts w:ascii="Times New Roman" w:hAnsi="Times New Roman" w:cs="Times New Roman" w:eastAsia="Times New Roman" w:hint="default"/>
          <w:spacing w:val="-2"/>
        </w:rPr>
        <w:t>[2014]221</w:t>
      </w:r>
      <w:r>
        <w:rPr>
          <w:spacing w:val="-2"/>
        </w:rPr>
        <w:t>号）及《关于核准柴继军</w:t>
      </w:r>
      <w:r>
        <w:rPr>
          <w:spacing w:val="-63"/>
        </w:rPr>
        <w:t> </w:t>
      </w:r>
      <w:r>
        <w:rPr>
          <w:spacing w:val="-63"/>
        </w:rPr>
      </w:r>
      <w:r>
        <w:rPr>
          <w:spacing w:val="-2"/>
        </w:rPr>
        <w:t>及一致行动人公告远东实业股份有限公司收购报告书并豁免其要约收购义务的批复》（证监许可</w:t>
      </w:r>
      <w:r>
        <w:rPr>
          <w:rFonts w:ascii="Times New Roman" w:hAnsi="Times New Roman" w:cs="Times New Roman" w:eastAsia="Times New Roman" w:hint="default"/>
          <w:spacing w:val="-2"/>
        </w:rPr>
        <w:t>[2014]222</w:t>
      </w:r>
      <w:r>
        <w:rPr>
          <w:rFonts w:ascii="Times New Roman" w:hAnsi="Times New Roman" w:cs="Times New Roman" w:eastAsia="Times New Roman" w:hint="default"/>
          <w:spacing w:val="-8"/>
        </w:rPr>
        <w:t> </w:t>
      </w:r>
      <w:r>
        <w:rPr>
          <w:spacing w:val="-1"/>
        </w:rPr>
        <w:t>号）核准，远东股份实施重大资产重组并同时向廖道训等</w:t>
      </w:r>
      <w:r>
        <w:rPr>
          <w:rFonts w:ascii="Times New Roman" w:hAnsi="Times New Roman" w:cs="Times New Roman" w:eastAsia="Times New Roman" w:hint="default"/>
          <w:spacing w:val="-1"/>
        </w:rPr>
        <w:t>17</w:t>
      </w:r>
      <w:r>
        <w:rPr>
          <w:spacing w:val="-1"/>
        </w:rPr>
        <w:t>名自然人发行</w:t>
      </w:r>
      <w:r>
        <w:rPr>
          <w:rFonts w:ascii="Times New Roman" w:hAnsi="Times New Roman" w:cs="Times New Roman" w:eastAsia="Times New Roman" w:hint="default"/>
          <w:spacing w:val="-1"/>
        </w:rPr>
        <w:t>471,236,736</w:t>
      </w:r>
      <w:r>
        <w:rPr>
          <w:spacing w:val="-1"/>
        </w:rPr>
        <w:t>股股份，远东股份总</w:t>
      </w:r>
      <w:r>
        <w:rPr>
          <w:spacing w:val="-81"/>
        </w:rPr>
        <w:t> </w:t>
      </w:r>
      <w:r>
        <w:rPr>
          <w:spacing w:val="-81"/>
        </w:rPr>
      </w:r>
      <w:r>
        <w:rPr/>
        <w:t>股本由</w:t>
      </w:r>
      <w:r>
        <w:rPr>
          <w:rFonts w:ascii="Times New Roman" w:hAnsi="Times New Roman" w:cs="Times New Roman" w:eastAsia="Times New Roman" w:hint="default"/>
        </w:rPr>
        <w:t>198,750,000</w:t>
      </w:r>
      <w:r>
        <w:rPr/>
        <w:t>股增加至</w:t>
      </w:r>
      <w:r>
        <w:rPr>
          <w:rFonts w:ascii="Times New Roman" w:hAnsi="Times New Roman" w:cs="Times New Roman" w:eastAsia="Times New Roman" w:hint="default"/>
        </w:rPr>
        <w:t>669,986,736</w:t>
      </w:r>
      <w:r>
        <w:rPr/>
        <w:t>股。</w:t>
      </w:r>
    </w:p>
    <w:p>
      <w:pPr>
        <w:pStyle w:val="Heading6"/>
        <w:spacing w:line="256" w:lineRule="auto" w:before="5"/>
        <w:ind w:right="0" w:firstLine="42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日远东股份召开了第七届董事会第二十四次会议审议通过了《关于变更公司名称和经营范</w:t>
      </w:r>
      <w:r>
        <w:rPr/>
        <w:t> </w:t>
      </w:r>
      <w:r>
        <w:rPr>
          <w:spacing w:val="-2"/>
        </w:rPr>
        <w:t>围的议案》《关于修订</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的议案》，上述事项已经公司</w:t>
      </w:r>
      <w:r>
        <w:rPr>
          <w:rFonts w:ascii="Times New Roman" w:hAnsi="Times New Roman" w:cs="Times New Roman" w:eastAsia="Times New Roman" w:hint="default"/>
          <w:spacing w:val="-2"/>
        </w:rPr>
        <w:t>2013</w:t>
      </w:r>
      <w:r>
        <w:rPr>
          <w:spacing w:val="-2"/>
        </w:rPr>
        <w:t>年度股东大会审议批准。经国家工商</w:t>
      </w:r>
      <w:r>
        <w:rPr>
          <w:spacing w:val="-58"/>
        </w:rPr>
        <w:t> </w:t>
      </w:r>
      <w:r>
        <w:rPr>
          <w:spacing w:val="-58"/>
        </w:rPr>
      </w:r>
      <w:r>
        <w:rPr/>
        <w:t>总局和江苏省常州工商行政管理局核准，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日，远东股份完成了工商变更登记手续，取得由江 苏省常州工商行政管理局换发的《企业法人营业执照》，变更后的公司名称为</w:t>
      </w:r>
      <w:r>
        <w:rPr>
          <w:rFonts w:ascii="Times New Roman" w:hAnsi="Times New Roman" w:cs="Times New Roman" w:eastAsia="Times New Roman" w:hint="default"/>
        </w:rPr>
        <w:t>“</w:t>
      </w:r>
      <w:r>
        <w:rPr/>
        <w:t>视觉（中国）文化发展股 份有限公司</w:t>
      </w:r>
      <w:r>
        <w:rPr>
          <w:rFonts w:ascii="Times New Roman" w:hAnsi="Times New Roman" w:cs="Times New Roman" w:eastAsia="Times New Roman" w:hint="default"/>
        </w:rPr>
        <w:t>”</w:t>
      </w:r>
      <w:r>
        <w:rPr/>
        <w:t>，股票简称</w:t>
      </w:r>
      <w:r>
        <w:rPr>
          <w:rFonts w:ascii="Times New Roman" w:hAnsi="Times New Roman" w:cs="Times New Roman" w:eastAsia="Times New Roman" w:hint="default"/>
        </w:rPr>
        <w:t>“</w:t>
      </w:r>
      <w:r>
        <w:rPr/>
        <w:t>视觉中国</w:t>
      </w:r>
      <w:r>
        <w:rPr>
          <w:rFonts w:ascii="Times New Roman" w:hAnsi="Times New Roman" w:cs="Times New Roman" w:eastAsia="Times New Roman" w:hint="default"/>
        </w:rPr>
        <w:t>”</w:t>
      </w:r>
      <w:r>
        <w:rPr/>
        <w:t>。</w:t>
      </w:r>
    </w:p>
    <w:p>
      <w:pPr>
        <w:pStyle w:val="Heading6"/>
        <w:spacing w:line="240" w:lineRule="auto" w:before="5"/>
        <w:ind w:left="658"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日公司召开的第七届董事会第二十七次会议和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19</w:t>
      </w:r>
      <w:r>
        <w:rPr/>
        <w:t>日召开的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年第二</w:t>
      </w:r>
    </w:p>
    <w:p>
      <w:pPr>
        <w:pStyle w:val="Heading6"/>
        <w:spacing w:line="256" w:lineRule="auto" w:before="21"/>
        <w:ind w:right="1117"/>
        <w:jc w:val="left"/>
      </w:pPr>
      <w:r>
        <w:rPr/>
        <w:t>次临时股东大会、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日召开的第七届董事会第三十一次会议和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日召开的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年第 一次临时股东大会、</w:t>
      </w: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日召开的第七届董事会第三十四次会议通过的发行人民币普通股股票决 议，并经中国证券监督管理委员会于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日出具的《关于核准视觉（中国）文化发展股份有限公 司非公开发行股票的批复》（证监许可</w:t>
      </w:r>
      <w:r>
        <w:rPr>
          <w:rFonts w:ascii="Times New Roman" w:hAnsi="Times New Roman" w:cs="Times New Roman" w:eastAsia="Times New Roman" w:hint="default"/>
        </w:rPr>
        <w:t>[2015]1230 </w:t>
      </w:r>
      <w:r>
        <w:rPr/>
        <w:t>号）文件核准，公司非公开发行</w:t>
      </w:r>
      <w:r>
        <w:rPr>
          <w:rFonts w:ascii="Times New Roman" w:hAnsi="Times New Roman" w:cs="Times New Roman" w:eastAsia="Times New Roman" w:hint="default"/>
        </w:rPr>
        <w:t>30,590,700</w:t>
      </w:r>
      <w:r>
        <w:rPr>
          <w:rFonts w:ascii="Times New Roman" w:hAnsi="Times New Roman" w:cs="Times New Roman" w:eastAsia="Times New Roman" w:hint="default"/>
          <w:spacing w:val="45"/>
        </w:rPr>
        <w:t> </w:t>
      </w:r>
      <w:r>
        <w:rPr/>
        <w:t>股人民币普 通股股票。公司总股本由</w:t>
      </w:r>
      <w:r>
        <w:rPr>
          <w:rFonts w:ascii="Times New Roman" w:hAnsi="Times New Roman" w:cs="Times New Roman" w:eastAsia="Times New Roman" w:hint="default"/>
        </w:rPr>
        <w:t>669,986,736</w:t>
      </w:r>
      <w:r>
        <w:rPr/>
        <w:t>元增至</w:t>
      </w:r>
      <w:r>
        <w:rPr>
          <w:rFonts w:ascii="Times New Roman" w:hAnsi="Times New Roman" w:cs="Times New Roman" w:eastAsia="Times New Roman" w:hint="default"/>
        </w:rPr>
        <w:t>700,577,436.00</w:t>
      </w:r>
      <w:r>
        <w:rPr/>
        <w:t>元（每股面值</w:t>
      </w:r>
      <w:r>
        <w:rPr>
          <w:rFonts w:ascii="Times New Roman" w:hAnsi="Times New Roman" w:cs="Times New Roman" w:eastAsia="Times New Roman" w:hint="default"/>
        </w:rPr>
        <w:t>1</w:t>
      </w:r>
      <w:r>
        <w:rPr/>
        <w:t>元）。</w:t>
      </w:r>
    </w:p>
    <w:p>
      <w:pPr>
        <w:pStyle w:val="Heading6"/>
        <w:spacing w:line="256" w:lineRule="auto" w:before="5"/>
        <w:ind w:right="0" w:firstLine="420"/>
        <w:jc w:val="left"/>
      </w:pPr>
      <w:r>
        <w:rPr>
          <w:spacing w:val="-1"/>
        </w:rPr>
        <w:t>经以上历次变更，截至本报告期末，本公司注册资本为人民币</w:t>
      </w:r>
      <w:r>
        <w:rPr>
          <w:rFonts w:ascii="Times New Roman" w:hAnsi="Times New Roman" w:cs="Times New Roman" w:eastAsia="Times New Roman" w:hint="default"/>
          <w:spacing w:val="-1"/>
        </w:rPr>
        <w:t>70,057.74</w:t>
      </w:r>
      <w:r>
        <w:rPr>
          <w:spacing w:val="-1"/>
        </w:rPr>
        <w:t>万元，住所位于常州市武进区</w:t>
      </w:r>
      <w:r>
        <w:rPr/>
        <w:t> 西太湖科技产业园禾香路</w:t>
      </w:r>
      <w:r>
        <w:rPr>
          <w:rFonts w:ascii="Times New Roman" w:hAnsi="Times New Roman" w:cs="Times New Roman" w:eastAsia="Times New Roman" w:hint="default"/>
        </w:rPr>
        <w:t>123</w:t>
      </w:r>
      <w:r>
        <w:rPr/>
        <w:t>号，法定代表人为廖杰。</w:t>
      </w:r>
    </w:p>
    <w:p>
      <w:pPr>
        <w:pStyle w:val="Heading6"/>
        <w:spacing w:line="261" w:lineRule="auto" w:before="5"/>
        <w:ind w:right="1130" w:firstLine="420"/>
        <w:jc w:val="both"/>
      </w:pPr>
      <w:r>
        <w:rPr>
          <w:spacing w:val="-1"/>
        </w:rPr>
        <w:t>本公司及子公司</w:t>
      </w:r>
      <w:r>
        <w:rPr>
          <w:rFonts w:ascii="Times New Roman" w:hAnsi="Times New Roman" w:cs="Times New Roman" w:eastAsia="Times New Roman" w:hint="default"/>
          <w:spacing w:val="-1"/>
        </w:rPr>
        <w:t>(</w:t>
      </w:r>
      <w:r>
        <w:rPr>
          <w:spacing w:val="-1"/>
        </w:rPr>
        <w:t>以下合称</w:t>
      </w:r>
      <w:r>
        <w:rPr>
          <w:rFonts w:ascii="Times New Roman" w:hAnsi="Times New Roman" w:cs="Times New Roman" w:eastAsia="Times New Roman" w:hint="default"/>
          <w:spacing w:val="-1"/>
        </w:rPr>
        <w:t>“</w:t>
      </w:r>
      <w:r>
        <w:rPr>
          <w:spacing w:val="-1"/>
        </w:rPr>
        <w:t>本集团</w:t>
      </w:r>
      <w:r>
        <w:rPr>
          <w:rFonts w:ascii="Times New Roman" w:hAnsi="Times New Roman" w:cs="Times New Roman" w:eastAsia="Times New Roman" w:hint="default"/>
          <w:spacing w:val="-1"/>
        </w:rPr>
        <w:t>”)</w:t>
      </w:r>
      <w:r>
        <w:rPr>
          <w:spacing w:val="-1"/>
        </w:rPr>
        <w:t>属于文化创意产业的信息传播服务业，主要业务板块包括</w:t>
      </w:r>
      <w:r>
        <w:rPr>
          <w:rFonts w:ascii="Times New Roman" w:hAnsi="Times New Roman" w:cs="Times New Roman" w:eastAsia="Times New Roman" w:hint="default"/>
          <w:spacing w:val="-1"/>
        </w:rPr>
        <w:t>“</w:t>
      </w:r>
      <w:r>
        <w:rPr>
          <w:spacing w:val="-1"/>
        </w:rPr>
        <w:t>互联网</w:t>
      </w:r>
      <w:r>
        <w:rPr/>
        <w:t> </w:t>
      </w:r>
      <w:r>
        <w:rPr>
          <w:spacing w:val="-2"/>
        </w:rPr>
        <w:t>娱乐与传媒</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旅游及其他</w:t>
      </w:r>
      <w:r>
        <w:rPr>
          <w:rFonts w:ascii="Times New Roman" w:hAnsi="Times New Roman" w:cs="Times New Roman" w:eastAsia="Times New Roman" w:hint="default"/>
          <w:spacing w:val="-2"/>
        </w:rPr>
        <w:t>”</w:t>
      </w:r>
      <w:r>
        <w:rPr>
          <w:spacing w:val="-2"/>
        </w:rPr>
        <w:t>。本集团主要基于互联网的版权交易平台，为媒体客户、商业客户及政府企事</w:t>
      </w:r>
      <w:r>
        <w:rPr>
          <w:spacing w:val="-101"/>
        </w:rPr>
        <w:t> </w:t>
      </w:r>
      <w:r>
        <w:rPr>
          <w:spacing w:val="-101"/>
        </w:rPr>
      </w:r>
      <w:r>
        <w:rPr>
          <w:spacing w:val="-1"/>
        </w:rPr>
        <w:t>业单位提供视觉素材和定制化的增值服务；提供主题公园、城市综合体数字娱乐整体解决方案，提供广告</w:t>
      </w:r>
      <w:r>
        <w:rPr>
          <w:spacing w:val="-83"/>
        </w:rPr>
        <w:t> </w:t>
      </w:r>
      <w:r>
        <w:rPr>
          <w:spacing w:val="-83"/>
        </w:rPr>
      </w:r>
      <w:r>
        <w:rPr/>
        <w:t>设计、策划等全流程服务。</w:t>
      </w:r>
    </w:p>
    <w:p>
      <w:pPr>
        <w:pStyle w:val="Heading6"/>
        <w:spacing w:line="273" w:lineRule="auto" w:before="18"/>
        <w:ind w:right="1023" w:firstLine="420"/>
        <w:jc w:val="left"/>
      </w:pPr>
      <w:r>
        <w:rPr/>
        <w:t>本公司经营范围：广播电视传输技术，互联网络传播、互联网络游戏及娱乐娱乐技术，移动通讯网络 </w:t>
      </w:r>
      <w:r>
        <w:rPr>
          <w:spacing w:val="-3"/>
        </w:rPr>
        <w:t>游戏及娱乐的技术，广播影视娱乐的技术，视频制作、电子传输技术等文化及娱乐产品技术的开发、咨询、</w:t>
      </w:r>
      <w:r>
        <w:rPr>
          <w:spacing w:val="-96"/>
        </w:rPr>
        <w:t> </w:t>
      </w:r>
      <w:r>
        <w:rPr>
          <w:spacing w:val="-96"/>
        </w:rPr>
      </w:r>
      <w:r>
        <w:rPr/>
        <w:t>服务于转让；媒体资产管理软件及其他计算机软件的开发、咨询、服务与转让；计算机图文设计、制作服</w:t>
      </w:r>
      <w:r>
        <w:rPr/>
        <w:t> 务（不含印刷和广告）；摄影、扩印服务；组织文化艺术交流活动（不含演出）；企业管理，企业创业投 资咨询服务，企业形象策划，市场营销策划，财务咨询；版权代理；物业管理；自有房屋租赁；设计、制 作、代理、发布广告。（依法须经批准的项目，经相关部门批准后方可开展经营活动）。</w:t>
      </w:r>
    </w:p>
    <w:p>
      <w:pPr>
        <w:pStyle w:val="Heading6"/>
        <w:spacing w:line="256" w:lineRule="auto"/>
        <w:ind w:right="1129" w:firstLine="420"/>
        <w:jc w:val="both"/>
      </w:pPr>
      <w:r>
        <w:rPr>
          <w:spacing w:val="-1"/>
        </w:rPr>
        <w:t>本公司股东廖道训、吴玉瑞、吴春红、柴继军、姜海林、陈智华、袁闯、李学凌、高玮、梁世平等</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spacing w:val="-1"/>
        </w:rPr>
        <w:t>名一致行动人合计持有本公司</w:t>
      </w:r>
      <w:r>
        <w:rPr>
          <w:rFonts w:ascii="Times New Roman" w:hAnsi="Times New Roman" w:cs="Times New Roman" w:eastAsia="Times New Roman" w:hint="default"/>
          <w:spacing w:val="-1"/>
        </w:rPr>
        <w:t>388,039,891</w:t>
      </w:r>
      <w:r>
        <w:rPr>
          <w:spacing w:val="-1"/>
        </w:rPr>
        <w:t>股股份，持股比例为</w:t>
      </w:r>
      <w:r>
        <w:rPr>
          <w:rFonts w:ascii="Times New Roman" w:hAnsi="Times New Roman" w:cs="Times New Roman" w:eastAsia="Times New Roman" w:hint="default"/>
          <w:spacing w:val="-1"/>
        </w:rPr>
        <w:t>55.39%</w:t>
      </w:r>
      <w:r>
        <w:rPr>
          <w:spacing w:val="-1"/>
        </w:rPr>
        <w:t>，取得本公司的控制权，为本公司实</w:t>
      </w:r>
      <w:r>
        <w:rPr>
          <w:spacing w:val="-95"/>
        </w:rPr>
        <w:t> </w:t>
      </w:r>
      <w:r>
        <w:rPr>
          <w:spacing w:val="-95"/>
        </w:rPr>
      </w:r>
      <w:r>
        <w:rPr/>
        <w:t>际控制人。</w:t>
      </w:r>
    </w:p>
    <w:p>
      <w:pPr>
        <w:pStyle w:val="Heading6"/>
        <w:spacing w:line="240" w:lineRule="auto" w:before="22"/>
        <w:ind w:left="574" w:right="0"/>
        <w:jc w:val="left"/>
      </w:pPr>
      <w:r>
        <w:rPr/>
        <w:t>本财务报表由本公司董事会于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日批准报出。</w:t>
      </w:r>
    </w:p>
    <w:p>
      <w:pPr>
        <w:spacing w:line="240" w:lineRule="auto" w:before="6"/>
        <w:rPr>
          <w:rFonts w:ascii="宋体" w:hAnsi="宋体" w:cs="宋体" w:eastAsia="宋体" w:hint="default"/>
          <w:sz w:val="25"/>
          <w:szCs w:val="25"/>
        </w:rPr>
      </w:pPr>
    </w:p>
    <w:p>
      <w:pPr>
        <w:pStyle w:val="Heading6"/>
        <w:spacing w:line="256" w:lineRule="auto" w:before="0"/>
        <w:ind w:left="574" w:right="3087"/>
        <w:jc w:val="left"/>
      </w:pPr>
      <w:r>
        <w:rPr/>
        <w:t>截至报告期末，纳入合并财务报表范围的子公司共计</w:t>
      </w:r>
      <w:r>
        <w:rPr>
          <w:rFonts w:ascii="Times New Roman" w:hAnsi="Times New Roman" w:cs="Times New Roman" w:eastAsia="Times New Roman" w:hint="default"/>
        </w:rPr>
        <w:t>28</w:t>
      </w:r>
      <w:r>
        <w:rPr/>
        <w:t>家，详见本附注九、</w:t>
      </w:r>
      <w:r>
        <w:rPr>
          <w:rFonts w:ascii="Times New Roman" w:hAnsi="Times New Roman" w:cs="Times New Roman" w:eastAsia="Times New Roman" w:hint="default"/>
        </w:rPr>
        <w:t>1</w:t>
      </w:r>
      <w:r>
        <w:rPr/>
        <w:t>。 本报告期合并财务报表范围变化情况详见本附注八。</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Heading6"/>
        <w:spacing w:line="256" w:lineRule="auto" w:before="0"/>
        <w:ind w:right="1203" w:firstLine="420"/>
        <w:jc w:val="both"/>
      </w:pPr>
      <w:r>
        <w:rPr/>
        <w:t>本财务报表按照财政部于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日及以后期间颁布的《企业会计准则</w:t>
      </w:r>
      <w:r>
        <w:rPr>
          <w:rFonts w:ascii="Times New Roman" w:hAnsi="Times New Roman" w:cs="Times New Roman" w:eastAsia="Times New Roman" w:hint="default"/>
        </w:rPr>
        <w:t>——</w:t>
      </w:r>
      <w:r>
        <w:rPr/>
        <w:t>基本准则》、各项具 体会计准则及相关规定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 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财务报告的一般规定》的披露规定编制。</w:t>
      </w:r>
    </w:p>
    <w:p>
      <w:pPr>
        <w:pStyle w:val="Heading6"/>
        <w:spacing w:line="240" w:lineRule="auto" w:before="5"/>
        <w:ind w:left="574" w:right="0"/>
        <w:jc w:val="left"/>
      </w:pPr>
      <w:r>
        <w:rPr/>
        <w:t>本财务报表以持续经营为基础编制。</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right="1130" w:firstLine="420"/>
        <w:jc w:val="both"/>
      </w:pPr>
      <w:r>
        <w:rPr>
          <w:spacing w:val="-1"/>
        </w:rPr>
        <w:t>本集团在编制财务报表过程中，已全面评估本集团自资产负债表日起未来</w:t>
      </w:r>
      <w:r>
        <w:rPr>
          <w:rFonts w:ascii="Times New Roman" w:hAnsi="Times New Roman" w:cs="Times New Roman" w:eastAsia="Times New Roman" w:hint="default"/>
          <w:spacing w:val="-1"/>
        </w:rPr>
        <w:t>12</w:t>
      </w:r>
      <w:r>
        <w:rPr>
          <w:spacing w:val="-1"/>
        </w:rPr>
        <w:t>个月的持续经营能力。本</w:t>
      </w:r>
      <w:r>
        <w:rPr/>
        <w:t> </w:t>
      </w:r>
      <w:r>
        <w:rPr>
          <w:spacing w:val="-1"/>
        </w:rPr>
        <w:t>集团利用所有可获得的信息，包括近期获利经营的历史、通过银行融资等财务资源支持的信息作出评估后</w:t>
      </w:r>
    </w:p>
    <w:p>
      <w:pPr>
        <w:pStyle w:val="Heading6"/>
        <w:spacing w:line="256" w:lineRule="auto" w:before="22"/>
        <w:ind w:right="0"/>
        <w:jc w:val="left"/>
      </w:pPr>
      <w:r>
        <w:rPr>
          <w:spacing w:val="-1"/>
        </w:rPr>
        <w:t>﹐合理预期本集团将有足够的资源在自资产负债表日起未来</w:t>
      </w:r>
      <w:r>
        <w:rPr>
          <w:rFonts w:ascii="Times New Roman" w:hAnsi="Times New Roman" w:cs="Times New Roman" w:eastAsia="Times New Roman" w:hint="default"/>
          <w:spacing w:val="-1"/>
        </w:rPr>
        <w:t>12</w:t>
      </w:r>
      <w:r>
        <w:rPr>
          <w:spacing w:val="-1"/>
        </w:rPr>
        <w:t>个月内保持持续经营，本集团因而按持续经</w:t>
      </w:r>
      <w:r>
        <w:rPr>
          <w:spacing w:val="-82"/>
        </w:rPr>
        <w:t> </w:t>
      </w:r>
      <w:r>
        <w:rPr>
          <w:spacing w:val="-82"/>
        </w:rPr>
      </w:r>
      <w:r>
        <w:rPr/>
        <w:t>营基础编制本财务报表。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240" w:lineRule="auto" w:before="26"/>
        <w:ind w:right="0"/>
        <w:jc w:val="left"/>
      </w:pPr>
      <w:r>
        <w:rPr/>
        <w:t>具体会计政策和会计估计提示：</w:t>
      </w:r>
    </w:p>
    <w:p>
      <w:pPr>
        <w:pStyle w:val="Heading6"/>
        <w:spacing w:line="273" w:lineRule="auto" w:before="90"/>
        <w:ind w:right="0"/>
        <w:jc w:val="left"/>
      </w:pPr>
      <w:r>
        <w:rPr>
          <w:spacing w:val="-1"/>
        </w:rPr>
        <w:t>本集团根据生产经营特点确定具体会计政策和会计估计，主要体现在应收款项坏账准备的计提方法、可供</w:t>
      </w:r>
      <w:r>
        <w:rPr>
          <w:spacing w:val="-81"/>
        </w:rPr>
        <w:t> </w:t>
      </w:r>
      <w:r>
        <w:rPr>
          <w:spacing w:val="-81"/>
        </w:rPr>
      </w:r>
      <w:r>
        <w:rPr/>
        <w:t>出售权益工具发生减值的判断标准、固定资产折旧和无形资产摊销、收入的确认时点等。 本集团在确定重要的会计政策时所运用的关键判断详见附注五、</w:t>
      </w:r>
      <w:r>
        <w:rPr>
          <w:rFonts w:ascii="Times New Roman" w:hAnsi="Times New Roman" w:cs="Times New Roman" w:eastAsia="Times New Roman" w:hint="default"/>
        </w:rPr>
        <w:t>31</w:t>
      </w:r>
      <w:r>
        <w:rPr/>
        <w:t>。</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1、遵循企业会计准则的声明" w:id="170"/>
      <w:bookmarkEnd w:id="1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本财务报表符合企业会计准则的要求，真实、完整地反映了本公司及本集团的财务状况、经营成果和</w:t>
      </w:r>
    </w:p>
    <w:p>
      <w:pPr>
        <w:pStyle w:val="Heading6"/>
        <w:spacing w:line="240" w:lineRule="auto" w:before="37"/>
        <w:ind w:right="0"/>
        <w:jc w:val="left"/>
      </w:pPr>
      <w:r>
        <w:rPr/>
        <w:t>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7"/>
        <w:ind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4" w:right="0"/>
        <w:jc w:val="left"/>
      </w:pPr>
      <w:r>
        <w:rPr/>
        <w:t>本集团会计年度采用公历年度，即每年自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5"/>
          <w:szCs w:val="25"/>
        </w:rPr>
      </w:pPr>
    </w:p>
    <w:p>
      <w:pPr>
        <w:pStyle w:val="Heading6"/>
        <w:spacing w:line="590" w:lineRule="atLeast" w:before="0"/>
        <w:ind w:left="405" w:right="1118" w:hanging="252"/>
        <w:jc w:val="left"/>
      </w:pPr>
      <w:bookmarkStart w:name="3、营业周期" w:id="172"/>
      <w:bookmarkEnd w:id="172"/>
      <w:r>
        <w:rPr/>
      </w:r>
      <w:r>
        <w:rPr>
          <w:rFonts w:ascii="Times New Roman" w:hAnsi="Times New Roman" w:cs="Times New Roman" w:eastAsia="Times New Roman" w:hint="default"/>
          <w:b/>
          <w:bCs/>
        </w:rPr>
        <w:t>3</w:t>
      </w:r>
      <w:r>
        <w:rPr>
          <w:rFonts w:ascii="宋体" w:hAnsi="宋体" w:cs="宋体" w:eastAsia="宋体" w:hint="default"/>
          <w:b/>
          <w:bCs/>
        </w:rPr>
        <w:t>、营业周期</w:t>
      </w:r>
      <w:r>
        <w:rPr>
          <w:rFonts w:ascii="宋体" w:hAnsi="宋体" w:cs="宋体" w:eastAsia="宋体" w:hint="default"/>
          <w:b/>
          <w:bCs/>
          <w:w w:val="99"/>
        </w:rPr>
        <w:t> </w:t>
      </w:r>
      <w:r>
        <w:rPr>
          <w:spacing w:val="-2"/>
        </w:rPr>
        <w:t>正常营业周期，是指企业从购买用于加工的资产起至实现现金或现金等价物的期间。本集团正常营业周</w:t>
      </w:r>
    </w:p>
    <w:p>
      <w:pPr>
        <w:pStyle w:val="Heading6"/>
        <w:spacing w:line="240" w:lineRule="auto" w:before="37"/>
        <w:ind w:right="0"/>
        <w:jc w:val="left"/>
      </w:pPr>
      <w:r>
        <w:rPr/>
        <w:t>期短于一年。正常营业周期短于一年的，自资产负债表日起一年内变现的资产或自资产负债表日起一年内</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到期应予以清偿的负债归类为流动资产或流动负债。</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4"/>
          <w:szCs w:val="24"/>
        </w:rPr>
      </w:pPr>
    </w:p>
    <w:p>
      <w:pPr>
        <w:pStyle w:val="Heading6"/>
        <w:spacing w:line="273" w:lineRule="auto" w:before="0"/>
        <w:ind w:right="1132" w:firstLine="420"/>
        <w:jc w:val="both"/>
      </w:pPr>
      <w:r>
        <w:rPr>
          <w:spacing w:val="-1"/>
        </w:rPr>
        <w:t>本公司及境内子公司以人民币为记账本位币。本公司之境外子公司根据其经营所处的主要经济环境中</w:t>
      </w:r>
      <w:r>
        <w:rPr/>
        <w:t> 的货币确定其记账本位币。本集团编制本财务报表时所采用的货币为人民币。</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68" w:lineRule="auto" w:before="0"/>
        <w:ind w:right="1131" w:firstLine="420"/>
        <w:jc w:val="both"/>
      </w:pPr>
      <w:r>
        <w:rPr>
          <w:rFonts w:ascii="Times New Roman" w:hAnsi="Times New Roman" w:cs="Times New Roman" w:eastAsia="Times New Roman" w:hint="default"/>
        </w:rPr>
        <w:t>1.</w:t>
      </w:r>
      <w:r>
        <w:rPr/>
        <w:t>本集团报告期内发生同一控制下企业合并的，采用权益结合法进行会计处理。合并方在企业合并中 </w:t>
      </w:r>
      <w:r>
        <w:rPr>
          <w:spacing w:val="-1"/>
        </w:rPr>
        <w:t>取得的资产和负债，于合并日按照被合并方在最终控制方合并财务报表中的账面价值计量。合并方取得的</w:t>
      </w:r>
      <w:r>
        <w:rPr>
          <w:spacing w:val="-81"/>
        </w:rPr>
        <w:t> </w:t>
      </w:r>
      <w:r>
        <w:rPr>
          <w:spacing w:val="-81"/>
        </w:rPr>
      </w:r>
      <w:r>
        <w:rPr>
          <w:spacing w:val="-1"/>
        </w:rPr>
        <w:t>净资产账面价值与支付的合并对价账面价值（或发行股份面值总额）的差额，调整资本公积；资本公积不</w:t>
      </w:r>
      <w:r>
        <w:rPr>
          <w:spacing w:val="-86"/>
        </w:rPr>
        <w:t> </w:t>
      </w:r>
      <w:r>
        <w:rPr>
          <w:spacing w:val="-86"/>
        </w:rPr>
      </w:r>
      <w:r>
        <w:rPr>
          <w:spacing w:val="-1"/>
        </w:rPr>
        <w:t>足冲减的，调整留存收益。合并方为进行企业合并发生的各项直接相关费用，包括为进行企业合并而支付</w:t>
      </w:r>
      <w:r>
        <w:rPr>
          <w:spacing w:val="-83"/>
        </w:rPr>
        <w:t> </w:t>
      </w:r>
      <w:r>
        <w:rPr>
          <w:spacing w:val="-83"/>
        </w:rPr>
      </w:r>
      <w:r>
        <w:rPr>
          <w:spacing w:val="-1"/>
        </w:rPr>
        <w:t>的审计费用、评估费用、法律服务费用等，于发生时计入当期损益。为企业合并发行的债券或承担其他债</w:t>
      </w:r>
      <w:r>
        <w:rPr>
          <w:spacing w:val="-86"/>
        </w:rPr>
        <w:t> </w:t>
      </w:r>
      <w:r>
        <w:rPr>
          <w:spacing w:val="-86"/>
        </w:rPr>
      </w:r>
      <w:r>
        <w:rPr>
          <w:spacing w:val="-1"/>
        </w:rPr>
        <w:t>务支付的手续费、佣金等，计入所发行债券及其他债务的初始计量金额。企业合并中发行权益性证券发生</w:t>
      </w:r>
      <w:r>
        <w:rPr>
          <w:spacing w:val="-83"/>
        </w:rPr>
        <w:t> </w:t>
      </w:r>
      <w:r>
        <w:rPr>
          <w:spacing w:val="-83"/>
        </w:rPr>
      </w:r>
      <w:r>
        <w:rPr>
          <w:spacing w:val="-1"/>
        </w:rPr>
        <w:t>的手续费、佣金等费用，抵减权益性证券溢价收入，溢价收入不足冲减的，冲减留存收益。企业合并形成</w:t>
      </w:r>
      <w:r>
        <w:rPr>
          <w:spacing w:val="-83"/>
        </w:rPr>
        <w:t> </w:t>
      </w:r>
      <w:r>
        <w:rPr>
          <w:spacing w:val="-83"/>
        </w:rPr>
      </w:r>
      <w:r>
        <w:rPr/>
        <w:t>母子公司关系的，编制合并财务报表，按照本集团制定的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会计政策执行；合并财务报表比 较数据调整的期间应不早于合并方、被合并方处于最终控制方的控制之下孰晚的时间。</w:t>
      </w:r>
    </w:p>
    <w:p>
      <w:pPr>
        <w:pStyle w:val="Heading6"/>
        <w:spacing w:line="268" w:lineRule="auto" w:before="12"/>
        <w:ind w:right="1023" w:firstLine="420"/>
        <w:jc w:val="left"/>
      </w:pPr>
      <w:r>
        <w:rPr>
          <w:rFonts w:ascii="Times New Roman" w:hAnsi="Times New Roman" w:cs="Times New Roman" w:eastAsia="Times New Roman" w:hint="default"/>
        </w:rPr>
        <w:t>2.</w:t>
      </w:r>
      <w:r>
        <w:rPr/>
        <w:t>本集团报告期内发生非同一控制下的企业合并的，采用购买法进行会计处理。区别下列情况确定合 </w:t>
      </w:r>
      <w:r>
        <w:rPr>
          <w:spacing w:val="-3"/>
        </w:rPr>
        <w:t>并成本：①一次交换交易实现的企业合并，合并成本为在购买日为取得对被购买方的控制权而付出的资产、</w:t>
      </w:r>
      <w:r>
        <w:rPr>
          <w:spacing w:val="-92"/>
        </w:rPr>
        <w:t> </w:t>
      </w:r>
      <w:r>
        <w:rPr>
          <w:spacing w:val="-92"/>
        </w:rPr>
      </w:r>
      <w:r>
        <w:rPr/>
        <w:t>发生或承担的负债以及发行的权益性证券的公允价值。②通过多次交换交易分步实现的企业合并，对于购</w:t>
      </w:r>
      <w:r>
        <w:rPr/>
        <w:t> 买日之前持有的被购买方的股权，区分个别财务报表和合并财务报表进行相关会计处理：</w:t>
      </w:r>
    </w:p>
    <w:p>
      <w:pPr>
        <w:pStyle w:val="Heading6"/>
        <w:spacing w:line="264" w:lineRule="auto" w:before="12"/>
        <w:ind w:right="1131" w:firstLine="420"/>
        <w:jc w:val="both"/>
      </w:pPr>
      <w:r>
        <w:rPr>
          <w:rFonts w:ascii="Times New Roman" w:hAnsi="Times New Roman" w:cs="Times New Roman" w:eastAsia="Times New Roman" w:hint="default"/>
        </w:rPr>
        <w:t>A</w:t>
      </w:r>
      <w:r>
        <w:rPr/>
        <w:t>、在个别财务报表中，按照原持有被购买方的股权投资的账面价值加上新增投资成本之和，作为改 </w:t>
      </w:r>
      <w:r>
        <w:rPr>
          <w:spacing w:val="-1"/>
        </w:rPr>
        <w:t>按成本法核算的初始投资成本；购买日之前持有的股权投资因采用权益法核算而确认的其他综合收益，在</w:t>
      </w:r>
      <w:r>
        <w:rPr>
          <w:spacing w:val="-81"/>
        </w:rPr>
        <w:t> </w:t>
      </w:r>
      <w:r>
        <w:rPr>
          <w:spacing w:val="-81"/>
        </w:rPr>
      </w:r>
      <w:r>
        <w:rPr>
          <w:spacing w:val="-1"/>
        </w:rPr>
        <w:t>处置该项投资时采用与被购买方直接处置相关资产或负债相同的基础进行会计处理。购买日之前持有的股</w:t>
      </w:r>
      <w:r>
        <w:rPr>
          <w:spacing w:val="-81"/>
        </w:rPr>
        <w:t> </w:t>
      </w:r>
      <w:r>
        <w:rPr>
          <w:spacing w:val="-81"/>
        </w:rPr>
      </w:r>
      <w:r>
        <w:rPr>
          <w:spacing w:val="-1"/>
        </w:rPr>
        <w:t>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金融工具确认和计量》的有关规定进行会计处理的，原计入其他综</w:t>
      </w:r>
      <w:r>
        <w:rPr>
          <w:spacing w:val="-84"/>
        </w:rPr>
        <w:t> </w:t>
      </w:r>
      <w:r>
        <w:rPr>
          <w:spacing w:val="-84"/>
        </w:rPr>
      </w:r>
      <w:r>
        <w:rPr/>
        <w:t>合收益的累计公允价值变动在改按成本法核算时转入当期损益。</w:t>
      </w:r>
    </w:p>
    <w:p>
      <w:pPr>
        <w:pStyle w:val="Heading6"/>
        <w:spacing w:line="268" w:lineRule="auto" w:before="16"/>
        <w:ind w:right="1131" w:firstLine="420"/>
        <w:jc w:val="both"/>
      </w:pPr>
      <w:r>
        <w:rPr>
          <w:rFonts w:ascii="Times New Roman" w:hAnsi="Times New Roman" w:cs="Times New Roman" w:eastAsia="Times New Roman" w:hint="default"/>
        </w:rPr>
        <w:t>B</w:t>
      </w:r>
      <w:r>
        <w:rPr/>
        <w:t>、在合并财务报表中，对于购买日之前持有的被购买方的股权，按照该股权在购买日的公允价值进 </w:t>
      </w:r>
      <w:r>
        <w:rPr>
          <w:spacing w:val="-1"/>
        </w:rPr>
        <w:t>行重新计量，公允价值与其账面价值的差额计入当期投资收益；购买日之前持有的被购买方的股权涉及权</w:t>
      </w:r>
      <w:r>
        <w:rPr>
          <w:spacing w:val="-81"/>
        </w:rPr>
        <w:t> </w:t>
      </w:r>
      <w:r>
        <w:rPr>
          <w:spacing w:val="-81"/>
        </w:rPr>
      </w:r>
      <w:r>
        <w:rPr>
          <w:spacing w:val="-1"/>
        </w:rPr>
        <w:t>益法核算下的其他综合收益等的，与其相关的其他综合收益等转为购买日所属当期投资收益。本集团在附</w:t>
      </w:r>
      <w:r>
        <w:rPr>
          <w:spacing w:val="-81"/>
        </w:rPr>
        <w:t> </w:t>
      </w:r>
      <w:r>
        <w:rPr>
          <w:spacing w:val="-81"/>
        </w:rPr>
      </w:r>
      <w:r>
        <w:rPr>
          <w:spacing w:val="-1"/>
        </w:rPr>
        <w:t>注中披露其在购买日之前持有的被购买方的股权在购买日的公允价值、按照公允价值重新计量产生的相关</w:t>
      </w:r>
      <w:r>
        <w:rPr>
          <w:spacing w:val="-81"/>
        </w:rPr>
        <w:t> </w:t>
      </w:r>
      <w:r>
        <w:rPr>
          <w:spacing w:val="-81"/>
        </w:rPr>
      </w:r>
      <w:r>
        <w:rPr/>
        <w:t>利得或损失的金额。</w:t>
      </w:r>
    </w:p>
    <w:p>
      <w:pPr>
        <w:pStyle w:val="Heading6"/>
        <w:spacing w:line="273" w:lineRule="auto" w:before="12"/>
        <w:ind w:right="0" w:firstLine="315"/>
        <w:jc w:val="left"/>
      </w:pPr>
      <w:r>
        <w:rPr/>
        <w:t>③为企业合并发生的审计、法律服务、评估咨询等中介费用以及其他相关管理费用，于发生时计入当 </w:t>
      </w:r>
      <w:r>
        <w:rPr>
          <w:spacing w:val="-1"/>
        </w:rPr>
        <w:t>期损益；作为合并对价发行的权益性证券或债务性证券的交易费用，计入权益性证券或债务性证券的初始</w:t>
      </w:r>
      <w:r>
        <w:rPr>
          <w:spacing w:val="-81"/>
        </w:rPr>
        <w:t> </w:t>
      </w:r>
      <w:r>
        <w:rPr>
          <w:spacing w:val="-81"/>
        </w:rPr>
      </w:r>
      <w:r>
        <w:rPr>
          <w:spacing w:val="-1"/>
        </w:rPr>
        <w:t>确认金额。④在合并合同或协议中对可能影响合并成本的未来事项作出约定的，购买日如果估计未来事项</w:t>
      </w:r>
      <w:r>
        <w:rPr>
          <w:spacing w:val="-80"/>
        </w:rPr>
        <w:t> </w:t>
      </w:r>
      <w:r>
        <w:rPr>
          <w:spacing w:val="-80"/>
        </w:rPr>
      </w:r>
      <w:r>
        <w:rPr/>
        <w:t>很可能发生并且对合并成本的影响金额能够可靠计量的，将其计入合并成本。</w:t>
      </w:r>
    </w:p>
    <w:p>
      <w:pPr>
        <w:pStyle w:val="Heading6"/>
        <w:spacing w:line="273" w:lineRule="auto"/>
        <w:ind w:right="1131" w:firstLine="420"/>
        <w:jc w:val="both"/>
      </w:pPr>
      <w:r>
        <w:rPr>
          <w:spacing w:val="-1"/>
        </w:rPr>
        <w:t>本集团在购买日对作为企业合并对价付出的资产、发生或承担的负债按照公允价值计量，公允价值与</w:t>
      </w:r>
      <w:r>
        <w:rPr/>
        <w:t> 其账面价值的差额，计入当期损益。</w:t>
      </w:r>
    </w:p>
    <w:p>
      <w:pPr>
        <w:pStyle w:val="Heading6"/>
        <w:spacing w:line="273" w:lineRule="auto"/>
        <w:ind w:right="1131" w:firstLine="420"/>
        <w:jc w:val="both"/>
      </w:pPr>
      <w:r>
        <w:rPr>
          <w:spacing w:val="-1"/>
        </w:rPr>
        <w:t>本集团在购买日对合并成本进行分配，按照规定确认所取得的被购买方各项可辨认资产、负债及或有</w:t>
      </w:r>
      <w:r>
        <w:rPr/>
        <w:t> </w:t>
      </w:r>
      <w:r>
        <w:rPr>
          <w:spacing w:val="-1"/>
        </w:rPr>
        <w:t>负债。①对合并成本大于合并中取得的被购买方可辨认净资产公允价值份额的差额，确认为商誉。②对合</w:t>
      </w:r>
      <w:r>
        <w:rPr>
          <w:spacing w:val="-83"/>
        </w:rPr>
        <w:t> </w:t>
      </w:r>
      <w:r>
        <w:rPr>
          <w:spacing w:val="-83"/>
        </w:rPr>
      </w:r>
      <w:r>
        <w:rPr>
          <w:spacing w:val="-1"/>
        </w:rPr>
        <w:t>并成本小于合并中取得的被购买方可辨认净资产公允价值份额的差额，则对取得的被购买方各项可辨认资</w:t>
      </w:r>
      <w:r>
        <w:rPr>
          <w:spacing w:val="-81"/>
        </w:rPr>
        <w:t> </w:t>
      </w:r>
      <w:r>
        <w:rPr>
          <w:spacing w:val="-81"/>
        </w:rPr>
      </w:r>
      <w:r>
        <w:rPr>
          <w:spacing w:val="-1"/>
        </w:rPr>
        <w:t>产、负债及或有负债的公允价值以及合并成本的计量进行复核；经复核后合并成本仍小于合并中取得的被</w:t>
      </w:r>
      <w:r>
        <w:rPr>
          <w:spacing w:val="-81"/>
        </w:rPr>
        <w:t> </w:t>
      </w:r>
      <w:r>
        <w:rPr>
          <w:spacing w:val="-81"/>
        </w:rPr>
      </w:r>
      <w:r>
        <w:rPr/>
        <w:t>购买方可辨认净资产公允价值份额的，其差额计入当期损益。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66" w:lineRule="auto" w:before="35"/>
        <w:ind w:right="1110" w:firstLine="420"/>
        <w:jc w:val="both"/>
      </w:pPr>
      <w:r>
        <w:rPr/>
        <w:t>企业合并形成母子公司关系的，母公司设置备查簿，记录企业合并中取得的子公司各项可辨认资产、 </w:t>
      </w:r>
      <w:r>
        <w:rPr>
          <w:spacing w:val="-1"/>
        </w:rPr>
        <w:t>负债及或有负债等在购买日的公允价值。编制合并财务报表时，以购买日确定的各项可辨认资产、负债及</w:t>
      </w:r>
      <w:r>
        <w:rPr>
          <w:spacing w:val="-83"/>
        </w:rPr>
        <w:t> </w:t>
      </w:r>
      <w:r>
        <w:rPr>
          <w:spacing w:val="-83"/>
        </w:rPr>
      </w:r>
      <w:r>
        <w:rPr/>
        <w:t>或有负债的公允价值为基础对子公司的财务报表进行调整，按照本集团制定的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会计政策执 行。</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left="574" w:right="1118"/>
        <w:jc w:val="left"/>
      </w:pPr>
      <w:r>
        <w:rPr>
          <w:rFonts w:ascii="Times New Roman" w:hAnsi="Times New Roman" w:cs="Times New Roman" w:eastAsia="Times New Roman" w:hint="default"/>
        </w:rPr>
        <w:t>1.</w:t>
      </w:r>
      <w:r>
        <w:rPr/>
        <w:t>合并范围 </w:t>
      </w:r>
      <w:r>
        <w:rPr>
          <w:spacing w:val="-1"/>
        </w:rPr>
        <w:t>合并财务报表的合并范围以控制为基础予以确定，包括本公司及全部子公司截至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日止的</w:t>
      </w:r>
    </w:p>
    <w:p>
      <w:pPr>
        <w:pStyle w:val="Heading6"/>
        <w:spacing w:line="273" w:lineRule="auto" w:before="5"/>
        <w:ind w:right="1133"/>
        <w:jc w:val="both"/>
      </w:pPr>
      <w:r>
        <w:rPr>
          <w:spacing w:val="-1"/>
        </w:rPr>
        <w:t>年度财务报表。子公司，是指被本公司控制的主体（含企业、被投资单位中可分割的部分，以及本公司所</w:t>
      </w:r>
      <w:r>
        <w:rPr>
          <w:spacing w:val="-83"/>
        </w:rPr>
        <w:t> </w:t>
      </w:r>
      <w:r>
        <w:rPr>
          <w:spacing w:val="-83"/>
        </w:rPr>
      </w:r>
      <w:r>
        <w:rPr>
          <w:spacing w:val="-1"/>
        </w:rPr>
        <w:t>控制的结构化主体等）。控制，是指投资方拥有对被投资方的权力，通过参与被投资方的相关活动而享有</w:t>
      </w:r>
      <w:r>
        <w:rPr>
          <w:spacing w:val="-86"/>
        </w:rPr>
        <w:t> </w:t>
      </w:r>
      <w:r>
        <w:rPr>
          <w:spacing w:val="-86"/>
        </w:rPr>
      </w:r>
      <w:r>
        <w:rPr/>
        <w:t>可变回报，并且有能力运用对被投资方的权力影响其回报金额。</w:t>
      </w:r>
    </w:p>
    <w:p>
      <w:pPr>
        <w:pStyle w:val="Heading6"/>
        <w:spacing w:line="264" w:lineRule="auto"/>
        <w:ind w:left="574" w:right="1118"/>
        <w:jc w:val="left"/>
      </w:pPr>
      <w:r>
        <w:rPr>
          <w:rFonts w:ascii="Times New Roman" w:hAnsi="Times New Roman" w:cs="Times New Roman" w:eastAsia="Times New Roman" w:hint="default"/>
        </w:rPr>
        <w:t>2.</w:t>
      </w:r>
      <w:r>
        <w:rPr/>
        <w:t>合并财务报表编制方法 本公司以自身和其子公司的财务报表为基础，根据其他有关资料，编制合并财务报表。 </w:t>
      </w:r>
      <w:r>
        <w:rPr>
          <w:spacing w:val="-1"/>
        </w:rPr>
        <w:t>本公司编制合并财务报表，将整个企业集团视为一个会计主体，依据相关企业会计准则的确认、计量</w:t>
      </w:r>
    </w:p>
    <w:p>
      <w:pPr>
        <w:pStyle w:val="Heading6"/>
        <w:spacing w:line="273" w:lineRule="auto" w:before="16"/>
        <w:ind w:left="574" w:right="0" w:hanging="420"/>
        <w:jc w:val="left"/>
      </w:pPr>
      <w:r>
        <w:rPr/>
        <w:t>和列报要求，按照统一的会计政策，反映企业集团整体财务状况、经营成果和现金流量。 </w:t>
      </w:r>
      <w:r>
        <w:rPr>
          <w:spacing w:val="-1"/>
        </w:rPr>
        <w:t>在编制合并财务报表时，子公司与本公司采用的会计政策或会计期间不一致的，按照本公司的会计政</w:t>
      </w:r>
    </w:p>
    <w:p>
      <w:pPr>
        <w:pStyle w:val="Heading6"/>
        <w:spacing w:line="273" w:lineRule="auto"/>
        <w:ind w:right="1131"/>
        <w:jc w:val="both"/>
      </w:pP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Heading6"/>
        <w:spacing w:line="256" w:lineRule="auto"/>
        <w:ind w:left="574" w:right="0"/>
        <w:jc w:val="left"/>
      </w:pPr>
      <w:r>
        <w:rPr>
          <w:rFonts w:ascii="Times New Roman" w:hAnsi="Times New Roman" w:cs="Times New Roman" w:eastAsia="Times New Roman" w:hint="default"/>
        </w:rPr>
        <w:t>3.</w:t>
      </w:r>
      <w:r>
        <w:rPr/>
        <w:t>少数股东权益和损益的列报 </w:t>
      </w:r>
      <w:r>
        <w:rPr>
          <w:spacing w:val="-1"/>
        </w:rPr>
        <w:t>子公司所有者权益中不属于母公司的份额，作为少数股东权益，在合并资产负债表中所有者权益项目</w:t>
      </w:r>
    </w:p>
    <w:p>
      <w:pPr>
        <w:pStyle w:val="Heading6"/>
        <w:spacing w:line="256" w:lineRule="auto" w:before="22"/>
        <w:ind w:left="574" w:right="1116" w:hanging="420"/>
        <w:jc w:val="left"/>
      </w:pPr>
      <w:r>
        <w:rPr/>
        <w:t>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w:t>
      </w:r>
    </w:p>
    <w:p>
      <w:pPr>
        <w:pStyle w:val="Heading6"/>
        <w:spacing w:line="240" w:lineRule="auto" w:before="5"/>
        <w:ind w:right="0"/>
        <w:jc w:val="left"/>
      </w:pPr>
      <w:r>
        <w:rPr/>
        <w:t>列示。</w:t>
      </w:r>
    </w:p>
    <w:p>
      <w:pPr>
        <w:pStyle w:val="Heading6"/>
        <w:spacing w:line="256" w:lineRule="auto" w:before="37"/>
        <w:ind w:left="574" w:right="0"/>
        <w:jc w:val="left"/>
      </w:pPr>
      <w:r>
        <w:rPr>
          <w:rFonts w:ascii="Times New Roman" w:hAnsi="Times New Roman" w:cs="Times New Roman" w:eastAsia="Times New Roman" w:hint="default"/>
        </w:rPr>
        <w:t>4.</w:t>
      </w:r>
      <w:r>
        <w:rPr/>
        <w:t>超额亏损的处理 </w:t>
      </w:r>
      <w:r>
        <w:rPr>
          <w:spacing w:val="-1"/>
        </w:rPr>
        <w:t>在合并财务报表中，子公司少数股东分担的当期亏损超过了少数股东在该子公司期初所有者权益中所</w:t>
      </w:r>
    </w:p>
    <w:p>
      <w:pPr>
        <w:pStyle w:val="Heading6"/>
        <w:spacing w:line="240" w:lineRule="auto" w:before="22"/>
        <w:ind w:right="0"/>
        <w:jc w:val="left"/>
      </w:pPr>
      <w:r>
        <w:rPr/>
        <w:t>享有的份额的，其余额仍冲减少数股东权益。</w:t>
      </w:r>
    </w:p>
    <w:p>
      <w:pPr>
        <w:pStyle w:val="Heading6"/>
        <w:spacing w:line="256" w:lineRule="auto" w:before="37"/>
        <w:ind w:left="574" w:right="0"/>
        <w:jc w:val="left"/>
      </w:pPr>
      <w:r>
        <w:rPr>
          <w:rFonts w:ascii="Times New Roman" w:hAnsi="Times New Roman" w:cs="Times New Roman" w:eastAsia="Times New Roman" w:hint="default"/>
        </w:rPr>
        <w:t>5.</w:t>
      </w:r>
      <w:r>
        <w:rPr/>
        <w:t>当期增加减少子公司的合并报表处理 </w:t>
      </w:r>
      <w:r>
        <w:rPr>
          <w:spacing w:val="-1"/>
        </w:rPr>
        <w:t>在报告期内，因同一控制下企业合并增加的子公司，编制合并资产负债表时，调整合并资产负债表的</w:t>
      </w:r>
    </w:p>
    <w:p>
      <w:pPr>
        <w:pStyle w:val="Heading6"/>
        <w:spacing w:line="273" w:lineRule="auto" w:before="22"/>
        <w:ind w:right="1131"/>
        <w:jc w:val="both"/>
      </w:pPr>
      <w:r>
        <w:rPr>
          <w:spacing w:val="-1"/>
        </w:rPr>
        <w:t>年初余额。因非同一控制下企业合并增加的子公司，编制合并资产负债表时，不调整合并资产负债表的年</w:t>
      </w:r>
      <w:r>
        <w:rPr>
          <w:spacing w:val="-83"/>
        </w:rPr>
        <w:t> </w:t>
      </w:r>
      <w:r>
        <w:rPr>
          <w:spacing w:val="-83"/>
        </w:rPr>
      </w:r>
      <w:r>
        <w:rPr/>
        <w:t>初余额。在报告期内处置子公司，编制合并资产负债表时，不调整合并资产负债表的年初余额。</w:t>
      </w:r>
    </w:p>
    <w:p>
      <w:pPr>
        <w:pStyle w:val="Heading6"/>
        <w:spacing w:line="273" w:lineRule="auto"/>
        <w:ind w:right="1017" w:firstLine="420"/>
        <w:jc w:val="left"/>
      </w:pPr>
      <w:r>
        <w:rPr>
          <w:spacing w:val="-3"/>
        </w:rPr>
        <w:t>在报告期内，因同一控制下企业合并增加的子公司，将该子公司在合并当期的期初至报告期末的收入、</w:t>
      </w:r>
      <w:r>
        <w:rPr/>
        <w:t> 费用、利润纳入合并利润表，将该子公司合并当期期初至报告期末的现金流量纳入合并现金流量表。因非 </w:t>
      </w:r>
      <w:r>
        <w:rPr>
          <w:spacing w:val="-3"/>
        </w:rPr>
        <w:t>同一控制下企业合并增加的子公司，将该子公司自购买日至报告期末的收入、费用、利润纳入合并利润表，</w:t>
      </w:r>
      <w:r>
        <w:rPr>
          <w:spacing w:val="-92"/>
        </w:rPr>
        <w:t> </w:t>
      </w:r>
      <w:r>
        <w:rPr>
          <w:spacing w:val="-92"/>
        </w:rPr>
      </w:r>
      <w:r>
        <w:rPr/>
        <w:t>将该子公司购买日至报告期末的现金流量纳入合并现金流量表。在报告期内处置子公司，将该子公司期初</w:t>
      </w:r>
      <w:r>
        <w:rPr/>
        <w:t> </w:t>
      </w:r>
      <w:r>
        <w:rPr>
          <w:spacing w:val="-3"/>
        </w:rPr>
        <w:t>至处置日的收入、费用、利润纳入合并利润表，将该子公司期初至处置日的现金流量纳入合并现金流量表。</w:t>
      </w:r>
    </w:p>
    <w:p>
      <w:pPr>
        <w:pStyle w:val="Heading6"/>
        <w:spacing w:line="273" w:lineRule="auto"/>
        <w:ind w:right="1131" w:firstLine="420"/>
        <w:jc w:val="both"/>
      </w:pPr>
      <w:r>
        <w:rPr>
          <w:spacing w:val="-1"/>
        </w:rPr>
        <w:t>因处置部分股权投资或其他原因丧失了对原有子公司控制权时，对于处置后的剩余股权投资，按照其</w:t>
      </w:r>
      <w:r>
        <w:rPr/>
        <w:t> </w:t>
      </w:r>
      <w:r>
        <w:rPr>
          <w:spacing w:val="-1"/>
        </w:rPr>
        <w:t>在丧失控制权日的公允价值进行重新计量。处置股权取得的对价与剩余股权公允价值之和，减去按原持股</w:t>
      </w:r>
      <w:r>
        <w:rPr>
          <w:spacing w:val="-81"/>
        </w:rPr>
        <w:t> </w:t>
      </w:r>
      <w:r>
        <w:rPr>
          <w:spacing w:val="-81"/>
        </w:rPr>
      </w:r>
      <w:r>
        <w:rPr>
          <w:spacing w:val="-1"/>
        </w:rPr>
        <w:t>比例计算应享有原有子公司自购买日开始持续计算的净资产的份额之间的差额，计入丧失控制权当期的投</w:t>
      </w:r>
      <w:r>
        <w:rPr>
          <w:spacing w:val="-81"/>
        </w:rPr>
        <w:t> </w:t>
      </w:r>
      <w:r>
        <w:rPr>
          <w:spacing w:val="-81"/>
        </w:rPr>
      </w:r>
      <w:r>
        <w:rPr/>
        <w:t>资收益。与原有子公司股权投资相关的其他综合收益，在丧失控制权时转为当期投资收益。</w:t>
      </w:r>
    </w:p>
    <w:p>
      <w:pPr>
        <w:pStyle w:val="Heading6"/>
        <w:spacing w:line="273" w:lineRule="auto" w:before="8"/>
        <w:ind w:right="0" w:firstLine="420"/>
        <w:jc w:val="left"/>
      </w:pPr>
      <w:r>
        <w:rPr/>
        <w:t>因购买少数股权新取得的长期股权投资与按照新增持股比例计算应享有子公司的可辨认净资产份额 </w:t>
      </w:r>
      <w:r>
        <w:rPr>
          <w:spacing w:val="-1"/>
        </w:rPr>
        <w:t>之间的差额，以及在不丧失控制权的情况下因部分处置对子公司的股权投资而取得的处置价款与处置长期</w:t>
      </w:r>
      <w:r>
        <w:rPr>
          <w:spacing w:val="-81"/>
        </w:rPr>
        <w:t> </w:t>
      </w:r>
      <w:r>
        <w:rPr>
          <w:spacing w:val="-81"/>
        </w:rPr>
      </w:r>
      <w:r>
        <w:rPr>
          <w:spacing w:val="-1"/>
        </w:rPr>
        <w:t>股权投资相对应享有子公司净资产份额的差额，均调整合并资产负债表中的资本公积中的股本溢价，资本</w:t>
      </w:r>
      <w:r>
        <w:rPr>
          <w:spacing w:val="-81"/>
        </w:rPr>
        <w:t> </w:t>
      </w:r>
      <w:r>
        <w:rPr>
          <w:spacing w:val="-81"/>
        </w:rPr>
      </w:r>
      <w:r>
        <w:rPr/>
        <w:t>公积中的股本溢价不足冲减的，调整留存收益。</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56" w:lineRule="auto" w:before="35"/>
        <w:ind w:left="574" w:right="0"/>
        <w:jc w:val="left"/>
      </w:pPr>
      <w:r>
        <w:rPr>
          <w:rFonts w:ascii="Times New Roman" w:hAnsi="Times New Roman" w:cs="Times New Roman" w:eastAsia="Times New Roman" w:hint="default"/>
        </w:rPr>
        <w:t>6.</w:t>
      </w:r>
      <w:r>
        <w:rPr/>
        <w:t>分步处置股权至丧失控制权的合并报表处理 </w:t>
      </w:r>
      <w:r>
        <w:rPr>
          <w:spacing w:val="-1"/>
        </w:rPr>
        <w:t>处置对子公司股权投资直至丧失控制权的各项交易属于一揽子交易的，将各项交易作为一项处置子公</w:t>
      </w:r>
    </w:p>
    <w:p>
      <w:pPr>
        <w:pStyle w:val="Heading6"/>
        <w:spacing w:line="273" w:lineRule="auto" w:before="22"/>
        <w:ind w:right="1131"/>
        <w:jc w:val="both"/>
      </w:pPr>
      <w:r>
        <w:rPr>
          <w:spacing w:val="-1"/>
        </w:rPr>
        <w:t>司并丧失控制权的交易进行会计处理；但是，在丧失控制权之前每一次处置价款与处置投资对应的享有该</w:t>
      </w:r>
      <w:r>
        <w:rPr>
          <w:spacing w:val="-81"/>
        </w:rPr>
        <w:t> </w:t>
      </w:r>
      <w:r>
        <w:rPr>
          <w:spacing w:val="-81"/>
        </w:rPr>
      </w:r>
      <w:r>
        <w:rPr>
          <w:spacing w:val="-1"/>
        </w:rPr>
        <w:t>子公司净资产份额的差额，在合并财务报表中确认为其他综合收益，在丧失控制权时一并转入丧失控制权</w:t>
      </w:r>
      <w:r>
        <w:rPr>
          <w:spacing w:val="-81"/>
        </w:rPr>
        <w:t> </w:t>
      </w:r>
      <w:r>
        <w:rPr>
          <w:spacing w:val="-81"/>
        </w:rPr>
      </w:r>
      <w:r>
        <w:rPr>
          <w:spacing w:val="-1"/>
        </w:rPr>
        <w:t>当期的损益。不属于一揽子交易的，在丧失控制权之前与丧失控制权时，按照前述不丧失控制权的情况下</w:t>
      </w:r>
      <w:r>
        <w:rPr>
          <w:spacing w:val="-83"/>
        </w:rPr>
        <w:t> </w:t>
      </w:r>
      <w:r>
        <w:rPr>
          <w:spacing w:val="-83"/>
        </w:rPr>
      </w:r>
      <w:r>
        <w:rPr/>
        <w:t>部分处置对子公司的股权投资与丧失对原有子公司控制权时的会计政策实施会计处理。</w:t>
      </w:r>
    </w:p>
    <w:p>
      <w:pPr>
        <w:pStyle w:val="Heading6"/>
        <w:spacing w:line="273" w:lineRule="auto"/>
        <w:ind w:right="0" w:firstLine="420"/>
        <w:jc w:val="left"/>
      </w:pPr>
      <w:r>
        <w:rPr>
          <w:spacing w:val="-1"/>
        </w:rPr>
        <w:t>处置对子公司股权投资的各项交易的条款、条件以及经济影响符合以下一种或多种情况，表明将多次</w:t>
      </w:r>
      <w:r>
        <w:rPr/>
        <w:t> </w:t>
      </w:r>
      <w:r>
        <w:rPr>
          <w:spacing w:val="-1"/>
        </w:rPr>
        <w:t>交易事项作为一揽子交易进行会计处理：①这些交易是同时或者在考虑了彼此影响的情况下订立的；②这</w:t>
      </w:r>
      <w:r>
        <w:rPr>
          <w:spacing w:val="-81"/>
        </w:rPr>
        <w:t> </w:t>
      </w:r>
      <w:r>
        <w:rPr>
          <w:spacing w:val="-81"/>
        </w:rPr>
      </w:r>
      <w:r>
        <w:rPr>
          <w:spacing w:val="-1"/>
        </w:rPr>
        <w:t>些交易整体才能达成一项完整的商业结果；③一项交易的发生取决于其他至少一项交易的发生；④一项交</w:t>
      </w:r>
      <w:r>
        <w:rPr>
          <w:spacing w:val="-81"/>
        </w:rPr>
        <w:t> </w:t>
      </w:r>
      <w:r>
        <w:rPr>
          <w:spacing w:val="-81"/>
        </w:rPr>
      </w:r>
      <w:r>
        <w:rPr/>
        <w:t>易单独看是不经济的，但是和其他交易一并考虑时是经济的。 个别财务报表分步处置股权至丧失控制权按照处置长期股权投资的会计政策实施会计处理。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left="574" w:right="0"/>
        <w:jc w:val="left"/>
      </w:pPr>
      <w:r>
        <w:rPr>
          <w:rFonts w:ascii="Times New Roman" w:hAnsi="Times New Roman" w:cs="Times New Roman" w:eastAsia="Times New Roman" w:hint="default"/>
        </w:rPr>
        <w:t>1.</w:t>
      </w:r>
      <w:r>
        <w:rPr/>
        <w:t>合营安排的分类 </w:t>
      </w:r>
      <w:r>
        <w:rPr>
          <w:spacing w:val="-1"/>
        </w:rPr>
        <w:t>合营安排，是指一项由两个或两个以上的参与方共同控制的安排。本集团将合营安排分为共同经营和</w:t>
      </w:r>
    </w:p>
    <w:p>
      <w:pPr>
        <w:pStyle w:val="Heading6"/>
        <w:spacing w:line="273" w:lineRule="auto" w:before="22"/>
        <w:ind w:right="1133"/>
        <w:jc w:val="both"/>
      </w:pPr>
      <w:r>
        <w:rPr>
          <w:spacing w:val="-1"/>
        </w:rPr>
        <w:t>合营企业。共同经营，是指合营方享有该安排相关资产且承担该安排相关负债的合营安排。合营企业，是</w:t>
      </w:r>
      <w:r>
        <w:rPr>
          <w:spacing w:val="-85"/>
        </w:rPr>
        <w:t> </w:t>
      </w:r>
      <w:r>
        <w:rPr>
          <w:spacing w:val="-85"/>
        </w:rPr>
      </w:r>
      <w:r>
        <w:rPr/>
        <w:t>指合营方仅对该安排的净资产享有权利的合营安排。</w:t>
      </w:r>
    </w:p>
    <w:p>
      <w:pPr>
        <w:pStyle w:val="Heading6"/>
        <w:spacing w:line="273" w:lineRule="auto"/>
        <w:ind w:right="1023" w:firstLine="420"/>
        <w:jc w:val="left"/>
      </w:pPr>
      <w:r>
        <w:rPr/>
        <w:t>未通过单独主体达成的合营安排，划分为共同经营。单独主体，是指具有单独可辨认的财务架构的主 体，包括单独的法人主体和不具备法人主体资格但法律认可的主体。通过单独主体达成的合营安排，通常 划分为合营企业，但有确凿证据表明满足下列任一条件并且符合相关法律法规规定的合营安排应当划分为 共同经营：合营安排的法律形式表明，合营方对该安排中的相关资产和负债分别享有权利和承担义务；合 营安排的合同条款约定，合营方对该安排中的相关资产和负债分别享有权利和承担义务；其他相关事实和 情况表明，合营方对该安排中的相关资产和负债分别享有权利和承担义务，如合营方享有与合营安排相关 的几乎所有产出，并且该安排中负债的清偿持续依赖于合营方的支持。不能仅凭合营方对合营安排提供债 务担保即将其视为合营方承担该安排相关负债。合营方承担向合营安排支付认缴出资义务的，不视为合营 方承担该安排相关负债。相关事实和情况变化导致合营方在合营安排中享有的权利和承担的义务发生变化 </w:t>
      </w:r>
      <w:r>
        <w:rPr>
          <w:spacing w:val="-3"/>
        </w:rPr>
        <w:t>的，本集团对合营安排的分类进行重新评估。对于为完成不同活动而设立多项合营安排的一个框架性协议，</w:t>
      </w:r>
      <w:r>
        <w:rPr>
          <w:spacing w:val="-92"/>
        </w:rPr>
        <w:t> </w:t>
      </w:r>
      <w:r>
        <w:rPr>
          <w:spacing w:val="-92"/>
        </w:rPr>
      </w:r>
      <w:r>
        <w:rPr/>
        <w:t>本集团分别确定各项合营安排的分类。</w:t>
      </w:r>
    </w:p>
    <w:p>
      <w:pPr>
        <w:spacing w:line="256" w:lineRule="auto" w:before="0"/>
        <w:ind w:left="574" w:right="1302" w:firstLine="0"/>
        <w:jc w:val="left"/>
        <w:rPr>
          <w:rFonts w:ascii="宋体" w:hAnsi="宋体" w:cs="宋体" w:eastAsia="宋体" w:hint="default"/>
          <w:sz w:val="21"/>
          <w:szCs w:val="21"/>
        </w:rPr>
      </w:pPr>
      <w:r>
        <w:rPr>
          <w:rFonts w:ascii="宋体" w:hAnsi="宋体" w:cs="宋体" w:eastAsia="宋体" w:hint="default"/>
          <w:i/>
          <w:sz w:val="22"/>
          <w:szCs w:val="22"/>
        </w:rPr>
        <w:t>确定共同控制的依据及对合营企业的计量的会计政策详见本附注五、</w:t>
      </w:r>
      <w:r>
        <w:rPr>
          <w:rFonts w:ascii="Times New Roman" w:hAnsi="Times New Roman" w:cs="Times New Roman" w:eastAsia="Times New Roman" w:hint="default"/>
          <w:i/>
          <w:sz w:val="21"/>
          <w:szCs w:val="21"/>
        </w:rPr>
        <w:t>14</w:t>
      </w:r>
      <w:r>
        <w:rPr>
          <w:rFonts w:ascii="宋体" w:hAnsi="宋体" w:cs="宋体" w:eastAsia="宋体" w:hint="default"/>
          <w:i/>
          <w:color w:val="0000FF"/>
          <w:sz w:val="22"/>
          <w:szCs w:val="22"/>
        </w:rPr>
        <w:t>。</w:t>
      </w:r>
      <w:r>
        <w:rPr>
          <w:rFonts w:ascii="宋体" w:hAnsi="宋体" w:cs="宋体" w:eastAsia="宋体" w:hint="default"/>
          <w:i/>
          <w:color w:val="0000FF"/>
          <w:w w:val="95"/>
          <w:sz w:val="22"/>
          <w:szCs w:val="22"/>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共同经营的会计处理方法 本集团确认其与共同经营中利益份额相关的下列项目，并按照相关企业会计准则的规定进行会计处</w:t>
      </w:r>
    </w:p>
    <w:p>
      <w:pPr>
        <w:pStyle w:val="Heading6"/>
        <w:spacing w:line="273" w:lineRule="auto" w:before="22"/>
        <w:ind w:right="1131"/>
        <w:jc w:val="both"/>
      </w:pPr>
      <w:r>
        <w:rPr>
          <w:spacing w:val="-1"/>
        </w:rPr>
        <w:t>理：确认单独所持有的资产，以及按其份额确认共同持有的资产；确认单独所承担的负债，以及按其份额</w:t>
      </w:r>
      <w:r>
        <w:rPr>
          <w:spacing w:val="-86"/>
        </w:rPr>
        <w:t> </w:t>
      </w:r>
      <w:r>
        <w:rPr>
          <w:spacing w:val="-86"/>
        </w:rPr>
      </w:r>
      <w:r>
        <w:rPr>
          <w:spacing w:val="-1"/>
        </w:rPr>
        <w:t>确认共同承担的负债；确认出售其享有的共同经营产出份额所产生的收入；按其份额确认共同经营因出售</w:t>
      </w:r>
      <w:r>
        <w:rPr>
          <w:spacing w:val="-81"/>
        </w:rPr>
        <w:t> </w:t>
      </w:r>
      <w:r>
        <w:rPr>
          <w:spacing w:val="-81"/>
        </w:rPr>
      </w:r>
      <w:r>
        <w:rPr/>
        <w:t>产出所产生的收入；确认单独所发生的费用，以及按其份额确认共同经营发生的费用。</w:t>
      </w:r>
    </w:p>
    <w:p>
      <w:pPr>
        <w:pStyle w:val="Heading6"/>
        <w:spacing w:line="266" w:lineRule="auto"/>
        <w:ind w:right="1117" w:firstLine="420"/>
        <w:jc w:val="left"/>
      </w:pPr>
      <w:r>
        <w:rPr>
          <w:spacing w:val="-1"/>
        </w:rPr>
        <w:t>本集团向共同经营投出或出售资产等（该资产构成业务的除外），在该资产等由共同经营出售给第三</w:t>
      </w:r>
      <w:r>
        <w:rPr/>
        <w:t> </w:t>
      </w:r>
      <w:r>
        <w:rPr>
          <w:spacing w:val="-5"/>
        </w:rPr>
        <w:t>方之前，仅确认因该交易产生的损益中归属于共同经营其他参与方的部分。投出或出售的资产发生符合《企</w:t>
      </w:r>
      <w:r>
        <w:rPr>
          <w:spacing w:val="-101"/>
        </w:rPr>
        <w:t> </w:t>
      </w:r>
      <w:r>
        <w:rPr>
          <w:spacing w:val="-101"/>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资产减值》等规定的资产减值损失的，本集团全额确认该损失。本集团自共同经营 </w:t>
      </w:r>
      <w:r>
        <w:rPr>
          <w:spacing w:val="-1"/>
        </w:rPr>
        <w:t>购买资产等（该资产构成业务的除外），在将该资产等出售给第三方之前，仅确认因该交易产生的损益中</w:t>
      </w:r>
      <w:r>
        <w:rPr>
          <w:spacing w:val="-86"/>
        </w:rPr>
        <w:t> </w:t>
      </w:r>
      <w:r>
        <w:rPr>
          <w:spacing w:val="-86"/>
        </w:rPr>
      </w:r>
      <w:r>
        <w:rPr/>
        <w:t>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 资产减值损失的，本集团按其承担的份额确认该部分损失。</w:t>
      </w:r>
    </w:p>
    <w:p>
      <w:pPr>
        <w:pStyle w:val="Heading6"/>
        <w:spacing w:line="273" w:lineRule="auto" w:before="14"/>
        <w:ind w:right="0" w:firstLine="420"/>
        <w:jc w:val="left"/>
      </w:pPr>
      <w:r>
        <w:rPr>
          <w:spacing w:val="-1"/>
        </w:rPr>
        <w:t>本集团属于对共同经营不享有共同控制的参与方的，如果享有该共同经营相关资产且承担该共同经营</w:t>
      </w:r>
      <w:r>
        <w:rPr/>
        <w:t> </w:t>
      </w:r>
      <w:r>
        <w:rPr>
          <w:spacing w:val="-1"/>
        </w:rPr>
        <w:t>相关负债的，按照上述原则进行会计处理；否则，按照本集团制定的金融工具或长期股权投资计量的会计</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政策进行会计处理。</w:t>
      </w:r>
    </w:p>
    <w:p>
      <w:pPr>
        <w:spacing w:line="240" w:lineRule="auto" w:before="11"/>
        <w:rPr>
          <w:rFonts w:ascii="宋体" w:hAnsi="宋体" w:cs="宋体" w:eastAsia="宋体" w:hint="default"/>
          <w:sz w:val="26"/>
          <w:szCs w:val="26"/>
        </w:rPr>
      </w:pPr>
    </w:p>
    <w:p>
      <w:pPr>
        <w:spacing w:line="590" w:lineRule="atLeast" w:before="0"/>
        <w:ind w:left="574" w:right="0" w:hanging="420"/>
        <w:jc w:val="left"/>
        <w:rPr>
          <w:rFonts w:ascii="宋体" w:hAnsi="宋体" w:cs="宋体" w:eastAsia="宋体" w:hint="default"/>
          <w:sz w:val="21"/>
          <w:szCs w:val="21"/>
        </w:rPr>
      </w:pPr>
      <w:bookmarkStart w:name="8、现金及现金等价物的确定标准" w:id="177"/>
      <w:bookmarkEnd w:id="1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本集团现金包括库存现金、可以随时用于支付的存款；现金等价物包括本集团持有的期限短（一般指</w:t>
      </w:r>
    </w:p>
    <w:p>
      <w:pPr>
        <w:pStyle w:val="Heading6"/>
        <w:spacing w:line="240" w:lineRule="auto" w:before="37"/>
        <w:ind w:right="0"/>
        <w:jc w:val="left"/>
      </w:pPr>
      <w:r>
        <w:rPr/>
        <w:t>从购买日起三个月内到期）、流动性强、易于转换为已知金额现金、价值变动风险很小的投资。</w:t>
      </w:r>
    </w:p>
    <w:p>
      <w:pPr>
        <w:spacing w:line="240" w:lineRule="auto" w:before="11"/>
        <w:rPr>
          <w:rFonts w:ascii="宋体" w:hAnsi="宋体" w:cs="宋体" w:eastAsia="宋体" w:hint="default"/>
          <w:sz w:val="26"/>
          <w:szCs w:val="26"/>
        </w:rPr>
      </w:pPr>
    </w:p>
    <w:p>
      <w:pPr>
        <w:spacing w:line="590" w:lineRule="atLeast" w:before="0"/>
        <w:ind w:left="574" w:right="0" w:hanging="420"/>
        <w:jc w:val="left"/>
        <w:rPr>
          <w:rFonts w:ascii="宋体" w:hAnsi="宋体" w:cs="宋体" w:eastAsia="宋体" w:hint="default"/>
          <w:sz w:val="21"/>
          <w:szCs w:val="21"/>
        </w:rPr>
      </w:pPr>
      <w:bookmarkStart w:name="9、外币业务和外币报表折算" w:id="178"/>
      <w:bookmarkEnd w:id="17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本集团外币交易均按交易发生日的即期汇率（通常指中国人民银行公布的当日外汇牌价的中间价，下</w:t>
      </w:r>
    </w:p>
    <w:p>
      <w:pPr>
        <w:pStyle w:val="Heading6"/>
        <w:spacing w:line="240" w:lineRule="auto" w:before="37"/>
        <w:ind w:right="0"/>
        <w:jc w:val="left"/>
      </w:pPr>
      <w:r>
        <w:rPr/>
        <w:t>同）折算为记账本位币。</w:t>
      </w:r>
    </w:p>
    <w:p>
      <w:pPr>
        <w:pStyle w:val="Heading6"/>
        <w:spacing w:line="256" w:lineRule="auto" w:before="37"/>
        <w:ind w:left="574" w:right="1092"/>
        <w:jc w:val="left"/>
      </w:pPr>
      <w:r>
        <w:rPr>
          <w:rFonts w:ascii="Times New Roman" w:hAnsi="Times New Roman" w:cs="Times New Roman" w:eastAsia="Times New Roman" w:hint="default"/>
        </w:rPr>
        <w:t>1.</w:t>
      </w:r>
      <w:r>
        <w:rPr/>
        <w:t>汇兑差额的处理 在资产负债表日，按照下列规定对外币货币性项目和外币非货币性项目进行处理：外币货币性项目，</w:t>
      </w:r>
    </w:p>
    <w:p>
      <w:pPr>
        <w:pStyle w:val="Heading6"/>
        <w:spacing w:line="273" w:lineRule="auto" w:before="22"/>
        <w:ind w:right="1111"/>
        <w:jc w:val="both"/>
      </w:pPr>
      <w:r>
        <w:rPr>
          <w:spacing w:val="-1"/>
        </w:rPr>
        <w:t>采用资产负债表日即期汇率折算。因资产负债表日即期汇率与初始确认时或前一资产负债表日即期汇率不</w:t>
      </w:r>
      <w:r>
        <w:rPr>
          <w:spacing w:val="-81"/>
        </w:rPr>
        <w:t> </w:t>
      </w:r>
      <w:r>
        <w:rPr>
          <w:spacing w:val="-81"/>
        </w:rPr>
      </w:r>
      <w:r>
        <w:rPr>
          <w:spacing w:val="-1"/>
        </w:rPr>
        <w:t>同而产生的汇兑差额，计入当期损益；以历史成本计量的外币非货币性项目，仍采用交易发生日的即期汇</w:t>
      </w:r>
      <w:r>
        <w:rPr>
          <w:spacing w:val="-83"/>
        </w:rPr>
        <w:t> </w:t>
      </w:r>
      <w:r>
        <w:rPr>
          <w:spacing w:val="-83"/>
        </w:rPr>
      </w:r>
      <w:r>
        <w:rPr>
          <w:spacing w:val="-1"/>
        </w:rPr>
        <w:t>率折算，不改变其记账本位币金额；以公允价值计量的外币非货币性项目，采用公允价值确定日的即期汇</w:t>
      </w:r>
      <w:r>
        <w:rPr>
          <w:spacing w:val="-83"/>
        </w:rPr>
        <w:t> </w:t>
      </w:r>
      <w:r>
        <w:rPr>
          <w:spacing w:val="-83"/>
        </w:rPr>
      </w:r>
      <w:r>
        <w:rPr/>
        <w:t>率折算，折算后的记账本位币金额与原记账本位币金额的差额，作为公允价值变动（含汇率变动）处理， </w:t>
      </w:r>
      <w:r>
        <w:rPr>
          <w:spacing w:val="-1"/>
        </w:rPr>
        <w:t>计入当期损益；在资本化期间内，外币专门借款本金及利息的汇兑差额，予以资本化，计入符合资本化条</w:t>
      </w:r>
      <w:r>
        <w:rPr>
          <w:spacing w:val="-86"/>
        </w:rPr>
        <w:t> </w:t>
      </w:r>
      <w:r>
        <w:rPr>
          <w:spacing w:val="-86"/>
        </w:rPr>
      </w:r>
      <w:r>
        <w:rPr/>
        <w:t>件的资产的成本。</w:t>
      </w:r>
    </w:p>
    <w:p>
      <w:pPr>
        <w:pStyle w:val="Heading6"/>
        <w:spacing w:line="256" w:lineRule="auto"/>
        <w:ind w:left="574" w:right="0"/>
        <w:jc w:val="left"/>
      </w:pPr>
      <w:r>
        <w:rPr>
          <w:rFonts w:ascii="Times New Roman" w:hAnsi="Times New Roman" w:cs="Times New Roman" w:eastAsia="Times New Roman" w:hint="default"/>
        </w:rPr>
        <w:t>2.</w:t>
      </w:r>
      <w:r>
        <w:rPr/>
        <w:t>外币财务报表的折算 </w:t>
      </w:r>
      <w:r>
        <w:rPr>
          <w:spacing w:val="-1"/>
        </w:rPr>
        <w:t>本集团对境外经营的财务报表进行折算时，遵循下列规定：资产负债表中的资产和负债项目，采用资</w:t>
      </w:r>
    </w:p>
    <w:p>
      <w:pPr>
        <w:pStyle w:val="Heading6"/>
        <w:spacing w:line="264" w:lineRule="auto" w:before="22"/>
        <w:ind w:right="1131"/>
        <w:jc w:val="both"/>
      </w:pPr>
      <w:r>
        <w:rPr/>
        <w:t>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 </w:t>
      </w:r>
      <w:r>
        <w:rPr>
          <w:spacing w:val="-1"/>
        </w:rPr>
        <w:t>算；利润表中的收入和费用项目，采用交易发生日的当期平均汇率折算。按照上述折算产生的外币财务报</w:t>
      </w:r>
      <w:r>
        <w:rPr>
          <w:spacing w:val="-83"/>
        </w:rPr>
        <w:t> </w:t>
      </w:r>
      <w:r>
        <w:rPr>
          <w:spacing w:val="-83"/>
        </w:rPr>
      </w:r>
      <w:r>
        <w:rPr/>
        <w:t>表折算差额，确认为其他综合收益。比较财务报表的折算比照上述规定处理。</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ind w:right="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6"/>
        <w:spacing w:line="264" w:lineRule="auto" w:before="0"/>
        <w:ind w:left="574" w:right="4032"/>
        <w:jc w:val="left"/>
      </w:pPr>
      <w:r>
        <w:rPr>
          <w:rFonts w:ascii="Times New Roman" w:hAnsi="Times New Roman" w:cs="Times New Roman" w:eastAsia="Times New Roman" w:hint="default"/>
        </w:rPr>
        <w:t>1.</w:t>
      </w:r>
      <w:r>
        <w:rPr/>
        <w:t>金融工具的确认 本集团成为金融工具合同的一方时，确认一项金融资产或金融负债。 </w:t>
      </w:r>
      <w:r>
        <w:rPr>
          <w:rFonts w:ascii="Times New Roman" w:hAnsi="Times New Roman" w:cs="Times New Roman" w:eastAsia="Times New Roman" w:hint="default"/>
        </w:rPr>
        <w:t>2.</w:t>
      </w:r>
      <w:r>
        <w:rPr/>
        <w:t>金融资产的分类和计量</w:t>
      </w:r>
    </w:p>
    <w:p>
      <w:pPr>
        <w:pStyle w:val="Heading6"/>
        <w:spacing w:line="256" w:lineRule="auto" w:before="0"/>
        <w:ind w:right="1092" w:firstLine="420"/>
        <w:jc w:val="left"/>
      </w:pPr>
      <w:r>
        <w:rPr/>
        <w:t>（</w:t>
      </w:r>
      <w:r>
        <w:rPr>
          <w:rFonts w:ascii="Times New Roman" w:hAnsi="Times New Roman" w:cs="Times New Roman" w:eastAsia="Times New Roman" w:hint="default"/>
        </w:rPr>
        <w:t>1</w:t>
      </w:r>
      <w:r>
        <w:rPr/>
        <w:t>）本集团基于风险管理、投资策略及持有金融资产的目的等原因，将持有的金融资产划分为以公 允价值计量且其变动计入当期损益的金融资产、持有至到期投资、贷款和应收款项、可供出售金融资产。</w:t>
      </w:r>
    </w:p>
    <w:p>
      <w:pPr>
        <w:pStyle w:val="Heading6"/>
        <w:spacing w:line="256" w:lineRule="auto" w:before="22"/>
        <w:ind w:left="574" w:right="0"/>
        <w:jc w:val="left"/>
      </w:pPr>
      <w:r>
        <w:rPr>
          <w:rFonts w:ascii="Times New Roman" w:hAnsi="Times New Roman" w:cs="Times New Roman" w:eastAsia="Times New Roman" w:hint="default"/>
        </w:rPr>
        <w:t>A</w:t>
      </w:r>
      <w:r>
        <w:rPr/>
        <w:t>、以公允价值计量且其变动计入当期损益的金融资产 </w:t>
      </w:r>
      <w:r>
        <w:rPr>
          <w:spacing w:val="-1"/>
        </w:rPr>
        <w:t>以公允价值计量且其变动计入当期损益的金融资产，包括交易性金融资产和初始确认时指定为以公允</w:t>
      </w:r>
    </w:p>
    <w:p>
      <w:pPr>
        <w:pStyle w:val="Heading6"/>
        <w:spacing w:line="273" w:lineRule="auto" w:before="22"/>
        <w:ind w:left="574" w:right="0" w:hanging="420"/>
        <w:jc w:val="left"/>
      </w:pPr>
      <w:r>
        <w:rPr/>
        <w:t>价值计量且其变动计入当期损益的金融资产。 </w:t>
      </w:r>
      <w:r>
        <w:rPr>
          <w:spacing w:val="-1"/>
        </w:rPr>
        <w:t>交易性金融资产是指满足下列条件之一的金融资产：取得该金融资产的目的是为了在短期内出售；属</w:t>
      </w:r>
    </w:p>
    <w:p>
      <w:pPr>
        <w:pStyle w:val="Heading6"/>
        <w:spacing w:line="273" w:lineRule="auto"/>
        <w:ind w:right="1092"/>
        <w:jc w:val="left"/>
      </w:pPr>
      <w:r>
        <w:rPr>
          <w:spacing w:val="-1"/>
        </w:rPr>
        <w:t>于进行集中管理的可辨认金融工具组合的一部分，且有客观证据表明企业近期采用短期获利方式对该组合</w:t>
      </w:r>
      <w:r>
        <w:rPr>
          <w:spacing w:val="-81"/>
        </w:rPr>
        <w:t> </w:t>
      </w:r>
      <w:r>
        <w:rPr>
          <w:spacing w:val="-81"/>
        </w:rPr>
      </w:r>
      <w:r>
        <w:rPr/>
        <w:t>进行管理；属于衍生工具，但是，被指定且为有效套期工具的衍生工具、属于财务担保合同的衍生工具、 与在活跃市场中没有报价且其公允价值不能可靠计量的权益工具投资挂钩并须通过交付该权益工具结算 的衍生工具除外。</w:t>
      </w:r>
    </w:p>
    <w:p>
      <w:pPr>
        <w:pStyle w:val="Heading6"/>
        <w:spacing w:line="273" w:lineRule="auto"/>
        <w:ind w:right="0" w:firstLine="420"/>
        <w:jc w:val="left"/>
      </w:pPr>
      <w:r>
        <w:rPr>
          <w:spacing w:val="-1"/>
        </w:rPr>
        <w:t>只有符合以下条件之一，金融资产才可在初始计量时指定为以公允价值计量且变动计入当期损益的金</w:t>
      </w:r>
      <w:r>
        <w:rPr/>
        <w:t> </w:t>
      </w:r>
      <w:r>
        <w:rPr>
          <w:spacing w:val="-1"/>
        </w:rPr>
        <w:t>融资产：该项指定可以消除或明显减少由于金融工具计量基础不同所导致的相关利得或损失在确认或计量</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31"/>
        <w:jc w:val="both"/>
      </w:pPr>
      <w:r>
        <w:rPr>
          <w:spacing w:val="-1"/>
        </w:rPr>
        <w:t>方面不一致的情况；风险管理或投资策略的正式书面文件已载明，该金融工具组合以公允价值为基础进行</w:t>
      </w:r>
      <w:r>
        <w:rPr>
          <w:spacing w:val="-81"/>
        </w:rPr>
        <w:t> </w:t>
      </w:r>
      <w:r>
        <w:rPr>
          <w:spacing w:val="-81"/>
        </w:rPr>
      </w:r>
      <w:r>
        <w:rPr>
          <w:spacing w:val="-1"/>
        </w:rPr>
        <w:t>管理、评价并向关键管理人员报告；包含一项或多项嵌入衍生工具的混合工具，除非嵌入衍生工具对混合</w:t>
      </w:r>
      <w:r>
        <w:rPr>
          <w:spacing w:val="-83"/>
        </w:rPr>
        <w:t> </w:t>
      </w:r>
      <w:r>
        <w:rPr>
          <w:spacing w:val="-83"/>
        </w:rPr>
      </w:r>
      <w:r>
        <w:rPr>
          <w:spacing w:val="-1"/>
        </w:rPr>
        <w:t>工具的现金流量没有重大改变，或所嵌入的衍生工具明显不应当从相关混合工具中分拆；包含需要分拆但</w:t>
      </w:r>
      <w:r>
        <w:rPr>
          <w:spacing w:val="-81"/>
        </w:rPr>
        <w:t> </w:t>
      </w:r>
      <w:r>
        <w:rPr>
          <w:spacing w:val="-81"/>
        </w:rPr>
      </w:r>
      <w:r>
        <w:rPr/>
        <w:t>无法在取得时或后续的资产负债表日对其进行单独计量的嵌入衍生工具的混合工具。</w:t>
      </w:r>
    </w:p>
    <w:p>
      <w:pPr>
        <w:pStyle w:val="Heading6"/>
        <w:spacing w:line="273" w:lineRule="auto" w:before="8"/>
        <w:ind w:right="1131" w:firstLine="420"/>
        <w:jc w:val="both"/>
      </w:pPr>
      <w:r>
        <w:rPr>
          <w:spacing w:val="-1"/>
        </w:rPr>
        <w:t>在活跃市场中没有报价、公允价值不能可靠计量的权益工具投资，不得指定为以公允价值计量且其变</w:t>
      </w:r>
      <w:r>
        <w:rPr/>
        <w:t> 动计入当期损益的金融资产。</w:t>
      </w:r>
    </w:p>
    <w:p>
      <w:pPr>
        <w:pStyle w:val="Heading6"/>
        <w:spacing w:line="256" w:lineRule="auto"/>
        <w:ind w:left="574" w:right="0"/>
        <w:jc w:val="left"/>
      </w:pPr>
      <w:r>
        <w:rPr>
          <w:rFonts w:ascii="Times New Roman" w:hAnsi="Times New Roman" w:cs="Times New Roman" w:eastAsia="Times New Roman" w:hint="default"/>
        </w:rPr>
        <w:t>B</w:t>
      </w:r>
      <w:r>
        <w:rPr/>
        <w:t>、持有至到期投资 </w:t>
      </w:r>
      <w:r>
        <w:rPr>
          <w:spacing w:val="-1"/>
        </w:rPr>
        <w:t>持有至到期投资，是指到期日固定、回收金额固定或可确定，且本集团有明确意图和能力持有至到期</w:t>
      </w:r>
    </w:p>
    <w:p>
      <w:pPr>
        <w:pStyle w:val="Heading6"/>
        <w:spacing w:line="240" w:lineRule="auto" w:before="22"/>
        <w:ind w:right="0"/>
        <w:jc w:val="both"/>
      </w:pPr>
      <w:r>
        <w:rPr/>
        <w:t>的非衍生金融资产。</w:t>
      </w:r>
    </w:p>
    <w:p>
      <w:pPr>
        <w:pStyle w:val="Heading6"/>
        <w:spacing w:line="261" w:lineRule="auto" w:before="37"/>
        <w:ind w:left="574" w:right="1118"/>
        <w:jc w:val="left"/>
      </w:pPr>
      <w:r>
        <w:rPr>
          <w:rFonts w:ascii="Times New Roman" w:hAnsi="Times New Roman" w:cs="Times New Roman" w:eastAsia="Times New Roman" w:hint="default"/>
        </w:rPr>
        <w:t>C</w:t>
      </w:r>
      <w:r>
        <w:rPr/>
        <w:t>、贷款和应收款项 贷款和应收款项，是指在活跃市场中没有报价、回收金额固定或可确定的非衍生金融资产。 </w:t>
      </w:r>
      <w:r>
        <w:rPr>
          <w:rFonts w:ascii="Times New Roman" w:hAnsi="Times New Roman" w:cs="Times New Roman" w:eastAsia="Times New Roman" w:hint="default"/>
        </w:rPr>
        <w:t>D</w:t>
      </w:r>
      <w:r>
        <w:rPr/>
        <w:t>、可供出售金融资产 </w:t>
      </w:r>
      <w:r>
        <w:rPr>
          <w:spacing w:val="-1"/>
        </w:rPr>
        <w:t>可供出售金融资产，是指初始确认时即指定为可供出售的非衍生金融资产，以及除上述金融资产类别</w:t>
      </w:r>
    </w:p>
    <w:p>
      <w:pPr>
        <w:pStyle w:val="Heading6"/>
        <w:spacing w:line="273" w:lineRule="auto" w:before="18"/>
        <w:ind w:left="574" w:right="0" w:hanging="420"/>
        <w:jc w:val="left"/>
      </w:pPr>
      <w:r>
        <w:rPr/>
        <w:t>以外的金融资产。 </w:t>
      </w:r>
      <w:r>
        <w:rPr>
          <w:spacing w:val="-1"/>
        </w:rPr>
        <w:t>本集团在初始确认时将某金融资产划分为以公允价值计量且其变动计入当期损益的金融资产后，不能</w:t>
      </w:r>
    </w:p>
    <w:p>
      <w:pPr>
        <w:pStyle w:val="Heading6"/>
        <w:spacing w:line="273" w:lineRule="auto"/>
        <w:ind w:right="1131"/>
        <w:jc w:val="both"/>
      </w:pPr>
      <w:r>
        <w:rPr>
          <w:spacing w:val="-1"/>
        </w:rPr>
        <w:t>重分类为其他类金融资产；其他类金融资产也不能重分类为以公允价值计量且其变动计入当期损益的金融</w:t>
      </w:r>
      <w:r>
        <w:rPr>
          <w:spacing w:val="-81"/>
        </w:rPr>
        <w:t> </w:t>
      </w:r>
      <w:r>
        <w:rPr>
          <w:spacing w:val="-81"/>
        </w:rPr>
      </w:r>
      <w:r>
        <w:rPr/>
        <w:t>资产。</w:t>
      </w:r>
    </w:p>
    <w:p>
      <w:pPr>
        <w:pStyle w:val="Heading6"/>
        <w:spacing w:line="256" w:lineRule="auto"/>
        <w:ind w:right="1215" w:firstLine="420"/>
        <w:jc w:val="both"/>
      </w:pPr>
      <w:r>
        <w:rPr/>
        <w:t>（</w:t>
      </w:r>
      <w:r>
        <w:rPr>
          <w:rFonts w:ascii="Times New Roman" w:hAnsi="Times New Roman" w:cs="Times New Roman" w:eastAsia="Times New Roman" w:hint="default"/>
        </w:rPr>
        <w:t>2</w:t>
      </w:r>
      <w:r>
        <w:rPr/>
        <w:t>）金融资产在初始确认时以公允价值计量。对于以公允价值计量且其变动计入当期损益的金融资 产，相关交易费用直接计入当期损益；对于其他类别的金融资产，相关交易费用计入初始确认金额。</w:t>
      </w:r>
    </w:p>
    <w:p>
      <w:pPr>
        <w:pStyle w:val="Heading6"/>
        <w:spacing w:line="240" w:lineRule="auto" w:before="22"/>
        <w:ind w:left="574" w:right="0"/>
        <w:jc w:val="left"/>
      </w:pPr>
      <w:r>
        <w:rPr/>
        <w:t>（</w:t>
      </w:r>
      <w:r>
        <w:rPr>
          <w:rFonts w:ascii="Times New Roman" w:hAnsi="Times New Roman" w:cs="Times New Roman" w:eastAsia="Times New Roman" w:hint="default"/>
        </w:rPr>
        <w:t>3</w:t>
      </w:r>
      <w:r>
        <w:rPr/>
        <w:t>）金融资产的后续计量</w:t>
      </w:r>
    </w:p>
    <w:p>
      <w:pPr>
        <w:pStyle w:val="Heading6"/>
        <w:spacing w:line="256" w:lineRule="auto" w:before="21"/>
        <w:ind w:right="1168" w:firstLine="420"/>
        <w:jc w:val="both"/>
      </w:pPr>
      <w:r>
        <w:rPr>
          <w:rFonts w:ascii="Times New Roman" w:hAnsi="Times New Roman" w:cs="Times New Roman" w:eastAsia="Times New Roman" w:hint="default"/>
        </w:rPr>
        <w:t>A</w:t>
      </w:r>
      <w:r>
        <w:rPr/>
        <w:t>、以公允价值计量且其变动计入当期损益的金融资产，采用公允价值进行后续计量，公允价值变动 形成的利得或损失，计入当期损益。</w:t>
      </w:r>
    </w:p>
    <w:p>
      <w:pPr>
        <w:pStyle w:val="Heading6"/>
        <w:spacing w:line="256" w:lineRule="auto" w:before="23"/>
        <w:ind w:right="1179" w:firstLine="420"/>
        <w:jc w:val="both"/>
      </w:pPr>
      <w:r>
        <w:rPr>
          <w:rFonts w:ascii="Times New Roman" w:hAnsi="Times New Roman" w:cs="Times New Roman" w:eastAsia="Times New Roman" w:hint="default"/>
        </w:rPr>
        <w:t>B</w:t>
      </w:r>
      <w:r>
        <w:rPr/>
        <w:t>、持有至到期投资，采用实际利率法，按摊余成本进行后续计量，终止确认、减值以及摊销形成的 利得或损失，计入当期损益。</w:t>
      </w:r>
    </w:p>
    <w:p>
      <w:pPr>
        <w:pStyle w:val="Heading6"/>
        <w:spacing w:line="256" w:lineRule="auto" w:before="22"/>
        <w:ind w:right="1179" w:firstLine="420"/>
        <w:jc w:val="both"/>
      </w:pPr>
      <w:r>
        <w:rPr>
          <w:rFonts w:ascii="Times New Roman" w:hAnsi="Times New Roman" w:cs="Times New Roman" w:eastAsia="Times New Roman" w:hint="default"/>
        </w:rPr>
        <w:t>C</w:t>
      </w:r>
      <w:r>
        <w:rPr/>
        <w:t>、贷款和应收款项，采用实际利率法，按摊余成本进行后续计量，终止确认、减值以及摊销形成的 利得或损失，计入当期损益。</w:t>
      </w:r>
    </w:p>
    <w:p>
      <w:pPr>
        <w:pStyle w:val="Heading6"/>
        <w:spacing w:line="266" w:lineRule="auto" w:before="22"/>
        <w:ind w:right="1131" w:firstLine="420"/>
        <w:jc w:val="both"/>
      </w:pPr>
      <w:r>
        <w:rPr>
          <w:rFonts w:ascii="Times New Roman" w:hAnsi="Times New Roman" w:cs="Times New Roman" w:eastAsia="Times New Roman" w:hint="default"/>
        </w:rPr>
        <w:t>D</w:t>
      </w:r>
      <w:r>
        <w:rPr/>
        <w:t>、可供出售金融资产，采用公允价值进行后续计量，公允价值变动计入其他综合收益，在该可供出 </w:t>
      </w:r>
      <w:r>
        <w:rPr>
          <w:spacing w:val="-1"/>
        </w:rPr>
        <w:t>售金融资产发生减值或终止确认时转出，计入当期损益。可供出售金融资产持有期间实现的利息或现金股</w:t>
      </w:r>
      <w:r>
        <w:rPr>
          <w:spacing w:val="-81"/>
        </w:rPr>
        <w:t> </w:t>
      </w:r>
      <w:r>
        <w:rPr>
          <w:spacing w:val="-81"/>
        </w:rPr>
      </w:r>
      <w:r>
        <w:rPr>
          <w:spacing w:val="-1"/>
        </w:rPr>
        <w:t>利，计入当期损益。在活跃市场中没有报价且其公允价值不能可靠计量的权益工具投资，以及与该权益工</w:t>
      </w:r>
      <w:r>
        <w:rPr>
          <w:spacing w:val="-83"/>
        </w:rPr>
        <w:t> </w:t>
      </w:r>
      <w:r>
        <w:rPr>
          <w:spacing w:val="-83"/>
        </w:rPr>
      </w:r>
      <w:r>
        <w:rPr/>
        <w:t>具挂钩并须通过交付该权益工具结算的衍生金融资产，按照成本计量。</w:t>
      </w:r>
    </w:p>
    <w:p>
      <w:pPr>
        <w:pStyle w:val="Heading6"/>
        <w:spacing w:line="240" w:lineRule="auto" w:before="14"/>
        <w:ind w:left="574" w:right="0"/>
        <w:jc w:val="left"/>
      </w:pPr>
      <w:r>
        <w:rPr/>
        <w:t>（</w:t>
      </w:r>
      <w:r>
        <w:rPr>
          <w:rFonts w:ascii="Times New Roman" w:hAnsi="Times New Roman" w:cs="Times New Roman" w:eastAsia="Times New Roman" w:hint="default"/>
        </w:rPr>
        <w:t>4</w:t>
      </w:r>
      <w:r>
        <w:rPr/>
        <w:t>）金融资产的减值准备</w:t>
      </w:r>
    </w:p>
    <w:p>
      <w:pPr>
        <w:pStyle w:val="Heading6"/>
        <w:spacing w:line="256" w:lineRule="auto" w:before="21"/>
        <w:ind w:right="1168" w:firstLine="420"/>
        <w:jc w:val="both"/>
      </w:pPr>
      <w:r>
        <w:rPr>
          <w:rFonts w:ascii="Times New Roman" w:hAnsi="Times New Roman" w:cs="Times New Roman" w:eastAsia="Times New Roman" w:hint="default"/>
        </w:rPr>
        <w:t>A</w:t>
      </w:r>
      <w:r>
        <w:rPr/>
        <w:t>、本集团在期末对以公允价值计量且其变动计入当期损益的金融资产以外的金融资产的账面价值进 行检查，有客观证据表明该金融资产发生减值的，确认减值损失，计提减值准备。</w:t>
      </w:r>
    </w:p>
    <w:p>
      <w:pPr>
        <w:pStyle w:val="Heading6"/>
        <w:spacing w:line="256" w:lineRule="auto" w:before="22"/>
        <w:ind w:left="574" w:right="1118"/>
        <w:jc w:val="left"/>
      </w:pPr>
      <w:r>
        <w:rPr>
          <w:rFonts w:ascii="Times New Roman" w:hAnsi="Times New Roman" w:cs="Times New Roman" w:eastAsia="Times New Roman" w:hint="default"/>
        </w:rPr>
        <w:t>B</w:t>
      </w:r>
      <w:r>
        <w:rPr/>
        <w:t>、本集团确定金融资产发生减值的客观证据包括下列各项：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）债权人出于经济或法律等方面因素的考虑，对发生财务困难的债务人作出让步；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spacing w:val="-3"/>
        </w:rPr>
        <w:t>f</w:t>
      </w:r>
      <w:r>
        <w:rPr>
          <w:spacing w:val="-3"/>
        </w:rPr>
        <w:t>）无法辨认一组金融资产中的某项资产的现金流量是否已经减少，但根据公开的数据对其进行总体评</w:t>
      </w:r>
    </w:p>
    <w:p>
      <w:pPr>
        <w:pStyle w:val="Heading6"/>
        <w:spacing w:line="273" w:lineRule="auto" w:before="5"/>
        <w:ind w:right="1131"/>
        <w:jc w:val="both"/>
      </w:pPr>
      <w:r>
        <w:rPr>
          <w:spacing w:val="-1"/>
        </w:rPr>
        <w:t>价后发现，该组金融资产自初始确认以来的预计未来现金流量确已减少且可计量，如该组金融资产的债务</w:t>
      </w:r>
      <w:r>
        <w:rPr>
          <w:spacing w:val="-81"/>
        </w:rPr>
        <w:t> </w:t>
      </w:r>
      <w:r>
        <w:rPr>
          <w:spacing w:val="-81"/>
        </w:rPr>
      </w:r>
      <w:r>
        <w:rPr>
          <w:spacing w:val="-1"/>
        </w:rPr>
        <w:t>人支付能力逐步恶化，或债务人所在国家或地区失业率提高、担保物在其所在地区的价格明显下降、所处</w:t>
      </w:r>
      <w:r>
        <w:rPr>
          <w:spacing w:val="-83"/>
        </w:rPr>
        <w:t> </w:t>
      </w:r>
      <w:r>
        <w:rPr>
          <w:spacing w:val="-83"/>
        </w:rPr>
      </w:r>
      <w:r>
        <w:rPr/>
        <w:t>行业不景气等；</w:t>
      </w:r>
    </w:p>
    <w:p>
      <w:pPr>
        <w:pStyle w:val="Heading6"/>
        <w:spacing w:line="240" w:lineRule="auto"/>
        <w:ind w:left="574" w:right="0"/>
        <w:jc w:val="left"/>
      </w:pPr>
      <w:r>
        <w:rPr>
          <w:rFonts w:ascii="Times New Roman" w:hAnsi="Times New Roman" w:cs="Times New Roman" w:eastAsia="Times New Roman" w:hint="default"/>
        </w:rPr>
        <w:t>g</w:t>
      </w:r>
      <w:r>
        <w:rPr/>
        <w:t>）债务人经营所处的技术、市场、经济或法律环境等发生重大不利变化，使权益工具投资人可能无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61" w:lineRule="auto" w:before="35"/>
        <w:ind w:left="574" w:right="5187" w:hanging="420"/>
        <w:jc w:val="left"/>
      </w:pPr>
      <w:r>
        <w:rPr/>
        <w:t>法收回投资成本； </w:t>
      </w: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 </w:t>
      </w:r>
      <w:r>
        <w:rPr>
          <w:rFonts w:ascii="Times New Roman" w:hAnsi="Times New Roman" w:cs="Times New Roman" w:eastAsia="Times New Roman" w:hint="default"/>
        </w:rPr>
        <w:t>C</w:t>
      </w:r>
      <w:r>
        <w:rPr/>
        <w:t>、金融资产减值损失的计量 </w:t>
      </w:r>
      <w:r>
        <w:rPr>
          <w:rFonts w:ascii="Times New Roman" w:hAnsi="Times New Roman" w:cs="Times New Roman" w:eastAsia="Times New Roman" w:hint="default"/>
        </w:rPr>
        <w:t>a</w:t>
      </w:r>
      <w:r>
        <w:rPr/>
        <w:t>）持有至到期投资、贷款和应收款项减值损失的计量</w:t>
      </w:r>
    </w:p>
    <w:p>
      <w:pPr>
        <w:pStyle w:val="Heading6"/>
        <w:spacing w:line="273" w:lineRule="auto" w:before="0"/>
        <w:ind w:right="0" w:firstLine="420"/>
        <w:jc w:val="left"/>
      </w:pPr>
      <w:r>
        <w:rPr>
          <w:spacing w:val="-1"/>
        </w:rPr>
        <w:t>持有至到期投资、贷款和应收款项（以摊余成本后续计量的金融资产）的减值准备，按该金融资产预</w:t>
      </w:r>
      <w:r>
        <w:rPr/>
        <w:t> 计未来现金流量现值低于其账面价值的差额计提，计入当期损益。</w:t>
      </w:r>
    </w:p>
    <w:p>
      <w:pPr>
        <w:pStyle w:val="Heading6"/>
        <w:spacing w:line="273" w:lineRule="auto"/>
        <w:ind w:right="1131" w:firstLine="420"/>
        <w:jc w:val="both"/>
      </w:pPr>
      <w:r>
        <w:rPr>
          <w:spacing w:val="-1"/>
        </w:rPr>
        <w:t>本集团对单项金额重大的金融资产单独进行减值测试，对单项金额不重大的金融资产，单独或包括在</w:t>
      </w:r>
      <w:r>
        <w:rPr/>
        <w:t> </w:t>
      </w:r>
      <w:r>
        <w:rPr>
          <w:spacing w:val="-1"/>
        </w:rPr>
        <w:t>具有类似信用风险特征的金融资产组合中进行减值测试。单独测试未发生减值的金融资产，无论单项金额</w:t>
      </w:r>
      <w:r>
        <w:rPr>
          <w:spacing w:val="-81"/>
        </w:rPr>
        <w:t> </w:t>
      </w:r>
      <w:r>
        <w:rPr>
          <w:spacing w:val="-81"/>
        </w:rPr>
      </w:r>
      <w:r>
        <w:rPr>
          <w:spacing w:val="-1"/>
        </w:rPr>
        <w:t>重大与否，仍将包括在具有类似信用风险特征的金融资产组合中再进行减值测试。已单独确认减值损失的</w:t>
      </w:r>
      <w:r>
        <w:rPr>
          <w:spacing w:val="-81"/>
        </w:rPr>
        <w:t> </w:t>
      </w:r>
      <w:r>
        <w:rPr>
          <w:spacing w:val="-81"/>
        </w:rPr>
      </w:r>
      <w:r>
        <w:rPr/>
        <w:t>金融资产，不包括在具有类似信用风险特征的金融资产组合中进行减值测试。</w:t>
      </w:r>
    </w:p>
    <w:p>
      <w:pPr>
        <w:pStyle w:val="Heading6"/>
        <w:spacing w:line="273" w:lineRule="auto"/>
        <w:ind w:right="0" w:firstLine="420"/>
        <w:jc w:val="left"/>
      </w:pPr>
      <w:r>
        <w:rPr>
          <w:spacing w:val="-1"/>
        </w:rPr>
        <w:t>本集团对以摊余成本计量的金融资产确认资产减值损失后，如有客观证据表明该金融资产价值已经恢</w:t>
      </w:r>
      <w:r>
        <w:rPr/>
        <w:t> 复，且客观上与确认该损失后发生的事项有关，原确认的减值损失予以转回，计入当期损益。</w:t>
      </w:r>
    </w:p>
    <w:p>
      <w:pPr>
        <w:pStyle w:val="Heading6"/>
        <w:spacing w:line="256" w:lineRule="auto"/>
        <w:ind w:left="574" w:right="0"/>
        <w:jc w:val="left"/>
      </w:pPr>
      <w:r>
        <w:rPr>
          <w:rFonts w:ascii="Times New Roman" w:hAnsi="Times New Roman" w:cs="Times New Roman" w:eastAsia="Times New Roman" w:hint="default"/>
        </w:rPr>
        <w:t>b</w:t>
      </w:r>
      <w:r>
        <w:rPr/>
        <w:t>）可供出售金融资产 </w:t>
      </w:r>
      <w:r>
        <w:rPr>
          <w:spacing w:val="-1"/>
        </w:rPr>
        <w:t>本集团对可供出售金融资产按单项投资进行减值测试。资产负债表日，判断可供出售金融资产的公允</w:t>
      </w:r>
    </w:p>
    <w:p>
      <w:pPr>
        <w:pStyle w:val="Heading6"/>
        <w:spacing w:line="266" w:lineRule="auto" w:before="22"/>
        <w:ind w:right="1130"/>
        <w:jc w:val="both"/>
      </w:pPr>
      <w:r>
        <w:rPr/>
        <w:t>价值是否严重或非暂时性下跌：如果单项可供出售金融资产的公允价值跌幅超过成本的</w:t>
      </w:r>
      <w:r>
        <w:rPr>
          <w:rFonts w:ascii="Times New Roman" w:hAnsi="Times New Roman" w:cs="Times New Roman" w:eastAsia="Times New Roman" w:hint="default"/>
        </w:rPr>
        <w:t>50%</w:t>
      </w:r>
      <w:r>
        <w:rPr/>
        <w:t>或者持续下跌 </w:t>
      </w:r>
      <w:r>
        <w:rPr>
          <w:spacing w:val="-1"/>
        </w:rPr>
        <w:t>时间达一年以上，则认定该可供出售金融资产已发生减值，按成本与公允价值的差额计提减值准备，确认</w:t>
      </w:r>
      <w:r>
        <w:rPr>
          <w:spacing w:val="-83"/>
        </w:rPr>
        <w:t> </w:t>
      </w:r>
      <w:r>
        <w:rPr>
          <w:spacing w:val="-83"/>
        </w:rPr>
      </w:r>
      <w:r>
        <w:rPr>
          <w:spacing w:val="-1"/>
        </w:rPr>
        <w:t>减值损失。可供出售金融资产的期末成本为取得时按照投资成本进行初始计量、出售时按加权平均法所计</w:t>
      </w:r>
      <w:r>
        <w:rPr>
          <w:spacing w:val="-80"/>
        </w:rPr>
        <w:t> </w:t>
      </w:r>
      <w:r>
        <w:rPr>
          <w:spacing w:val="-80"/>
        </w:rPr>
      </w:r>
      <w:r>
        <w:rPr/>
        <w:t>算的摊余成本。</w:t>
      </w:r>
    </w:p>
    <w:p>
      <w:pPr>
        <w:pStyle w:val="Heading6"/>
        <w:spacing w:line="273" w:lineRule="auto" w:before="14"/>
        <w:ind w:right="0" w:firstLine="420"/>
        <w:jc w:val="left"/>
      </w:pPr>
      <w:r>
        <w:rPr>
          <w:spacing w:val="-1"/>
        </w:rPr>
        <w:t>可供出售金融资产的公允价值发生非暂时性下跌时，即使该金融资产没有终止确认，原直接计入其他</w:t>
      </w:r>
      <w:r>
        <w:rPr/>
        <w:t> 综合收益的因公允价值下降形成的累计损失，亦予以转出，计入当期损益。</w:t>
      </w:r>
    </w:p>
    <w:p>
      <w:pPr>
        <w:pStyle w:val="Heading6"/>
        <w:spacing w:line="273" w:lineRule="auto"/>
        <w:ind w:right="1023" w:firstLine="420"/>
        <w:jc w:val="left"/>
      </w:pPr>
      <w:r>
        <w:rPr/>
        <w:t>在活跃市场中没有报价且其公允价值不能可靠计量的可供出售权益工具投资，或与该权益工具挂钩并 须通过交付该权益工具结算的衍生金融资产发生减值时，本集团将该权益工具投资或衍生金融资产的账面 </w:t>
      </w:r>
      <w:r>
        <w:rPr>
          <w:spacing w:val="-3"/>
        </w:rPr>
        <w:t>价值，与按照类似金融资产当时市场收益率对未来现金流量折现确定的现值之间的差额，确认为减值损失，</w:t>
      </w:r>
      <w:r>
        <w:rPr>
          <w:spacing w:val="-92"/>
        </w:rPr>
        <w:t> </w:t>
      </w:r>
      <w:r>
        <w:rPr>
          <w:spacing w:val="-92"/>
        </w:rPr>
      </w:r>
      <w:r>
        <w:rPr/>
        <w:t>计入当期损益。</w:t>
      </w:r>
    </w:p>
    <w:p>
      <w:pPr>
        <w:pStyle w:val="Heading6"/>
        <w:spacing w:line="273" w:lineRule="auto"/>
        <w:ind w:right="0" w:firstLine="420"/>
        <w:jc w:val="left"/>
      </w:pPr>
      <w:r>
        <w:rPr>
          <w:spacing w:val="-1"/>
        </w:rPr>
        <w:t>对可供出售债务工具确认资产减值损失后，如有客观证据表明该金融资产价值已经恢复，且客观上与</w:t>
      </w:r>
      <w:r>
        <w:rPr/>
        <w:t> 确认损失后发生的事项有关，原确认的减值损失予以转回，计入当期损益。</w:t>
      </w:r>
    </w:p>
    <w:p>
      <w:pPr>
        <w:pStyle w:val="Heading6"/>
        <w:spacing w:line="273" w:lineRule="auto"/>
        <w:ind w:right="0" w:firstLine="420"/>
        <w:jc w:val="left"/>
      </w:pPr>
      <w:r>
        <w:rPr>
          <w:spacing w:val="-1"/>
        </w:rPr>
        <w:t>可供出售权益工具投资发生的减值损失，不得通过损益转回。同时，在活跃市场中没有报价且其公允</w:t>
      </w:r>
      <w:r>
        <w:rPr/>
        <w:t> 价值不能可靠计量的权益工具投资或与该权益工具挂钩并须通过交付该权益工具结算的衍生金融资产发 生的减值损失，不予转回。</w:t>
      </w:r>
    </w:p>
    <w:p>
      <w:pPr>
        <w:pStyle w:val="Heading6"/>
        <w:spacing w:line="240" w:lineRule="auto"/>
        <w:ind w:left="574" w:right="0"/>
        <w:jc w:val="left"/>
      </w:pPr>
      <w:r>
        <w:rPr>
          <w:rFonts w:ascii="Times New Roman" w:hAnsi="Times New Roman" w:cs="Times New Roman" w:eastAsia="Times New Roman" w:hint="default"/>
        </w:rPr>
        <w:t>3.</w:t>
      </w:r>
      <w:r>
        <w:rPr/>
        <w:t>金融负债的分类和计量</w:t>
      </w:r>
    </w:p>
    <w:p>
      <w:pPr>
        <w:pStyle w:val="Heading6"/>
        <w:spacing w:line="256" w:lineRule="auto" w:before="21"/>
        <w:ind w:right="1197" w:firstLine="420"/>
        <w:jc w:val="left"/>
      </w:pPr>
      <w:r>
        <w:rPr/>
        <w:t>（</w:t>
      </w:r>
      <w:r>
        <w:rPr>
          <w:rFonts w:ascii="Times New Roman" w:hAnsi="Times New Roman" w:cs="Times New Roman" w:eastAsia="Times New Roman" w:hint="default"/>
        </w:rPr>
        <w:t>1</w:t>
      </w:r>
      <w:r>
        <w:rPr/>
        <w:t>）本集团将持有的金融负债分为以公允价值计量且其变动计入当期损益的金融负债和其他金融负 债。</w:t>
      </w:r>
    </w:p>
    <w:p>
      <w:pPr>
        <w:pStyle w:val="Heading6"/>
        <w:spacing w:line="273" w:lineRule="auto" w:before="22"/>
        <w:ind w:right="0" w:firstLine="420"/>
        <w:jc w:val="left"/>
      </w:pPr>
      <w:r>
        <w:rPr>
          <w:spacing w:val="-1"/>
        </w:rPr>
        <w:t>以公允价值计量且其变动计入当期损益的金融负债，包括交易性金融负债和初始确认时指定为以公允</w:t>
      </w:r>
      <w:r>
        <w:rPr/>
        <w:t> 价值计量且其变动计入当期损益的金融负债。</w:t>
      </w:r>
    </w:p>
    <w:p>
      <w:pPr>
        <w:pStyle w:val="Heading6"/>
        <w:spacing w:line="273" w:lineRule="auto"/>
        <w:ind w:right="1092" w:firstLine="420"/>
        <w:jc w:val="left"/>
      </w:pPr>
      <w:r>
        <w:rPr>
          <w:spacing w:val="-1"/>
        </w:rPr>
        <w:t>交易性金融负债是指满足下列条件之一的金融负债：承担该金融负债的目的是为了在近期内回购；属</w:t>
      </w:r>
      <w:r>
        <w:rPr/>
        <w:t> </w:t>
      </w:r>
      <w:r>
        <w:rPr>
          <w:spacing w:val="-1"/>
        </w:rPr>
        <w:t>于进行集中管理的可辨认金融工具组合的一部分，且有客观证据表明企业近期采用短期获利方式对该组合</w:t>
      </w:r>
      <w:r>
        <w:rPr>
          <w:spacing w:val="-81"/>
        </w:rPr>
        <w:t> </w:t>
      </w:r>
      <w:r>
        <w:rPr>
          <w:spacing w:val="-81"/>
        </w:rPr>
      </w:r>
      <w:r>
        <w:rPr/>
        <w:t>进行管理；属于衍生工具，但是，被指定且为有效套期工具的衍生工具、属于财务担保合同的衍生工具、 与在活跃市场中没有报价且其公允价值不能可靠计量的权益工具投资挂钩并须通过交付该权益工具结算 的衍生工具除外。</w:t>
      </w:r>
    </w:p>
    <w:p>
      <w:pPr>
        <w:pStyle w:val="Heading6"/>
        <w:spacing w:line="273" w:lineRule="auto" w:before="8"/>
        <w:ind w:right="1130" w:firstLine="420"/>
        <w:jc w:val="both"/>
      </w:pPr>
      <w:r>
        <w:rPr>
          <w:spacing w:val="-1"/>
        </w:rPr>
        <w:t>只有符合以下条件之一，金融负债才可在初始计量时指定为以公允价值计量且变动计入当期损益的金</w:t>
      </w:r>
      <w:r>
        <w:rPr/>
        <w:t> </w:t>
      </w:r>
      <w:r>
        <w:rPr>
          <w:spacing w:val="-1"/>
        </w:rPr>
        <w:t>融负债：该项指定可以消除或明显减少由于金融工具计量基础不同所导致的相关利得或损失在确认或计量</w:t>
      </w:r>
      <w:r>
        <w:rPr>
          <w:spacing w:val="-81"/>
        </w:rPr>
        <w:t> </w:t>
      </w:r>
      <w:r>
        <w:rPr>
          <w:spacing w:val="-81"/>
        </w:rPr>
      </w:r>
      <w:r>
        <w:rPr>
          <w:spacing w:val="-1"/>
        </w:rPr>
        <w:t>方面不一致的情况；风险管理或投资策略的正式书面文件已载明，该金融工具组合以公允价值为基础进行</w:t>
      </w:r>
      <w:r>
        <w:rPr>
          <w:spacing w:val="-81"/>
        </w:rPr>
        <w:t> </w:t>
      </w:r>
      <w:r>
        <w:rPr>
          <w:spacing w:val="-81"/>
        </w:rPr>
      </w:r>
      <w:r>
        <w:rPr>
          <w:spacing w:val="-1"/>
        </w:rPr>
        <w:t>管理、评价并向关键管理人员报告；包含一项或多项嵌入衍生工具的混合工具，除非嵌入衍生工具对混合</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0"/>
        <w:jc w:val="left"/>
      </w:pPr>
      <w:r>
        <w:rPr>
          <w:spacing w:val="-1"/>
        </w:rPr>
        <w:t>工具的现金流量没有重大改变，或所嵌入的衍生工具明显不应当从相关混合工具中分拆；包含需要分拆但</w:t>
      </w:r>
      <w:r>
        <w:rPr>
          <w:spacing w:val="-81"/>
        </w:rPr>
        <w:t> </w:t>
      </w:r>
      <w:r>
        <w:rPr>
          <w:spacing w:val="-81"/>
        </w:rPr>
      </w:r>
      <w:r>
        <w:rPr/>
        <w:t>无法在取得时或后续的资产负债表日对其进行单独计量的嵌入衍生工具的混合工具。</w:t>
      </w:r>
    </w:p>
    <w:p>
      <w:pPr>
        <w:pStyle w:val="Heading6"/>
        <w:spacing w:line="273" w:lineRule="auto"/>
        <w:ind w:right="1131" w:firstLine="420"/>
        <w:jc w:val="both"/>
      </w:pPr>
      <w:r>
        <w:rPr>
          <w:spacing w:val="-1"/>
        </w:rPr>
        <w:t>本集团在初始确认时将某金融负债划分为以公允价值计量且其变动计入当期损益的金融负债后，不能</w:t>
      </w:r>
      <w:r>
        <w:rPr/>
        <w:t> </w:t>
      </w:r>
      <w:r>
        <w:rPr>
          <w:spacing w:val="-1"/>
        </w:rPr>
        <w:t>重分类为其他类金融负债；其他类金融负债也不能重分类为以公允价值计量且其变动计入当期损益的金融</w:t>
      </w:r>
      <w:r>
        <w:rPr>
          <w:spacing w:val="-81"/>
        </w:rPr>
        <w:t> </w:t>
      </w:r>
      <w:r>
        <w:rPr>
          <w:spacing w:val="-81"/>
        </w:rPr>
      </w:r>
      <w:r>
        <w:rPr/>
        <w:t>负债。</w:t>
      </w:r>
    </w:p>
    <w:p>
      <w:pPr>
        <w:pStyle w:val="Heading6"/>
        <w:spacing w:line="256" w:lineRule="auto"/>
        <w:ind w:right="1197" w:firstLine="420"/>
        <w:jc w:val="left"/>
      </w:pPr>
      <w:r>
        <w:rPr/>
        <w:t>（</w:t>
      </w:r>
      <w:r>
        <w:rPr>
          <w:rFonts w:ascii="Times New Roman" w:hAnsi="Times New Roman" w:cs="Times New Roman" w:eastAsia="Times New Roman" w:hint="default"/>
        </w:rPr>
        <w:t>2</w:t>
      </w:r>
      <w:r>
        <w:rPr/>
        <w:t>）金融负债在初始确认时以公允价值计量。对于以公允价值计量且其变动计入当期损益的金融负 债，相关交易费用直接计入当期损益；对于其他金融负债，相关交易费用计入初始确认金额。</w:t>
      </w:r>
    </w:p>
    <w:p>
      <w:pPr>
        <w:pStyle w:val="Heading6"/>
        <w:spacing w:line="240" w:lineRule="auto" w:before="22"/>
        <w:ind w:left="574" w:right="0"/>
        <w:jc w:val="left"/>
      </w:pPr>
      <w:r>
        <w:rPr/>
        <w:t>（</w:t>
      </w:r>
      <w:r>
        <w:rPr>
          <w:rFonts w:ascii="Times New Roman" w:hAnsi="Times New Roman" w:cs="Times New Roman" w:eastAsia="Times New Roman" w:hint="default"/>
        </w:rPr>
        <w:t>3</w:t>
      </w:r>
      <w:r>
        <w:rPr/>
        <w:t>）金融负债的后续计量</w:t>
      </w:r>
    </w:p>
    <w:p>
      <w:pPr>
        <w:pStyle w:val="Heading6"/>
        <w:spacing w:line="256" w:lineRule="auto" w:before="21"/>
        <w:ind w:right="1150" w:firstLine="420"/>
        <w:jc w:val="left"/>
      </w:pPr>
      <w:r>
        <w:rPr>
          <w:rFonts w:ascii="Times New Roman" w:hAnsi="Times New Roman" w:cs="Times New Roman" w:eastAsia="Times New Roman" w:hint="default"/>
        </w:rPr>
        <w:t>A</w:t>
      </w:r>
      <w:r>
        <w:rPr/>
        <w:t>、以公允价值计量且其变动计入当期损益的金融负债，采用公允价值进行后续计量，公允价值变动 形成的利得或损失，计入当期损益。</w:t>
      </w:r>
    </w:p>
    <w:p>
      <w:pPr>
        <w:pStyle w:val="Heading6"/>
        <w:spacing w:line="256" w:lineRule="auto" w:before="22"/>
        <w:ind w:left="574" w:right="4312"/>
        <w:jc w:val="left"/>
      </w:pPr>
      <w:r>
        <w:rPr>
          <w:rFonts w:ascii="Times New Roman" w:hAnsi="Times New Roman" w:cs="Times New Roman" w:eastAsia="Times New Roman" w:hint="default"/>
        </w:rPr>
        <w:t>B</w:t>
      </w:r>
      <w:r>
        <w:rPr/>
        <w:t>、其他金融负债，采用实际利率法，按摊余成本进行后续计量。 </w:t>
      </w:r>
      <w:r>
        <w:rPr>
          <w:rFonts w:ascii="Times New Roman" w:hAnsi="Times New Roman" w:cs="Times New Roman" w:eastAsia="Times New Roman" w:hint="default"/>
        </w:rPr>
        <w:t>4.</w:t>
      </w:r>
      <w:r>
        <w:rPr/>
        <w:t>金融资产转移确认依据和计量</w:t>
      </w:r>
    </w:p>
    <w:p>
      <w:pPr>
        <w:pStyle w:val="Heading6"/>
        <w:spacing w:line="273" w:lineRule="auto" w:before="5"/>
        <w:ind w:right="1092" w:firstLine="420"/>
        <w:jc w:val="left"/>
      </w:pPr>
      <w:r>
        <w:rPr/>
        <w:t>本集团在已将金融资产所有权上几乎所有的风险和报酬转移给转入方时终止对该项金融资产的确认。 在金融资产整体转移满足终止确认条件的，将下列两项的差额计入当期损益：</w:t>
      </w:r>
    </w:p>
    <w:p>
      <w:pPr>
        <w:pStyle w:val="Heading6"/>
        <w:spacing w:line="240" w:lineRule="auto"/>
        <w:ind w:left="574" w:right="0"/>
        <w:jc w:val="left"/>
      </w:pPr>
      <w:r>
        <w:rPr/>
        <w:t>（</w:t>
      </w:r>
      <w:r>
        <w:rPr>
          <w:rFonts w:ascii="Times New Roman" w:hAnsi="Times New Roman" w:cs="Times New Roman" w:eastAsia="Times New Roman" w:hint="default"/>
        </w:rPr>
        <w:t>1</w:t>
      </w:r>
      <w:r>
        <w:rPr/>
        <w:t>）所转移金融资产的账面价值；</w:t>
      </w:r>
    </w:p>
    <w:p>
      <w:pPr>
        <w:pStyle w:val="Heading6"/>
        <w:spacing w:line="256" w:lineRule="auto" w:before="21"/>
        <w:ind w:right="1197" w:firstLine="420"/>
        <w:jc w:val="left"/>
      </w:pPr>
      <w:r>
        <w:rPr/>
        <w:t>（</w:t>
      </w:r>
      <w:r>
        <w:rPr>
          <w:rFonts w:ascii="Times New Roman" w:hAnsi="Times New Roman" w:cs="Times New Roman" w:eastAsia="Times New Roman" w:hint="default"/>
        </w:rPr>
        <w:t>2</w:t>
      </w:r>
      <w:r>
        <w:rPr/>
        <w:t>）因转移而收到的对价，与原计入其他综合收益的公允价值变动累计额（涉及转移的金融资产为 可供出售金融资产的情形）之和。</w:t>
      </w:r>
    </w:p>
    <w:p>
      <w:pPr>
        <w:pStyle w:val="Heading6"/>
        <w:spacing w:line="273" w:lineRule="auto" w:before="22"/>
        <w:ind w:right="1092" w:firstLine="420"/>
        <w:jc w:val="left"/>
      </w:pPr>
      <w:r>
        <w:rPr>
          <w:spacing w:val="-1"/>
        </w:rPr>
        <w:t>本集团的金融资产部分转移满足终止确认条件的，将所转移金融资产整体的账面价值，在终止确认部</w:t>
      </w:r>
      <w:r>
        <w:rPr/>
        <w:t> 分和未终止确认部分之间，按照各自的相对公允价值进行分摊，并将下列两项金额的差额计入当期损益：</w:t>
      </w:r>
    </w:p>
    <w:p>
      <w:pPr>
        <w:pStyle w:val="Heading6"/>
        <w:spacing w:line="240" w:lineRule="auto"/>
        <w:ind w:left="574" w:right="0"/>
        <w:jc w:val="left"/>
      </w:pPr>
      <w:r>
        <w:rPr/>
        <w:t>①终止确认部分的账面价值；</w:t>
      </w:r>
    </w:p>
    <w:p>
      <w:pPr>
        <w:pStyle w:val="Heading6"/>
        <w:spacing w:line="240" w:lineRule="auto" w:before="37"/>
        <w:ind w:left="574" w:right="0"/>
        <w:jc w:val="left"/>
      </w:pPr>
      <w:r>
        <w:rPr/>
        <w:t>②终止确认部分的对价，与原计入其他综合收益的公允价值变动累计额中对应终止确认部分的金额</w:t>
      </w:r>
    </w:p>
    <w:p>
      <w:pPr>
        <w:pStyle w:val="Heading6"/>
        <w:spacing w:line="273" w:lineRule="auto" w:before="37"/>
        <w:ind w:left="574" w:right="0" w:hanging="420"/>
        <w:jc w:val="left"/>
      </w:pPr>
      <w:r>
        <w:rPr/>
        <w:t>（涉及转移的金融资产为可供出售金融资产的情形）之和。 </w:t>
      </w:r>
      <w:r>
        <w:rPr>
          <w:spacing w:val="-1"/>
        </w:rPr>
        <w:t>原计入其他综合收益的公允价值变动累计额中对应终止确认部分的金额，按照金融资产终止确认部分</w:t>
      </w:r>
    </w:p>
    <w:p>
      <w:pPr>
        <w:pStyle w:val="Heading6"/>
        <w:spacing w:line="273" w:lineRule="auto"/>
        <w:ind w:left="574" w:right="0" w:hanging="420"/>
        <w:jc w:val="left"/>
      </w:pPr>
      <w:r>
        <w:rPr/>
        <w:t>和未终止确认部分的相对公允价值，对该累计额进行分摊后确定。 </w:t>
      </w:r>
      <w:r>
        <w:rPr>
          <w:spacing w:val="-1"/>
        </w:rPr>
        <w:t>金融资产转移不满足终止确认条件的，继续确认所转移金融资产整体，并将所收到的对价确认为一项</w:t>
      </w:r>
    </w:p>
    <w:p>
      <w:pPr>
        <w:pStyle w:val="Heading6"/>
        <w:spacing w:line="240" w:lineRule="auto"/>
        <w:ind w:right="0"/>
        <w:jc w:val="left"/>
      </w:pPr>
      <w:r>
        <w:rPr/>
        <w:t>金融负债。</w:t>
      </w:r>
    </w:p>
    <w:p>
      <w:pPr>
        <w:pStyle w:val="Heading6"/>
        <w:spacing w:line="273" w:lineRule="auto" w:before="37"/>
        <w:ind w:right="0" w:firstLine="420"/>
        <w:jc w:val="left"/>
      </w:pPr>
      <w:r>
        <w:rPr>
          <w:spacing w:val="-1"/>
        </w:rPr>
        <w:t>对于继续涉入条件下的金融资产转移，本集团根据继续涉入所转移金融资产的程度确认有关金融资产</w:t>
      </w:r>
      <w:r>
        <w:rPr/>
        <w:t> 和金融负债，以充分反映本集团所保留的权利和承担的义务。</w:t>
      </w:r>
    </w:p>
    <w:p>
      <w:pPr>
        <w:pStyle w:val="Heading6"/>
        <w:spacing w:line="256" w:lineRule="auto"/>
        <w:ind w:left="574" w:right="0"/>
        <w:jc w:val="left"/>
      </w:pPr>
      <w:r>
        <w:rPr>
          <w:rFonts w:ascii="Times New Roman" w:hAnsi="Times New Roman" w:cs="Times New Roman" w:eastAsia="Times New Roman" w:hint="default"/>
        </w:rPr>
        <w:t>5.</w:t>
      </w:r>
      <w:r>
        <w:rPr/>
        <w:t>金融负债的终止确认 </w:t>
      </w:r>
      <w:r>
        <w:rPr>
          <w:spacing w:val="-1"/>
        </w:rPr>
        <w:t>本集团金融负债的现时义务全部或部分已经解除的，终止确认该金融负债或其一部分。本集团与债权</w:t>
      </w:r>
    </w:p>
    <w:p>
      <w:pPr>
        <w:pStyle w:val="Heading6"/>
        <w:spacing w:line="273" w:lineRule="auto" w:before="22"/>
        <w:ind w:right="0"/>
        <w:jc w:val="left"/>
      </w:pPr>
      <w:r>
        <w:rPr>
          <w:spacing w:val="-1"/>
        </w:rPr>
        <w:t>人之间签订协议，以承担新金融负债方式替换现存金融负债，且新金融负债与现存金融负债的合同条款实</w:t>
      </w:r>
      <w:r>
        <w:rPr>
          <w:spacing w:val="-81"/>
        </w:rPr>
        <w:t> </w:t>
      </w:r>
      <w:r>
        <w:rPr>
          <w:spacing w:val="-81"/>
        </w:rPr>
      </w:r>
      <w:r>
        <w:rPr/>
        <w:t>质上不同的，终止确认现存金融负债，并同时确认新金融负债。</w:t>
      </w:r>
    </w:p>
    <w:p>
      <w:pPr>
        <w:pStyle w:val="Heading6"/>
        <w:spacing w:line="256" w:lineRule="auto"/>
        <w:ind w:right="0" w:firstLine="420"/>
        <w:jc w:val="left"/>
      </w:pPr>
      <w:r>
        <w:rPr>
          <w:spacing w:val="-3"/>
        </w:rPr>
        <w:t>金融负债全部或部分终止确认的，将终止确认部分的账面价值与支付的对价</w:t>
      </w:r>
      <w:r>
        <w:rPr>
          <w:rFonts w:ascii="Times New Roman" w:hAnsi="Times New Roman" w:cs="Times New Roman" w:eastAsia="Times New Roman" w:hint="default"/>
          <w:spacing w:val="-3"/>
        </w:rPr>
        <w:t>(</w:t>
      </w:r>
      <w:r>
        <w:rPr>
          <w:spacing w:val="-3"/>
        </w:rPr>
        <w:t>包括转出的非现金资产或</w:t>
      </w:r>
      <w:r>
        <w:rPr/>
        <w:t> 承担的新金融负债</w:t>
      </w:r>
      <w:r>
        <w:rPr>
          <w:rFonts w:ascii="Times New Roman" w:hAnsi="Times New Roman" w:cs="Times New Roman" w:eastAsia="Times New Roman" w:hint="default"/>
        </w:rPr>
        <w:t>)</w:t>
      </w:r>
      <w:r>
        <w:rPr/>
        <w:t>之间的差额，计入当期损益。</w:t>
      </w:r>
    </w:p>
    <w:p>
      <w:pPr>
        <w:pStyle w:val="Heading6"/>
        <w:spacing w:line="256" w:lineRule="auto" w:before="5"/>
        <w:ind w:left="574" w:right="0"/>
        <w:jc w:val="left"/>
      </w:pPr>
      <w:r>
        <w:rPr>
          <w:rFonts w:ascii="Times New Roman" w:hAnsi="Times New Roman" w:cs="Times New Roman" w:eastAsia="Times New Roman" w:hint="default"/>
        </w:rPr>
        <w:t>6.</w:t>
      </w:r>
      <w:r>
        <w:rPr/>
        <w:t>金融资产和金融负债的抵销 </w:t>
      </w:r>
      <w:r>
        <w:rPr>
          <w:spacing w:val="-1"/>
        </w:rPr>
        <w:t>金融资产和金融负债在资产负债表内分别列示，不相互抵销。但同时满足下列条件的，以相互抵销后</w:t>
      </w:r>
    </w:p>
    <w:p>
      <w:pPr>
        <w:pStyle w:val="Heading6"/>
        <w:spacing w:line="273" w:lineRule="auto" w:before="22"/>
        <w:ind w:right="1023"/>
        <w:jc w:val="left"/>
      </w:pPr>
      <w:r>
        <w:rPr/>
        <w:t>的净额在资产负债表内列示：本集团具有抵销已确认金额的法定权利，且该种法定权利是当前可执行的； </w:t>
      </w:r>
      <w:r>
        <w:rPr>
          <w:spacing w:val="-3"/>
        </w:rPr>
        <w:t>本集团计划以净额结算，或同时变现该金融资产和清偿该金融负债。不满足终止确认条件的金融资产转移，</w:t>
      </w:r>
      <w:r>
        <w:rPr>
          <w:spacing w:val="-92"/>
        </w:rPr>
        <w:t> </w:t>
      </w:r>
      <w:r>
        <w:rPr>
          <w:spacing w:val="-92"/>
        </w:rPr>
      </w:r>
      <w:r>
        <w:rPr/>
        <w:t>转出方不得将已转移的金融资产和相关负债进行抵销。</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1、应收票据及应收账款" w:id="180"/>
      <w:bookmarkEnd w:id="180"/>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ind w:left="0" w:right="1140"/>
        <w:jc w:val="right"/>
      </w:pPr>
      <w:r>
        <w:rPr/>
        <w:pict>
          <v:shape style="position:absolute;margin-left:56.459999pt;margin-top:-36.568283pt;width:479.2pt;height:87.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本集团对单项金额重大的应收款项单独进行减值测试，如有 </w:t>
                        </w:r>
                        <w:r>
                          <w:rPr>
                            <w:rFonts w:ascii="宋体" w:hAnsi="宋体" w:cs="宋体" w:eastAsia="宋体" w:hint="default"/>
                            <w:spacing w:val="-2"/>
                            <w:sz w:val="18"/>
                            <w:szCs w:val="18"/>
                          </w:rPr>
                          <w:t>客观证据表明其已发生减值，确认减值损失，计提坏账准备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单独测试未发生减值的应收款项，包括在具有类似信用风险 特征的应收款项组合中再进行减值测试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before="35"/>
        <w:ind w:right="0"/>
        <w:jc w:val="left"/>
        <w:rPr>
          <w:b w:val="0"/>
          <w:bCs w:val="0"/>
        </w:rPr>
      </w:pPr>
      <w:bookmarkStart w:name="（2） 按组合计提坏账准备的应收款项" w:id="182"/>
      <w:bookmarkEnd w:id="182"/>
      <w:r>
        <w:rPr>
          <w:b w:val="0"/>
          <w:bCs w:val="0"/>
        </w:rPr>
      </w:r>
      <w:r>
        <w:rPr/>
        <w:t>（</w:t>
      </w:r>
      <w:r>
        <w:rPr>
          <w:rFonts w:ascii="Times New Roman" w:hAnsi="Times New Roman" w:cs="Times New Roman" w:eastAsia="Times New Roman" w:hint="default"/>
        </w:rPr>
        <w:t>2</w:t>
      </w:r>
      <w:r>
        <w:rPr/>
        <w:t>）</w:t>
      </w:r>
      <w:r>
        <w:rPr>
          <w:spacing w:val="-5"/>
        </w:rPr>
        <w:t> </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590"/>
        <w:gridCol w:w="4575"/>
        <w:gridCol w:w="2285"/>
      </w:tblGrid>
      <w:tr>
        <w:trPr>
          <w:trHeight w:val="355" w:hRule="exact"/>
        </w:trPr>
        <w:tc>
          <w:tcPr>
            <w:tcW w:w="716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2285"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r>
      <w:tr>
        <w:trPr>
          <w:trHeight w:val="352" w:hRule="exact"/>
        </w:trPr>
        <w:tc>
          <w:tcPr>
            <w:tcW w:w="259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：应收关联方款项</w:t>
            </w:r>
          </w:p>
        </w:tc>
        <w:tc>
          <w:tcPr>
            <w:tcW w:w="457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本集团合并范围内关联方</w:t>
            </w: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个别认定</w:t>
            </w:r>
          </w:p>
        </w:tc>
      </w:tr>
      <w:tr>
        <w:trPr>
          <w:trHeight w:val="352" w:hRule="exact"/>
        </w:trPr>
        <w:tc>
          <w:tcPr>
            <w:tcW w:w="259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：保证金及押金</w:t>
            </w:r>
          </w:p>
        </w:tc>
        <w:tc>
          <w:tcPr>
            <w:tcW w:w="457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项目保证金及项目押金等</w:t>
            </w: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个别认定</w:t>
            </w:r>
          </w:p>
        </w:tc>
      </w:tr>
      <w:tr>
        <w:trPr>
          <w:trHeight w:val="353" w:hRule="exact"/>
        </w:trPr>
        <w:tc>
          <w:tcPr>
            <w:tcW w:w="259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：账龄组合</w:t>
            </w:r>
          </w:p>
        </w:tc>
        <w:tc>
          <w:tcPr>
            <w:tcW w:w="457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Heading6"/>
        <w:spacing w:line="260" w:lineRule="exact" w:before="0"/>
        <w:ind w:left="574" w:right="0"/>
        <w:jc w:val="left"/>
      </w:pPr>
      <w:r>
        <w:rPr/>
        <w:t>组合中，采用账龄分析法计提坏账准备的：</w:t>
      </w:r>
    </w:p>
    <w:p>
      <w:pPr>
        <w:pStyle w:val="Heading6"/>
        <w:spacing w:line="240" w:lineRule="auto" w:before="37"/>
        <w:ind w:left="574" w:right="0"/>
        <w:jc w:val="left"/>
      </w:pPr>
      <w:r>
        <w:rPr>
          <w:rFonts w:ascii="Times New Roman" w:hAnsi="Times New Roman" w:cs="Times New Roman" w:eastAsia="Times New Roman" w:hint="default"/>
        </w:rPr>
        <w:t>a.</w:t>
      </w:r>
      <w:r>
        <w:rPr/>
        <w:t>互联网传媒与娱乐</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306"/>
        <w:gridCol w:w="3128"/>
        <w:gridCol w:w="2903"/>
      </w:tblGrid>
      <w:tr>
        <w:trPr>
          <w:trHeight w:val="346" w:hRule="exact"/>
        </w:trPr>
        <w:tc>
          <w:tcPr>
            <w:tcW w:w="3306" w:type="dxa"/>
            <w:tcBorders>
              <w:top w:val="nil" w:sz="6" w:space="0" w:color="auto"/>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128" w:type="dxa"/>
            <w:tcBorders>
              <w:top w:val="nil" w:sz="6" w:space="0" w:color="auto"/>
              <w:left w:val="single" w:sz="6" w:space="0" w:color="000000"/>
              <w:bottom w:val="single" w:sz="12"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03" w:type="dxa"/>
            <w:tcBorders>
              <w:top w:val="nil" w:sz="6" w:space="0" w:color="auto"/>
              <w:left w:val="single" w:sz="6" w:space="0" w:color="000000"/>
              <w:bottom w:val="single" w:sz="12" w:space="0" w:color="000000"/>
              <w:right w:val="nil" w:sz="6" w:space="0" w:color="auto"/>
            </w:tcBorders>
          </w:tcPr>
          <w:p>
            <w:pPr>
              <w:pStyle w:val="TableParagraph"/>
              <w:spacing w:line="285" w:lineRule="exact"/>
              <w:ind w:right="6"/>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330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3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29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w:t>
            </w:r>
          </w:p>
        </w:tc>
      </w:tr>
      <w:tr>
        <w:trPr>
          <w:trHeight w:val="352" w:hRule="exact"/>
        </w:trPr>
        <w:tc>
          <w:tcPr>
            <w:tcW w:w="330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3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5/20</w:t>
            </w:r>
          </w:p>
        </w:tc>
        <w:tc>
          <w:tcPr>
            <w:tcW w:w="29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5/20</w:t>
            </w:r>
          </w:p>
        </w:tc>
      </w:tr>
      <w:tr>
        <w:trPr>
          <w:trHeight w:val="352" w:hRule="exact"/>
        </w:trPr>
        <w:tc>
          <w:tcPr>
            <w:tcW w:w="330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3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30/50</w:t>
            </w:r>
          </w:p>
        </w:tc>
        <w:tc>
          <w:tcPr>
            <w:tcW w:w="29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30/50</w:t>
            </w:r>
          </w:p>
        </w:tc>
      </w:tr>
      <w:tr>
        <w:trPr>
          <w:trHeight w:val="353" w:hRule="exact"/>
        </w:trPr>
        <w:tc>
          <w:tcPr>
            <w:tcW w:w="330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3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100</w:t>
            </w:r>
          </w:p>
        </w:tc>
        <w:tc>
          <w:tcPr>
            <w:tcW w:w="29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100</w:t>
            </w:r>
          </w:p>
        </w:tc>
      </w:tr>
    </w:tbl>
    <w:p>
      <w:pPr>
        <w:pStyle w:val="Heading6"/>
        <w:spacing w:line="276" w:lineRule="exact" w:before="0"/>
        <w:ind w:left="574" w:right="0"/>
        <w:jc w:val="left"/>
      </w:pPr>
      <w:r>
        <w:rPr/>
        <w:t>注</w:t>
      </w:r>
      <w:r>
        <w:rPr>
          <w:rFonts w:ascii="Times New Roman" w:hAnsi="Times New Roman" w:cs="Times New Roman" w:eastAsia="Times New Roman" w:hint="default"/>
        </w:rPr>
        <w:t>1</w:t>
      </w:r>
      <w:r>
        <w:rPr/>
        <w:t>：媒体客户账龄</w:t>
      </w:r>
      <w:r>
        <w:rPr>
          <w:rFonts w:ascii="Times New Roman" w:hAnsi="Times New Roman" w:cs="Times New Roman" w:eastAsia="Times New Roman" w:hint="default"/>
        </w:rPr>
        <w:t>1-2</w:t>
      </w:r>
      <w:r>
        <w:rPr/>
        <w:t>年按</w:t>
      </w:r>
      <w:r>
        <w:rPr>
          <w:rFonts w:ascii="Times New Roman" w:hAnsi="Times New Roman" w:cs="Times New Roman" w:eastAsia="Times New Roman" w:hint="default"/>
        </w:rPr>
        <w:t>5%</w:t>
      </w:r>
      <w:r>
        <w:rPr/>
        <w:t>计提；商业客户</w:t>
      </w:r>
      <w:r>
        <w:rPr>
          <w:rFonts w:ascii="Times New Roman" w:hAnsi="Times New Roman" w:cs="Times New Roman" w:eastAsia="Times New Roman" w:hint="default"/>
        </w:rPr>
        <w:t>1-2</w:t>
      </w:r>
      <w:r>
        <w:rPr/>
        <w:t>年按</w:t>
      </w:r>
      <w:r>
        <w:rPr>
          <w:rFonts w:ascii="Times New Roman" w:hAnsi="Times New Roman" w:cs="Times New Roman" w:eastAsia="Times New Roman" w:hint="default"/>
        </w:rPr>
        <w:t>20%</w:t>
      </w:r>
      <w:r>
        <w:rPr/>
        <w:t>。</w:t>
      </w:r>
    </w:p>
    <w:p>
      <w:pPr>
        <w:pStyle w:val="Heading6"/>
        <w:spacing w:line="240" w:lineRule="auto" w:before="21"/>
        <w:ind w:left="574" w:right="0"/>
        <w:jc w:val="left"/>
      </w:pPr>
      <w:r>
        <w:rPr/>
        <w:t>注</w:t>
      </w:r>
      <w:r>
        <w:rPr>
          <w:rFonts w:ascii="Times New Roman" w:hAnsi="Times New Roman" w:cs="Times New Roman" w:eastAsia="Times New Roman" w:hint="default"/>
        </w:rPr>
        <w:t>2</w:t>
      </w:r>
      <w:r>
        <w:rPr/>
        <w:t>：媒体客户账龄</w:t>
      </w:r>
      <w:r>
        <w:rPr>
          <w:rFonts w:ascii="Times New Roman" w:hAnsi="Times New Roman" w:cs="Times New Roman" w:eastAsia="Times New Roman" w:hint="default"/>
        </w:rPr>
        <w:t>2-3</w:t>
      </w:r>
      <w:r>
        <w:rPr/>
        <w:t>年按</w:t>
      </w:r>
      <w:r>
        <w:rPr>
          <w:rFonts w:ascii="Times New Roman" w:hAnsi="Times New Roman" w:cs="Times New Roman" w:eastAsia="Times New Roman" w:hint="default"/>
        </w:rPr>
        <w:t>30%</w:t>
      </w:r>
      <w:r>
        <w:rPr/>
        <w:t>计提；商业客户</w:t>
      </w:r>
      <w:r>
        <w:rPr>
          <w:rFonts w:ascii="Times New Roman" w:hAnsi="Times New Roman" w:cs="Times New Roman" w:eastAsia="Times New Roman" w:hint="default"/>
        </w:rPr>
        <w:t>2-3</w:t>
      </w:r>
      <w:r>
        <w:rPr/>
        <w:t>年按</w:t>
      </w:r>
      <w:r>
        <w:rPr>
          <w:rFonts w:ascii="Times New Roman" w:hAnsi="Times New Roman" w:cs="Times New Roman" w:eastAsia="Times New Roman" w:hint="default"/>
        </w:rPr>
        <w:t>50%</w:t>
      </w:r>
      <w:r>
        <w:rPr/>
        <w:t>。</w:t>
      </w:r>
    </w:p>
    <w:p>
      <w:pPr>
        <w:pStyle w:val="Heading6"/>
        <w:spacing w:line="240" w:lineRule="auto" w:before="21"/>
        <w:ind w:left="574" w:right="0"/>
        <w:jc w:val="left"/>
      </w:pPr>
      <w:r>
        <w:rPr>
          <w:rFonts w:ascii="Times New Roman" w:hAnsi="Times New Roman" w:cs="Times New Roman" w:eastAsia="Times New Roman" w:hint="default"/>
        </w:rPr>
        <w:t>b.</w:t>
      </w:r>
      <w:r>
        <w:rPr/>
        <w:t>旅游及其他</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52"/>
        <w:gridCol w:w="3076"/>
        <w:gridCol w:w="2856"/>
      </w:tblGrid>
      <w:tr>
        <w:trPr>
          <w:trHeight w:val="346" w:hRule="exact"/>
        </w:trPr>
        <w:tc>
          <w:tcPr>
            <w:tcW w:w="3252" w:type="dxa"/>
            <w:tcBorders>
              <w:top w:val="nil" w:sz="6" w:space="0" w:color="auto"/>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076" w:type="dxa"/>
            <w:tcBorders>
              <w:top w:val="nil" w:sz="6" w:space="0" w:color="auto"/>
              <w:left w:val="single" w:sz="6" w:space="0" w:color="000000"/>
              <w:bottom w:val="single" w:sz="12" w:space="0" w:color="000000"/>
              <w:right w:val="single" w:sz="6" w:space="0" w:color="000000"/>
            </w:tcBorders>
          </w:tcPr>
          <w:p>
            <w:pPr>
              <w:pStyle w:val="TableParagraph"/>
              <w:spacing w:line="285" w:lineRule="exact"/>
              <w:ind w:left="392"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56" w:type="dxa"/>
            <w:tcBorders>
              <w:top w:val="nil" w:sz="6" w:space="0" w:color="auto"/>
              <w:left w:val="single" w:sz="6" w:space="0" w:color="000000"/>
              <w:bottom w:val="single" w:sz="12" w:space="0" w:color="000000"/>
              <w:right w:val="nil" w:sz="6" w:space="0" w:color="auto"/>
            </w:tcBorders>
          </w:tcPr>
          <w:p>
            <w:pPr>
              <w:pStyle w:val="TableParagraph"/>
              <w:spacing w:line="285" w:lineRule="exact"/>
              <w:ind w:left="283" w:right="0"/>
              <w:jc w:val="left"/>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325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0" w:right="0"/>
              <w:jc w:val="center"/>
              <w:rPr>
                <w:rFonts w:ascii="Times New Roman" w:hAnsi="Times New Roman" w:cs="Times New Roman" w:eastAsia="Times New Roman" w:hint="default"/>
                <w:sz w:val="21"/>
                <w:szCs w:val="21"/>
              </w:rPr>
            </w:pPr>
            <w:r>
              <w:rPr>
                <w:rFonts w:ascii="Times New Roman"/>
                <w:sz w:val="21"/>
              </w:rPr>
              <w:t>0.5</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4" w:right="0"/>
              <w:jc w:val="center"/>
              <w:rPr>
                <w:rFonts w:ascii="Times New Roman" w:hAnsi="Times New Roman" w:cs="Times New Roman" w:eastAsia="Times New Roman" w:hint="default"/>
                <w:sz w:val="21"/>
                <w:szCs w:val="21"/>
              </w:rPr>
            </w:pPr>
            <w:r>
              <w:rPr>
                <w:rFonts w:ascii="Times New Roman"/>
                <w:sz w:val="21"/>
              </w:rPr>
              <w:t>0.5</w:t>
            </w:r>
          </w:p>
        </w:tc>
      </w:tr>
      <w:tr>
        <w:trPr>
          <w:trHeight w:val="352" w:hRule="exact"/>
        </w:trPr>
        <w:tc>
          <w:tcPr>
            <w:tcW w:w="325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1" w:right="0"/>
              <w:jc w:val="center"/>
              <w:rPr>
                <w:rFonts w:ascii="Times New Roman" w:hAnsi="Times New Roman" w:cs="Times New Roman" w:eastAsia="Times New Roman" w:hint="default"/>
                <w:sz w:val="21"/>
                <w:szCs w:val="21"/>
              </w:rPr>
            </w:pPr>
            <w:r>
              <w:rPr>
                <w:rFonts w:ascii="Times New Roman"/>
                <w:sz w:val="21"/>
              </w:rPr>
              <w:t>5</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5" w:right="0"/>
              <w:jc w:val="center"/>
              <w:rPr>
                <w:rFonts w:ascii="Times New Roman" w:hAnsi="Times New Roman" w:cs="Times New Roman" w:eastAsia="Times New Roman" w:hint="default"/>
                <w:sz w:val="21"/>
                <w:szCs w:val="21"/>
              </w:rPr>
            </w:pPr>
            <w:r>
              <w:rPr>
                <w:rFonts w:ascii="Times New Roman"/>
                <w:sz w:val="21"/>
              </w:rPr>
              <w:t>5</w:t>
            </w:r>
          </w:p>
        </w:tc>
      </w:tr>
      <w:tr>
        <w:trPr>
          <w:trHeight w:val="352" w:hRule="exact"/>
        </w:trPr>
        <w:tc>
          <w:tcPr>
            <w:tcW w:w="325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1" w:right="0"/>
              <w:jc w:val="center"/>
              <w:rPr>
                <w:rFonts w:ascii="Times New Roman" w:hAnsi="Times New Roman" w:cs="Times New Roman" w:eastAsia="Times New Roman" w:hint="default"/>
                <w:sz w:val="21"/>
                <w:szCs w:val="21"/>
              </w:rPr>
            </w:pPr>
            <w:r>
              <w:rPr>
                <w:rFonts w:ascii="Times New Roman"/>
                <w:sz w:val="21"/>
              </w:rPr>
              <w:t>10</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5" w:right="0"/>
              <w:jc w:val="center"/>
              <w:rPr>
                <w:rFonts w:ascii="Times New Roman" w:hAnsi="Times New Roman" w:cs="Times New Roman" w:eastAsia="Times New Roman" w:hint="default"/>
                <w:sz w:val="21"/>
                <w:szCs w:val="21"/>
              </w:rPr>
            </w:pPr>
            <w:r>
              <w:rPr>
                <w:rFonts w:ascii="Times New Roman"/>
                <w:sz w:val="21"/>
              </w:rPr>
              <w:t>10</w:t>
            </w:r>
          </w:p>
        </w:tc>
      </w:tr>
      <w:tr>
        <w:trPr>
          <w:trHeight w:val="353" w:hRule="exact"/>
        </w:trPr>
        <w:tc>
          <w:tcPr>
            <w:tcW w:w="325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年至</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1" w:right="0"/>
              <w:jc w:val="center"/>
              <w:rPr>
                <w:rFonts w:ascii="Times New Roman" w:hAnsi="Times New Roman" w:cs="Times New Roman" w:eastAsia="Times New Roman" w:hint="default"/>
                <w:sz w:val="21"/>
                <w:szCs w:val="21"/>
              </w:rPr>
            </w:pPr>
            <w:r>
              <w:rPr>
                <w:rFonts w:ascii="Times New Roman"/>
                <w:sz w:val="21"/>
              </w:rPr>
              <w:t>30</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5" w:right="0"/>
              <w:jc w:val="center"/>
              <w:rPr>
                <w:rFonts w:ascii="Times New Roman" w:hAnsi="Times New Roman" w:cs="Times New Roman" w:eastAsia="Times New Roman" w:hint="default"/>
                <w:sz w:val="21"/>
                <w:szCs w:val="21"/>
              </w:rPr>
            </w:pPr>
            <w:r>
              <w:rPr>
                <w:rFonts w:ascii="Times New Roman"/>
                <w:sz w:val="21"/>
              </w:rPr>
              <w:t>30</w:t>
            </w:r>
          </w:p>
        </w:tc>
      </w:tr>
      <w:tr>
        <w:trPr>
          <w:trHeight w:val="352" w:hRule="exact"/>
        </w:trPr>
        <w:tc>
          <w:tcPr>
            <w:tcW w:w="325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21" w:right="0"/>
              <w:jc w:val="center"/>
              <w:rPr>
                <w:rFonts w:ascii="Times New Roman" w:hAnsi="Times New Roman" w:cs="Times New Roman" w:eastAsia="Times New Roman" w:hint="default"/>
                <w:sz w:val="21"/>
                <w:szCs w:val="21"/>
              </w:rPr>
            </w:pPr>
            <w:r>
              <w:rPr>
                <w:rFonts w:ascii="Times New Roman"/>
                <w:sz w:val="21"/>
              </w:rPr>
              <w:t>50</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5" w:right="0"/>
              <w:jc w:val="center"/>
              <w:rPr>
                <w:rFonts w:ascii="Times New Roman" w:hAnsi="Times New Roman" w:cs="Times New Roman" w:eastAsia="Times New Roman" w:hint="default"/>
                <w:sz w:val="21"/>
                <w:szCs w:val="21"/>
              </w:rPr>
            </w:pPr>
            <w:r>
              <w:rPr>
                <w:rFonts w:ascii="Times New Roman"/>
                <w:sz w:val="21"/>
              </w:rPr>
              <w:t>50</w:t>
            </w:r>
          </w:p>
        </w:tc>
      </w:tr>
      <w:tr>
        <w:trPr>
          <w:trHeight w:val="352" w:hRule="exact"/>
        </w:trPr>
        <w:tc>
          <w:tcPr>
            <w:tcW w:w="325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419" w:right="0"/>
              <w:jc w:val="center"/>
              <w:rPr>
                <w:rFonts w:ascii="Times New Roman" w:hAnsi="Times New Roman" w:cs="Times New Roman" w:eastAsia="Times New Roman" w:hint="default"/>
                <w:sz w:val="21"/>
                <w:szCs w:val="21"/>
              </w:rPr>
            </w:pPr>
            <w:r>
              <w:rPr>
                <w:rFonts w:ascii="Times New Roman"/>
                <w:sz w:val="21"/>
              </w:rPr>
              <w:t>100</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13" w:right="0"/>
              <w:jc w:val="center"/>
              <w:rPr>
                <w:rFonts w:ascii="Times New Roman" w:hAnsi="Times New Roman" w:cs="Times New Roman" w:eastAsia="Times New Roman" w:hint="default"/>
                <w:sz w:val="21"/>
                <w:szCs w:val="21"/>
              </w:rPr>
            </w:pPr>
            <w:r>
              <w:rPr>
                <w:rFonts w:ascii="Times New Roman"/>
                <w:sz w:val="21"/>
              </w:rPr>
              <w:t>100</w:t>
            </w:r>
          </w:p>
        </w:tc>
      </w:tr>
    </w:tbl>
    <w:p>
      <w:pPr>
        <w:pStyle w:val="Heading6"/>
        <w:spacing w:line="260" w:lineRule="exact" w:before="0"/>
        <w:ind w:left="574" w:right="0"/>
        <w:jc w:val="left"/>
      </w:pPr>
      <w:r>
        <w:rPr/>
        <w:t>组合中，采用其他方法计提坏账准备的：</w:t>
      </w: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574"/>
        <w:gridCol w:w="4772"/>
      </w:tblGrid>
      <w:tr>
        <w:trPr>
          <w:trHeight w:val="347" w:hRule="exact"/>
        </w:trPr>
        <w:tc>
          <w:tcPr>
            <w:tcW w:w="4574" w:type="dxa"/>
            <w:tcBorders>
              <w:top w:val="nil" w:sz="6" w:space="0" w:color="auto"/>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72" w:type="dxa"/>
            <w:tcBorders>
              <w:top w:val="nil" w:sz="6" w:space="0" w:color="auto"/>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352" w:hRule="exact"/>
        </w:trPr>
        <w:tc>
          <w:tcPr>
            <w:tcW w:w="457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：应收关联方款项</w:t>
            </w:r>
          </w:p>
        </w:tc>
        <w:tc>
          <w:tcPr>
            <w:tcW w:w="47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单独减值测试未发生减值，不再计提坏账准备</w:t>
            </w:r>
          </w:p>
        </w:tc>
      </w:tr>
      <w:tr>
        <w:trPr>
          <w:trHeight w:val="353" w:hRule="exact"/>
        </w:trPr>
        <w:tc>
          <w:tcPr>
            <w:tcW w:w="457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：保证金及押金</w:t>
            </w:r>
          </w:p>
        </w:tc>
        <w:tc>
          <w:tcPr>
            <w:tcW w:w="47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单独减值测试未发生减值，不再计提坏账准备</w:t>
            </w:r>
          </w:p>
        </w:tc>
      </w:tr>
    </w:tbl>
    <w:p>
      <w:pPr>
        <w:spacing w:after="0" w:line="260"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的应收款项应进行单项减值测试。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4） 坏账准备的转回" w:id="184"/>
      <w:bookmarkEnd w:id="184"/>
      <w:r>
        <w:rPr>
          <w:b w:val="0"/>
          <w:bCs w:val="0"/>
        </w:rPr>
      </w:r>
      <w:r>
        <w:rPr/>
        <w:t>（</w:t>
      </w:r>
      <w:r>
        <w:rPr>
          <w:rFonts w:ascii="Times New Roman" w:hAnsi="Times New Roman" w:cs="Times New Roman" w:eastAsia="Times New Roman" w:hint="default"/>
        </w:rPr>
        <w:t>4</w:t>
      </w:r>
      <w:r>
        <w:rPr/>
        <w:t>）</w:t>
      </w:r>
      <w:r>
        <w:rPr>
          <w:spacing w:val="-3"/>
        </w:rPr>
        <w:t> </w:t>
      </w:r>
      <w:r>
        <w:rPr/>
        <w:t>坏账准备的转回</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right="1131" w:firstLine="420"/>
        <w:jc w:val="both"/>
      </w:pPr>
      <w:r>
        <w:rPr>
          <w:spacing w:val="-1"/>
        </w:rPr>
        <w:t>如有客观证据表明该应收款项价值已恢复，且客观上与确认该损失后发生的事项有关，原确认的减值</w:t>
      </w:r>
      <w:r>
        <w:rPr/>
        <w:t> </w:t>
      </w:r>
      <w:r>
        <w:rPr>
          <w:spacing w:val="-1"/>
        </w:rPr>
        <w:t>损失予以转回，计入当期损益。但是，该转回后的账面价值不超过假定不计提减值准备情况下该应收款项</w:t>
      </w:r>
      <w:r>
        <w:rPr>
          <w:spacing w:val="-83"/>
        </w:rPr>
        <w:t> </w:t>
      </w:r>
      <w:r>
        <w:rPr>
          <w:spacing w:val="-83"/>
        </w:rPr>
      </w:r>
      <w:r>
        <w:rPr/>
        <w:t>在转回日的摊余成本。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Heading6"/>
        <w:spacing w:line="256" w:lineRule="auto" w:before="1"/>
        <w:ind w:right="1026" w:firstLine="420"/>
        <w:jc w:val="left"/>
      </w:pPr>
      <w:r>
        <w:rPr>
          <w:rFonts w:ascii="Times New Roman" w:hAnsi="Times New Roman" w:cs="Times New Roman" w:eastAsia="Times New Roman" w:hint="default"/>
          <w:spacing w:val="-2"/>
        </w:rPr>
        <w:t>1.</w:t>
      </w:r>
      <w:r>
        <w:rPr>
          <w:spacing w:val="-2"/>
        </w:rPr>
        <w:t>存货分类：本集团存货包括在日常活动中持有以备出售的产成品或商品、处于生产过程中的在产品、</w:t>
      </w:r>
      <w:r>
        <w:rPr/>
        <w:t> 在生产过程或提供劳务过程中耗用的材料和物料等。具体划分为在产品及库存商品等。</w:t>
      </w:r>
    </w:p>
    <w:p>
      <w:pPr>
        <w:pStyle w:val="Heading6"/>
        <w:spacing w:line="240" w:lineRule="auto" w:before="22"/>
        <w:ind w:left="574" w:right="0"/>
        <w:jc w:val="left"/>
      </w:pPr>
      <w:r>
        <w:rPr>
          <w:rFonts w:ascii="Times New Roman" w:hAnsi="Times New Roman" w:cs="Times New Roman" w:eastAsia="Times New Roman" w:hint="default"/>
        </w:rPr>
        <w:t>2.</w:t>
      </w:r>
      <w:r>
        <w:rPr/>
        <w:t>存货的确认：本集团存货同时满足下列条件的，予以确认：</w:t>
      </w:r>
    </w:p>
    <w:p>
      <w:pPr>
        <w:pStyle w:val="Heading6"/>
        <w:spacing w:line="240" w:lineRule="auto" w:before="21"/>
        <w:ind w:left="574" w:right="0"/>
        <w:jc w:val="left"/>
      </w:pPr>
      <w:r>
        <w:rPr/>
        <w:t>①与该存货有关的经济利益很可能流入企业；</w:t>
      </w:r>
    </w:p>
    <w:p>
      <w:pPr>
        <w:pStyle w:val="Heading6"/>
        <w:spacing w:line="240" w:lineRule="auto" w:before="37"/>
        <w:ind w:left="574" w:right="0"/>
        <w:jc w:val="left"/>
      </w:pPr>
      <w:r>
        <w:rPr/>
        <w:t>②该存货的成本能够可靠地计量。</w:t>
      </w:r>
    </w:p>
    <w:p>
      <w:pPr>
        <w:pStyle w:val="Heading6"/>
        <w:spacing w:line="256" w:lineRule="auto" w:before="37"/>
        <w:ind w:right="1118" w:firstLine="420"/>
        <w:jc w:val="left"/>
      </w:pPr>
      <w:r>
        <w:rPr>
          <w:rFonts w:ascii="Times New Roman" w:hAnsi="Times New Roman" w:cs="Times New Roman" w:eastAsia="Times New Roman" w:hint="default"/>
        </w:rPr>
        <w:t>3.</w:t>
      </w:r>
      <w:r>
        <w:rPr/>
        <w:t>存货取得和发出的计价方法：存货在取得时按实际成本计价，存货成本包括采购成本、加工成本和 其他成本。</w:t>
      </w:r>
    </w:p>
    <w:p>
      <w:pPr>
        <w:pStyle w:val="Heading6"/>
        <w:spacing w:line="240" w:lineRule="auto" w:before="22"/>
        <w:ind w:left="574" w:right="0"/>
        <w:jc w:val="left"/>
      </w:pPr>
      <w:r>
        <w:rPr/>
        <w:t>①采购存货专门用于单项业务时，按个别计价法确认。</w:t>
      </w:r>
    </w:p>
    <w:p>
      <w:pPr>
        <w:pStyle w:val="Heading6"/>
        <w:spacing w:line="240" w:lineRule="auto" w:before="37"/>
        <w:ind w:left="574" w:right="0"/>
        <w:jc w:val="left"/>
      </w:pPr>
      <w:r>
        <w:rPr/>
        <w:t>②非为单项业务单独采购的存货，按加权平均法确认。</w:t>
      </w:r>
    </w:p>
    <w:p>
      <w:pPr>
        <w:pStyle w:val="Heading6"/>
        <w:spacing w:line="256" w:lineRule="auto" w:before="37"/>
        <w:ind w:right="1118" w:firstLine="420"/>
        <w:jc w:val="left"/>
      </w:pPr>
      <w:r>
        <w:rPr>
          <w:rFonts w:ascii="Times New Roman" w:hAnsi="Times New Roman" w:cs="Times New Roman" w:eastAsia="Times New Roman" w:hint="default"/>
        </w:rPr>
        <w:t>4.</w:t>
      </w:r>
      <w:r>
        <w:rPr/>
        <w:t>低值易耗品和包装物的摊销方法：低值易耗品和包装物在领用时根据实际情况采用一次摊销法进行 摊销。</w:t>
      </w:r>
    </w:p>
    <w:p>
      <w:pPr>
        <w:pStyle w:val="Heading6"/>
        <w:spacing w:line="256" w:lineRule="auto" w:before="22"/>
        <w:ind w:right="1113"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期末存货的计量：资产负债表日，存货按成本与可变现净值孰低计量，存货成本高于其可变现净值 的，计提存货跌价准备，计入当期损益。</w:t>
      </w:r>
    </w:p>
    <w:p>
      <w:pPr>
        <w:pStyle w:val="Heading6"/>
        <w:spacing w:line="273" w:lineRule="auto" w:before="22"/>
        <w:ind w:left="574" w:right="0"/>
        <w:jc w:val="left"/>
      </w:pPr>
      <w:r>
        <w:rPr/>
        <w:t>①可变现净值的确定方法： </w:t>
      </w:r>
      <w:r>
        <w:rPr>
          <w:spacing w:val="-1"/>
        </w:rPr>
        <w:t>确定存货的可变现净值，以取得的确凿证据为基础，并且考虑持有存货的目的、资产负债表日后事项</w:t>
      </w:r>
    </w:p>
    <w:p>
      <w:pPr>
        <w:pStyle w:val="Heading6"/>
        <w:spacing w:line="273" w:lineRule="auto"/>
        <w:ind w:left="574" w:right="1118" w:hanging="420"/>
        <w:jc w:val="left"/>
      </w:pPr>
      <w:r>
        <w:rPr/>
        <w:t>的影响等因素。 </w:t>
      </w:r>
      <w:r>
        <w:rPr>
          <w:spacing w:val="-1"/>
        </w:rPr>
        <w:t>为生产而持有的材料等，用其生产的产成品的可变现净值高于成本的，该材料仍然按照成本计量；材</w:t>
      </w:r>
    </w:p>
    <w:p>
      <w:pPr>
        <w:pStyle w:val="Heading6"/>
        <w:spacing w:line="273" w:lineRule="auto"/>
        <w:ind w:left="574" w:right="0" w:hanging="420"/>
        <w:jc w:val="left"/>
      </w:pPr>
      <w:r>
        <w:rPr/>
        <w:t>料价格的下降表明产成品的可变现净值低于成本的，该材料按照可变现净值计量。 为执行销售合同或者劳务合同而持有的存货，其可变现净值以合同价格为基础计算。 </w:t>
      </w:r>
      <w:r>
        <w:rPr>
          <w:spacing w:val="3"/>
        </w:rPr>
        <w:t>持有存货的数量多于销售合同订购数量的，超出部分的存货的可变现净值以一般销售价格为基础计</w:t>
      </w:r>
    </w:p>
    <w:p>
      <w:pPr>
        <w:pStyle w:val="Heading6"/>
        <w:spacing w:line="240" w:lineRule="auto"/>
        <w:ind w:right="0"/>
        <w:jc w:val="left"/>
      </w:pPr>
      <w:r>
        <w:rPr/>
        <w:t>算。</w:t>
      </w:r>
    </w:p>
    <w:p>
      <w:pPr>
        <w:spacing w:line="266" w:lineRule="auto" w:before="37"/>
        <w:ind w:left="573" w:right="0" w:firstLine="0"/>
        <w:jc w:val="left"/>
        <w:rPr>
          <w:rFonts w:ascii="宋体" w:hAnsi="宋体" w:cs="宋体" w:eastAsia="宋体" w:hint="default"/>
          <w:sz w:val="21"/>
          <w:szCs w:val="21"/>
        </w:rPr>
      </w:pPr>
      <w:r>
        <w:rPr>
          <w:rFonts w:ascii="宋体" w:hAnsi="宋体" w:cs="宋体" w:eastAsia="宋体" w:hint="default"/>
          <w:sz w:val="21"/>
          <w:szCs w:val="21"/>
        </w:rPr>
        <w:t>②存货跌价准备通常按照单个存货项目计提。 </w:t>
      </w:r>
      <w:r>
        <w:rPr>
          <w:rFonts w:ascii="宋体" w:hAnsi="宋体" w:cs="宋体" w:eastAsia="宋体" w:hint="default"/>
          <w:i/>
          <w:sz w:val="22"/>
          <w:szCs w:val="22"/>
        </w:rPr>
        <w:t>对于数量繁多、单价较低的存货，按照存货类别计提存货跌价准备。</w:t>
      </w:r>
      <w:r>
        <w:rPr>
          <w:rFonts w:ascii="宋体" w:hAnsi="宋体" w:cs="宋体" w:eastAsia="宋体" w:hint="default"/>
          <w:i/>
          <w:w w:val="95"/>
          <w:sz w:val="22"/>
          <w:szCs w:val="22"/>
        </w:rPr>
        <w:t> </w:t>
      </w:r>
      <w:r>
        <w:rPr>
          <w:rFonts w:ascii="宋体" w:hAnsi="宋体" w:cs="宋体" w:eastAsia="宋体" w:hint="default"/>
          <w:spacing w:val="-1"/>
          <w:sz w:val="21"/>
          <w:szCs w:val="21"/>
        </w:rPr>
        <w:t>与在同一地区生产和销售的产品系列相关、具有相同或类似最终用途或目的，且难以与其他项目分开</w:t>
      </w:r>
    </w:p>
    <w:p>
      <w:pPr>
        <w:pStyle w:val="Heading6"/>
        <w:spacing w:line="240" w:lineRule="auto" w:before="14"/>
        <w:ind w:right="0"/>
        <w:jc w:val="left"/>
      </w:pPr>
      <w:r>
        <w:rPr/>
        <w:t>计量的存货，合并计提存货跌价准备。</w:t>
      </w:r>
    </w:p>
    <w:p>
      <w:pPr>
        <w:pStyle w:val="Heading6"/>
        <w:spacing w:line="240" w:lineRule="auto" w:before="37"/>
        <w:ind w:left="574" w:right="0"/>
        <w:jc w:val="left"/>
      </w:pPr>
      <w:r>
        <w:rPr>
          <w:rFonts w:ascii="Times New Roman" w:hAnsi="Times New Roman" w:cs="Times New Roman" w:eastAsia="Times New Roman" w:hint="default"/>
        </w:rPr>
        <w:t>6.</w:t>
      </w:r>
      <w:r>
        <w:rPr/>
        <w:t>存货的盘存制度：本集团采用永续盘存制。</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left="574" w:right="0"/>
        <w:jc w:val="left"/>
      </w:pPr>
      <w:r>
        <w:rPr>
          <w:rFonts w:ascii="Times New Roman" w:hAnsi="Times New Roman" w:cs="Times New Roman" w:eastAsia="Times New Roman" w:hint="default"/>
        </w:rPr>
        <w:t>1.</w:t>
      </w:r>
      <w:r>
        <w:rPr/>
        <w:t>持有待售类别的确认标准 </w:t>
      </w:r>
      <w:r>
        <w:rPr>
          <w:spacing w:val="-1"/>
        </w:rPr>
        <w:t>本集团主要通过出售（包括具有商业实质的非货币性资产交换，下同）而非持续使用一项非流动资产</w:t>
      </w:r>
    </w:p>
    <w:p>
      <w:pPr>
        <w:pStyle w:val="Heading6"/>
        <w:spacing w:line="273" w:lineRule="auto" w:before="23"/>
        <w:ind w:right="1131"/>
        <w:jc w:val="both"/>
      </w:pPr>
      <w:r>
        <w:rPr>
          <w:spacing w:val="-1"/>
        </w:rPr>
        <w:t>或处置组收回其账面价值的，将其划分为持有待售类别。非流动资产或处置组划分为持有待售类别，同时</w:t>
      </w:r>
      <w:r>
        <w:rPr>
          <w:spacing w:val="-83"/>
        </w:rPr>
        <w:t> </w:t>
      </w:r>
      <w:r>
        <w:rPr>
          <w:spacing w:val="-83"/>
        </w:rPr>
      </w:r>
      <w:r>
        <w:rPr/>
        <w:t>满足下列条件：</w:t>
      </w:r>
    </w:p>
    <w:p>
      <w:pPr>
        <w:pStyle w:val="Heading6"/>
        <w:spacing w:line="240" w:lineRule="auto"/>
        <w:ind w:left="574" w:right="0"/>
        <w:jc w:val="left"/>
      </w:pPr>
      <w:r>
        <w:rPr/>
        <w:t>①根据类似交易中出售此类资产或处置组的惯例，在当前状况下即可立即出售；</w:t>
      </w:r>
    </w:p>
    <w:p>
      <w:pPr>
        <w:pStyle w:val="Heading6"/>
        <w:spacing w:line="273" w:lineRule="auto" w:before="37"/>
        <w:ind w:right="1131" w:firstLine="420"/>
        <w:jc w:val="both"/>
      </w:pPr>
      <w:r>
        <w:rPr>
          <w:spacing w:val="-1"/>
        </w:rPr>
        <w:t>②出售极可能发生，即本集团已经就一项出售计划作出决议且获得确定的购买承诺，预计出售将在一</w:t>
      </w:r>
      <w:r>
        <w:rPr/>
        <w:t> </w:t>
      </w:r>
      <w:r>
        <w:rPr>
          <w:spacing w:val="-1"/>
        </w:rPr>
        <w:t>年内完成。有关规定要求本集团相关权力机构或者监管部门批准后方可出售的，应当已经获得批准。确定</w:t>
      </w:r>
      <w:r>
        <w:rPr>
          <w:spacing w:val="-83"/>
        </w:rPr>
        <w:t> </w:t>
      </w:r>
      <w:r>
        <w:rPr>
          <w:spacing w:val="-83"/>
        </w:rPr>
      </w:r>
      <w:r>
        <w:rPr>
          <w:spacing w:val="-1"/>
        </w:rPr>
        <w:t>的购买承诺，是指本集团与其他方签订的具有法律约束力的购买协议，该协议包含交易价格、时间和足够</w:t>
      </w:r>
      <w:r>
        <w:rPr>
          <w:spacing w:val="-83"/>
        </w:rPr>
        <w:t> </w:t>
      </w:r>
      <w:r>
        <w:rPr>
          <w:spacing w:val="-83"/>
        </w:rPr>
      </w:r>
      <w:r>
        <w:rPr/>
        <w:t>严厉的违约惩罚等重要条款，使协议出现重大调整或者撤销的可能性极小。</w:t>
      </w:r>
    </w:p>
    <w:p>
      <w:pPr>
        <w:pStyle w:val="Heading6"/>
        <w:spacing w:line="256" w:lineRule="auto"/>
        <w:ind w:right="1022" w:firstLine="420"/>
        <w:jc w:val="left"/>
      </w:pPr>
      <w:r>
        <w:rPr>
          <w:spacing w:val="-3"/>
          <w:w w:val="100"/>
        </w:rPr>
        <w:t>本集团专为转售而取得的非流动资产或处置组，在取得日满足</w:t>
      </w:r>
      <w:r>
        <w:rPr>
          <w:rFonts w:ascii="Times New Roman" w:hAnsi="Times New Roman" w:cs="Times New Roman" w:eastAsia="Times New Roman" w:hint="default"/>
          <w:spacing w:val="-3"/>
          <w:w w:val="100"/>
        </w:rPr>
        <w:t>“</w:t>
      </w:r>
      <w:r>
        <w:rPr>
          <w:spacing w:val="-3"/>
          <w:w w:val="100"/>
        </w:rPr>
        <w:t>预计出售将在一年内完成</w:t>
      </w:r>
      <w:r>
        <w:rPr>
          <w:rFonts w:ascii="Times New Roman" w:hAnsi="Times New Roman" w:cs="Times New Roman" w:eastAsia="Times New Roman" w:hint="default"/>
          <w:spacing w:val="-3"/>
          <w:w w:val="100"/>
        </w:rPr>
        <w:t>”</w:t>
      </w:r>
      <w:r>
        <w:rPr>
          <w:spacing w:val="-3"/>
          <w:w w:val="100"/>
        </w:rPr>
        <w:t>的规定条件，</w:t>
      </w:r>
      <w:r>
        <w:rPr/>
        <w:t> 且短期（通常为</w:t>
      </w:r>
      <w:r>
        <w:rPr>
          <w:rFonts w:ascii="Times New Roman" w:hAnsi="Times New Roman" w:cs="Times New Roman" w:eastAsia="Times New Roman" w:hint="default"/>
        </w:rPr>
        <w:t>3</w:t>
      </w:r>
      <w:r>
        <w:rPr/>
        <w:t>个月）内很可能满足持有待售类别的其他划分条件的，在取得日将其划分为持有待售类</w:t>
      </w:r>
      <w:r>
        <w:rPr>
          <w:spacing w:val="-32"/>
        </w:rPr>
        <w:t> </w:t>
      </w:r>
      <w:r>
        <w:rPr>
          <w:spacing w:val="-32"/>
        </w:rPr>
      </w:r>
      <w:r>
        <w:rPr/>
        <w:t>别。</w:t>
      </w:r>
    </w:p>
    <w:p>
      <w:pPr>
        <w:pStyle w:val="Heading6"/>
        <w:spacing w:line="264" w:lineRule="auto" w:before="22"/>
        <w:ind w:right="1126" w:firstLine="420"/>
        <w:jc w:val="both"/>
      </w:pPr>
      <w:r>
        <w:rPr>
          <w:spacing w:val="-1"/>
        </w:rPr>
        <w:t>处置组，是指在一项交易中作为整体通过出售或其他方式一并处置的一组资产，以及在该交易中转让</w:t>
      </w:r>
      <w:r>
        <w:rPr/>
        <w:t> 的与这些资产直接相关的负债。处置组所属的资产组或资产组组合按照《企业会计准则第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w:t>
      </w:r>
      <w:r>
        <w:rPr>
          <w:spacing w:val="-22"/>
        </w:rPr>
        <w:t> </w:t>
      </w:r>
      <w:r>
        <w:rPr/>
        <w:t>值》分摊了企业合并中取得的商誉的，该处置组应当包含分摊至处置组的商誉。</w:t>
      </w:r>
    </w:p>
    <w:p>
      <w:pPr>
        <w:pStyle w:val="Heading6"/>
        <w:spacing w:line="256" w:lineRule="auto" w:before="16"/>
        <w:ind w:left="574" w:right="0"/>
        <w:jc w:val="left"/>
      </w:pPr>
      <w:r>
        <w:rPr>
          <w:rFonts w:ascii="Times New Roman" w:hAnsi="Times New Roman" w:cs="Times New Roman" w:eastAsia="Times New Roman" w:hint="default"/>
        </w:rPr>
        <w:t>2.</w:t>
      </w:r>
      <w:r>
        <w:rPr/>
        <w:t>持有待售类别的会计处理方法 </w:t>
      </w:r>
      <w:r>
        <w:rPr>
          <w:spacing w:val="-1"/>
        </w:rPr>
        <w:t>本集团对于被分类为持有待售类别的非流动资产和处置组，以账面价值与公允价值减去处置费用后的</w:t>
      </w:r>
    </w:p>
    <w:p>
      <w:pPr>
        <w:pStyle w:val="Heading6"/>
        <w:spacing w:line="273" w:lineRule="auto" w:before="22"/>
        <w:ind w:right="1131"/>
        <w:jc w:val="both"/>
      </w:pPr>
      <w:r>
        <w:rPr>
          <w:spacing w:val="-1"/>
        </w:rPr>
        <w:t>净额孰低进行初始计量或重新计量。公允价值减去处置费用后的净额低于原账面价值的，其差额确认为资</w:t>
      </w:r>
      <w:r>
        <w:rPr>
          <w:spacing w:val="-81"/>
        </w:rPr>
        <w:t> </w:t>
      </w:r>
      <w:r>
        <w:rPr>
          <w:spacing w:val="-81"/>
        </w:rPr>
      </w:r>
      <w:r>
        <w:rPr>
          <w:spacing w:val="-1"/>
        </w:rPr>
        <w:t>产减值损失计入当期损益，同时计提持有待售资产减值准备；对于持有待售的处置组确认的资产减值损失</w:t>
      </w:r>
      <w:r>
        <w:rPr>
          <w:spacing w:val="-81"/>
        </w:rPr>
        <w:t> </w:t>
      </w:r>
      <w:r>
        <w:rPr>
          <w:spacing w:val="-81"/>
        </w:rPr>
      </w:r>
      <w:r>
        <w:rPr>
          <w:spacing w:val="-1"/>
        </w:rPr>
        <w:t>金额，先抵减处置组中商誉的账面价值，再根据处置组中适用持有待售类别计量规定的各项非流动资产账</w:t>
      </w:r>
      <w:r>
        <w:rPr>
          <w:spacing w:val="-81"/>
        </w:rPr>
        <w:t> </w:t>
      </w:r>
      <w:r>
        <w:rPr>
          <w:spacing w:val="-81"/>
        </w:rPr>
      </w:r>
      <w:r>
        <w:rPr>
          <w:spacing w:val="-1"/>
        </w:rPr>
        <w:t>面价值所占比重，按比例抵减其账面价值。后续资产负债表日持有待售的非流动资产公允价值减去出售费</w:t>
      </w:r>
      <w:r>
        <w:rPr>
          <w:spacing w:val="-81"/>
        </w:rPr>
        <w:t> </w:t>
      </w:r>
      <w:r>
        <w:rPr>
          <w:spacing w:val="-81"/>
        </w:rPr>
      </w:r>
      <w:r>
        <w:rPr>
          <w:spacing w:val="-1"/>
        </w:rPr>
        <w:t>用后的净额增加的，以前减记的金额予以恢复，并在划分为持有待售类别后确认的资产减值损失金额内转</w:t>
      </w:r>
      <w:r>
        <w:rPr>
          <w:spacing w:val="-81"/>
        </w:rPr>
        <w:t> </w:t>
      </w:r>
      <w:r>
        <w:rPr>
          <w:spacing w:val="-81"/>
        </w:rPr>
      </w:r>
      <w:r>
        <w:rPr>
          <w:spacing w:val="-1"/>
        </w:rPr>
        <w:t>回，转回金额计入当期损益。划分为持有待售类别前确认的资产减值损失不予转回。后续资产负债表日持</w:t>
      </w:r>
      <w:r>
        <w:rPr>
          <w:spacing w:val="-83"/>
        </w:rPr>
        <w:t> </w:t>
      </w:r>
      <w:r>
        <w:rPr>
          <w:spacing w:val="-83"/>
        </w:rPr>
      </w:r>
      <w:r>
        <w:rPr>
          <w:spacing w:val="-1"/>
        </w:rPr>
        <w:t>有待售的处置组公允价值减去出售费用后的净额增加的，以前减记的金额予以恢复，并在划分为持有待售</w:t>
      </w:r>
      <w:r>
        <w:rPr>
          <w:spacing w:val="-81"/>
        </w:rPr>
        <w:t> </w:t>
      </w:r>
      <w:r>
        <w:rPr>
          <w:spacing w:val="-81"/>
        </w:rPr>
      </w:r>
      <w:r>
        <w:rPr>
          <w:spacing w:val="3"/>
        </w:rPr>
        <w:t>类别后适用持有待售类别计量规定的非流动资产确认的资产减值损失金额内转回，转回金额计入当期损</w:t>
      </w:r>
      <w:r>
        <w:rPr>
          <w:spacing w:val="-80"/>
        </w:rPr>
        <w:t> </w:t>
      </w:r>
      <w:r>
        <w:rPr>
          <w:spacing w:val="-80"/>
        </w:rPr>
      </w:r>
      <w:r>
        <w:rPr>
          <w:spacing w:val="-1"/>
        </w:rPr>
        <w:t>益。已抵减的商誉账面价值，以及适用持有待售类别计量规定的非流动资产在划分为持有待售类别前确认</w:t>
      </w:r>
      <w:r>
        <w:rPr>
          <w:spacing w:val="-81"/>
        </w:rPr>
        <w:t> </w:t>
      </w:r>
      <w:r>
        <w:rPr>
          <w:spacing w:val="-81"/>
        </w:rPr>
      </w:r>
      <w:r>
        <w:rPr>
          <w:spacing w:val="-1"/>
        </w:rPr>
        <w:t>的资产减值损失不予转回。持有待售的处置组确认的资产减值损失后续转回金额，根据处置组中除商誉外</w:t>
      </w:r>
      <w:r>
        <w:rPr>
          <w:spacing w:val="-81"/>
        </w:rPr>
        <w:t> </w:t>
      </w:r>
      <w:r>
        <w:rPr>
          <w:spacing w:val="-81"/>
        </w:rPr>
      </w:r>
      <w:r>
        <w:rPr>
          <w:spacing w:val="-1"/>
        </w:rPr>
        <w:t>适用持有待售类别计量规定的各项非流动资产账面价值所占比重，按比例增加其账面价值。持有待售的非</w:t>
      </w:r>
      <w:r>
        <w:rPr>
          <w:spacing w:val="-81"/>
        </w:rPr>
        <w:t> </w:t>
      </w:r>
      <w:r>
        <w:rPr>
          <w:spacing w:val="-81"/>
        </w:rPr>
      </w:r>
      <w:r>
        <w:rPr>
          <w:spacing w:val="-1"/>
        </w:rPr>
        <w:t>流动资产或处置组中的非流动资产不计提折旧或摊销，持有待售的处置组中负债的利息和其他费用继续予</w:t>
      </w:r>
      <w:r>
        <w:rPr>
          <w:spacing w:val="-81"/>
        </w:rPr>
        <w:t> </w:t>
      </w:r>
      <w:r>
        <w:rPr>
          <w:spacing w:val="-81"/>
        </w:rPr>
      </w:r>
      <w:r>
        <w:rPr/>
        <w:t>以确认。</w:t>
      </w:r>
    </w:p>
    <w:p>
      <w:pPr>
        <w:pStyle w:val="Heading6"/>
        <w:spacing w:line="271" w:lineRule="auto"/>
        <w:ind w:right="0" w:firstLine="420"/>
        <w:jc w:val="left"/>
      </w:pPr>
      <w:r>
        <w:rPr>
          <w:spacing w:val="-1"/>
        </w:rPr>
        <w:t>递延所得税资产、《企业会计准则第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金融工具确认和计量》规范的金融资产、以公允价值计</w:t>
      </w:r>
      <w:r>
        <w:rPr/>
        <w:t> </w:t>
      </w:r>
      <w:r>
        <w:rPr>
          <w:spacing w:val="-1"/>
        </w:rPr>
        <w:t>量的投资性房地产和生物资产、保险合同中产生的合同权利、从职工福利中所产生的资产不适用于持有待</w:t>
      </w:r>
      <w:r>
        <w:rPr>
          <w:spacing w:val="-81"/>
        </w:rPr>
        <w:t> </w:t>
      </w:r>
      <w:r>
        <w:rPr>
          <w:spacing w:val="-81"/>
        </w:rPr>
      </w:r>
      <w:r>
        <w:rPr>
          <w:spacing w:val="-1"/>
        </w:rPr>
        <w:t>售类别的计量方法，而是根据相关准则或本集团制定的相应会计政策进行计量。处置组包含适用持有待售</w:t>
      </w:r>
      <w:r>
        <w:rPr>
          <w:spacing w:val="-81"/>
        </w:rPr>
        <w:t> </w:t>
      </w:r>
      <w:r>
        <w:rPr>
          <w:spacing w:val="-81"/>
        </w:rPr>
      </w:r>
      <w:r>
        <w:rPr>
          <w:spacing w:val="-1"/>
        </w:rPr>
        <w:t>类别的计量方法的非流动资产的，持有待售类别的计量方法适用于整个处置组。处置组中负债的计量适用</w:t>
      </w:r>
      <w:r>
        <w:rPr>
          <w:spacing w:val="-81"/>
        </w:rPr>
        <w:t> </w:t>
      </w:r>
      <w:r>
        <w:rPr>
          <w:spacing w:val="-81"/>
        </w:rPr>
      </w:r>
      <w:r>
        <w:rPr/>
        <w:t>相关会计准则。 </w:t>
      </w:r>
      <w:r>
        <w:rPr>
          <w:spacing w:val="3"/>
        </w:rPr>
        <w:t>非流动资产或处置组因不再满足持有待售类别的划分条件而不再继续划分为持有待售类别或非流动资产</w:t>
      </w:r>
      <w:r>
        <w:rPr>
          <w:spacing w:val="-82"/>
        </w:rPr>
        <w:t> </w:t>
      </w:r>
      <w:r>
        <w:rPr>
          <w:spacing w:val="-82"/>
        </w:rPr>
      </w:r>
      <w:r>
        <w:rPr>
          <w:spacing w:val="-1"/>
        </w:rPr>
        <w:t>从持有待售的处置组中移除时，按照以下两者孰低计量：①划分为持有待售类别前的账面价值，按照假定</w:t>
      </w:r>
      <w:r>
        <w:rPr>
          <w:spacing w:val="-83"/>
        </w:rPr>
        <w:t> </w:t>
      </w:r>
      <w:r>
        <w:rPr>
          <w:spacing w:val="-83"/>
        </w:rPr>
      </w:r>
      <w:r>
        <w:rPr/>
        <w:t>不划分为持有待售类别情况下本应确认的折旧、摊销或减值等进行调整后的金额；②可收回金额。</w:t>
      </w:r>
    </w:p>
    <w:p>
      <w:pPr>
        <w:spacing w:after="0" w:line="271"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6"/>
        <w:spacing w:line="266" w:lineRule="auto" w:before="0"/>
        <w:ind w:left="574" w:right="4242"/>
        <w:jc w:val="left"/>
      </w:pPr>
      <w:r>
        <w:rPr/>
        <w:t>长期股权投资包括对子公司、合营企业和联营企业的权益性投资。 </w:t>
      </w:r>
      <w:r>
        <w:rPr>
          <w:rFonts w:ascii="Times New Roman" w:hAnsi="Times New Roman" w:cs="Times New Roman" w:eastAsia="Times New Roman" w:hint="default"/>
        </w:rPr>
        <w:t>1.</w:t>
      </w:r>
      <w:r>
        <w:rPr/>
        <w:t>初始计量 本集团分别下列两种情况对长期股权投资进行初始计量：</w:t>
      </w:r>
    </w:p>
    <w:p>
      <w:pPr>
        <w:pStyle w:val="Heading6"/>
        <w:spacing w:line="240" w:lineRule="auto" w:before="14"/>
        <w:ind w:left="574" w:right="0"/>
        <w:jc w:val="left"/>
      </w:pPr>
      <w:r>
        <w:rPr/>
        <w:t>①企业合并形成的长期股权投资，按照下列规定确定其初始投资成本：</w:t>
      </w:r>
    </w:p>
    <w:p>
      <w:pPr>
        <w:pStyle w:val="Heading6"/>
        <w:spacing w:line="268" w:lineRule="auto" w:before="37"/>
        <w:ind w:right="0" w:firstLine="420"/>
        <w:jc w:val="left"/>
      </w:pPr>
      <w:r>
        <w:rPr>
          <w:rFonts w:ascii="Times New Roman" w:hAnsi="Times New Roman" w:cs="Times New Roman" w:eastAsia="Times New Roman" w:hint="default"/>
          <w:spacing w:val="-2"/>
        </w:rPr>
        <w:t>A</w:t>
      </w:r>
      <w:r>
        <w:rPr>
          <w:spacing w:val="-2"/>
        </w:rPr>
        <w:t>、同一控制下的企业合并中，合并方以支付现金、转让非现金资产或承担债务方式作为合并对价的，</w:t>
      </w:r>
      <w:r>
        <w:rPr/>
        <w:t> </w:t>
      </w:r>
      <w:r>
        <w:rPr>
          <w:spacing w:val="3"/>
        </w:rPr>
        <w:t>在合并日按照被合并方所有者权益在最终控制方合并财务报表中的账面价值的份额作为长期股权投资的</w:t>
      </w:r>
      <w:r>
        <w:rPr>
          <w:spacing w:val="-82"/>
        </w:rPr>
        <w:t> </w:t>
      </w:r>
      <w:r>
        <w:rPr>
          <w:spacing w:val="-82"/>
        </w:rPr>
      </w:r>
      <w:r>
        <w:rPr/>
        <w:t>初始投资成本。长期股权投资初始投资成本与支付的现金、转让的非现金资产以及所承担债务账面价值之</w:t>
      </w:r>
      <w:r>
        <w:rPr/>
        <w:t> 间的差额，调整资本公积；资本公积不足冲减的，调整留存收益。为进行企业合并发生的各项直接相关费 用，包括为进行企业合并而支付的审计费用、评估费用、法律服务费用等，于发生时计入当期损益。</w:t>
      </w:r>
    </w:p>
    <w:p>
      <w:pPr>
        <w:pStyle w:val="Heading6"/>
        <w:spacing w:line="273" w:lineRule="auto" w:before="12"/>
        <w:ind w:right="1131" w:firstLine="420"/>
        <w:jc w:val="both"/>
      </w:pPr>
      <w:r>
        <w:rPr>
          <w:spacing w:val="-1"/>
        </w:rPr>
        <w:t>合并方以发行权益性证券作为合并对价的，在合并日按照被合并方所有者权益在最终控制方合并财务</w:t>
      </w:r>
      <w:r>
        <w:rPr/>
        <w:t> </w:t>
      </w:r>
      <w:r>
        <w:rPr>
          <w:spacing w:val="-1"/>
        </w:rPr>
        <w:t>报表中的账面价值的份额作为长期股权投资的初始投资成本。按照发行股份的面值总额作为股本，长期股</w:t>
      </w:r>
      <w:r>
        <w:rPr>
          <w:spacing w:val="-81"/>
        </w:rPr>
        <w:t> </w:t>
      </w:r>
      <w:r>
        <w:rPr>
          <w:spacing w:val="-81"/>
        </w:rPr>
      </w:r>
      <w:r>
        <w:rPr>
          <w:spacing w:val="-1"/>
        </w:rPr>
        <w:t>权投资初始投资成本与所发行股份面值总额之间的差额，调整资本公积；资本公积不足冲减的，调整留存</w:t>
      </w:r>
      <w:r>
        <w:rPr>
          <w:spacing w:val="-83"/>
        </w:rPr>
        <w:t> </w:t>
      </w:r>
      <w:r>
        <w:rPr>
          <w:spacing w:val="-83"/>
        </w:rPr>
      </w:r>
      <w:r>
        <w:rPr>
          <w:spacing w:val="-1"/>
        </w:rPr>
        <w:t>收益。合并中发行权益性证券发生的手续费、佣金等费用，抵减权益性证券溢价收入，溢价收入不足冲减</w:t>
      </w:r>
      <w:r>
        <w:rPr>
          <w:spacing w:val="-86"/>
        </w:rPr>
        <w:t> </w:t>
      </w:r>
      <w:r>
        <w:rPr>
          <w:spacing w:val="-86"/>
        </w:rPr>
      </w:r>
      <w:r>
        <w:rPr/>
        <w:t>的，冲减留存收益。</w:t>
      </w:r>
    </w:p>
    <w:p>
      <w:pPr>
        <w:pStyle w:val="Heading6"/>
        <w:spacing w:line="256" w:lineRule="auto"/>
        <w:ind w:left="574" w:right="0"/>
        <w:jc w:val="left"/>
      </w:pPr>
      <w:r>
        <w:rPr>
          <w:rFonts w:ascii="Times New Roman" w:hAnsi="Times New Roman" w:cs="Times New Roman" w:eastAsia="Times New Roman" w:hint="default"/>
        </w:rPr>
        <w:t>B</w:t>
      </w:r>
      <w:r>
        <w:rPr/>
        <w:t>、非同一控制下的企业合并中，本集团区别下列情况确定合并成本： </w:t>
      </w:r>
      <w:r>
        <w:rPr>
          <w:rFonts w:ascii="Times New Roman" w:hAnsi="Times New Roman" w:cs="Times New Roman" w:eastAsia="Times New Roman" w:hint="default"/>
        </w:rPr>
        <w:t>a</w:t>
      </w:r>
      <w:r>
        <w:rPr/>
        <w:t>）一次交换交易实现的企业合并，合并成本为在购买日为取得对被购买方的控制权而付出的资产、</w:t>
      </w:r>
    </w:p>
    <w:p>
      <w:pPr>
        <w:pStyle w:val="Heading6"/>
        <w:spacing w:line="240" w:lineRule="auto" w:before="5"/>
        <w:ind w:right="0"/>
        <w:jc w:val="left"/>
      </w:pPr>
      <w:r>
        <w:rPr/>
        <w:t>发生或承担的负债以及发行的权益性证券的公允价值；</w:t>
      </w:r>
    </w:p>
    <w:p>
      <w:pPr>
        <w:pStyle w:val="Heading6"/>
        <w:spacing w:line="256" w:lineRule="auto" w:before="37"/>
        <w:ind w:right="1141" w:firstLine="420"/>
        <w:jc w:val="both"/>
      </w:pPr>
      <w:r>
        <w:rPr>
          <w:rFonts w:ascii="Times New Roman" w:hAnsi="Times New Roman" w:cs="Times New Roman" w:eastAsia="Times New Roman" w:hint="default"/>
        </w:rPr>
        <w:t>b</w:t>
      </w:r>
      <w:r>
        <w:rPr/>
        <w:t>）通过多次交换交易分步实现的企业合并，以购买日之前所持被购买方的股权投资的账面价值与购 买日新增投资成本之和，作为该项投资的初始投资成本；</w:t>
      </w:r>
    </w:p>
    <w:p>
      <w:pPr>
        <w:pStyle w:val="Heading6"/>
        <w:spacing w:line="266" w:lineRule="auto" w:before="22"/>
        <w:ind w:right="1131" w:firstLine="420"/>
        <w:jc w:val="both"/>
      </w:pPr>
      <w:r>
        <w:rPr>
          <w:rFonts w:ascii="Times New Roman" w:hAnsi="Times New Roman" w:cs="Times New Roman" w:eastAsia="Times New Roman" w:hint="default"/>
        </w:rPr>
        <w:t>c</w:t>
      </w:r>
      <w:r>
        <w:rPr/>
        <w:t>）为企业合并发生的审计、法律服务、评估咨询等中介费用以及其他相关管理费用，于发生时计入 </w:t>
      </w:r>
      <w:r>
        <w:rPr>
          <w:spacing w:val="-1"/>
        </w:rPr>
        <w:t>当期损益；作为合并对价发行的权益性证券或债务性证券的交易费用，计入权益性证券或债务性证券的初</w:t>
      </w:r>
      <w:r>
        <w:rPr>
          <w:spacing w:val="-81"/>
        </w:rPr>
        <w:t> </w:t>
      </w:r>
      <w:r>
        <w:rPr>
          <w:spacing w:val="-81"/>
        </w:rPr>
      </w:r>
      <w:r>
        <w:rPr/>
        <w:t>始确认金额；</w:t>
      </w:r>
    </w:p>
    <w:p>
      <w:pPr>
        <w:pStyle w:val="Heading6"/>
        <w:spacing w:line="256" w:lineRule="auto" w:before="14"/>
        <w:ind w:right="1141" w:firstLine="420"/>
        <w:jc w:val="both"/>
      </w:pPr>
      <w:r>
        <w:rPr>
          <w:rFonts w:ascii="Times New Roman" w:hAnsi="Times New Roman" w:cs="Times New Roman" w:eastAsia="Times New Roman" w:hint="default"/>
        </w:rPr>
        <w:t>d</w:t>
      </w:r>
      <w:r>
        <w:rPr/>
        <w:t>）在合并合同或协议中对可能影响合并成本的未来事项作出约定的，购买日如果估计未来事项很可 能发生并且对合并成本的影响金额能够可靠计量的，将其计入合并成本。</w:t>
      </w:r>
    </w:p>
    <w:p>
      <w:pPr>
        <w:pStyle w:val="Heading6"/>
        <w:spacing w:line="273" w:lineRule="auto" w:before="22"/>
        <w:ind w:right="1131" w:firstLine="420"/>
        <w:jc w:val="both"/>
      </w:pPr>
      <w:r>
        <w:rPr>
          <w:spacing w:val="-1"/>
        </w:rPr>
        <w:t>②除企业合并形成的长期股权投资以外，其他方式取得的长期股权投资，按照下列规定确定其初始投</w:t>
      </w:r>
      <w:r>
        <w:rPr/>
        <w:t> 资成本：</w:t>
      </w:r>
    </w:p>
    <w:p>
      <w:pPr>
        <w:pStyle w:val="Heading6"/>
        <w:spacing w:line="256" w:lineRule="auto"/>
        <w:ind w:right="1136" w:firstLine="420"/>
        <w:jc w:val="both"/>
      </w:pPr>
      <w:r>
        <w:rPr>
          <w:rFonts w:ascii="Times New Roman" w:hAnsi="Times New Roman" w:cs="Times New Roman" w:eastAsia="Times New Roman" w:hint="default"/>
        </w:rPr>
        <w:t>A</w:t>
      </w:r>
      <w:r>
        <w:rPr/>
        <w:t>、以支付现金取得的长期股权投资，按照实际支付的购买价款作为初始投资成本。初始投资成本包 括与取得长期股权投资直接相关的费用、税金及其他必要支出。</w:t>
      </w:r>
    </w:p>
    <w:p>
      <w:pPr>
        <w:pStyle w:val="Heading6"/>
        <w:spacing w:line="264" w:lineRule="auto" w:before="22"/>
        <w:ind w:right="1132" w:firstLine="420"/>
        <w:jc w:val="both"/>
      </w:pPr>
      <w:r>
        <w:rPr>
          <w:rFonts w:ascii="Times New Roman" w:hAnsi="Times New Roman" w:cs="Times New Roman" w:eastAsia="Times New Roman" w:hint="default"/>
        </w:rPr>
        <w:t>B</w:t>
      </w:r>
      <w:r>
        <w:rPr/>
        <w:t>、以发行权益性证券取得的长期股权投资，按照发行权益性证券的公允价值作为初始投资成本，但 </w:t>
      </w:r>
      <w:r>
        <w:rPr>
          <w:spacing w:val="-1"/>
        </w:rPr>
        <w:t>不包括应自被投资单位收取的已宣告但尚未发放的现金股利或利润。发行或取得自身权益工具时发生的交</w:t>
      </w:r>
      <w:r>
        <w:rPr>
          <w:spacing w:val="-81"/>
        </w:rPr>
        <w:t> </w:t>
      </w:r>
      <w:r>
        <w:rPr>
          <w:spacing w:val="-81"/>
        </w:rPr>
      </w:r>
      <w:r>
        <w:rPr/>
        <w:t>易费用，可直接归属于权益性交易的，从权益中扣减。</w:t>
      </w:r>
    </w:p>
    <w:p>
      <w:pPr>
        <w:pStyle w:val="Heading6"/>
        <w:spacing w:line="256" w:lineRule="auto" w:before="16"/>
        <w:ind w:right="1127" w:firstLine="420"/>
        <w:jc w:val="both"/>
      </w:pPr>
      <w:r>
        <w:rPr>
          <w:rFonts w:ascii="Times New Roman" w:hAnsi="Times New Roman" w:cs="Times New Roman" w:eastAsia="Times New Roman" w:hint="default"/>
        </w:rPr>
        <w:t>C</w:t>
      </w:r>
      <w:r>
        <w:rPr/>
        <w:t>、通过非货币性资产交换取得的长期股权投资，其初始投资成本按照《企业会计准则第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w:t>
      </w:r>
      <w:r>
        <w:rPr>
          <w:spacing w:val="2"/>
        </w:rPr>
        <w:t> </w:t>
      </w:r>
      <w:r>
        <w:rPr/>
        <w:t>性资产交换》确定。</w:t>
      </w:r>
    </w:p>
    <w:p>
      <w:pPr>
        <w:pStyle w:val="Heading6"/>
        <w:spacing w:line="240" w:lineRule="auto" w:before="22"/>
        <w:ind w:left="574" w:right="0"/>
        <w:jc w:val="left"/>
      </w:pPr>
      <w:r>
        <w:rPr>
          <w:rFonts w:ascii="Times New Roman" w:hAnsi="Times New Roman" w:cs="Times New Roman" w:eastAsia="Times New Roman" w:hint="default"/>
          <w:spacing w:val="-5"/>
        </w:rPr>
        <w:t>D</w:t>
      </w:r>
      <w:r>
        <w:rPr>
          <w:spacing w:val="-5"/>
        </w:rPr>
        <w:t>、通过债务重组取得的长期股权投资，其初始投资成本按照《企业会计准则第</w:t>
      </w:r>
      <w:r>
        <w:rPr>
          <w:rFonts w:ascii="Times New Roman" w:hAnsi="Times New Roman" w:cs="Times New Roman" w:eastAsia="Times New Roman" w:hint="default"/>
          <w:spacing w:val="-5"/>
        </w:rPr>
        <w:t>12</w:t>
      </w:r>
      <w:r>
        <w:rPr>
          <w:spacing w:val="-5"/>
        </w:rPr>
        <w:t>号</w:t>
      </w:r>
      <w:r>
        <w:rPr>
          <w:rFonts w:ascii="Times New Roman" w:hAnsi="Times New Roman" w:cs="Times New Roman" w:eastAsia="Times New Roman" w:hint="default"/>
          <w:spacing w:val="-5"/>
        </w:rPr>
        <w:t>--</w:t>
      </w:r>
      <w:r>
        <w:rPr>
          <w:spacing w:val="-5"/>
        </w:rPr>
        <w:t>债务重组》确定。</w:t>
      </w:r>
    </w:p>
    <w:p>
      <w:pPr>
        <w:pStyle w:val="Heading6"/>
        <w:spacing w:line="273" w:lineRule="auto" w:before="21"/>
        <w:ind w:right="1131" w:firstLine="420"/>
        <w:jc w:val="both"/>
      </w:pPr>
      <w:r>
        <w:rPr>
          <w:spacing w:val="-1"/>
        </w:rPr>
        <w:t>③无论是以何种方式取得长期股权投资，取得投资时，对于支付的对价中包含的应享有被投资单位已</w:t>
      </w:r>
      <w:r>
        <w:rPr/>
        <w:t> </w:t>
      </w:r>
      <w:r>
        <w:rPr>
          <w:spacing w:val="3"/>
        </w:rPr>
        <w:t>经宣告但尚未发放的现金股利或利润都作为应收项目单独核算，不构成取得长期股权投资的初始投资成</w:t>
      </w:r>
      <w:r>
        <w:rPr>
          <w:spacing w:val="-82"/>
        </w:rPr>
        <w:t> </w:t>
      </w:r>
      <w:r>
        <w:rPr>
          <w:spacing w:val="-82"/>
        </w:rPr>
      </w:r>
      <w:r>
        <w:rPr/>
        <w:t>本。</w:t>
      </w:r>
    </w:p>
    <w:p>
      <w:pPr>
        <w:pStyle w:val="Heading6"/>
        <w:spacing w:line="256" w:lineRule="auto"/>
        <w:ind w:left="574" w:right="1118"/>
        <w:jc w:val="left"/>
      </w:pPr>
      <w:r>
        <w:rPr>
          <w:rFonts w:ascii="Times New Roman" w:hAnsi="Times New Roman" w:cs="Times New Roman" w:eastAsia="Times New Roman" w:hint="default"/>
        </w:rPr>
        <w:t>2.</w:t>
      </w:r>
      <w:r>
        <w:rPr/>
        <w:t>后续计量 </w:t>
      </w:r>
      <w:r>
        <w:rPr>
          <w:spacing w:val="-1"/>
        </w:rPr>
        <w:t>能够对被投资单位实施控制的长期股权投资，在个别财务报表中采用成本法核算。对被投资单位具有</w:t>
      </w:r>
    </w:p>
    <w:p>
      <w:pPr>
        <w:pStyle w:val="Heading6"/>
        <w:spacing w:line="240" w:lineRule="auto" w:before="22"/>
        <w:ind w:right="0"/>
        <w:jc w:val="left"/>
      </w:pPr>
      <w:r>
        <w:rPr/>
        <w:t>共同控制或重大影响的长期股权投资，采用权益法核算。</w:t>
      </w:r>
    </w:p>
    <w:p>
      <w:pPr>
        <w:pStyle w:val="Heading6"/>
        <w:spacing w:line="273" w:lineRule="auto" w:before="37"/>
        <w:ind w:right="1137" w:firstLine="420"/>
        <w:jc w:val="both"/>
      </w:pPr>
      <w:r>
        <w:rPr>
          <w:spacing w:val="3"/>
        </w:rPr>
        <w:t>①采用成本法核算的长期股权投资按照初始投资成本计价。追加或收回投资调整长期股权投资的成</w:t>
      </w:r>
      <w:r>
        <w:rPr/>
        <w:t> 本。被投资单位宣告分派的现金股利或利润，确认为当期投资收益。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30" w:firstLine="420"/>
        <w:jc w:val="both"/>
      </w:pPr>
      <w:r>
        <w:rPr>
          <w:spacing w:val="-1"/>
        </w:rPr>
        <w:t>②采用权益法核算的长期股权投资，其初始投资成本大于投资时应享有被投资单位可辨认净资产公允</w:t>
      </w:r>
      <w:r>
        <w:rPr/>
        <w:t> </w:t>
      </w:r>
      <w:r>
        <w:rPr>
          <w:spacing w:val="-1"/>
        </w:rPr>
        <w:t>价值份额的，不调整长期股权投资的初始投资成本；长期股权投资的初始投资成本小于投资时应享有被投</w:t>
      </w:r>
      <w:r>
        <w:rPr>
          <w:spacing w:val="-81"/>
        </w:rPr>
        <w:t> </w:t>
      </w:r>
      <w:r>
        <w:rPr>
          <w:spacing w:val="-81"/>
        </w:rPr>
      </w:r>
      <w:r>
        <w:rPr/>
        <w:t>资单位可辨认净资产公允价值份额的，其差额计入当期损益，同时调整长期股权投资的成本。</w:t>
      </w:r>
    </w:p>
    <w:p>
      <w:pPr>
        <w:pStyle w:val="Heading6"/>
        <w:spacing w:line="273" w:lineRule="auto"/>
        <w:ind w:right="1131" w:firstLine="420"/>
        <w:jc w:val="both"/>
      </w:pPr>
      <w:r>
        <w:rPr>
          <w:spacing w:val="-1"/>
        </w:rPr>
        <w:t>取得长期股权投资后，按照应享有或应分担的被投资单位实现的净损益和其他综合收益的份额，分别</w:t>
      </w:r>
      <w:r>
        <w:rPr/>
        <w:t> </w:t>
      </w:r>
      <w:r>
        <w:rPr>
          <w:spacing w:val="-1"/>
        </w:rPr>
        <w:t>确认投资收益和其他综合收益，同时调整长期股权投资的账面价值；按照被投资单位宣告分派的利润或现</w:t>
      </w:r>
      <w:r>
        <w:rPr>
          <w:spacing w:val="-81"/>
        </w:rPr>
        <w:t> </w:t>
      </w:r>
      <w:r>
        <w:rPr>
          <w:spacing w:val="-81"/>
        </w:rPr>
      </w:r>
      <w:r>
        <w:rPr>
          <w:spacing w:val="-1"/>
        </w:rPr>
        <w:t>金股利计算应享有的部分，相应减少长期股权投资的账面价值；对于被投资单位除净损益、其他综合收益</w:t>
      </w:r>
      <w:r>
        <w:rPr>
          <w:spacing w:val="-83"/>
        </w:rPr>
        <w:t> </w:t>
      </w:r>
      <w:r>
        <w:rPr>
          <w:spacing w:val="-83"/>
        </w:rPr>
      </w:r>
      <w:r>
        <w:rPr>
          <w:spacing w:val="-1"/>
        </w:rPr>
        <w:t>和利润分配以外所有者权益的其他变动，调整长期股权投资的账面价值并计入所有者权益。在确认应享有</w:t>
      </w:r>
      <w:r>
        <w:rPr>
          <w:spacing w:val="-81"/>
        </w:rPr>
        <w:t> </w:t>
      </w:r>
      <w:r>
        <w:rPr>
          <w:spacing w:val="-81"/>
        </w:rPr>
      </w:r>
      <w:r>
        <w:rPr>
          <w:spacing w:val="-1"/>
        </w:rPr>
        <w:t>被投资单位净损益的份额时，以取得投资时被投资单位可辨认净资产的公允价值为基础，对被投资单位的</w:t>
      </w:r>
      <w:r>
        <w:rPr>
          <w:spacing w:val="-81"/>
        </w:rPr>
        <w:t> </w:t>
      </w:r>
      <w:r>
        <w:rPr>
          <w:spacing w:val="-81"/>
        </w:rPr>
      </w:r>
      <w:r>
        <w:rPr>
          <w:spacing w:val="-1"/>
        </w:rPr>
        <w:t>净利润进行调整后确认。被投资单位采用的会计政策及会计期间与本集团不一致的，按照本集团的会计政</w:t>
      </w:r>
      <w:r>
        <w:rPr>
          <w:spacing w:val="-81"/>
        </w:rPr>
        <w:t> </w:t>
      </w:r>
      <w:r>
        <w:rPr>
          <w:spacing w:val="-81"/>
        </w:rPr>
      </w:r>
      <w:r>
        <w:rPr>
          <w:spacing w:val="-1"/>
        </w:rPr>
        <w:t>策及会计期间对被投资单位的财务报表进行调整，并据以确认投资收益和其他综合收益等。确认被投资单</w:t>
      </w:r>
      <w:r>
        <w:rPr>
          <w:spacing w:val="-81"/>
        </w:rPr>
        <w:t> </w:t>
      </w:r>
      <w:r>
        <w:rPr>
          <w:spacing w:val="-81"/>
        </w:rPr>
      </w:r>
      <w:r>
        <w:rPr>
          <w:spacing w:val="-1"/>
        </w:rPr>
        <w:t>位发生的净亏损，以长期股权投资的账面价值以及其他实质上构成对被投资单位净投资的长期权益减记至</w:t>
      </w:r>
      <w:r>
        <w:rPr>
          <w:spacing w:val="-81"/>
        </w:rPr>
        <w:t> </w:t>
      </w:r>
      <w:r>
        <w:rPr>
          <w:spacing w:val="-81"/>
        </w:rPr>
      </w:r>
      <w:r>
        <w:rPr>
          <w:spacing w:val="-1"/>
        </w:rPr>
        <w:t>零为限，本集团负有承担额外损失义务的除外。被投资单位以后实现净利润的，本集团在其收益分享额弥</w:t>
      </w:r>
      <w:r>
        <w:rPr>
          <w:spacing w:val="-83"/>
        </w:rPr>
        <w:t> </w:t>
      </w:r>
      <w:r>
        <w:rPr>
          <w:spacing w:val="-83"/>
        </w:rPr>
      </w:r>
      <w:r>
        <w:rPr/>
        <w:t>补未确认的亏损分担额后，恢复确认收益分享额。</w:t>
      </w:r>
    </w:p>
    <w:p>
      <w:pPr>
        <w:pStyle w:val="Heading6"/>
        <w:spacing w:line="273" w:lineRule="auto"/>
        <w:ind w:right="1131" w:firstLine="420"/>
        <w:jc w:val="both"/>
      </w:pPr>
      <w:r>
        <w:rPr>
          <w:spacing w:val="-1"/>
        </w:rPr>
        <w:t>计算确认应享有或应分担被投资单位的净损益时，与联营企业、合营企业之间发生的未实现内部交易</w:t>
      </w:r>
      <w:r>
        <w:rPr/>
        <w:t> </w:t>
      </w:r>
      <w:r>
        <w:rPr>
          <w:spacing w:val="-1"/>
        </w:rPr>
        <w:t>损益按照应享有的比例计算归属于本集团的部分，予以抵销，在此基础上确认投资收益。本集团与被投资</w:t>
      </w:r>
      <w:r>
        <w:rPr>
          <w:spacing w:val="-83"/>
        </w:rPr>
        <w:t> </w:t>
      </w:r>
      <w:r>
        <w:rPr>
          <w:spacing w:val="-83"/>
        </w:rPr>
      </w:r>
      <w:r>
        <w:rPr/>
        <w:t>单位发生的未实现内部交易损失属于资产减值损失的，予以全额确认。</w:t>
      </w:r>
    </w:p>
    <w:p>
      <w:pPr>
        <w:pStyle w:val="Heading6"/>
        <w:spacing w:line="273" w:lineRule="auto"/>
        <w:ind w:right="1131" w:firstLine="420"/>
        <w:jc w:val="both"/>
      </w:pPr>
      <w:r>
        <w:rPr>
          <w:spacing w:val="-1"/>
        </w:rPr>
        <w:t>③本集团处置长期股权投资，其账面价值与实际取得价款的差额，计入当期损益。采用权益法核算的</w:t>
      </w:r>
      <w:r>
        <w:rPr/>
        <w:t> </w:t>
      </w: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Heading6"/>
        <w:spacing w:line="273" w:lineRule="auto"/>
        <w:ind w:right="1131" w:firstLine="420"/>
        <w:jc w:val="both"/>
      </w:pPr>
      <w:r>
        <w:rPr>
          <w:spacing w:val="-1"/>
        </w:rPr>
        <w:t>④本集团因其他投资方对其子公司增资而导致本集团持股比例下降，从而丧失控制权但能实施共同控</w:t>
      </w:r>
      <w:r>
        <w:rPr/>
        <w:t> </w:t>
      </w:r>
      <w:r>
        <w:rPr>
          <w:spacing w:val="-1"/>
        </w:rPr>
        <w:t>制或施加重大影响的，在个别财务报表中，对该项长期股权投资从成本法转为权益法核算。首先，按照新</w:t>
      </w:r>
      <w:r>
        <w:rPr>
          <w:spacing w:val="-86"/>
        </w:rPr>
        <w:t> </w:t>
      </w:r>
      <w:r>
        <w:rPr>
          <w:spacing w:val="-86"/>
        </w:rPr>
      </w:r>
      <w:r>
        <w:rPr>
          <w:spacing w:val="-1"/>
        </w:rPr>
        <w:t>的持股比例确认本投资方应享有的原子公司因增资扩股而增加净资产的份额，与应结转持股比例下降部分</w:t>
      </w:r>
      <w:r>
        <w:rPr>
          <w:spacing w:val="-81"/>
        </w:rPr>
        <w:t> </w:t>
      </w:r>
      <w:r>
        <w:rPr>
          <w:spacing w:val="-81"/>
        </w:rPr>
      </w:r>
      <w:r>
        <w:rPr>
          <w:spacing w:val="-1"/>
        </w:rPr>
        <w:t>所对应的长期股权投资原账面价值之间的差额计入当期损益；然后，按照新的持股比例视同自取得投资时</w:t>
      </w:r>
      <w:r>
        <w:rPr>
          <w:spacing w:val="-81"/>
        </w:rPr>
        <w:t> </w:t>
      </w:r>
      <w:r>
        <w:rPr>
          <w:spacing w:val="-81"/>
        </w:rPr>
      </w:r>
      <w:r>
        <w:rPr/>
        <w:t>即采用权益法核算进行调整。</w:t>
      </w:r>
    </w:p>
    <w:p>
      <w:pPr>
        <w:pStyle w:val="Heading6"/>
        <w:spacing w:line="256" w:lineRule="auto"/>
        <w:ind w:left="589" w:right="1121"/>
        <w:jc w:val="left"/>
      </w:pPr>
      <w:r>
        <w:rPr>
          <w:rFonts w:ascii="Times New Roman" w:hAnsi="Times New Roman" w:cs="Times New Roman" w:eastAsia="Times New Roman" w:hint="default"/>
        </w:rPr>
        <w:t>3.</w:t>
      </w:r>
      <w:r>
        <w:rPr/>
        <w:t>确定对被投资单位具有共同控制、重大影响的依据 </w:t>
      </w:r>
      <w:r>
        <w:rPr>
          <w:spacing w:val="-1"/>
        </w:rPr>
        <w:t>共同控制，是指按照相关约定对某项安排所共有的控制，并且该安排的相关活动必须经过分享控制权</w:t>
      </w:r>
    </w:p>
    <w:p>
      <w:pPr>
        <w:pStyle w:val="Heading6"/>
        <w:spacing w:line="273" w:lineRule="auto" w:before="22"/>
        <w:ind w:right="1132"/>
        <w:jc w:val="both"/>
      </w:pPr>
      <w:r>
        <w:rPr>
          <w:spacing w:val="-1"/>
        </w:rPr>
        <w:t>的参与方一致同意后才能决策。相关活动，是指对某项安排的回报产生重大影响的活动。重大影响，是指</w:t>
      </w:r>
      <w:r>
        <w:rPr>
          <w:spacing w:val="-86"/>
        </w:rPr>
        <w:t> </w:t>
      </w:r>
      <w:r>
        <w:rPr>
          <w:spacing w:val="-86"/>
        </w:rPr>
      </w:r>
      <w:r>
        <w:rPr>
          <w:spacing w:val="-1"/>
        </w:rPr>
        <w:t>投资方对被投资单位的财务和经营政策有参与决策的权力，但并不能够控制或者与其他方一起共同控制这</w:t>
      </w:r>
      <w:r>
        <w:rPr>
          <w:spacing w:val="-81"/>
        </w:rPr>
        <w:t> </w:t>
      </w:r>
      <w:r>
        <w:rPr>
          <w:spacing w:val="-81"/>
        </w:rPr>
      </w:r>
      <w:r>
        <w:rPr/>
        <w:t>些政策的制定。</w:t>
      </w:r>
    </w:p>
    <w:p>
      <w:pPr>
        <w:pStyle w:val="Heading6"/>
        <w:spacing w:line="256" w:lineRule="auto"/>
        <w:ind w:left="589" w:right="1521"/>
        <w:jc w:val="left"/>
      </w:pPr>
      <w:r>
        <w:rPr>
          <w:rFonts w:ascii="Times New Roman" w:hAnsi="Times New Roman" w:cs="Times New Roman" w:eastAsia="Times New Roman" w:hint="default"/>
        </w:rPr>
        <w:t>4.</w:t>
      </w:r>
      <w:r>
        <w:rPr/>
        <w:t>减值测试方法及减值准备计提方法 长期股权投资的减值测试方法及减值准备计提方法按照本集团制定的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bookmarkStart w:name="15、固定资产" w:id="188"/>
      <w:bookmarkEnd w:id="188"/>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本集团固定资产是指为生产商品、提供劳务、出租或经营管理而持有的使用寿命超过一个会计年度的有形资产。</w:t>
      </w:r>
    </w:p>
    <w:p>
      <w:pPr>
        <w:spacing w:line="240" w:lineRule="auto" w:before="10"/>
        <w:rPr>
          <w:rFonts w:ascii="宋体" w:hAnsi="宋体" w:cs="宋体" w:eastAsia="宋体" w:hint="default"/>
          <w:sz w:val="26"/>
          <w:szCs w:val="26"/>
        </w:rPr>
      </w:pPr>
    </w:p>
    <w:p>
      <w:pPr>
        <w:pStyle w:val="Heading5"/>
        <w:spacing w:line="240" w:lineRule="auto"/>
        <w:ind w:right="0"/>
        <w:jc w:val="both"/>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12.13</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32.33</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bl>
    <w:p>
      <w:pPr>
        <w:spacing w:line="240" w:lineRule="auto" w:before="3"/>
        <w:rPr>
          <w:rFonts w:ascii="宋体" w:hAnsi="宋体" w:cs="宋体" w:eastAsia="宋体" w:hint="default"/>
          <w:b/>
          <w:bCs/>
          <w:sz w:val="19"/>
          <w:szCs w:val="19"/>
        </w:rPr>
      </w:pPr>
    </w:p>
    <w:p>
      <w:pPr>
        <w:pStyle w:val="Heading5"/>
        <w:spacing w:line="240" w:lineRule="auto" w:before="35"/>
        <w:ind w:right="0"/>
        <w:jc w:val="left"/>
        <w:rPr>
          <w:b w:val="0"/>
          <w:bCs w:val="0"/>
        </w:rPr>
      </w:pPr>
      <w:bookmarkStart w:name="（3） 其他说明" w:id="191"/>
      <w:bookmarkEnd w:id="191"/>
      <w:r>
        <w:rPr>
          <w:b w:val="0"/>
          <w:bCs w:val="0"/>
        </w:rPr>
      </w:r>
      <w:r>
        <w:rPr/>
        <w:t>（</w:t>
      </w:r>
      <w:r>
        <w:rPr>
          <w:rFonts w:ascii="Times New Roman" w:hAnsi="Times New Roman" w:cs="Times New Roman" w:eastAsia="Times New Roman" w:hint="default"/>
        </w:rPr>
        <w:t>3</w:t>
      </w:r>
      <w:r>
        <w:rPr/>
        <w:t>）</w:t>
      </w:r>
      <w:r>
        <w:rPr>
          <w:spacing w:val="-2"/>
        </w:rPr>
        <w:t> </w:t>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right="1130" w:firstLine="336"/>
        <w:jc w:val="both"/>
      </w:pPr>
      <w:r>
        <w:rPr/>
        <w:t>与固定资产有关的后续支出，如果与该固定资产有关的经济利益很可能流入且其成本能可靠地计量， </w:t>
      </w:r>
      <w:r>
        <w:rPr>
          <w:spacing w:val="-1"/>
        </w:rPr>
        <w:t>则计入固定资产成本，并终止确认被替换部分的账面价值。除此以外的其他后续支出，在发生时计入当期</w:t>
      </w:r>
      <w:r>
        <w:rPr>
          <w:spacing w:val="-82"/>
        </w:rPr>
        <w:t> </w:t>
      </w:r>
      <w:r>
        <w:rPr>
          <w:spacing w:val="-82"/>
        </w:rPr>
      </w:r>
      <w:r>
        <w:rPr/>
        <w:t>损益。</w:t>
      </w:r>
    </w:p>
    <w:p>
      <w:pPr>
        <w:pStyle w:val="Heading6"/>
        <w:spacing w:line="273" w:lineRule="auto"/>
        <w:ind w:left="574" w:right="0"/>
        <w:jc w:val="left"/>
      </w:pPr>
      <w:r>
        <w:rPr/>
        <w:t>固定资产出售、转让、报废或毁损的处置收入扣除其账面价值和相关税费后的差额计入当期损益。 </w:t>
      </w:r>
      <w:r>
        <w:rPr>
          <w:spacing w:val="-1"/>
        </w:rPr>
        <w:t>本集团至少于年度终了对固定资产的使用寿命、预计净残值和折旧方法进行复核，如发生改变则作为</w:t>
      </w:r>
    </w:p>
    <w:p>
      <w:pPr>
        <w:pStyle w:val="Heading6"/>
        <w:spacing w:line="240" w:lineRule="auto"/>
        <w:ind w:right="0"/>
        <w:jc w:val="left"/>
      </w:pPr>
      <w:r>
        <w:rPr/>
        <w:t>会计估计变更处理。</w:t>
      </w:r>
    </w:p>
    <w:p>
      <w:pPr>
        <w:pStyle w:val="BodyText"/>
        <w:spacing w:line="240" w:lineRule="auto" w:before="62"/>
        <w:ind w:right="0"/>
        <w:jc w:val="left"/>
      </w:pPr>
      <w:r>
        <w:rPr/>
        <w:t>（</w:t>
      </w:r>
      <w:r>
        <w:rPr>
          <w:rFonts w:ascii="Times New Roman" w:hAnsi="Times New Roman" w:cs="Times New Roman" w:eastAsia="Times New Roman" w:hint="default"/>
        </w:rPr>
        <w:t>4</w:t>
      </w:r>
      <w:r>
        <w:rPr/>
        <w:t>）固定资产的减值，按照本集团制定的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16、在建工程" w:id="192"/>
      <w:bookmarkEnd w:id="192"/>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Heading6"/>
        <w:spacing w:line="256" w:lineRule="auto" w:before="0"/>
        <w:ind w:right="1118" w:firstLine="420"/>
        <w:jc w:val="left"/>
      </w:pPr>
      <w:r>
        <w:rPr>
          <w:rFonts w:ascii="Times New Roman" w:hAnsi="Times New Roman" w:cs="Times New Roman" w:eastAsia="Times New Roman" w:hint="default"/>
        </w:rPr>
        <w:t>1.</w:t>
      </w:r>
      <w:r>
        <w:rPr/>
        <w:t>在建工程的计价：按实际发生的支出确定工程成本。在建工程成本还包括应当资本化的借款费用和 汇兑损益。</w:t>
      </w:r>
    </w:p>
    <w:p>
      <w:pPr>
        <w:pStyle w:val="Heading6"/>
        <w:spacing w:line="266" w:lineRule="auto" w:before="22"/>
        <w:ind w:right="1130" w:firstLine="420"/>
        <w:jc w:val="both"/>
      </w:pPr>
      <w:r>
        <w:rPr>
          <w:rFonts w:ascii="Times New Roman" w:hAnsi="Times New Roman" w:cs="Times New Roman" w:eastAsia="Times New Roman" w:hint="default"/>
        </w:rPr>
        <w:t>2.</w:t>
      </w:r>
      <w:r>
        <w:rPr/>
        <w:t>本集团在在建工程达到预定可使用状态时，将在建工程转入固定资产。所建造的已达到预定可使用 </w:t>
      </w:r>
      <w:r>
        <w:rPr>
          <w:spacing w:val="-1"/>
        </w:rPr>
        <w:t>状态、但尚未办理竣工决算的固定资产，按照估计价值确认为固定资产，并计提折旧；待办理了竣工决算</w:t>
      </w:r>
      <w:r>
        <w:rPr>
          <w:spacing w:val="-86"/>
        </w:rPr>
        <w:t> </w:t>
      </w:r>
      <w:r>
        <w:rPr>
          <w:spacing w:val="-86"/>
        </w:rPr>
      </w:r>
      <w:r>
        <w:rPr/>
        <w:t>手续后，再按实际成本调整原来的暂估价值，但不调整原已计提的折旧额。</w:t>
      </w:r>
    </w:p>
    <w:p>
      <w:pPr>
        <w:pStyle w:val="Heading6"/>
        <w:spacing w:line="240" w:lineRule="auto" w:before="14"/>
        <w:ind w:left="574" w:right="0"/>
        <w:jc w:val="left"/>
      </w:pPr>
      <w:r>
        <w:rPr>
          <w:rFonts w:ascii="Times New Roman" w:hAnsi="Times New Roman" w:cs="Times New Roman" w:eastAsia="Times New Roman" w:hint="default"/>
        </w:rPr>
        <w:t>3.</w:t>
      </w:r>
      <w:r>
        <w:rPr/>
        <w:t>在建工程的减值，按照本集团制定的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bookmarkStart w:name="17、借款费用" w:id="193"/>
      <w:bookmarkEnd w:id="193"/>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left="574" w:right="0"/>
        <w:jc w:val="left"/>
      </w:pPr>
      <w:r>
        <w:rPr>
          <w:rFonts w:ascii="Times New Roman" w:hAnsi="Times New Roman" w:cs="Times New Roman" w:eastAsia="Times New Roman" w:hint="default"/>
        </w:rPr>
        <w:t>1.</w:t>
      </w:r>
      <w:r>
        <w:rPr/>
        <w:t>借款费用资本化的确认原则和资本化期间 </w:t>
      </w:r>
      <w:r>
        <w:rPr>
          <w:spacing w:val="-1"/>
        </w:rPr>
        <w:t>本集团发生的借款费用，可直接归属于符合资本化条件的资产的购建或生产的，在同时满足下列条件</w:t>
      </w:r>
    </w:p>
    <w:p>
      <w:pPr>
        <w:pStyle w:val="Heading6"/>
        <w:spacing w:line="240" w:lineRule="auto" w:before="22"/>
        <w:ind w:right="0"/>
        <w:jc w:val="both"/>
      </w:pPr>
      <w:r>
        <w:rPr/>
        <w:t>时予以资本化，计入相关资产成本：</w:t>
      </w:r>
    </w:p>
    <w:p>
      <w:pPr>
        <w:pStyle w:val="Heading6"/>
        <w:spacing w:line="240" w:lineRule="auto" w:before="37"/>
        <w:ind w:left="574" w:right="0"/>
        <w:jc w:val="left"/>
      </w:pPr>
      <w:r>
        <w:rPr/>
        <w:t>①</w:t>
      </w:r>
      <w:r>
        <w:rPr>
          <w:spacing w:val="-21"/>
        </w:rPr>
        <w:t> </w:t>
      </w:r>
      <w:r>
        <w:rPr/>
        <w:t>资产支出已经发生；</w:t>
      </w:r>
    </w:p>
    <w:p>
      <w:pPr>
        <w:pStyle w:val="Heading6"/>
        <w:spacing w:line="240" w:lineRule="auto" w:before="37"/>
        <w:ind w:left="574" w:right="0"/>
        <w:jc w:val="left"/>
      </w:pPr>
      <w:r>
        <w:rPr/>
        <w:t>②</w:t>
      </w:r>
      <w:r>
        <w:rPr>
          <w:spacing w:val="-21"/>
        </w:rPr>
        <w:t> </w:t>
      </w:r>
      <w:r>
        <w:rPr/>
        <w:t>借款费用已经发生；</w:t>
      </w:r>
    </w:p>
    <w:p>
      <w:pPr>
        <w:pStyle w:val="Heading6"/>
        <w:spacing w:line="273" w:lineRule="auto" w:before="37"/>
        <w:ind w:left="574" w:right="1197"/>
        <w:jc w:val="left"/>
      </w:pPr>
      <w:r>
        <w:rPr/>
        <w:t>③</w:t>
      </w:r>
      <w:r>
        <w:rPr>
          <w:spacing w:val="-21"/>
        </w:rPr>
        <w:t> </w:t>
      </w:r>
      <w:r>
        <w:rPr/>
        <w:t>为使资产达到预定可使用或者可销售状态所必要的购建或者生产活动已经开始。</w:t>
      </w:r>
      <w:r>
        <w:rPr/>
        <w:t> 不符合资本化条件的借款费用，在发生时根据其发生额确认为费用，计入当期的损益。 符合资本化条件的资产在购建或者生产过程中发生非正常中断、且中断时间连续超过</w:t>
      </w:r>
      <w:r>
        <w:rPr>
          <w:rFonts w:ascii="Times New Roman" w:hAnsi="Times New Roman" w:cs="Times New Roman" w:eastAsia="Times New Roman" w:hint="default"/>
        </w:rPr>
        <w:t>3</w:t>
      </w:r>
      <w:r>
        <w:rPr/>
        <w:t>个月的，暂停</w:t>
      </w:r>
    </w:p>
    <w:p>
      <w:pPr>
        <w:pStyle w:val="Heading6"/>
        <w:spacing w:line="273" w:lineRule="auto" w:before="0"/>
        <w:ind w:right="1131"/>
        <w:jc w:val="both"/>
      </w:pPr>
      <w:r>
        <w:rPr>
          <w:spacing w:val="-1"/>
        </w:rPr>
        <w:t>借款费用的资本化。在中断期间发生的借款费用确认为费用，计入当期损益，直至资产的购建或者生产活</w:t>
      </w:r>
      <w:r>
        <w:rPr>
          <w:spacing w:val="-83"/>
        </w:rPr>
        <w:t> </w:t>
      </w:r>
      <w:r>
        <w:rPr>
          <w:spacing w:val="-83"/>
        </w:rPr>
      </w:r>
      <w:r>
        <w:rPr>
          <w:spacing w:val="-1"/>
        </w:rPr>
        <w:t>动重新开始。如果中断是所购建或者生产的符合资本化条件的资产达到预定可使用或者可销售状态必要的</w:t>
      </w:r>
      <w:r>
        <w:rPr>
          <w:spacing w:val="-81"/>
        </w:rPr>
        <w:t> </w:t>
      </w:r>
      <w:r>
        <w:rPr>
          <w:spacing w:val="-81"/>
        </w:rPr>
      </w:r>
      <w:r>
        <w:rPr/>
        <w:t>程序，借款费用的资本化继续进行。</w:t>
      </w:r>
    </w:p>
    <w:p>
      <w:pPr>
        <w:pStyle w:val="Heading6"/>
        <w:spacing w:line="273" w:lineRule="auto" w:before="8"/>
        <w:ind w:right="0" w:firstLine="420"/>
        <w:jc w:val="left"/>
      </w:pPr>
      <w:r>
        <w:rPr>
          <w:spacing w:val="-1"/>
        </w:rPr>
        <w:t>购建或者生产符合资本化条件的资产达到预定可使用或者可销售状态时，借款费用停止资本化。以后</w:t>
      </w:r>
      <w:r>
        <w:rPr/>
        <w:t> 发生的借款费用于发生当期确认为费用。</w:t>
      </w:r>
    </w:p>
    <w:p>
      <w:pPr>
        <w:pStyle w:val="Heading6"/>
        <w:spacing w:line="273" w:lineRule="auto"/>
        <w:ind w:right="1302" w:firstLine="420"/>
        <w:jc w:val="left"/>
      </w:pPr>
      <w:r>
        <w:rPr/>
        <w:t>符合资本化条件的资产指需要经过相当长时间的购建或者生产活动才能达到预定可使用或可销售状 态的固定资产、投资性房地产和存货等资产。</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56" w:lineRule="auto" w:before="35"/>
        <w:ind w:left="574" w:right="0"/>
        <w:jc w:val="left"/>
      </w:pPr>
      <w:r>
        <w:rPr>
          <w:rFonts w:ascii="Times New Roman" w:hAnsi="Times New Roman" w:cs="Times New Roman" w:eastAsia="Times New Roman" w:hint="default"/>
        </w:rPr>
        <w:t>2.</w:t>
      </w:r>
      <w:r>
        <w:rPr/>
        <w:t>借款费用资本化金额的计算方法 </w:t>
      </w:r>
      <w:r>
        <w:rPr>
          <w:spacing w:val="-1"/>
        </w:rPr>
        <w:t>为购建或者生产符合资本化条件的资产而借入专门借款的，以专门借款当期实际发生的利息费用，减</w:t>
      </w:r>
    </w:p>
    <w:p>
      <w:pPr>
        <w:pStyle w:val="Heading6"/>
        <w:spacing w:line="273" w:lineRule="auto" w:before="22"/>
        <w:ind w:left="574" w:right="0" w:hanging="420"/>
        <w:jc w:val="left"/>
      </w:pPr>
      <w:r>
        <w:rPr/>
        <w:t>去将尚未动用的借款资金存入银行取得的利息收入或进行暂时性投资取得的投资收益后的金额确定。 </w:t>
      </w:r>
      <w:r>
        <w:rPr>
          <w:spacing w:val="-1"/>
        </w:rPr>
        <w:t>为购建或者生产符合资本化条件的资产而占用了一般借款的，根据累计资产支出超过专门借款部分的</w:t>
      </w:r>
    </w:p>
    <w:p>
      <w:pPr>
        <w:pStyle w:val="Heading6"/>
        <w:spacing w:line="273" w:lineRule="auto" w:before="8"/>
        <w:ind w:right="0"/>
        <w:jc w:val="left"/>
      </w:pPr>
      <w:r>
        <w:rPr>
          <w:spacing w:val="-1"/>
        </w:rPr>
        <w:t>资产支出加权平均数乘以所占用一般借款的资本化率，计算确定一般借款应予资本化的利息金额。资本化</w:t>
      </w:r>
      <w:r>
        <w:rPr>
          <w:spacing w:val="-81"/>
        </w:rPr>
        <w:t> </w:t>
      </w:r>
      <w:r>
        <w:rPr>
          <w:spacing w:val="-81"/>
        </w:rPr>
      </w:r>
      <w:r>
        <w:rPr/>
        <w:t>率根据一般借款加权平均利率计算确定。</w:t>
      </w:r>
    </w:p>
    <w:p>
      <w:pPr>
        <w:pStyle w:val="Heading6"/>
        <w:spacing w:line="240" w:lineRule="auto"/>
        <w:ind w:left="574" w:right="0"/>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18、无形资产" w:id="194"/>
      <w:bookmarkEnd w:id="194"/>
      <w:r>
        <w:rPr>
          <w:b w:val="0"/>
          <w:bCs w:val="0"/>
        </w:rPr>
      </w:r>
      <w:r>
        <w:rPr>
          <w:rFonts w:ascii="Times New Roman" w:hAnsi="Times New Roman" w:cs="Times New Roman" w:eastAsia="Times New Roman" w:hint="default"/>
        </w:rPr>
        <w:t>18</w:t>
      </w:r>
      <w:r>
        <w:rPr/>
        <w:t>、无形资产</w:t>
      </w:r>
      <w:r>
        <w:rPr>
          <w:b w:val="0"/>
          <w:bCs w:val="0"/>
        </w:rPr>
      </w:r>
    </w:p>
    <w:p>
      <w:pPr>
        <w:spacing w:line="590" w:lineRule="atLeast" w:before="23"/>
        <w:ind w:left="574" w:right="2562" w:hanging="420"/>
        <w:jc w:val="left"/>
        <w:rPr>
          <w:rFonts w:ascii="宋体" w:hAnsi="宋体" w:cs="宋体" w:eastAsia="宋体" w:hint="default"/>
          <w:sz w:val="21"/>
          <w:szCs w:val="21"/>
        </w:rPr>
      </w:pPr>
      <w:bookmarkStart w:name="（1）计价方法、使用寿命、减值测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本集团无形资产是指本集团所拥有或者控制的没有实物形态的可辨认非货币性资产。</w:t>
      </w:r>
    </w:p>
    <w:p>
      <w:pPr>
        <w:pStyle w:val="Heading6"/>
        <w:spacing w:line="256" w:lineRule="auto" w:before="37"/>
        <w:ind w:left="574" w:right="5502"/>
        <w:jc w:val="left"/>
      </w:pPr>
      <w:r>
        <w:rPr>
          <w:rFonts w:ascii="Times New Roman" w:hAnsi="Times New Roman" w:cs="Times New Roman" w:eastAsia="Times New Roman" w:hint="default"/>
        </w:rPr>
        <w:t>1.</w:t>
      </w:r>
      <w:r>
        <w:rPr/>
        <w:t>无形资产的确认 本集团在同时满足下列条件时，予以确认无形资产：</w:t>
      </w:r>
    </w:p>
    <w:p>
      <w:pPr>
        <w:pStyle w:val="Heading6"/>
        <w:spacing w:line="240" w:lineRule="auto" w:before="22"/>
        <w:ind w:left="574" w:right="0"/>
        <w:jc w:val="left"/>
      </w:pPr>
      <w:r>
        <w:rPr/>
        <w:t>①与该无形资产有关的经济利益很可能流入企业；</w:t>
      </w:r>
    </w:p>
    <w:p>
      <w:pPr>
        <w:pStyle w:val="Heading6"/>
        <w:spacing w:line="240" w:lineRule="auto" w:before="37"/>
        <w:ind w:left="574" w:right="0"/>
        <w:jc w:val="left"/>
      </w:pPr>
      <w:r>
        <w:rPr/>
        <w:t>②该无形资产的成本能够可靠地计量。</w:t>
      </w:r>
    </w:p>
    <w:p>
      <w:pPr>
        <w:pStyle w:val="Heading6"/>
        <w:spacing w:line="240" w:lineRule="auto" w:before="37"/>
        <w:ind w:left="574" w:right="0"/>
        <w:jc w:val="left"/>
      </w:pPr>
      <w:r>
        <w:rPr>
          <w:rFonts w:ascii="Times New Roman" w:hAnsi="Times New Roman" w:cs="Times New Roman" w:eastAsia="Times New Roman" w:hint="default"/>
        </w:rPr>
        <w:t>2.</w:t>
      </w:r>
      <w:r>
        <w:rPr/>
        <w:t>无形资产的计量</w:t>
      </w:r>
    </w:p>
    <w:p>
      <w:pPr>
        <w:pStyle w:val="Heading6"/>
        <w:spacing w:line="240" w:lineRule="auto" w:before="21"/>
        <w:ind w:left="574" w:right="0"/>
        <w:jc w:val="left"/>
      </w:pPr>
      <w:r>
        <w:rPr/>
        <w:t>①本集团无形资产按照成本进行初始计量。</w:t>
      </w:r>
    </w:p>
    <w:p>
      <w:pPr>
        <w:pStyle w:val="Heading6"/>
        <w:spacing w:line="240" w:lineRule="auto" w:before="37"/>
        <w:ind w:left="574" w:right="0"/>
        <w:jc w:val="left"/>
      </w:pPr>
      <w:r>
        <w:rPr/>
        <w:t>②无形资产的后续计量</w:t>
      </w:r>
    </w:p>
    <w:p>
      <w:pPr>
        <w:pStyle w:val="Heading6"/>
        <w:spacing w:line="256" w:lineRule="auto" w:before="37"/>
        <w:ind w:right="1150" w:firstLine="420"/>
        <w:jc w:val="left"/>
      </w:pPr>
      <w:r>
        <w:rPr>
          <w:rFonts w:ascii="Times New Roman" w:hAnsi="Times New Roman" w:cs="Times New Roman" w:eastAsia="Times New Roman" w:hint="default"/>
        </w:rPr>
        <w:t>A</w:t>
      </w:r>
      <w:r>
        <w:rPr/>
        <w:t>、对于使用寿命有限的无形资产在取得时判定其使用寿命并在以后期间在使用寿命内采用直线法摊 销，摊销金额按受益项目计入相关成本、费用核算。使用寿命不确定的无形资产不摊销。</w:t>
      </w:r>
    </w:p>
    <w:p>
      <w:pPr>
        <w:pStyle w:val="Heading6"/>
        <w:spacing w:line="273" w:lineRule="auto" w:before="22"/>
        <w:ind w:right="1110" w:firstLine="420"/>
        <w:jc w:val="both"/>
      </w:pP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tbl>
      <w:tblPr>
        <w:tblW w:w="0" w:type="auto"/>
        <w:jc w:val="left"/>
        <w:tblInd w:w="146" w:type="dxa"/>
        <w:tblLayout w:type="fixed"/>
        <w:tblCellMar>
          <w:top w:w="0" w:type="dxa"/>
          <w:left w:w="0" w:type="dxa"/>
          <w:bottom w:w="0" w:type="dxa"/>
          <w:right w:w="0" w:type="dxa"/>
        </w:tblCellMar>
        <w:tblLook w:val="01E0"/>
      </w:tblPr>
      <w:tblGrid>
        <w:gridCol w:w="4561"/>
        <w:gridCol w:w="4560"/>
      </w:tblGrid>
      <w:tr>
        <w:trPr>
          <w:trHeight w:val="355" w:hRule="exact"/>
        </w:trPr>
        <w:tc>
          <w:tcPr>
            <w:tcW w:w="456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60"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353" w:hRule="exact"/>
        </w:trPr>
        <w:tc>
          <w:tcPr>
            <w:tcW w:w="4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4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2-10</w:t>
            </w:r>
          </w:p>
        </w:tc>
      </w:tr>
      <w:tr>
        <w:trPr>
          <w:trHeight w:val="352" w:hRule="exact"/>
        </w:trPr>
        <w:tc>
          <w:tcPr>
            <w:tcW w:w="4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4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8-20</w:t>
            </w:r>
          </w:p>
        </w:tc>
      </w:tr>
    </w:tbl>
    <w:p>
      <w:pPr>
        <w:pStyle w:val="Heading6"/>
        <w:spacing w:line="240" w:lineRule="auto"/>
        <w:ind w:left="574" w:right="0"/>
        <w:jc w:val="left"/>
      </w:pPr>
      <w:r>
        <w:rPr>
          <w:rFonts w:ascii="Times New Roman" w:hAnsi="Times New Roman" w:cs="Times New Roman" w:eastAsia="Times New Roman" w:hint="default"/>
        </w:rPr>
        <w:t>B</w:t>
      </w:r>
      <w:r>
        <w:rPr/>
        <w:t>、无形资产的减值，按照本集团制定的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8"/>
        <w:rPr>
          <w:rFonts w:ascii="宋体" w:hAnsi="宋体" w:cs="宋体" w:eastAsia="宋体" w:hint="default"/>
          <w:sz w:val="25"/>
          <w:szCs w:val="25"/>
        </w:rPr>
      </w:pPr>
    </w:p>
    <w:p>
      <w:pPr>
        <w:spacing w:line="590" w:lineRule="atLeast" w:before="0"/>
        <w:ind w:left="574" w:right="0" w:hanging="420"/>
        <w:jc w:val="left"/>
        <w:rPr>
          <w:rFonts w:ascii="宋体" w:hAnsi="宋体" w:cs="宋体" w:eastAsia="宋体" w:hint="default"/>
          <w:sz w:val="21"/>
          <w:szCs w:val="21"/>
        </w:rPr>
      </w:pPr>
      <w:bookmarkStart w:name="（2）内部研究开发支出会计政策"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本集团内部研究开发项目支出根据其性质以及研发活动最终形成无形资产是否具有较大不确定性，被</w:t>
      </w:r>
    </w:p>
    <w:p>
      <w:pPr>
        <w:pStyle w:val="Heading6"/>
        <w:spacing w:line="264" w:lineRule="auto" w:before="37"/>
        <w:ind w:right="0"/>
        <w:jc w:val="left"/>
      </w:pPr>
      <w:r>
        <w:rPr>
          <w:spacing w:val="-1"/>
        </w:rPr>
        <w:t>分为研究阶段支出和开发阶段支出。内部研究开发项目研究阶段的支出，于发生时计入当期损益。内部研</w:t>
      </w:r>
      <w:r>
        <w:rPr>
          <w:spacing w:val="-83"/>
        </w:rPr>
        <w:t> </w:t>
      </w:r>
      <w:r>
        <w:rPr>
          <w:spacing w:val="-83"/>
        </w:rPr>
      </w:r>
      <w:r>
        <w:rPr/>
        <w:t>究开发项目开发阶段的支出，同时满足下列条件的，确认为无形资产：（</w:t>
      </w:r>
      <w:r>
        <w:rPr>
          <w:rFonts w:ascii="Times New Roman" w:hAnsi="Times New Roman" w:cs="Times New Roman" w:eastAsia="Times New Roman" w:hint="default"/>
        </w:rPr>
        <w:t>1</w:t>
      </w:r>
      <w:r>
        <w:rPr/>
        <w:t>）完成该无形资产以使其能够 </w:t>
      </w:r>
      <w:r>
        <w:rPr>
          <w:spacing w:val="-1"/>
        </w:rPr>
        <w:t>使用或出售在技术上具有可行性；（</w:t>
      </w:r>
      <w:r>
        <w:rPr>
          <w:rFonts w:ascii="Times New Roman" w:hAnsi="Times New Roman" w:cs="Times New Roman" w:eastAsia="Times New Roman" w:hint="default"/>
          <w:spacing w:val="-1"/>
        </w:rPr>
        <w:t>2</w:t>
      </w:r>
      <w:r>
        <w:rPr>
          <w:spacing w:val="-1"/>
        </w:rPr>
        <w:t>）具有完成该无形资产并使用或出售的意图；（</w:t>
      </w:r>
      <w:r>
        <w:rPr>
          <w:rFonts w:ascii="Times New Roman" w:hAnsi="Times New Roman" w:cs="Times New Roman" w:eastAsia="Times New Roman" w:hint="default"/>
          <w:spacing w:val="-1"/>
        </w:rPr>
        <w:t>3</w:t>
      </w:r>
      <w:r>
        <w:rPr>
          <w:spacing w:val="-1"/>
        </w:rPr>
        <w:t>）无形资产产生经</w:t>
      </w:r>
      <w:r>
        <w:rPr>
          <w:spacing w:val="-86"/>
        </w:rPr>
        <w:t> </w:t>
      </w:r>
      <w:r>
        <w:rPr>
          <w:spacing w:val="-86"/>
        </w:rPr>
      </w:r>
      <w:r>
        <w:rPr>
          <w:spacing w:val="-1"/>
        </w:rPr>
        <w:t>济利益的方式，包括能够证明运用该无形资产生产的产品存在市场或无形资产自身存在市场，无形资产将</w:t>
      </w:r>
      <w:r>
        <w:rPr>
          <w:spacing w:val="-81"/>
        </w:rPr>
        <w:t> </w:t>
      </w:r>
      <w:r>
        <w:rPr>
          <w:spacing w:val="-81"/>
        </w:rPr>
      </w:r>
      <w:r>
        <w:rPr/>
        <w:t>在内部使用的，能证明其有用性；（</w:t>
      </w:r>
      <w:r>
        <w:rPr>
          <w:rFonts w:ascii="Times New Roman" w:hAnsi="Times New Roman" w:cs="Times New Roman" w:eastAsia="Times New Roman" w:hint="default"/>
        </w:rPr>
        <w:t>4</w:t>
      </w:r>
      <w:r>
        <w:rPr/>
        <w:t>）有足够的技术、财务资源和其他资源支持，以完成该无形资产的 开发，并有能力使用或出售该无形资产；（</w:t>
      </w:r>
      <w:r>
        <w:rPr>
          <w:rFonts w:ascii="Times New Roman" w:hAnsi="Times New Roman" w:cs="Times New Roman" w:eastAsia="Times New Roman" w:hint="default"/>
        </w:rPr>
        <w:t>5</w:t>
      </w:r>
      <w:r>
        <w:rPr/>
        <w:t>）归属于该无形资产开发阶段的支出能够可靠地计量。</w:t>
      </w:r>
    </w:p>
    <w:p>
      <w:pPr>
        <w:pStyle w:val="Heading6"/>
        <w:spacing w:line="273" w:lineRule="auto" w:before="0"/>
        <w:ind w:left="574" w:right="0"/>
        <w:jc w:val="left"/>
      </w:pPr>
      <w:r>
        <w:rPr/>
        <w:t>本集团划分内部研究开发项目研究阶段支出和开发阶段支出的具体标准：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574" w:right="0" w:hanging="420"/>
        <w:jc w:val="left"/>
      </w:pPr>
      <w:r>
        <w:rPr/>
        <w:t>的或具有实质性改进的材料、装置、产品等活动的阶段。 </w:t>
      </w:r>
      <w:r>
        <w:rPr>
          <w:spacing w:val="-1"/>
        </w:rPr>
        <w:t>不满足上述条件的开发阶段的支出，于发生时计入当期损益。以前期间已计入损益的开发支出不在以</w:t>
      </w:r>
    </w:p>
    <w:p>
      <w:pPr>
        <w:pStyle w:val="Heading6"/>
        <w:spacing w:line="273" w:lineRule="auto"/>
        <w:ind w:right="1131"/>
        <w:jc w:val="both"/>
      </w:pP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spacing w:line="240" w:lineRule="auto" w:before="8"/>
        <w:rPr>
          <w:rFonts w:ascii="宋体" w:hAnsi="宋体" w:cs="宋体" w:eastAsia="宋体" w:hint="default"/>
          <w:sz w:val="24"/>
          <w:szCs w:val="24"/>
        </w:rPr>
      </w:pPr>
    </w:p>
    <w:p>
      <w:pPr>
        <w:spacing w:line="590" w:lineRule="atLeast" w:before="0"/>
        <w:ind w:left="574" w:right="5922" w:hanging="420"/>
        <w:jc w:val="left"/>
        <w:rPr>
          <w:rFonts w:ascii="宋体" w:hAnsi="宋体" w:cs="宋体" w:eastAsia="宋体" w:hint="default"/>
          <w:sz w:val="21"/>
          <w:szCs w:val="21"/>
        </w:rPr>
      </w:pPr>
      <w:bookmarkStart w:name="19、长期资产减值" w:id="197"/>
      <w:bookmarkEnd w:id="197"/>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当存在下列迹象的，表明资产可能发生了减值：</w:t>
      </w:r>
    </w:p>
    <w:p>
      <w:pPr>
        <w:pStyle w:val="Heading6"/>
        <w:spacing w:line="240" w:lineRule="auto" w:before="37"/>
        <w:ind w:left="574" w:right="0"/>
        <w:jc w:val="left"/>
      </w:pP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Heading6"/>
        <w:spacing w:line="256" w:lineRule="auto" w:before="21"/>
        <w:ind w:right="1144" w:firstLine="420"/>
        <w:jc w:val="left"/>
      </w:pPr>
      <w:r>
        <w:rPr>
          <w:rFonts w:ascii="Times New Roman" w:hAnsi="Times New Roman" w:cs="Times New Roman" w:eastAsia="Times New Roman" w:hint="default"/>
        </w:rPr>
        <w:t>2.</w:t>
      </w:r>
      <w:r>
        <w:rPr/>
        <w:t>本集团经营所处的经济、技术或法律等环境以及资产所处的市场在当期或将在近期发生重大变化， 从而对本集团产生不利影响。</w:t>
      </w:r>
    </w:p>
    <w:p>
      <w:pPr>
        <w:pStyle w:val="Heading6"/>
        <w:spacing w:line="256" w:lineRule="auto" w:before="22"/>
        <w:ind w:right="1144" w:firstLine="420"/>
        <w:jc w:val="left"/>
      </w:pPr>
      <w:r>
        <w:rPr>
          <w:rFonts w:ascii="Times New Roman" w:hAnsi="Times New Roman" w:cs="Times New Roman" w:eastAsia="Times New Roman" w:hint="default"/>
        </w:rPr>
        <w:t>3.</w:t>
      </w:r>
      <w:r>
        <w:rPr/>
        <w:t>市场利率或者其他市场投资回报率在当期已经提高，从而影响企业用来计算资产预计未来现金流量 现值的折现率，导致资产可收回金额大幅度降低。</w:t>
      </w:r>
    </w:p>
    <w:p>
      <w:pPr>
        <w:pStyle w:val="Heading6"/>
        <w:spacing w:line="240" w:lineRule="auto" w:before="22"/>
        <w:ind w:left="574" w:right="0"/>
        <w:jc w:val="left"/>
      </w:pPr>
      <w:r>
        <w:rPr>
          <w:rFonts w:ascii="Times New Roman" w:hAnsi="Times New Roman" w:cs="Times New Roman" w:eastAsia="Times New Roman" w:hint="default"/>
        </w:rPr>
        <w:t>4.</w:t>
      </w:r>
      <w:r>
        <w:rPr/>
        <w:t>有证据表明资产已经陈旧过时或其实体已经损坏。</w:t>
      </w:r>
    </w:p>
    <w:p>
      <w:pPr>
        <w:pStyle w:val="Heading6"/>
        <w:spacing w:line="240" w:lineRule="auto" w:before="21"/>
        <w:ind w:left="574" w:right="0"/>
        <w:jc w:val="left"/>
      </w:pPr>
      <w:r>
        <w:rPr>
          <w:rFonts w:ascii="Times New Roman" w:hAnsi="Times New Roman" w:cs="Times New Roman" w:eastAsia="Times New Roman" w:hint="default"/>
        </w:rPr>
        <w:t>5.</w:t>
      </w:r>
      <w:r>
        <w:rPr/>
        <w:t>资产已经或者将被闲置、终止使用或者计划提前处置。</w:t>
      </w:r>
    </w:p>
    <w:p>
      <w:pPr>
        <w:pStyle w:val="Heading6"/>
        <w:spacing w:line="256" w:lineRule="auto" w:before="21"/>
        <w:ind w:right="1144" w:firstLine="420"/>
        <w:jc w:val="left"/>
      </w:pPr>
      <w:r>
        <w:rPr>
          <w:rFonts w:ascii="Times New Roman" w:hAnsi="Times New Roman" w:cs="Times New Roman" w:eastAsia="Times New Roman" w:hint="default"/>
        </w:rPr>
        <w:t>6.</w:t>
      </w:r>
      <w:r>
        <w:rPr/>
        <w:t>本集团内部报告的证据表明资产的经济绩效已经低于或者将低于预期，如资产所创造的净现金流量 或者实现的营业利润（或者损失）远远低于预计金额等。</w:t>
      </w:r>
    </w:p>
    <w:p>
      <w:pPr>
        <w:pStyle w:val="Heading6"/>
        <w:spacing w:line="256" w:lineRule="auto" w:before="22"/>
        <w:ind w:left="574" w:right="1092"/>
        <w:jc w:val="left"/>
      </w:pPr>
      <w:r>
        <w:rPr>
          <w:rFonts w:ascii="Times New Roman" w:hAnsi="Times New Roman" w:cs="Times New Roman" w:eastAsia="Times New Roman" w:hint="default"/>
        </w:rPr>
        <w:t>7.</w:t>
      </w:r>
      <w:r>
        <w:rPr/>
        <w:t>其他表明资产可能已经发生减值的迹象。 本集团在资产负债表日对长期股权投资、固定资产、在建工程、无形资产（使用寿命不确定的除外）</w:t>
      </w:r>
    </w:p>
    <w:p>
      <w:pPr>
        <w:pStyle w:val="Heading6"/>
        <w:spacing w:line="268" w:lineRule="auto" w:before="22"/>
        <w:ind w:right="1131"/>
        <w:jc w:val="both"/>
      </w:pPr>
      <w:r>
        <w:rPr/>
        <w:t>等适用《企业会计准则第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资产减值》的各项资产进行判断，当存在减值迹象时对其进行减值测试</w:t>
      </w:r>
      <w:r>
        <w:rPr>
          <w:rFonts w:ascii="Times New Roman" w:hAnsi="Times New Roman" w:cs="Times New Roman" w:eastAsia="Times New Roman" w:hint="default"/>
        </w:rPr>
        <w:t>- </w:t>
      </w:r>
      <w:r>
        <w:rPr>
          <w:spacing w:val="-1"/>
        </w:rPr>
        <w:t>估计其可收回金额。可收回金额以资产的公允价值减去处置费用后的净额与资产预计未来现金流量的现值</w:t>
      </w:r>
      <w:r>
        <w:rPr>
          <w:spacing w:val="-81"/>
        </w:rPr>
        <w:t> </w:t>
      </w:r>
      <w:r>
        <w:rPr>
          <w:spacing w:val="-81"/>
        </w:rPr>
      </w:r>
      <w:r>
        <w:rPr>
          <w:spacing w:val="-1"/>
        </w:rPr>
        <w:t>两者之间较高者确定。资产的可收回金额低于其账面价值的，将资产的账面价值减记至可收回金额，减记</w:t>
      </w:r>
      <w:r>
        <w:rPr>
          <w:spacing w:val="-83"/>
        </w:rPr>
        <w:t> </w:t>
      </w:r>
      <w:r>
        <w:rPr>
          <w:spacing w:val="-83"/>
        </w:rPr>
      </w:r>
      <w:r>
        <w:rPr/>
        <w:t>的金额确认为资产减值损失，计入当期损益，同时计提相应的资产减值准备。</w:t>
      </w:r>
    </w:p>
    <w:p>
      <w:pPr>
        <w:pStyle w:val="Heading6"/>
        <w:spacing w:line="273" w:lineRule="auto" w:before="12"/>
        <w:ind w:right="0" w:firstLine="420"/>
        <w:jc w:val="left"/>
      </w:pPr>
      <w:r>
        <w:rPr>
          <w:spacing w:val="-1"/>
        </w:rPr>
        <w:t>有迹象表明一项资产可能发生减值的，本集团通常以单项资产为基础估计其可收回金额。当难以对单</w:t>
      </w:r>
      <w:r>
        <w:rPr/>
        <w:t> 项资产的可收回金额进行估计的，以该资产所属的资产组为基础确定资产组的可收回金额。</w:t>
      </w:r>
    </w:p>
    <w:p>
      <w:pPr>
        <w:pStyle w:val="Heading6"/>
        <w:spacing w:line="273" w:lineRule="auto"/>
        <w:ind w:right="1131" w:firstLine="420"/>
        <w:jc w:val="both"/>
      </w:pPr>
      <w:r>
        <w:rPr>
          <w:spacing w:val="-1"/>
        </w:rPr>
        <w:t>资产组是本集团可以认定的最小资产组合，其产生的现金流入基本上独立于其他资产或者资产组。资</w:t>
      </w:r>
      <w:r>
        <w:rPr/>
        <w:t> </w:t>
      </w:r>
      <w:r>
        <w:rPr>
          <w:spacing w:val="-1"/>
        </w:rPr>
        <w:t>产组由创造现金流入相关的资产组成。资产组的认定，以资产组产生的主要现金流入是否独立于其他资产</w:t>
      </w:r>
      <w:r>
        <w:rPr>
          <w:spacing w:val="-81"/>
        </w:rPr>
        <w:t> </w:t>
      </w:r>
      <w:r>
        <w:rPr>
          <w:spacing w:val="-81"/>
        </w:rPr>
      </w:r>
      <w:r>
        <w:rPr/>
        <w:t>或者资产组的现金流入为依据。</w:t>
      </w:r>
    </w:p>
    <w:p>
      <w:pPr>
        <w:pStyle w:val="Heading6"/>
        <w:spacing w:line="273" w:lineRule="auto"/>
        <w:ind w:right="0" w:firstLine="420"/>
        <w:jc w:val="left"/>
      </w:pPr>
      <w:r>
        <w:rPr>
          <w:spacing w:val="-1"/>
        </w:rPr>
        <w:t>本集团对因企业合并所形成的商誉和使用寿命不确定的无形资产，无论是否存在减值迹象，每年都进</w:t>
      </w:r>
      <w:r>
        <w:rPr/>
        <w:t> 行减值测试。商誉的减值测试结合与其相关的资产组或者资产组组合进行。</w:t>
      </w:r>
    </w:p>
    <w:p>
      <w:pPr>
        <w:pStyle w:val="Heading6"/>
        <w:spacing w:line="240" w:lineRule="auto"/>
        <w:ind w:left="574" w:right="0"/>
        <w:jc w:val="left"/>
      </w:pPr>
      <w:r>
        <w:rPr/>
        <w:t>资产减值损失一经确认，在以后会计期间不予转回。</w:t>
      </w:r>
    </w:p>
    <w:p>
      <w:pPr>
        <w:spacing w:line="240" w:lineRule="auto" w:before="11"/>
        <w:rPr>
          <w:rFonts w:ascii="宋体" w:hAnsi="宋体" w:cs="宋体" w:eastAsia="宋体" w:hint="default"/>
          <w:sz w:val="26"/>
          <w:szCs w:val="26"/>
        </w:rPr>
      </w:pPr>
    </w:p>
    <w:p>
      <w:pPr>
        <w:pStyle w:val="Heading6"/>
        <w:spacing w:line="590" w:lineRule="atLeast" w:before="0"/>
        <w:ind w:left="589" w:right="1287" w:hanging="436"/>
        <w:jc w:val="left"/>
      </w:pPr>
      <w:bookmarkStart w:name="20、长期待摊费用" w:id="198"/>
      <w:bookmarkEnd w:id="198"/>
      <w:r>
        <w:rPr/>
      </w: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99"/>
        </w:rPr>
        <w:t> </w:t>
      </w:r>
      <w:r>
        <w:rPr/>
        <w:t>本集团将已经发生的但应由本期和以后各期负担的摊销期限在一年以上的经营租赁方式租入的固定</w:t>
      </w:r>
    </w:p>
    <w:p>
      <w:pPr>
        <w:pStyle w:val="Heading6"/>
        <w:spacing w:line="240" w:lineRule="auto" w:before="37"/>
        <w:ind w:right="0"/>
        <w:jc w:val="left"/>
      </w:pPr>
      <w:r>
        <w:rPr/>
        <w:t>资产改良支出等各项费用确认为长期待摊费用，并按项目受益期采用直线法平均摊销。</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5"/>
        <w:spacing w:line="240" w:lineRule="auto"/>
        <w:ind w:right="0"/>
        <w:jc w:val="left"/>
        <w:rPr>
          <w:b w:val="0"/>
          <w:bCs w:val="0"/>
        </w:rPr>
      </w:pPr>
      <w:bookmarkStart w:name="21、 商誉" w:id="199"/>
      <w:bookmarkEnd w:id="199"/>
      <w:r>
        <w:rPr>
          <w:b w:val="0"/>
          <w:bCs w:val="0"/>
        </w:rPr>
      </w:r>
      <w:r>
        <w:rPr>
          <w:rFonts w:ascii="Times New Roman" w:hAnsi="Times New Roman" w:cs="Times New Roman" w:eastAsia="Times New Roman" w:hint="default"/>
        </w:rPr>
        <w:t>21</w:t>
      </w:r>
      <w:r>
        <w:rPr/>
        <w:t>、</w:t>
      </w:r>
      <w:r>
        <w:rPr>
          <w:spacing w:val="-1"/>
        </w:rPr>
        <w:t> </w:t>
      </w:r>
      <w:r>
        <w:rPr/>
        <w:t>商誉</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right="1121" w:firstLine="435"/>
        <w:jc w:val="left"/>
      </w:pPr>
      <w:r>
        <w:rPr>
          <w:spacing w:val="-1"/>
        </w:rPr>
        <w:t>因非同一控制下企业合并形成的商誉，其初始成本是合并成本大于合并中取得的被购买方可辨认净资</w:t>
      </w:r>
      <w:r>
        <w:rPr/>
        <w:t> 产公允价值份额的差额。</w:t>
      </w:r>
    </w:p>
    <w:p>
      <w:pPr>
        <w:pStyle w:val="Heading6"/>
        <w:spacing w:line="240" w:lineRule="auto"/>
        <w:ind w:left="589" w:right="0"/>
        <w:jc w:val="left"/>
      </w:pPr>
      <w:r>
        <w:rPr/>
        <w:t>商誉在其相关资产组或资产组组合处置时予以转出，计入当期损益。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589" w:right="1121"/>
        <w:jc w:val="left"/>
      </w:pPr>
      <w:r>
        <w:rPr/>
        <w:t>本集团对商誉不摊销，商誉至少在每年年度终了进行减值测试。 </w:t>
      </w:r>
      <w:r>
        <w:rPr>
          <w:spacing w:val="-1"/>
        </w:rPr>
        <w:t>本集团进行商誉减值测试，对于因企业合并形成的商誉的账面价值，自购买日起按照合理的方法分摊</w:t>
      </w:r>
    </w:p>
    <w:p>
      <w:pPr>
        <w:pStyle w:val="Heading6"/>
        <w:spacing w:line="273" w:lineRule="auto"/>
        <w:ind w:right="1130"/>
        <w:jc w:val="both"/>
      </w:pPr>
      <w:r>
        <w:rPr>
          <w:spacing w:val="-1"/>
        </w:rPr>
        <w:t>至相关的资产组；难以分摊至相关的资产组的，将其分摊至相关的资产组组合。在将商誉的账面价值分摊</w:t>
      </w:r>
      <w:r>
        <w:rPr>
          <w:spacing w:val="-82"/>
        </w:rPr>
        <w:t> </w:t>
      </w:r>
      <w:r>
        <w:rPr>
          <w:spacing w:val="-82"/>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Heading6"/>
        <w:spacing w:line="273" w:lineRule="auto"/>
        <w:ind w:right="1131" w:firstLine="435"/>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22、职工薪酬" w:id="200"/>
      <w:bookmarkEnd w:id="200"/>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本集团在职工为其提供服务的会计期间，将实际发生的短期薪酬确认为负债，并计入当期损益，其他</w:t>
      </w:r>
    </w:p>
    <w:p>
      <w:pPr>
        <w:pStyle w:val="Heading6"/>
        <w:spacing w:line="240" w:lineRule="auto" w:before="37"/>
        <w:ind w:right="0"/>
        <w:jc w:val="both"/>
      </w:pPr>
      <w:r>
        <w:rPr/>
        <w:t>会计准则要求或允许计入资产成本的除外。</w:t>
      </w:r>
    </w:p>
    <w:p>
      <w:pPr>
        <w:spacing w:line="240" w:lineRule="auto" w:before="11"/>
        <w:rPr>
          <w:rFonts w:ascii="宋体" w:hAnsi="宋体" w:cs="宋体" w:eastAsia="宋体" w:hint="default"/>
          <w:sz w:val="26"/>
          <w:szCs w:val="26"/>
        </w:rPr>
      </w:pPr>
    </w:p>
    <w:p>
      <w:pPr>
        <w:spacing w:line="590" w:lineRule="atLeast" w:before="0"/>
        <w:ind w:left="574" w:right="0" w:hanging="420"/>
        <w:jc w:val="left"/>
        <w:rPr>
          <w:rFonts w:ascii="宋体" w:hAnsi="宋体" w:cs="宋体" w:eastAsia="宋体" w:hint="default"/>
          <w:sz w:val="21"/>
          <w:szCs w:val="21"/>
        </w:rPr>
      </w:pPr>
      <w:bookmarkStart w:name="（2）离职后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本集团将离职后福利计划分类为设定提存计划和设定受益计划。离职后福利计划，是指本集团与职工</w:t>
      </w:r>
    </w:p>
    <w:p>
      <w:pPr>
        <w:pStyle w:val="Heading6"/>
        <w:spacing w:line="273" w:lineRule="auto" w:before="37"/>
        <w:ind w:right="1131"/>
        <w:jc w:val="both"/>
      </w:pPr>
      <w:r>
        <w:rPr>
          <w:spacing w:val="-1"/>
        </w:rPr>
        <w:t>就离职后福利达成的协议，或者本集团为向职工提供离职后福利制定的规章或办法等。其中，设定提存计</w:t>
      </w:r>
      <w:r>
        <w:rPr>
          <w:spacing w:val="-83"/>
        </w:rPr>
        <w:t> </w:t>
      </w:r>
      <w:r>
        <w:rPr>
          <w:spacing w:val="-83"/>
        </w:rPr>
      </w:r>
      <w:r>
        <w:rPr>
          <w:spacing w:val="-1"/>
        </w:rPr>
        <w:t>划，是指向独立的基金缴存固定费用后，本集团不再承担进一步支付义务的离职后福利计划；设定受益计</w:t>
      </w:r>
      <w:r>
        <w:rPr>
          <w:spacing w:val="-83"/>
        </w:rPr>
        <w:t> </w:t>
      </w:r>
      <w:r>
        <w:rPr>
          <w:spacing w:val="-83"/>
        </w:rPr>
      </w:r>
      <w:r>
        <w:rPr/>
        <w:t>划，是指除设定提存计划以外的离职后福利计划。</w:t>
      </w:r>
    </w:p>
    <w:p>
      <w:pPr>
        <w:pStyle w:val="Heading6"/>
        <w:spacing w:line="256" w:lineRule="auto"/>
        <w:ind w:left="574" w:right="0"/>
        <w:jc w:val="left"/>
      </w:pPr>
      <w:r>
        <w:rPr>
          <w:rFonts w:ascii="Times New Roman" w:hAnsi="Times New Roman" w:cs="Times New Roman" w:eastAsia="Times New Roman" w:hint="default"/>
        </w:rPr>
        <w:t>A</w:t>
      </w:r>
      <w:r>
        <w:rPr/>
        <w:t>、设定提存计划 </w:t>
      </w:r>
      <w:r>
        <w:rPr>
          <w:spacing w:val="-1"/>
        </w:rPr>
        <w:t>本集团在职工为其提供服务的会计期间，将根据设定提存计划计算的应缴存金额确认为负债，并计入</w:t>
      </w:r>
    </w:p>
    <w:p>
      <w:pPr>
        <w:pStyle w:val="Heading6"/>
        <w:spacing w:line="240" w:lineRule="auto" w:before="22"/>
        <w:ind w:right="0"/>
        <w:jc w:val="both"/>
      </w:pPr>
      <w:r>
        <w:rPr/>
        <w:t>当期损益或相关资产成本。</w:t>
      </w:r>
    </w:p>
    <w:p>
      <w:pPr>
        <w:pStyle w:val="Heading6"/>
        <w:spacing w:line="256" w:lineRule="auto" w:before="37"/>
        <w:ind w:left="574" w:right="3192"/>
        <w:jc w:val="left"/>
      </w:pPr>
      <w:r>
        <w:rPr>
          <w:rFonts w:ascii="Times New Roman" w:hAnsi="Times New Roman" w:cs="Times New Roman" w:eastAsia="Times New Roman" w:hint="default"/>
        </w:rPr>
        <w:t>B</w:t>
      </w:r>
      <w:r>
        <w:rPr/>
        <w:t>、设定受益计划 本集团尚未运作设定受益计划或符合设定受益计划条件的其他长期职工福利。</w:t>
      </w:r>
    </w:p>
    <w:p>
      <w:pPr>
        <w:spacing w:line="240" w:lineRule="auto" w:before="9"/>
        <w:rPr>
          <w:rFonts w:ascii="宋体" w:hAnsi="宋体" w:cs="宋体" w:eastAsia="宋体" w:hint="default"/>
          <w:sz w:val="25"/>
          <w:szCs w:val="25"/>
        </w:rPr>
      </w:pPr>
    </w:p>
    <w:p>
      <w:pPr>
        <w:spacing w:line="590" w:lineRule="atLeast" w:before="0"/>
        <w:ind w:left="574" w:right="0" w:hanging="420"/>
        <w:jc w:val="left"/>
        <w:rPr>
          <w:rFonts w:ascii="宋体" w:hAnsi="宋体" w:cs="宋体" w:eastAsia="宋体" w:hint="default"/>
          <w:sz w:val="21"/>
          <w:szCs w:val="21"/>
        </w:rPr>
      </w:pPr>
      <w:bookmarkStart w:name="（3）辞退福利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本集团向职工提供辞退福利的，在下列两者孰早日确认辞退福利产生的职工薪酬负债，并计入当期损</w:t>
      </w:r>
    </w:p>
    <w:p>
      <w:pPr>
        <w:pStyle w:val="Heading6"/>
        <w:spacing w:line="273" w:lineRule="auto" w:before="37"/>
        <w:ind w:right="1131"/>
        <w:jc w:val="both"/>
      </w:pPr>
      <w:r>
        <w:rPr>
          <w:spacing w:val="-1"/>
        </w:rPr>
        <w:t>益：本集团不能单方面撤回因解除劳动关系计划或裁减建议所提供的辞退福利时；本集团确认与涉及支付</w:t>
      </w:r>
      <w:r>
        <w:rPr>
          <w:spacing w:val="-81"/>
        </w:rPr>
        <w:t> </w:t>
      </w:r>
      <w:r>
        <w:rPr>
          <w:spacing w:val="-81"/>
        </w:rPr>
      </w:r>
      <w:r>
        <w:rPr/>
        <w:t>辞退福利的重组相关的成本或费用时。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right="1110"/>
        <w:jc w:val="both"/>
      </w:pPr>
      <w:r>
        <w:rPr>
          <w:spacing w:val="-1"/>
        </w:rPr>
        <w:t>本集团向职工提供的其他长期职工福利，符合设定提存计划条件的，按照上述设定提存计划的会计政策进</w:t>
      </w:r>
      <w:r>
        <w:rPr>
          <w:spacing w:val="-81"/>
        </w:rPr>
        <w:t> </w:t>
      </w:r>
      <w:r>
        <w:rPr>
          <w:spacing w:val="-81"/>
        </w:rPr>
      </w:r>
      <w:r>
        <w:rPr/>
        <w:t>行处理；除此以外的，按照上述设定受益计划的会计政策确认和计量其他长期职工福利净负债或净资产。</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3、预计负债" w:id="205"/>
      <w:bookmarkEnd w:id="205"/>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left="574" w:right="3402"/>
        <w:jc w:val="left"/>
      </w:pPr>
      <w:r>
        <w:rPr>
          <w:rFonts w:ascii="Times New Roman" w:hAnsi="Times New Roman" w:cs="Times New Roman" w:eastAsia="Times New Roman" w:hint="default"/>
        </w:rPr>
        <w:t>1.</w:t>
      </w:r>
      <w:r>
        <w:rPr/>
        <w:t>预计负债的确认标准 本集团规定与或有事项相关的义务同时满足下列条件的，确认为预计负债：</w:t>
      </w:r>
    </w:p>
    <w:p>
      <w:pPr>
        <w:pStyle w:val="Heading6"/>
        <w:spacing w:line="240" w:lineRule="auto" w:before="23"/>
        <w:ind w:left="574" w:right="0"/>
        <w:jc w:val="left"/>
      </w:pPr>
      <w:r>
        <w:rPr/>
        <w:t>①该义务是企业承担的现时义务；</w:t>
      </w:r>
    </w:p>
    <w:p>
      <w:pPr>
        <w:pStyle w:val="Heading6"/>
        <w:spacing w:line="240" w:lineRule="auto" w:before="37"/>
        <w:ind w:left="574" w:right="0"/>
        <w:jc w:val="left"/>
      </w:pPr>
      <w:r>
        <w:rPr/>
        <w:t>②履行该义务很可能导致经济利益流出企业；</w:t>
      </w:r>
    </w:p>
    <w:p>
      <w:pPr>
        <w:pStyle w:val="Heading6"/>
        <w:spacing w:line="240" w:lineRule="auto" w:before="37"/>
        <w:ind w:left="574" w:right="0"/>
        <w:jc w:val="left"/>
      </w:pPr>
      <w:r>
        <w:rPr/>
        <w:t>③该义务的金额能够可靠地计量。</w:t>
      </w:r>
    </w:p>
    <w:p>
      <w:pPr>
        <w:pStyle w:val="Heading6"/>
        <w:spacing w:line="256" w:lineRule="auto" w:before="37"/>
        <w:ind w:left="574" w:right="1092"/>
        <w:jc w:val="left"/>
      </w:pPr>
      <w:r>
        <w:rPr>
          <w:rFonts w:ascii="Times New Roman" w:hAnsi="Times New Roman" w:cs="Times New Roman" w:eastAsia="Times New Roman" w:hint="default"/>
        </w:rPr>
        <w:t>2.</w:t>
      </w:r>
      <w:r>
        <w:rPr/>
        <w:t>预计负债的计量方法 预计负债按照履行相关现时义务所需支出的最佳估计数进行初始计量。所需支出存在一个连续范围，</w:t>
      </w:r>
    </w:p>
    <w:p>
      <w:pPr>
        <w:pStyle w:val="Heading6"/>
        <w:spacing w:line="273" w:lineRule="auto" w:before="22"/>
        <w:ind w:right="0"/>
        <w:jc w:val="left"/>
      </w:pPr>
      <w:r>
        <w:rPr>
          <w:spacing w:val="-1"/>
        </w:rPr>
        <w:t>且该范围内各种结果发生的可能性相同的，最佳估计数按照该范围内的中间值确定。在其他情况下，最佳</w:t>
      </w:r>
      <w:r>
        <w:rPr>
          <w:spacing w:val="-83"/>
        </w:rPr>
        <w:t> </w:t>
      </w:r>
      <w:r>
        <w:rPr>
          <w:spacing w:val="-83"/>
        </w:rPr>
      </w:r>
      <w:r>
        <w:rPr/>
        <w:t>估计数分别下列情况处理：</w:t>
      </w:r>
    </w:p>
    <w:p>
      <w:pPr>
        <w:pStyle w:val="Heading6"/>
        <w:spacing w:line="240" w:lineRule="auto"/>
        <w:ind w:left="574" w:right="0"/>
        <w:jc w:val="left"/>
      </w:pPr>
      <w:r>
        <w:rPr/>
        <w:t>①或有事项涉及单个项目的，按照最可能发生金额确定。</w:t>
      </w:r>
    </w:p>
    <w:p>
      <w:pPr>
        <w:pStyle w:val="Heading6"/>
        <w:spacing w:line="273" w:lineRule="auto" w:before="37"/>
        <w:ind w:left="574" w:right="0"/>
        <w:jc w:val="left"/>
      </w:pPr>
      <w:r>
        <w:rPr/>
        <w:t>②或有事项涉及多个项目的，按照各种可能结果及相关概率计算确定。 </w:t>
      </w:r>
      <w:r>
        <w:rPr>
          <w:spacing w:val="-1"/>
        </w:rPr>
        <w:t>在确定最佳估计数时，综合考虑与或有事项有关的风险、不确定性和货币时间价值等因素。货币时间</w:t>
      </w:r>
    </w:p>
    <w:p>
      <w:pPr>
        <w:pStyle w:val="Heading6"/>
        <w:spacing w:line="273" w:lineRule="auto"/>
        <w:ind w:left="490" w:right="1176" w:hanging="336"/>
        <w:jc w:val="left"/>
      </w:pPr>
      <w:r>
        <w:rPr/>
        <w:t>价值影响重大的，通过对相关未来现金流出进行折现后确定最佳估计数。 本集团清偿预计负债所需支出全部或部分预期由第三方补偿的，补偿金额只有在基本确定能够收到时</w:t>
      </w:r>
    </w:p>
    <w:p>
      <w:pPr>
        <w:pStyle w:val="Heading6"/>
        <w:spacing w:line="273" w:lineRule="auto"/>
        <w:ind w:left="574" w:right="0" w:hanging="420"/>
        <w:jc w:val="left"/>
      </w:pPr>
      <w:r>
        <w:rPr/>
        <w:t>才能作为资产单独确认。确认的补偿金额不超过预计负债的账面价值。 </w:t>
      </w:r>
      <w:r>
        <w:rPr>
          <w:spacing w:val="-1"/>
        </w:rPr>
        <w:t>本集团在资产负债表日对预计负债的账面价值进行复核。有确凿证据表明该账面价值不能真实反映当</w:t>
      </w:r>
    </w:p>
    <w:p>
      <w:pPr>
        <w:pStyle w:val="Heading6"/>
        <w:spacing w:line="240" w:lineRule="auto"/>
        <w:ind w:right="0"/>
        <w:jc w:val="left"/>
      </w:pPr>
      <w:r>
        <w:rPr/>
        <w:t>前最佳估计数的，按照当前最佳估计数对该账面价值进行调整。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24、收入" w:id="206"/>
      <w:bookmarkEnd w:id="206"/>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Heading6"/>
        <w:spacing w:line="273" w:lineRule="auto" w:before="2"/>
        <w:ind w:right="0" w:firstLine="420"/>
        <w:jc w:val="left"/>
      </w:pPr>
      <w:r>
        <w:rPr>
          <w:spacing w:val="-1"/>
        </w:rPr>
        <w:t>收入的金额按照本集团在日常经营活动中销售商品和提供劳务时，已收或应收合同或协议价款的公允</w:t>
      </w:r>
      <w:r>
        <w:rPr/>
        <w:t> 价值确定。收入按扣除销售折让及销售退回的净额列示。</w:t>
      </w:r>
    </w:p>
    <w:p>
      <w:pPr>
        <w:pStyle w:val="Heading6"/>
        <w:spacing w:line="256" w:lineRule="auto"/>
        <w:ind w:left="574" w:right="1092"/>
        <w:jc w:val="left"/>
      </w:pPr>
      <w:r>
        <w:rPr>
          <w:rFonts w:ascii="Times New Roman" w:hAnsi="Times New Roman" w:cs="Times New Roman" w:eastAsia="Times New Roman" w:hint="default"/>
        </w:rPr>
        <w:t>1.</w:t>
      </w:r>
      <w:r>
        <w:rPr/>
        <w:t>商品销售收入 在已将商品所有权上的主要风险和报酬转移给买方，既没有保留通常与所有权相联系的继续管理权，</w:t>
      </w:r>
    </w:p>
    <w:p>
      <w:pPr>
        <w:pStyle w:val="Heading6"/>
        <w:spacing w:line="273" w:lineRule="auto" w:before="22"/>
        <w:ind w:right="1023"/>
        <w:jc w:val="left"/>
      </w:pPr>
      <w:r>
        <w:rPr/>
        <w:t>也没有对已售商品实施有效控制，收入的金额能够可靠地计量，相关的经济利益很可能流入企业，相关的 </w:t>
      </w:r>
      <w:r>
        <w:rPr>
          <w:spacing w:val="-3"/>
        </w:rPr>
        <w:t>已发生或将发生的成本能够可靠地计量时，确认商品销售收入的实现。本集团销售商品收入具体时点如下：</w:t>
      </w:r>
    </w:p>
    <w:p>
      <w:pPr>
        <w:pStyle w:val="Heading6"/>
        <w:spacing w:line="273" w:lineRule="auto"/>
        <w:ind w:left="574" w:right="0"/>
        <w:jc w:val="left"/>
      </w:pPr>
      <w:r>
        <w:rPr/>
        <w:t>系统集成收入 </w:t>
      </w:r>
      <w:r>
        <w:rPr>
          <w:spacing w:val="-1"/>
        </w:rPr>
        <w:t>系统集成主要是指机电一体化、动态仿真、机械结构以及多媒体产品的技术开发及系统集成项目。公</w:t>
      </w:r>
    </w:p>
    <w:p>
      <w:pPr>
        <w:pStyle w:val="Heading6"/>
        <w:spacing w:line="273" w:lineRule="auto"/>
        <w:ind w:right="0"/>
        <w:jc w:val="left"/>
      </w:pPr>
      <w:r>
        <w:rPr>
          <w:spacing w:val="-1"/>
        </w:rPr>
        <w:t>司直接采购或自制硬件、软件、特技系统、影片系统等并进行安装、调试和销售。对系统集成收入本公司</w:t>
      </w:r>
      <w:r>
        <w:rPr>
          <w:spacing w:val="-82"/>
        </w:rPr>
        <w:t> </w:t>
      </w:r>
      <w:r>
        <w:rPr>
          <w:spacing w:val="-82"/>
        </w:rPr>
      </w:r>
      <w:r>
        <w:rPr/>
        <w:t>在将产品交付给客户，完成安装调试，取得客户验收单时确认收入。</w:t>
      </w:r>
    </w:p>
    <w:p>
      <w:pPr>
        <w:pStyle w:val="Heading6"/>
        <w:spacing w:line="256" w:lineRule="auto"/>
        <w:ind w:left="574" w:right="0"/>
        <w:jc w:val="left"/>
      </w:pP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w:t>
      </w:r>
    </w:p>
    <w:p>
      <w:pPr>
        <w:pStyle w:val="Heading6"/>
        <w:spacing w:line="273" w:lineRule="auto" w:before="22"/>
        <w:ind w:left="574" w:right="0" w:hanging="420"/>
        <w:jc w:val="left"/>
      </w:pPr>
      <w:r>
        <w:rPr/>
        <w:t>入。劳务交易的完工进度按已经提供的劳务占应提供劳务总量的比例确定。 </w:t>
      </w:r>
      <w:r>
        <w:rPr>
          <w:spacing w:val="-1"/>
        </w:rPr>
        <w:t>提供劳务交易的结果能够可靠估计是指同时满足：①收入的金额能够可靠地计量；②相关的经济利益</w:t>
      </w:r>
    </w:p>
    <w:p>
      <w:pPr>
        <w:pStyle w:val="Heading6"/>
        <w:spacing w:line="273" w:lineRule="auto"/>
        <w:ind w:left="0" w:right="1110"/>
        <w:jc w:val="right"/>
      </w:pPr>
      <w:r>
        <w:rPr/>
        <w:t>很可能流入企业；③交易的完工程度能够可靠地确定；④交易中已发生和将发生的成本能够可靠地计量。 </w:t>
      </w:r>
      <w:r>
        <w:rPr>
          <w:spacing w:val="-1"/>
        </w:rPr>
        <w:t>如果提供劳务交易的结果不能够可靠估计，则按已经发生并预计能够得到补偿的劳务成本金额确认提</w:t>
      </w:r>
      <w:r>
        <w:rPr/>
        <w:t> </w:t>
      </w:r>
      <w:r>
        <w:rPr>
          <w:spacing w:val="-1"/>
        </w:rPr>
        <w:t>供的劳务收入，并将已发生的劳务成本作为当期费用。已经发生的劳务成本如预计不能得到补偿的，则不</w:t>
      </w:r>
    </w:p>
    <w:p>
      <w:pPr>
        <w:pStyle w:val="Heading6"/>
        <w:spacing w:line="240" w:lineRule="auto"/>
        <w:ind w:right="0"/>
        <w:jc w:val="left"/>
      </w:pPr>
      <w:r>
        <w:rPr/>
        <w:t>确认收入。</w:t>
      </w:r>
    </w:p>
    <w:p>
      <w:pPr>
        <w:pStyle w:val="Heading6"/>
        <w:spacing w:line="240" w:lineRule="auto" w:before="37"/>
        <w:ind w:left="574" w:right="0"/>
        <w:jc w:val="left"/>
      </w:pPr>
      <w:r>
        <w:rPr/>
        <w:t>公司的劳务收入主要设计费收入，由于公司目前设计工作时间周期短，收入确认时点为按照合同的约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定提供设计方案，该方案经买方验收并收到价款或取得收取款项的证据时。</w:t>
      </w:r>
    </w:p>
    <w:p>
      <w:pPr>
        <w:pStyle w:val="Heading6"/>
        <w:spacing w:line="271" w:lineRule="auto" w:before="37"/>
        <w:ind w:right="0" w:firstLine="420"/>
        <w:jc w:val="left"/>
      </w:pPr>
      <w:r>
        <w:rPr>
          <w:rFonts w:ascii="Times New Roman" w:hAnsi="Times New Roman" w:cs="Times New Roman" w:eastAsia="Times New Roman" w:hint="default"/>
        </w:rPr>
        <w:t>3.</w:t>
      </w:r>
      <w:r>
        <w:rPr/>
        <w:t>让渡资产使用权及其增值服务收入 </w:t>
      </w:r>
      <w:r>
        <w:rPr>
          <w:spacing w:val="-1"/>
        </w:rPr>
        <w:t>在让渡资产使用权及增值服务收入的金额能够可靠计量，相关的经济利益很可能流入企业时，确认让渡资</w:t>
      </w:r>
      <w:r>
        <w:rPr>
          <w:spacing w:val="-81"/>
        </w:rPr>
        <w:t> </w:t>
      </w:r>
      <w:r>
        <w:rPr>
          <w:spacing w:val="-81"/>
        </w:rPr>
      </w:r>
      <w:r>
        <w:rPr>
          <w:spacing w:val="-1"/>
        </w:rPr>
        <w:t>产使用权及增值服务收入的实现。让渡资产使用权及增值服务收入按照有关合同或协议约定的收费时间和</w:t>
      </w:r>
      <w:r>
        <w:rPr>
          <w:spacing w:val="-81"/>
        </w:rPr>
        <w:t> </w:t>
      </w:r>
      <w:r>
        <w:rPr>
          <w:spacing w:val="-81"/>
        </w:rPr>
      </w:r>
      <w:r>
        <w:rPr>
          <w:spacing w:val="-1"/>
        </w:rPr>
        <w:t>方法计算确定。如果合同或协议规定一次性收取使用费，且不提供后续服务的，视同销售该项资产一次性</w:t>
      </w:r>
      <w:r>
        <w:rPr>
          <w:spacing w:val="-83"/>
        </w:rPr>
        <w:t> </w:t>
      </w:r>
      <w:r>
        <w:rPr>
          <w:spacing w:val="-83"/>
        </w:rPr>
      </w:r>
      <w:r>
        <w:rPr>
          <w:spacing w:val="-1"/>
        </w:rPr>
        <w:t>确认收入；按时间比例为基础确定的让渡资产使用权及增值服务收入在协议有效期内按直线法确认。如果</w:t>
      </w:r>
      <w:r>
        <w:rPr>
          <w:spacing w:val="-81"/>
        </w:rPr>
        <w:t> </w:t>
      </w:r>
      <w:r>
        <w:rPr>
          <w:spacing w:val="-81"/>
        </w:rPr>
      </w:r>
      <w:r>
        <w:rPr>
          <w:spacing w:val="-1"/>
        </w:rPr>
        <w:t>有关合同或协议包含若干可单独分辨的组成部分，则先将合同或协议总金额按某种合理的方法分配至每个</w:t>
      </w:r>
      <w:r>
        <w:rPr>
          <w:spacing w:val="-81"/>
        </w:rPr>
        <w:t> </w:t>
      </w:r>
      <w:r>
        <w:rPr>
          <w:spacing w:val="-81"/>
        </w:rPr>
      </w:r>
      <w:r>
        <w:rPr/>
        <w:t>组成部分。当每个组成部分满足上述收入确认条件时，确认其对应的收入金额。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25、政府补助" w:id="207"/>
      <w:bookmarkEnd w:id="207"/>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right="1130" w:firstLine="420"/>
        <w:jc w:val="both"/>
      </w:pPr>
      <w:r>
        <w:rPr>
          <w:spacing w:val="-1"/>
        </w:rPr>
        <w:t>本集团的政府补助分为与资产相关的政府补助和与收益相关的政府补助。与资产相关的政府补助，是</w:t>
      </w:r>
      <w:r>
        <w:rPr/>
        <w:t> </w:t>
      </w:r>
      <w:r>
        <w:rPr>
          <w:spacing w:val="-1"/>
        </w:rPr>
        <w:t>指本集团取得的、用于购建或以其他方式形成长期资产的政府补助。与收益相关的政府补助，是指除与资</w:t>
      </w:r>
      <w:r>
        <w:rPr>
          <w:spacing w:val="-82"/>
        </w:rPr>
        <w:t> </w:t>
      </w:r>
      <w:r>
        <w:rPr>
          <w:spacing w:val="-82"/>
        </w:rPr>
      </w:r>
      <w:r>
        <w:rPr>
          <w:spacing w:val="-1"/>
        </w:rPr>
        <w:t>产相关的政府补助之外的政府补助。如果政府补助文件未明确确定补助对象，以取得该补助必须具备的基</w:t>
      </w:r>
      <w:r>
        <w:rPr>
          <w:spacing w:val="-81"/>
        </w:rPr>
        <w:t> </w:t>
      </w:r>
      <w:r>
        <w:rPr>
          <w:spacing w:val="-81"/>
        </w:rPr>
      </w:r>
      <w:r>
        <w:rPr>
          <w:spacing w:val="-1"/>
        </w:rPr>
        <w:t>本条件为基础进行判断，以购建或其他方式形成长期资产为基本条件的作为与资产相关的政府补助，除此</w:t>
      </w:r>
      <w:r>
        <w:rPr>
          <w:spacing w:val="-81"/>
        </w:rPr>
        <w:t> </w:t>
      </w:r>
      <w:r>
        <w:rPr>
          <w:spacing w:val="-81"/>
        </w:rPr>
      </w:r>
      <w:r>
        <w:rPr/>
        <w:t>之外的划分为与收益相关的政府补助。</w:t>
      </w:r>
    </w:p>
    <w:p>
      <w:pPr>
        <w:pStyle w:val="Heading6"/>
        <w:spacing w:line="256" w:lineRule="auto"/>
        <w:ind w:left="574" w:right="6342"/>
        <w:jc w:val="left"/>
      </w:pPr>
      <w:r>
        <w:rPr/>
        <w:t>（</w:t>
      </w:r>
      <w:r>
        <w:rPr>
          <w:rFonts w:ascii="Times New Roman" w:hAnsi="Times New Roman" w:cs="Times New Roman" w:eastAsia="Times New Roman" w:hint="default"/>
        </w:rPr>
        <w:t>1</w:t>
      </w:r>
      <w:r>
        <w:rPr/>
        <w:t>）政府补助的确认 政府补助同时满足下列条件时，予以确认：</w:t>
      </w:r>
    </w:p>
    <w:p>
      <w:pPr>
        <w:pStyle w:val="Heading6"/>
        <w:spacing w:line="240" w:lineRule="auto" w:before="22"/>
        <w:ind w:left="574" w:right="0"/>
        <w:jc w:val="left"/>
      </w:pPr>
      <w:r>
        <w:rPr/>
        <w:t>①能够满足政府补助所附条件；</w:t>
      </w:r>
    </w:p>
    <w:p>
      <w:pPr>
        <w:pStyle w:val="Heading6"/>
        <w:spacing w:line="240" w:lineRule="auto" w:before="37"/>
        <w:ind w:left="574" w:right="0"/>
        <w:jc w:val="left"/>
      </w:pPr>
      <w:r>
        <w:rPr/>
        <w:t>②能够收到政府补助。</w:t>
      </w:r>
    </w:p>
    <w:p>
      <w:pPr>
        <w:pStyle w:val="Heading6"/>
        <w:spacing w:line="240" w:lineRule="auto" w:before="37"/>
        <w:ind w:left="574" w:right="0"/>
        <w:jc w:val="left"/>
      </w:pPr>
      <w:r>
        <w:rPr/>
        <w:t>（</w:t>
      </w:r>
      <w:r>
        <w:rPr>
          <w:rFonts w:ascii="Times New Roman" w:hAnsi="Times New Roman" w:cs="Times New Roman" w:eastAsia="Times New Roman" w:hint="default"/>
        </w:rPr>
        <w:t>2</w:t>
      </w:r>
      <w:r>
        <w:rPr/>
        <w:t>）政府补助的计量：</w:t>
      </w:r>
    </w:p>
    <w:p>
      <w:pPr>
        <w:pStyle w:val="Heading6"/>
        <w:spacing w:line="273" w:lineRule="auto" w:before="21"/>
        <w:ind w:right="1130" w:firstLine="420"/>
        <w:jc w:val="both"/>
      </w:pPr>
      <w:r>
        <w:rPr/>
        <w:t>①</w:t>
      </w:r>
      <w:r>
        <w:rPr>
          <w:spacing w:val="50"/>
        </w:rPr>
        <w:t> </w:t>
      </w:r>
      <w:r>
        <w:rPr/>
        <w:t>政府补助为货币性资产的，按照收到或应收的金额计量。政府补助为非货币性资产的，按照公允</w:t>
      </w:r>
      <w:r>
        <w:rPr>
          <w:spacing w:val="2"/>
        </w:rPr>
        <w:t> </w:t>
      </w:r>
      <w:r>
        <w:rPr/>
        <w:t>价值计量；公允价值不能可靠取得的，按照名义金额计量。</w:t>
      </w:r>
    </w:p>
    <w:p>
      <w:pPr>
        <w:pStyle w:val="Heading6"/>
        <w:spacing w:line="273" w:lineRule="auto"/>
        <w:ind w:right="1130" w:firstLine="420"/>
        <w:jc w:val="both"/>
      </w:pPr>
      <w:r>
        <w:rPr/>
        <w:t>②</w:t>
      </w:r>
      <w:r>
        <w:rPr>
          <w:spacing w:val="50"/>
        </w:rPr>
        <w:t> </w:t>
      </w:r>
      <w:r>
        <w:rPr/>
        <w:t>与资产相关的政府补助，取得时确认为递延收益，自相关资产达到预定可使用状态时，在该资产</w:t>
      </w:r>
      <w:r>
        <w:rPr>
          <w:spacing w:val="2"/>
        </w:rPr>
        <w:t> </w:t>
      </w:r>
      <w:r>
        <w:rPr>
          <w:spacing w:val="-1"/>
        </w:rPr>
        <w:t>使用寿命内按照合理、系统的方法分期计入损益。相关资产在使用寿命结束前被出售、转让、报废或发生</w:t>
      </w:r>
      <w:r>
        <w:rPr>
          <w:spacing w:val="-86"/>
        </w:rPr>
        <w:t> </w:t>
      </w:r>
      <w:r>
        <w:rPr>
          <w:spacing w:val="-86"/>
        </w:rPr>
      </w:r>
      <w:r>
        <w:rPr/>
        <w:t>毁损的，将尚未分配的相关递延收益余额转入资产处置当期的损益。</w:t>
      </w:r>
    </w:p>
    <w:p>
      <w:pPr>
        <w:pStyle w:val="Heading6"/>
        <w:spacing w:line="273" w:lineRule="auto"/>
        <w:ind w:right="1131" w:firstLine="420"/>
        <w:jc w:val="both"/>
      </w:pPr>
      <w:r>
        <w:rPr>
          <w:spacing w:val="-1"/>
        </w:rPr>
        <w:t>与收益相关的政府补助，用于补偿以后期间的相关成本费用或损失的，取得时确认为递延收益，在确</w:t>
      </w:r>
      <w:r>
        <w:rPr/>
        <w:t> </w:t>
      </w:r>
      <w:r>
        <w:rPr>
          <w:spacing w:val="-1"/>
        </w:rPr>
        <w:t>认相关成本费用或损失的期间计入当期损益；用于补偿已发生的相关成本费用或损失的，取得时直接计入</w:t>
      </w:r>
      <w:r>
        <w:rPr>
          <w:spacing w:val="-81"/>
        </w:rPr>
        <w:t> </w:t>
      </w:r>
      <w:r>
        <w:rPr>
          <w:spacing w:val="-81"/>
        </w:rPr>
      </w:r>
      <w:r>
        <w:rPr/>
        <w:t>当期损益。</w:t>
      </w:r>
    </w:p>
    <w:p>
      <w:pPr>
        <w:pStyle w:val="Heading6"/>
        <w:spacing w:line="240" w:lineRule="auto"/>
        <w:ind w:left="574" w:right="0"/>
        <w:jc w:val="left"/>
      </w:pPr>
      <w:r>
        <w:rPr/>
        <w:t>与日常活动相关的政府补助，计入其他收益；与日常活动无关的政府补助，计入营业外收支。</w:t>
      </w:r>
    </w:p>
    <w:p>
      <w:pPr>
        <w:pStyle w:val="Heading6"/>
        <w:spacing w:line="240" w:lineRule="auto" w:before="37"/>
        <w:ind w:left="574" w:right="0"/>
        <w:jc w:val="left"/>
      </w:pPr>
      <w:r>
        <w:rPr/>
        <w:t>③</w:t>
      </w:r>
      <w:r>
        <w:rPr>
          <w:spacing w:val="-21"/>
        </w:rPr>
        <w:t> </w:t>
      </w:r>
      <w:r>
        <w:rPr/>
        <w:t>取得政策性优惠贷款贴息，区分以下两种取得方式进行会计处理：</w:t>
      </w:r>
    </w:p>
    <w:p>
      <w:pPr>
        <w:pStyle w:val="Heading6"/>
        <w:spacing w:line="264" w:lineRule="auto" w:before="37"/>
        <w:ind w:right="1132" w:firstLine="420"/>
        <w:jc w:val="both"/>
      </w:pPr>
      <w:r>
        <w:rPr>
          <w:rFonts w:ascii="Times New Roman" w:hAnsi="Times New Roman" w:cs="Times New Roman" w:eastAsia="Times New Roman" w:hint="default"/>
        </w:rPr>
        <w:t>A</w:t>
      </w:r>
      <w:r>
        <w:rPr/>
        <w:t>、财政将贴息资金拨付给贷款银行，由贷款银行以政策性优惠利率向本集团提供贷款的，以借款的 </w:t>
      </w:r>
      <w:r>
        <w:rPr>
          <w:spacing w:val="-1"/>
        </w:rPr>
        <w:t>公允价值作为借款的入账价值并按照实际利率法计算借款费用，实际收到的金额与借款公允价值之间的差</w:t>
      </w:r>
      <w:r>
        <w:rPr>
          <w:spacing w:val="-81"/>
        </w:rPr>
        <w:t> </w:t>
      </w:r>
      <w:r>
        <w:rPr>
          <w:spacing w:val="-81"/>
        </w:rPr>
      </w:r>
      <w:r>
        <w:rPr/>
        <w:t>额确认为递延收益。递延收益在借款存续期内采用实际利率法摊销，冲减相关借款费用。</w:t>
      </w:r>
    </w:p>
    <w:p>
      <w:pPr>
        <w:pStyle w:val="Heading6"/>
        <w:spacing w:line="240" w:lineRule="auto" w:before="16"/>
        <w:ind w:left="574" w:right="0"/>
        <w:jc w:val="left"/>
      </w:pPr>
      <w:r>
        <w:rPr>
          <w:rFonts w:ascii="Times New Roman" w:hAnsi="Times New Roman" w:cs="Times New Roman" w:eastAsia="Times New Roman" w:hint="default"/>
        </w:rPr>
        <w:t>B</w:t>
      </w:r>
      <w:r>
        <w:rPr/>
        <w:t>、财政将贴息资金直接拨付给本集团的，将对应的贴息冲减相关借款费用。</w:t>
      </w:r>
    </w:p>
    <w:p>
      <w:pPr>
        <w:pStyle w:val="Heading6"/>
        <w:spacing w:line="240" w:lineRule="auto" w:before="21"/>
        <w:ind w:left="574" w:right="0"/>
        <w:jc w:val="left"/>
      </w:pPr>
      <w:r>
        <w:rPr/>
        <w:t>④</w:t>
      </w:r>
      <w:r>
        <w:rPr>
          <w:spacing w:val="-21"/>
        </w:rPr>
        <w:t> </w:t>
      </w:r>
      <w:r>
        <w:rPr/>
        <w:t>已确认的政府补助需要返还的，分别下列情况处理：</w:t>
      </w:r>
    </w:p>
    <w:p>
      <w:pPr>
        <w:pStyle w:val="Heading6"/>
        <w:spacing w:line="256" w:lineRule="auto" w:before="37"/>
        <w:ind w:right="2830" w:firstLine="420"/>
        <w:jc w:val="left"/>
      </w:pPr>
      <w:r>
        <w:rPr>
          <w:rFonts w:ascii="Times New Roman" w:hAnsi="Times New Roman" w:cs="Times New Roman" w:eastAsia="Times New Roman" w:hint="default"/>
        </w:rPr>
        <w:t>A</w:t>
      </w:r>
      <w:r>
        <w:rPr/>
        <w:t>、存在相关递延收益的，冲减相关递延收益账面余额，超出部分计入当期损益。 </w:t>
      </w:r>
      <w:r>
        <w:rPr>
          <w:rFonts w:ascii="Times New Roman" w:hAnsi="Times New Roman" w:cs="Times New Roman" w:eastAsia="Times New Roman" w:hint="default"/>
        </w:rPr>
        <w:t>B</w:t>
      </w:r>
      <w:r>
        <w:rPr/>
        <w:t>、属于其他情况的，直接计入当期损益。</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bookmarkStart w:name="26、 终止经营" w:id="208"/>
      <w:bookmarkEnd w:id="208"/>
      <w:r>
        <w:rPr>
          <w:b w:val="0"/>
          <w:bCs w:val="0"/>
        </w:rPr>
      </w:r>
      <w:r>
        <w:rPr>
          <w:rFonts w:ascii="Times New Roman" w:hAnsi="Times New Roman" w:cs="Times New Roman" w:eastAsia="Times New Roman" w:hint="default"/>
        </w:rPr>
        <w:t>26</w:t>
      </w:r>
      <w:r>
        <w:rPr/>
        <w:t>、</w:t>
      </w:r>
      <w:r>
        <w:rPr>
          <w:spacing w:val="-3"/>
        </w:rPr>
        <w:t> </w:t>
      </w:r>
      <w:r>
        <w:rPr/>
        <w:t>终止经营</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4" w:right="0"/>
        <w:jc w:val="left"/>
      </w:pPr>
      <w:r>
        <w:rPr/>
        <w:t>终止经营，是指满足下列条件之一的、能够单独区分的组成部分，且该组成部分已经处置或划分为持</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有待售类别：</w:t>
      </w:r>
    </w:p>
    <w:p>
      <w:pPr>
        <w:pStyle w:val="Heading6"/>
        <w:spacing w:line="240" w:lineRule="auto" w:before="37"/>
        <w:ind w:left="57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Heading6"/>
        <w:spacing w:line="256" w:lineRule="auto" w:before="21"/>
        <w:ind w:right="1141" w:firstLine="420"/>
        <w:jc w:val="both"/>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 的一部分；</w:t>
      </w:r>
    </w:p>
    <w:p>
      <w:pPr>
        <w:pStyle w:val="Heading6"/>
        <w:spacing w:line="256" w:lineRule="auto" w:before="23"/>
        <w:ind w:left="574" w:right="0"/>
        <w:jc w:val="left"/>
      </w:pPr>
      <w:r>
        <w:rPr/>
        <w:t>（</w:t>
      </w:r>
      <w:r>
        <w:rPr>
          <w:rFonts w:ascii="Times New Roman" w:hAnsi="Times New Roman" w:cs="Times New Roman" w:eastAsia="Times New Roman" w:hint="default"/>
        </w:rPr>
        <w:t>3</w:t>
      </w:r>
      <w:r>
        <w:rPr/>
        <w:t>）该组成部分是专为转售而取得的子公司。 </w:t>
      </w:r>
      <w:r>
        <w:rPr>
          <w:spacing w:val="-1"/>
        </w:rPr>
        <w:t>本集团在合并利润表和利润表中分别列示持续经营损益和终止经营损益。不符合终止经营定义的持有</w:t>
      </w:r>
    </w:p>
    <w:p>
      <w:pPr>
        <w:pStyle w:val="Heading6"/>
        <w:spacing w:line="273" w:lineRule="auto" w:before="22"/>
        <w:ind w:right="1131"/>
        <w:jc w:val="both"/>
      </w:pPr>
      <w:r>
        <w:rPr>
          <w:spacing w:val="-1"/>
        </w:rPr>
        <w:t>待售的非流动资产或处置组，其减值损失和转回金额及处置损益作为持续经营损益列报。终止经营的减值</w:t>
      </w:r>
      <w:r>
        <w:rPr>
          <w:spacing w:val="-81"/>
        </w:rPr>
        <w:t> </w:t>
      </w:r>
      <w:r>
        <w:rPr>
          <w:spacing w:val="-81"/>
        </w:rPr>
      </w:r>
      <w:r>
        <w:rPr/>
        <w:t>损失和转回金额等经营损益及处置损益作为终止经营损益列报。</w:t>
      </w:r>
    </w:p>
    <w:p>
      <w:pPr>
        <w:pStyle w:val="Heading6"/>
        <w:spacing w:line="273" w:lineRule="auto"/>
        <w:ind w:right="1110" w:firstLine="420"/>
        <w:jc w:val="both"/>
      </w:pPr>
      <w:r>
        <w:rPr>
          <w:spacing w:val="-1"/>
        </w:rPr>
        <w:t>对于当期列报的终止经营，在当期财务报表中，将原来作为持续经营损益列报的信息重新作为可比会</w:t>
      </w:r>
      <w:r>
        <w:rPr/>
        <w:t> 计期间的终止经营损益列报。拟结束使用而非出售的处置组满足终止经营定义中有关组成部分的条件的， </w:t>
      </w:r>
      <w:r>
        <w:rPr>
          <w:spacing w:val="-1"/>
        </w:rPr>
        <w:t>自停止使用日起作为终止经营列报。因出售对子公司的投资等原因导致其丧失对子公司控制权，且该子公</w:t>
      </w:r>
      <w:r>
        <w:rPr>
          <w:spacing w:val="-81"/>
        </w:rPr>
        <w:t> </w:t>
      </w:r>
      <w:r>
        <w:rPr>
          <w:spacing w:val="-81"/>
        </w:rPr>
      </w:r>
      <w:r>
        <w:rPr/>
        <w:t>司符合终止经营定义的，在合并利润表中列报相关终止经营损益。</w:t>
      </w:r>
    </w:p>
    <w:p>
      <w:pPr>
        <w:spacing w:line="240" w:lineRule="auto" w:before="8"/>
        <w:rPr>
          <w:rFonts w:ascii="宋体" w:hAnsi="宋体" w:cs="宋体" w:eastAsia="宋体" w:hint="default"/>
          <w:sz w:val="24"/>
          <w:szCs w:val="24"/>
        </w:rPr>
      </w:pPr>
    </w:p>
    <w:p>
      <w:pPr>
        <w:spacing w:line="590" w:lineRule="atLeast" w:before="0"/>
        <w:ind w:left="574" w:right="5502" w:hanging="420"/>
        <w:jc w:val="left"/>
        <w:rPr>
          <w:rFonts w:ascii="宋体" w:hAnsi="宋体" w:cs="宋体" w:eastAsia="宋体" w:hint="default"/>
          <w:sz w:val="21"/>
          <w:szCs w:val="21"/>
        </w:rPr>
      </w:pPr>
      <w:bookmarkStart w:name="27、递延所得税资产/递延所得税负债" w:id="209"/>
      <w:bookmarkEnd w:id="209"/>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本集团采用资产负债表债务法进行所得税会计处理。</w:t>
      </w:r>
    </w:p>
    <w:p>
      <w:pPr>
        <w:pStyle w:val="Heading6"/>
        <w:spacing w:line="240" w:lineRule="auto" w:before="37"/>
        <w:ind w:left="574" w:right="0"/>
        <w:jc w:val="left"/>
      </w:pPr>
      <w:r>
        <w:rPr>
          <w:rFonts w:ascii="Times New Roman" w:hAnsi="Times New Roman" w:cs="Times New Roman" w:eastAsia="Times New Roman" w:hint="default"/>
        </w:rPr>
        <w:t>1.</w:t>
      </w:r>
      <w:r>
        <w:rPr/>
        <w:t>递延所得税资产</w:t>
      </w:r>
    </w:p>
    <w:p>
      <w:pPr>
        <w:pStyle w:val="Heading6"/>
        <w:spacing w:line="273" w:lineRule="auto" w:before="21"/>
        <w:ind w:right="1131" w:firstLine="420"/>
        <w:jc w:val="both"/>
      </w:pPr>
      <w:r>
        <w:rPr>
          <w:spacing w:val="-1"/>
        </w:rPr>
        <w:t>①资产、负债的账面价值与其计税基础存在可抵扣暂时性差异的，以未来期间很可能取得的用以抵扣</w:t>
      </w:r>
      <w:r>
        <w:rPr/>
        <w:t> </w:t>
      </w:r>
      <w:r>
        <w:rPr>
          <w:spacing w:val="-1"/>
        </w:rPr>
        <w:t>可抵扣暂时性差异的应纳税所得额为限，按照预期收回该资产或清偿该负债期间的适用税率，计算确认由</w:t>
      </w:r>
      <w:r>
        <w:rPr>
          <w:spacing w:val="-81"/>
        </w:rPr>
        <w:t> </w:t>
      </w:r>
      <w:r>
        <w:rPr>
          <w:spacing w:val="-81"/>
        </w:rPr>
      </w:r>
      <w:r>
        <w:rPr/>
        <w:t>可抵扣暂时性差异产生的递延所得税资产。</w:t>
      </w:r>
    </w:p>
    <w:p>
      <w:pPr>
        <w:pStyle w:val="Heading6"/>
        <w:spacing w:line="273" w:lineRule="auto"/>
        <w:ind w:right="1132" w:firstLine="420"/>
        <w:jc w:val="both"/>
      </w:pPr>
      <w:r>
        <w:rPr>
          <w:spacing w:val="-1"/>
        </w:rPr>
        <w:t>②资产负债表日，有确凿证据表明未来期间很可能获得足够的应纳税所得额用来抵扣可抵扣暂时性差</w:t>
      </w:r>
      <w:r>
        <w:rPr/>
        <w:t> 异的，确认以前期间未确认的递延所得税资产。</w:t>
      </w:r>
    </w:p>
    <w:p>
      <w:pPr>
        <w:pStyle w:val="Heading6"/>
        <w:spacing w:line="273" w:lineRule="auto"/>
        <w:ind w:right="1131" w:firstLine="420"/>
        <w:jc w:val="both"/>
      </w:pPr>
      <w:r>
        <w:rPr>
          <w:spacing w:val="-1"/>
        </w:rPr>
        <w:t>③资产负债表日，对递延所得税资产的账面价值进行复核。如果未来期间很可能无法获得足够的应纳</w:t>
      </w:r>
      <w:r>
        <w:rPr/>
        <w:t> </w:t>
      </w:r>
      <w:r>
        <w:rPr>
          <w:spacing w:val="-1"/>
        </w:rPr>
        <w:t>税所得额用以抵扣递延所得税资产的利益，减记递延所得税资产的账面价值。在很可能获得足够的应纳税</w:t>
      </w:r>
      <w:r>
        <w:rPr>
          <w:spacing w:val="-81"/>
        </w:rPr>
        <w:t> </w:t>
      </w:r>
      <w:r>
        <w:rPr>
          <w:spacing w:val="-81"/>
        </w:rPr>
      </w:r>
      <w:r>
        <w:rPr/>
        <w:t>所得额时，转回减记的金额。</w:t>
      </w:r>
    </w:p>
    <w:p>
      <w:pPr>
        <w:pStyle w:val="Heading6"/>
        <w:spacing w:line="256" w:lineRule="auto"/>
        <w:ind w:left="574" w:right="0"/>
        <w:jc w:val="left"/>
      </w:pPr>
      <w:r>
        <w:rPr>
          <w:rFonts w:ascii="Times New Roman" w:hAnsi="Times New Roman" w:cs="Times New Roman" w:eastAsia="Times New Roman" w:hint="default"/>
        </w:rPr>
        <w:t>2.</w:t>
      </w:r>
      <w:r>
        <w:rPr/>
        <w:t>递延所得税负债 </w:t>
      </w:r>
      <w:r>
        <w:rPr>
          <w:spacing w:val="-1"/>
        </w:rPr>
        <w:t>资产、负债的账面价值与其计税基础存在应纳税暂时性差异的，按照预期收回该资产或清偿该负债期</w:t>
      </w:r>
    </w:p>
    <w:p>
      <w:pPr>
        <w:pStyle w:val="Heading6"/>
        <w:spacing w:line="240" w:lineRule="auto" w:before="22"/>
        <w:ind w:right="0"/>
        <w:jc w:val="left"/>
      </w:pPr>
      <w:r>
        <w:rPr/>
        <w:t>间的适用税率，确认由应纳税暂时性差异产生的递延所得税负债。</w:t>
      </w:r>
    </w:p>
    <w:p>
      <w:pPr>
        <w:spacing w:line="240" w:lineRule="auto" w:before="11"/>
        <w:rPr>
          <w:rFonts w:ascii="宋体" w:hAnsi="宋体" w:cs="宋体" w:eastAsia="宋体" w:hint="default"/>
          <w:sz w:val="26"/>
          <w:szCs w:val="26"/>
        </w:rPr>
      </w:pPr>
    </w:p>
    <w:p>
      <w:pPr>
        <w:pStyle w:val="Heading6"/>
        <w:spacing w:line="590" w:lineRule="atLeast" w:before="0"/>
        <w:ind w:left="574" w:right="0" w:hanging="420"/>
        <w:jc w:val="left"/>
      </w:pPr>
      <w:bookmarkStart w:name="28、 公允价值计量" w:id="210"/>
      <w:bookmarkEnd w:id="210"/>
      <w:r>
        <w:rPr/>
      </w:r>
      <w:r>
        <w:rPr>
          <w:rFonts w:ascii="Times New Roman" w:hAnsi="Times New Roman" w:cs="Times New Roman" w:eastAsia="Times New Roman" w:hint="default"/>
          <w:b/>
          <w:bCs/>
        </w:rPr>
        <w:t>28</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公允价值计量</w:t>
      </w:r>
      <w:r>
        <w:rPr>
          <w:rFonts w:ascii="宋体" w:hAnsi="宋体" w:cs="宋体" w:eastAsia="宋体" w:hint="default"/>
          <w:b/>
          <w:bCs/>
          <w:w w:val="99"/>
        </w:rPr>
        <w:t> </w:t>
      </w:r>
      <w:r>
        <w:rPr>
          <w:spacing w:val="-1"/>
        </w:rPr>
        <w:t>公允价值，是指市场参与者在计量日发生的有序交易中，出售一项资产所能收到或者转移一项负债所</w:t>
      </w:r>
    </w:p>
    <w:p>
      <w:pPr>
        <w:pStyle w:val="Heading6"/>
        <w:spacing w:line="273" w:lineRule="auto" w:before="37"/>
        <w:ind w:right="1131"/>
        <w:jc w:val="both"/>
      </w:pPr>
      <w:r>
        <w:rPr>
          <w:spacing w:val="-1"/>
        </w:rPr>
        <w:t>需支付的价格。本集团以公允价值计量相关资产或负债，考虑该资产或负债的特征；假定市场参与者在计</w:t>
      </w:r>
      <w:r>
        <w:rPr>
          <w:spacing w:val="-83"/>
        </w:rPr>
        <w:t> </w:t>
      </w:r>
      <w:r>
        <w:rPr>
          <w:spacing w:val="-83"/>
        </w:rPr>
      </w:r>
      <w:r>
        <w:rPr>
          <w:spacing w:val="-1"/>
        </w:rPr>
        <w:t>量日出售资产或者转移负债的交易，是在当前市场条件下的有序交易；假定出售资产或者转移负债的有序</w:t>
      </w:r>
      <w:r>
        <w:rPr>
          <w:spacing w:val="-81"/>
        </w:rPr>
        <w:t> </w:t>
      </w:r>
      <w:r>
        <w:rPr>
          <w:spacing w:val="-81"/>
        </w:rPr>
      </w:r>
      <w:r>
        <w:rPr>
          <w:spacing w:val="-1"/>
        </w:rPr>
        <w:t>交易在相关资产或负债的主要市场进行；不存在主要市场的，假定该交易在相关资产或负债的最有利市场</w:t>
      </w:r>
      <w:r>
        <w:rPr>
          <w:spacing w:val="-81"/>
        </w:rPr>
        <w:t> </w:t>
      </w:r>
      <w:r>
        <w:rPr>
          <w:spacing w:val="-81"/>
        </w:rPr>
      </w:r>
      <w:r>
        <w:rPr/>
        <w:t>进行。本集团采用市场参与者在对该资产或负债定价时为实现其经济利益最大化所使用的假设。</w:t>
      </w:r>
    </w:p>
    <w:p>
      <w:pPr>
        <w:pStyle w:val="Heading6"/>
        <w:spacing w:line="273" w:lineRule="auto"/>
        <w:ind w:right="1110" w:firstLine="420"/>
        <w:jc w:val="both"/>
      </w:pPr>
      <w:r>
        <w:rPr/>
        <w:t>本集团根据交易性质和相关资产或负债的特征等，判断初始确认时的公允价值是否与其交易价格相 等；交易价格与公允价值不相等的，将相关利得或损失计入当期损益，但相关会计准则另有规定的除外。</w:t>
      </w:r>
    </w:p>
    <w:p>
      <w:pPr>
        <w:pStyle w:val="Heading6"/>
        <w:spacing w:line="273" w:lineRule="auto" w:before="8"/>
        <w:ind w:right="1132" w:firstLine="420"/>
        <w:jc w:val="both"/>
      </w:pPr>
      <w:r>
        <w:rPr>
          <w:spacing w:val="-1"/>
        </w:rPr>
        <w:t>本集团采用在当前情况下适用并且有足够可利用数据和其他信息支持的估值技术，使用的估值技术主</w:t>
      </w:r>
      <w:r>
        <w:rPr/>
        <w:t> </w:t>
      </w:r>
      <w:r>
        <w:rPr>
          <w:spacing w:val="-1"/>
        </w:rPr>
        <w:t>要包括市场法、收益法和成本法。在估值技术的应用中，优先使用相关可观察输入值，只有在相关可观察</w:t>
      </w:r>
      <w:r>
        <w:rPr>
          <w:spacing w:val="-85"/>
        </w:rPr>
        <w:t> </w:t>
      </w:r>
      <w:r>
        <w:rPr>
          <w:spacing w:val="-85"/>
        </w:rPr>
      </w:r>
      <w:r>
        <w:rPr/>
        <w:t>输入值无法取得或取得不切实可行的情况下，才可以使用不可观察输入值。</w:t>
      </w:r>
    </w:p>
    <w:p>
      <w:pPr>
        <w:pStyle w:val="Heading6"/>
        <w:spacing w:line="240" w:lineRule="auto"/>
        <w:ind w:left="574" w:right="0"/>
        <w:jc w:val="left"/>
      </w:pPr>
      <w:r>
        <w:rPr/>
        <w:t>本集团公允价值计量所使用的输入值划分为三个层次，并首先使用第一层次输入值，其次使用第二层</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10"/>
        <w:jc w:val="both"/>
      </w:pPr>
      <w:r>
        <w:rPr>
          <w:spacing w:val="-1"/>
        </w:rPr>
        <w:t>次输入值，最后使用第三层次输入值。第一层次输入值是在计量日能够取得的相同资产或负债在活跃市场</w:t>
      </w:r>
      <w:r>
        <w:rPr>
          <w:spacing w:val="-81"/>
        </w:rPr>
        <w:t> </w:t>
      </w:r>
      <w:r>
        <w:rPr>
          <w:spacing w:val="-81"/>
        </w:rPr>
      </w:r>
      <w:r>
        <w:rPr/>
        <w:t>上未经调整的报价；第二层次输入值是除第一层次输入值外相关资产或负债直接或间接可观察的输入值； 第三层次输入值是相关资产或负债的不可观察输入值。</w:t>
      </w:r>
    </w:p>
    <w:p>
      <w:pPr>
        <w:pStyle w:val="Heading6"/>
        <w:spacing w:line="273" w:lineRule="auto"/>
        <w:ind w:right="1131" w:firstLine="420"/>
        <w:jc w:val="both"/>
      </w:pPr>
      <w:r>
        <w:rPr>
          <w:spacing w:val="-1"/>
        </w:rPr>
        <w:t>本集团以公允价值计量非金融资产，考虑市场参与者将该资产用于最佳用途产生经济利益的能力，或</w:t>
      </w:r>
      <w:r>
        <w:rPr/>
        <w:t> </w:t>
      </w:r>
      <w:r>
        <w:rPr>
          <w:spacing w:val="-1"/>
        </w:rPr>
        <w:t>者将该资产出售给能够用于最佳用途的其他市场参与者产生经济利益的能力。以公允价值计量负债，假定</w:t>
      </w:r>
      <w:r>
        <w:rPr>
          <w:spacing w:val="-81"/>
        </w:rPr>
        <w:t> </w:t>
      </w:r>
      <w:r>
        <w:rPr>
          <w:spacing w:val="-81"/>
        </w:rPr>
      </w:r>
      <w:r>
        <w:rPr>
          <w:spacing w:val="-1"/>
        </w:rPr>
        <w:t>在计量日将该负债转移给其他市场参与者，而且该负债在转移后继续存在，并由作为受让方的市场参与者</w:t>
      </w:r>
      <w:r>
        <w:rPr>
          <w:spacing w:val="-81"/>
        </w:rPr>
        <w:t> </w:t>
      </w:r>
      <w:r>
        <w:rPr>
          <w:spacing w:val="-81"/>
        </w:rPr>
      </w:r>
      <w:r>
        <w:rPr>
          <w:spacing w:val="-1"/>
        </w:rPr>
        <w:t>履行义务。以公允价值计量自身权益工具，假定在计量日将该自身权益工具转移给其他市场参与者，而且</w:t>
      </w:r>
      <w:r>
        <w:rPr>
          <w:spacing w:val="-83"/>
        </w:rPr>
        <w:t> </w:t>
      </w:r>
      <w:r>
        <w:rPr>
          <w:spacing w:val="-83"/>
        </w:rPr>
      </w:r>
      <w:r>
        <w:rPr>
          <w:spacing w:val="-1"/>
        </w:rPr>
        <w:t>该自身权益工具在转移后继续存在，并由作为受让方的市场参与者取得与该工具相关的权利、承担相应的</w:t>
      </w:r>
      <w:r>
        <w:rPr>
          <w:spacing w:val="-81"/>
        </w:rPr>
        <w:t> </w:t>
      </w:r>
      <w:r>
        <w:rPr>
          <w:spacing w:val="-81"/>
        </w:rPr>
      </w:r>
      <w:r>
        <w:rPr/>
        <w:t>义务。</w:t>
      </w:r>
    </w:p>
    <w:p>
      <w:pPr>
        <w:pStyle w:val="Heading5"/>
        <w:spacing w:line="240" w:lineRule="auto" w:before="7"/>
        <w:ind w:right="0"/>
        <w:jc w:val="both"/>
        <w:rPr>
          <w:b w:val="0"/>
          <w:bCs w:val="0"/>
        </w:rPr>
      </w:pPr>
      <w:r>
        <w:rPr>
          <w:rFonts w:ascii="Times New Roman" w:hAnsi="Times New Roman" w:cs="Times New Roman" w:eastAsia="Times New Roman" w:hint="default"/>
        </w:rPr>
        <w:t>29</w:t>
      </w:r>
      <w:r>
        <w:rPr/>
        <w:t>、终止经营</w:t>
      </w:r>
      <w:r>
        <w:rPr>
          <w:b w:val="0"/>
          <w:bCs w:val="0"/>
        </w:rPr>
      </w:r>
    </w:p>
    <w:p>
      <w:pPr>
        <w:pStyle w:val="Heading6"/>
        <w:spacing w:line="273" w:lineRule="auto" w:before="21"/>
        <w:ind w:right="1131" w:firstLine="420"/>
        <w:jc w:val="both"/>
      </w:pPr>
      <w:r>
        <w:rPr>
          <w:spacing w:val="-1"/>
        </w:rPr>
        <w:t>终止经营，是指满足下列条件之一的、能够单独区分的组成部分，且该组成部分已经处置或划分为持</w:t>
      </w:r>
      <w:r>
        <w:rPr/>
        <w:t> 有待售类别：</w:t>
      </w:r>
    </w:p>
    <w:p>
      <w:pPr>
        <w:pStyle w:val="Heading6"/>
        <w:spacing w:line="240" w:lineRule="auto"/>
        <w:ind w:left="57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Heading6"/>
        <w:spacing w:line="256" w:lineRule="auto" w:before="21"/>
        <w:ind w:right="1141" w:firstLine="420"/>
        <w:jc w:val="both"/>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 的一部分；</w:t>
      </w:r>
    </w:p>
    <w:p>
      <w:pPr>
        <w:pStyle w:val="Heading6"/>
        <w:spacing w:line="256" w:lineRule="auto" w:before="22"/>
        <w:ind w:left="574" w:right="0"/>
        <w:jc w:val="left"/>
      </w:pPr>
      <w:r>
        <w:rPr/>
        <w:t>（</w:t>
      </w:r>
      <w:r>
        <w:rPr>
          <w:rFonts w:ascii="Times New Roman" w:hAnsi="Times New Roman" w:cs="Times New Roman" w:eastAsia="Times New Roman" w:hint="default"/>
        </w:rPr>
        <w:t>3</w:t>
      </w:r>
      <w:r>
        <w:rPr/>
        <w:t>）该组成部分是专为转售而取得的子公司。 </w:t>
      </w:r>
      <w:r>
        <w:rPr>
          <w:spacing w:val="-1"/>
        </w:rPr>
        <w:t>本集团在合并利润表和利润表中分别列示持续经营损益和终止经营损益。不符合终止经营定义的持有</w:t>
      </w:r>
    </w:p>
    <w:p>
      <w:pPr>
        <w:pStyle w:val="Heading6"/>
        <w:spacing w:line="273" w:lineRule="auto" w:before="22"/>
        <w:ind w:right="1131"/>
        <w:jc w:val="both"/>
      </w:pPr>
      <w:r>
        <w:rPr>
          <w:spacing w:val="-1"/>
        </w:rPr>
        <w:t>待售的非流动资产或处置组，其减值损失和转回金额及处置损益作为持续经营损益列报。终止经营的减值</w:t>
      </w:r>
      <w:r>
        <w:rPr>
          <w:spacing w:val="-81"/>
        </w:rPr>
        <w:t> </w:t>
      </w:r>
      <w:r>
        <w:rPr>
          <w:spacing w:val="-81"/>
        </w:rPr>
      </w:r>
      <w:r>
        <w:rPr/>
        <w:t>损失和转回金额等经营损益及处置损益作为终止经营损益列报。</w:t>
      </w:r>
    </w:p>
    <w:p>
      <w:pPr>
        <w:pStyle w:val="Heading6"/>
        <w:spacing w:line="273" w:lineRule="auto"/>
        <w:ind w:right="1110" w:firstLine="420"/>
        <w:jc w:val="both"/>
      </w:pPr>
      <w:r>
        <w:rPr>
          <w:spacing w:val="-1"/>
        </w:rPr>
        <w:t>对于当期列报的终止经营，在当期财务报表中，将原来作为持续经营损益列报的信息重新作为可比会</w:t>
      </w:r>
      <w:r>
        <w:rPr/>
        <w:t> 计期间的终止经营损益列报。拟结束使用而非出售的处置组满足终止经营定义中有关组成部分的条件的， </w:t>
      </w:r>
      <w:r>
        <w:rPr>
          <w:spacing w:val="-1"/>
        </w:rPr>
        <w:t>自停止使用日起作为终止经营列报。因出售对子公司的投资等原因导致其丧失对子公司控制权，且该子公</w:t>
      </w:r>
      <w:r>
        <w:rPr>
          <w:spacing w:val="-81"/>
        </w:rPr>
        <w:t> </w:t>
      </w:r>
      <w:r>
        <w:rPr>
          <w:spacing w:val="-81"/>
        </w:rPr>
      </w:r>
      <w:r>
        <w:rPr/>
        <w:t>司符合终止经营定义的，在合并利润表中列报相关终止经营损益。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29、 租赁" w:id="211"/>
      <w:bookmarkEnd w:id="211"/>
      <w:r>
        <w:rPr>
          <w:b w:val="0"/>
          <w:bCs w:val="0"/>
        </w:rPr>
      </w:r>
      <w:r>
        <w:rPr>
          <w:rFonts w:ascii="Times New Roman" w:hAnsi="Times New Roman" w:cs="Times New Roman" w:eastAsia="Times New Roman" w:hint="default"/>
        </w:rPr>
        <w:t>29</w:t>
      </w:r>
      <w:r>
        <w:rPr/>
        <w:t>、</w:t>
      </w:r>
      <w:r>
        <w:rPr>
          <w:spacing w:val="-1"/>
        </w:rPr>
        <w:t> </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本集团作为承租人，对于经营租赁的租金，在租赁期内各个期间按照直线法计入相关资产成本或当期</w:t>
      </w:r>
    </w:p>
    <w:p>
      <w:pPr>
        <w:pStyle w:val="Heading6"/>
        <w:spacing w:line="273" w:lineRule="auto" w:before="37"/>
        <w:ind w:left="574" w:right="0" w:hanging="420"/>
        <w:jc w:val="left"/>
      </w:pPr>
      <w:r>
        <w:rPr/>
        <w:t>损益；发生的初始直接费用，计入当期损益；或有租金在实际发生时计入当期损益。 </w:t>
      </w:r>
      <w:r>
        <w:rPr>
          <w:spacing w:val="-1"/>
        </w:rPr>
        <w:t>本集团作为出租人，按资产的性质将用作经营租赁的资产包括在资产负债表中的相关项目内；对于经</w:t>
      </w:r>
    </w:p>
    <w:p>
      <w:pPr>
        <w:pStyle w:val="Heading6"/>
        <w:spacing w:line="273" w:lineRule="auto"/>
        <w:ind w:right="1110"/>
        <w:jc w:val="both"/>
      </w:pPr>
      <w:r>
        <w:rPr/>
        <w:t>营租赁的租金，在租赁期内各个期间按照直线法确认为当期损益；发生的初始直接费用，计入当期损益； </w:t>
      </w:r>
      <w:r>
        <w:rPr>
          <w:spacing w:val="-1"/>
        </w:rPr>
        <w:t>对于经营租赁资产中的固定资产，采用类似资产的折旧政策计提折旧；对于其他经营租赁资产，采用系统</w:t>
      </w:r>
      <w:r>
        <w:rPr>
          <w:spacing w:val="-83"/>
        </w:rPr>
        <w:t> </w:t>
      </w:r>
      <w:r>
        <w:rPr>
          <w:spacing w:val="-83"/>
        </w:rPr>
      </w:r>
      <w:r>
        <w:rPr/>
        <w:t>合理的方法进行摊销；或有租金在实际发生时计入当期损益。</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2）融资租赁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本集团作为承租人，在租赁期开始日将租赁开始日租赁资产公允价值与最低租赁付款额现值两者中较</w:t>
      </w:r>
    </w:p>
    <w:p>
      <w:pPr>
        <w:pStyle w:val="Heading6"/>
        <w:spacing w:line="273" w:lineRule="auto" w:before="37"/>
        <w:ind w:right="1130"/>
        <w:jc w:val="both"/>
      </w:pPr>
      <w:r>
        <w:rPr>
          <w:spacing w:val="-1"/>
        </w:rPr>
        <w:t>低者作为租入资产的入账价值，将最低租赁付款额作为长期应付款的入账价值，其差额作为未确认融资费</w:t>
      </w:r>
      <w:r>
        <w:rPr>
          <w:spacing w:val="-80"/>
        </w:rPr>
        <w:t> </w:t>
      </w:r>
      <w:r>
        <w:rPr>
          <w:spacing w:val="-80"/>
        </w:rPr>
      </w:r>
      <w:r>
        <w:rPr>
          <w:spacing w:val="-1"/>
        </w:rPr>
        <w:t>用；在租赁谈判和签订租赁合同过程中发生的，可归属于租赁项目的手续费、律师费、差旅费、印花税等</w:t>
      </w:r>
      <w:r>
        <w:rPr>
          <w:spacing w:val="-83"/>
        </w:rPr>
        <w:t> </w:t>
      </w:r>
      <w:r>
        <w:rPr>
          <w:spacing w:val="-83"/>
        </w:rPr>
      </w:r>
      <w:r>
        <w:rPr>
          <w:spacing w:val="-1"/>
        </w:rPr>
        <w:t>初始直接费用，计入租入资产价值；未确认融资费用在租赁期内各个期间进行分摊，采用实际利率法计算</w:t>
      </w:r>
      <w:r>
        <w:rPr>
          <w:spacing w:val="-83"/>
        </w:rPr>
        <w:t> </w:t>
      </w:r>
      <w:r>
        <w:rPr>
          <w:spacing w:val="-83"/>
        </w:rPr>
      </w:r>
      <w:r>
        <w:rPr/>
        <w:t>确认当期的融资费用；或有租金在实际发生时计入当期损益。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023" w:firstLine="420"/>
        <w:jc w:val="left"/>
      </w:pPr>
      <w:r>
        <w:rPr/>
        <w:t>在计算最低租赁付款额的现值时，能够取得出租人租赁内含利率的，采用租赁内含利率作为折现率； </w:t>
      </w:r>
      <w:r>
        <w:rPr>
          <w:spacing w:val="-3"/>
        </w:rPr>
        <w:t>否则，采用租赁合同规定的利率作为折现率。无法取得出租人的租赁内含利率且租赁合同没有规定利率的，</w:t>
      </w:r>
      <w:r>
        <w:rPr>
          <w:spacing w:val="-92"/>
        </w:rPr>
        <w:t> </w:t>
      </w:r>
      <w:r>
        <w:rPr>
          <w:spacing w:val="-92"/>
        </w:rPr>
      </w:r>
      <w:r>
        <w:rPr/>
        <w:t>采用同期银行贷款利率作为折现率。</w:t>
      </w:r>
    </w:p>
    <w:p>
      <w:pPr>
        <w:pStyle w:val="Heading6"/>
        <w:spacing w:line="273" w:lineRule="auto"/>
        <w:ind w:right="1131" w:firstLine="420"/>
        <w:jc w:val="both"/>
      </w:pPr>
      <w:r>
        <w:rPr>
          <w:spacing w:val="-1"/>
        </w:rPr>
        <w:t>本集团采用与自有固定资产相一致的折旧政策计提租赁资产折旧。能够合理确定租赁期届满时取得租</w:t>
      </w:r>
      <w:r>
        <w:rPr/>
        <w:t> </w:t>
      </w:r>
      <w:r>
        <w:rPr>
          <w:spacing w:val="-1"/>
        </w:rPr>
        <w:t>赁资产所有权的，在租赁资产使用寿命内计提折旧。无法合理确定租赁期届满时能够取得租赁资产所有权</w:t>
      </w:r>
      <w:r>
        <w:rPr>
          <w:spacing w:val="-81"/>
        </w:rPr>
        <w:t> </w:t>
      </w:r>
      <w:r>
        <w:rPr>
          <w:spacing w:val="-81"/>
        </w:rPr>
      </w:r>
      <w:r>
        <w:rPr/>
        <w:t>的，在租赁期与租赁资产使用寿命两者中较短的期间内计提折旧。</w:t>
      </w:r>
    </w:p>
    <w:p>
      <w:pPr>
        <w:pStyle w:val="Heading6"/>
        <w:spacing w:line="273" w:lineRule="auto"/>
        <w:ind w:right="1131" w:firstLine="420"/>
        <w:jc w:val="both"/>
      </w:pPr>
      <w:r>
        <w:rPr>
          <w:spacing w:val="-1"/>
        </w:rPr>
        <w:t>本集团作为出租人，在租赁期开始日将租赁开始日最低租赁收款额与初始直接费用之和作为应收融资</w:t>
      </w:r>
      <w:r>
        <w:rPr/>
        <w:t> </w:t>
      </w:r>
      <w:r>
        <w:rPr>
          <w:spacing w:val="-1"/>
        </w:rPr>
        <w:t>租赁款的入账价值，同时记录未担保余值；将最低租赁收款额、初始直接费用及未担保余值之和与其现值</w:t>
      </w:r>
      <w:r>
        <w:rPr>
          <w:spacing w:val="-83"/>
        </w:rPr>
        <w:t> </w:t>
      </w:r>
      <w:r>
        <w:rPr>
          <w:spacing w:val="-83"/>
        </w:rPr>
      </w:r>
      <w:r>
        <w:rPr>
          <w:spacing w:val="-1"/>
        </w:rPr>
        <w:t>之和的差额确认为未实现融资收益；未实现融资收益在租赁期内各个期间进行分配；采用实际利率法计算</w:t>
      </w:r>
      <w:r>
        <w:rPr>
          <w:spacing w:val="-81"/>
        </w:rPr>
        <w:t> </w:t>
      </w:r>
      <w:r>
        <w:rPr>
          <w:spacing w:val="-81"/>
        </w:rPr>
      </w:r>
      <w:r>
        <w:rPr/>
        <w:t>确认当期的融资收入；或有租金在实际发生时计入当期损益。</w:t>
      </w:r>
    </w:p>
    <w:p>
      <w:pPr>
        <w:spacing w:line="240" w:lineRule="auto" w:before="8"/>
        <w:rPr>
          <w:rFonts w:ascii="宋体" w:hAnsi="宋体" w:cs="宋体" w:eastAsia="宋体" w:hint="default"/>
          <w:sz w:val="24"/>
          <w:szCs w:val="24"/>
        </w:rPr>
      </w:pPr>
    </w:p>
    <w:p>
      <w:pPr>
        <w:pStyle w:val="Heading6"/>
        <w:spacing w:line="590" w:lineRule="atLeast" w:before="0"/>
        <w:ind w:left="490" w:right="1118" w:hanging="336"/>
        <w:jc w:val="left"/>
      </w:pPr>
      <w:bookmarkStart w:name="30、 分部报告" w:id="214"/>
      <w:bookmarkEnd w:id="214"/>
      <w:r>
        <w:rPr/>
      </w:r>
      <w:r>
        <w:rPr>
          <w:rFonts w:ascii="Times New Roman" w:hAnsi="Times New Roman" w:cs="Times New Roman" w:eastAsia="Times New Roman" w:hint="default"/>
          <w:b/>
          <w:bCs/>
        </w:rPr>
        <w:t>30</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分部报告</w:t>
      </w:r>
      <w:r>
        <w:rPr>
          <w:rFonts w:ascii="宋体" w:hAnsi="宋体" w:cs="宋体" w:eastAsia="宋体" w:hint="default"/>
          <w:b/>
          <w:bCs/>
          <w:w w:val="99"/>
        </w:rPr>
        <w:t> </w:t>
      </w:r>
      <w:r>
        <w:rPr/>
        <w:t>本集团以内部组织结构、管理要求、内部报告制度为依据确定经营分部，以经营分部为基础确定报告</w:t>
      </w:r>
    </w:p>
    <w:p>
      <w:pPr>
        <w:pStyle w:val="Heading6"/>
        <w:spacing w:line="273" w:lineRule="auto" w:before="37"/>
        <w:ind w:left="574" w:right="0" w:hanging="420"/>
        <w:jc w:val="left"/>
      </w:pPr>
      <w:r>
        <w:rPr/>
        <w:t>分部并披露分部信息。 </w:t>
      </w:r>
      <w:r>
        <w:rPr>
          <w:spacing w:val="-1"/>
        </w:rPr>
        <w:t>经营分部是指本集团内同时满足下列条件的组成部分：（</w:t>
      </w:r>
      <w:r>
        <w:rPr>
          <w:rFonts w:ascii="Times New Roman" w:hAnsi="Times New Roman" w:cs="Times New Roman" w:eastAsia="Times New Roman" w:hint="default"/>
          <w:spacing w:val="-1"/>
        </w:rPr>
        <w:t>1</w:t>
      </w:r>
      <w:r>
        <w:rPr>
          <w:spacing w:val="-1"/>
        </w:rPr>
        <w:t>）该组成部分能够在日常活动中产生收入、</w:t>
      </w:r>
    </w:p>
    <w:p>
      <w:pPr>
        <w:pStyle w:val="Heading6"/>
        <w:spacing w:line="279" w:lineRule="exact" w:before="0"/>
        <w:ind w:right="0"/>
        <w:jc w:val="left"/>
      </w:pPr>
      <w:r>
        <w:rPr/>
        <w:t>发生费用；（</w:t>
      </w:r>
      <w:r>
        <w:rPr>
          <w:rFonts w:ascii="Times New Roman" w:hAnsi="Times New Roman" w:cs="Times New Roman" w:eastAsia="Times New Roman" w:hint="default"/>
        </w:rPr>
        <w:t>2</w:t>
      </w:r>
      <w:r>
        <w:rPr/>
        <w:t>）本集团管理层能够定期评价该组成部分的经营成果，以决定向其配置资源、评价其业绩；</w:t>
      </w:r>
    </w:p>
    <w:p>
      <w:pPr>
        <w:pStyle w:val="Heading6"/>
        <w:spacing w:line="264" w:lineRule="auto" w:before="21"/>
        <w:ind w:right="1197"/>
        <w:jc w:val="left"/>
      </w:pPr>
      <w:r>
        <w:rPr/>
        <w:t>（</w:t>
      </w:r>
      <w:r>
        <w:rPr>
          <w:rFonts w:ascii="Times New Roman" w:hAnsi="Times New Roman" w:cs="Times New Roman" w:eastAsia="Times New Roman" w:hint="default"/>
        </w:rPr>
        <w:t>3</w:t>
      </w:r>
      <w:r>
        <w:rPr/>
        <w:t>）本集团能够取得该组成部分的财务状况、经营成果和现金流量等有关会计信息。两个或多个经营分 部具有相似的经济特征，并且满足一定条件的，则可合并为一个经营分部。 </w:t>
      </w:r>
      <w:r>
        <w:rPr>
          <w:rFonts w:ascii="Times New Roman" w:hAnsi="Times New Roman" w:cs="Times New Roman" w:eastAsia="Times New Roman" w:hint="default"/>
          <w:b/>
          <w:bCs/>
        </w:rPr>
        <w:t>31</w:t>
      </w:r>
      <w:r>
        <w:rPr>
          <w:rFonts w:ascii="宋体" w:hAnsi="宋体" w:cs="宋体" w:eastAsia="宋体" w:hint="default"/>
          <w:b/>
          <w:bCs/>
        </w:rPr>
        <w:t>、</w:t>
      </w:r>
      <w:r>
        <w:rPr/>
        <w:t>重要会计政策和会计估计变更</w:t>
      </w:r>
    </w:p>
    <w:p>
      <w:pPr>
        <w:pStyle w:val="Heading6"/>
        <w:spacing w:line="289" w:lineRule="exact" w:before="0"/>
        <w:ind w:left="237" w:right="0"/>
        <w:jc w:val="left"/>
      </w:pPr>
      <w:r>
        <w:rPr>
          <w:rFonts w:ascii="Times New Roman" w:hAnsi="Times New Roman" w:cs="Times New Roman" w:eastAsia="Times New Roman" w:hint="default"/>
        </w:rPr>
        <w:t>1.</w:t>
      </w:r>
      <w:r>
        <w:rPr/>
        <w:t>会计政策变更</w:t>
      </w:r>
    </w:p>
    <w:p>
      <w:pPr>
        <w:pStyle w:val="Heading6"/>
        <w:spacing w:line="256" w:lineRule="auto" w:before="21"/>
        <w:ind w:left="5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）财务报表格式变更 </w:t>
      </w: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月发布了《关于修订印发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[2018]15</w:t>
      </w:r>
    </w:p>
    <w:p>
      <w:pPr>
        <w:pStyle w:val="Heading6"/>
        <w:spacing w:line="259" w:lineRule="auto" w:before="5"/>
        <w:ind w:right="1023"/>
        <w:jc w:val="left"/>
      </w:pPr>
      <w:r>
        <w:rPr>
          <w:spacing w:val="-3"/>
        </w:rPr>
        <w:t>号），本集团根据相关要求按照一般企业财务报表格式（适用于尚未执行新金融准则和新收入准则的企业）</w:t>
      </w:r>
      <w:r>
        <w:rPr>
          <w:spacing w:val="-92"/>
        </w:rPr>
        <w:t> </w:t>
      </w:r>
      <w:r>
        <w:rPr>
          <w:spacing w:val="-92"/>
        </w:rPr>
      </w:r>
      <w:r>
        <w:rPr>
          <w:spacing w:val="-1"/>
        </w:rPr>
        <w:t>编制财务报表：</w:t>
      </w:r>
      <w:r>
        <w:rPr>
          <w:color w:val="333333"/>
          <w:spacing w:val="-1"/>
        </w:rPr>
        <w:t>①</w:t>
      </w:r>
      <w:r>
        <w:rPr>
          <w:spacing w:val="-1"/>
        </w:rPr>
        <w:t>原</w:t>
      </w:r>
      <w:r>
        <w:rPr>
          <w:rFonts w:ascii="Times New Roman" w:hAnsi="Times New Roman" w:cs="Times New Roman" w:eastAsia="Times New Roman" w:hint="default"/>
          <w:spacing w:val="-1"/>
        </w:rPr>
        <w:t>“</w:t>
      </w:r>
      <w:r>
        <w:rPr>
          <w:spacing w:val="-1"/>
        </w:rPr>
        <w:t>应收票据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应收账款</w:t>
      </w:r>
      <w:r>
        <w:rPr>
          <w:rFonts w:ascii="Times New Roman" w:hAnsi="Times New Roman" w:cs="Times New Roman" w:eastAsia="Times New Roman" w:hint="default"/>
          <w:spacing w:val="-1"/>
        </w:rPr>
        <w:t>”</w:t>
      </w:r>
      <w:r>
        <w:rPr>
          <w:spacing w:val="-1"/>
        </w:rPr>
        <w:t>项目，合并为</w:t>
      </w:r>
      <w:r>
        <w:rPr>
          <w:rFonts w:ascii="Times New Roman" w:hAnsi="Times New Roman" w:cs="Times New Roman" w:eastAsia="Times New Roman" w:hint="default"/>
          <w:spacing w:val="-1"/>
        </w:rPr>
        <w:t>“</w:t>
      </w:r>
      <w:r>
        <w:rPr>
          <w:spacing w:val="-1"/>
        </w:rPr>
        <w:t>应收票据及应收账款</w:t>
      </w:r>
      <w:r>
        <w:rPr>
          <w:rFonts w:ascii="Times New Roman" w:hAnsi="Times New Roman" w:cs="Times New Roman" w:eastAsia="Times New Roman" w:hint="default"/>
          <w:spacing w:val="-1"/>
        </w:rPr>
        <w:t>”</w:t>
      </w:r>
      <w:r>
        <w:rPr>
          <w:spacing w:val="-1"/>
        </w:rPr>
        <w:t>项目；</w:t>
      </w:r>
      <w:r>
        <w:rPr>
          <w:color w:val="333333"/>
          <w:spacing w:val="-1"/>
        </w:rPr>
        <w:t>②</w:t>
      </w:r>
      <w:r>
        <w:rPr>
          <w:spacing w:val="-1"/>
        </w:rPr>
        <w:t>原</w:t>
      </w:r>
      <w:r>
        <w:rPr>
          <w:rFonts w:ascii="Times New Roman" w:hAnsi="Times New Roman" w:cs="Times New Roman" w:eastAsia="Times New Roman" w:hint="default"/>
          <w:spacing w:val="-1"/>
        </w:rPr>
        <w:t>“</w:t>
      </w:r>
      <w:r>
        <w:rPr>
          <w:spacing w:val="-1"/>
        </w:rPr>
        <w:t>应收利息</w:t>
      </w:r>
      <w:r>
        <w:rPr>
          <w:rFonts w:ascii="Times New Roman" w:hAnsi="Times New Roman" w:cs="Times New Roman" w:eastAsia="Times New Roman" w:hint="default"/>
          <w:spacing w:val="-1"/>
        </w:rPr>
        <w:t>”</w:t>
      </w:r>
      <w:r>
        <w:rPr>
          <w:spacing w:val="-1"/>
        </w:rPr>
        <w:t>、</w:t>
      </w:r>
      <w:r>
        <w:rPr>
          <w:spacing w:val="-89"/>
        </w:rPr>
        <w:t> </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项目并入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项目列报；</w:t>
      </w:r>
      <w:r>
        <w:rPr>
          <w:color w:val="333333"/>
        </w:rPr>
        <w:t>③</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项目并入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项目中列报；</w:t>
      </w:r>
      <w:r>
        <w:rPr>
          <w:color w:val="333333"/>
        </w:rPr>
        <w:t>④</w:t>
      </w:r>
      <w:r>
        <w:rPr/>
        <w:t>原</w:t>
      </w:r>
      <w:r>
        <w:rPr>
          <w:spacing w:val="-43"/>
        </w:rPr>
        <w:t> </w:t>
      </w:r>
      <w:r>
        <w:rPr>
          <w:spacing w:val="-43"/>
        </w:rPr>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项目并入</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项目中列报；</w:t>
      </w:r>
      <w:r>
        <w:rPr>
          <w:color w:val="333333"/>
        </w:rPr>
        <w:t>⑤</w:t>
      </w:r>
      <w:r>
        <w:rPr/>
        <w:t>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项目，合并为</w:t>
      </w:r>
      <w:r>
        <w:rPr>
          <w:rFonts w:ascii="Times New Roman" w:hAnsi="Times New Roman" w:cs="Times New Roman" w:eastAsia="Times New Roman" w:hint="default"/>
        </w:rPr>
        <w:t>“</w:t>
      </w:r>
      <w:r>
        <w:rPr/>
        <w:t>应付票据及应付 </w:t>
      </w:r>
      <w:r>
        <w:rPr>
          <w:spacing w:val="-3"/>
        </w:rPr>
        <w:t>账款</w:t>
      </w:r>
      <w:r>
        <w:rPr>
          <w:rFonts w:ascii="Times New Roman" w:hAnsi="Times New Roman" w:cs="Times New Roman" w:eastAsia="Times New Roman" w:hint="default"/>
          <w:spacing w:val="-3"/>
        </w:rPr>
        <w:t>”</w:t>
      </w:r>
      <w:r>
        <w:rPr>
          <w:spacing w:val="-3"/>
        </w:rPr>
        <w:t>项目；</w:t>
      </w:r>
      <w:r>
        <w:rPr>
          <w:color w:val="333333"/>
          <w:spacing w:val="-3"/>
        </w:rPr>
        <w:t>⑥</w:t>
      </w:r>
      <w:r>
        <w:rPr>
          <w:spacing w:val="-3"/>
        </w:rPr>
        <w:t>原</w:t>
      </w:r>
      <w:r>
        <w:rPr>
          <w:rFonts w:ascii="Times New Roman" w:hAnsi="Times New Roman" w:cs="Times New Roman" w:eastAsia="Times New Roman" w:hint="default"/>
          <w:spacing w:val="-3"/>
        </w:rPr>
        <w:t>“</w:t>
      </w:r>
      <w:r>
        <w:rPr>
          <w:spacing w:val="-3"/>
        </w:rPr>
        <w:t>应付利息</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应付股利</w:t>
      </w:r>
      <w:r>
        <w:rPr>
          <w:rFonts w:ascii="Times New Roman" w:hAnsi="Times New Roman" w:cs="Times New Roman" w:eastAsia="Times New Roman" w:hint="default"/>
          <w:spacing w:val="-3"/>
        </w:rPr>
        <w:t>”</w:t>
      </w:r>
      <w:r>
        <w:rPr>
          <w:spacing w:val="-3"/>
        </w:rPr>
        <w:t>项目并入</w:t>
      </w:r>
      <w:r>
        <w:rPr>
          <w:rFonts w:ascii="Times New Roman" w:hAnsi="Times New Roman" w:cs="Times New Roman" w:eastAsia="Times New Roman" w:hint="default"/>
          <w:spacing w:val="-3"/>
        </w:rPr>
        <w:t>“</w:t>
      </w:r>
      <w:r>
        <w:rPr>
          <w:spacing w:val="-3"/>
        </w:rPr>
        <w:t>其他应付款</w:t>
      </w:r>
      <w:r>
        <w:rPr>
          <w:rFonts w:ascii="Times New Roman" w:hAnsi="Times New Roman" w:cs="Times New Roman" w:eastAsia="Times New Roman" w:hint="default"/>
          <w:spacing w:val="-3"/>
        </w:rPr>
        <w:t>”</w:t>
      </w:r>
      <w:r>
        <w:rPr>
          <w:spacing w:val="-3"/>
        </w:rPr>
        <w:t>项目列报；</w:t>
      </w:r>
      <w:r>
        <w:rPr>
          <w:color w:val="333333"/>
          <w:spacing w:val="-3"/>
        </w:rPr>
        <w:t>⑦</w:t>
      </w:r>
      <w:r>
        <w:rPr>
          <w:spacing w:val="-3"/>
        </w:rPr>
        <w:t>原</w:t>
      </w:r>
      <w:r>
        <w:rPr>
          <w:rFonts w:ascii="Times New Roman" w:hAnsi="Times New Roman" w:cs="Times New Roman" w:eastAsia="Times New Roman" w:hint="default"/>
          <w:spacing w:val="-3"/>
        </w:rPr>
        <w:t>“</w:t>
      </w:r>
      <w:r>
        <w:rPr>
          <w:spacing w:val="-3"/>
        </w:rPr>
        <w:t>专项应付款</w:t>
      </w:r>
      <w:r>
        <w:rPr>
          <w:rFonts w:ascii="Times New Roman" w:hAnsi="Times New Roman" w:cs="Times New Roman" w:eastAsia="Times New Roman" w:hint="default"/>
          <w:spacing w:val="-3"/>
        </w:rPr>
        <w:t>”</w:t>
      </w:r>
      <w:r>
        <w:rPr>
          <w:spacing w:val="-3"/>
        </w:rPr>
        <w:t>项目并入</w:t>
      </w:r>
      <w:r>
        <w:rPr>
          <w:rFonts w:ascii="Times New Roman" w:hAnsi="Times New Roman" w:cs="Times New Roman" w:eastAsia="Times New Roman" w:hint="default"/>
          <w:spacing w:val="-3"/>
        </w:rPr>
        <w:t>“</w:t>
      </w:r>
      <w:r>
        <w:rPr>
          <w:spacing w:val="-3"/>
        </w:rPr>
        <w:t>长</w:t>
      </w:r>
      <w:r>
        <w:rPr>
          <w:spacing w:val="-69"/>
        </w:rPr>
        <w:t> </w:t>
      </w:r>
      <w:r>
        <w:rPr>
          <w:spacing w:val="-2"/>
        </w:rPr>
        <w:t>期应付款</w:t>
      </w:r>
      <w:r>
        <w:rPr>
          <w:rFonts w:ascii="Times New Roman" w:hAnsi="Times New Roman" w:cs="Times New Roman" w:eastAsia="Times New Roman" w:hint="default"/>
          <w:spacing w:val="-2"/>
        </w:rPr>
        <w:t>”</w:t>
      </w:r>
      <w:r>
        <w:rPr>
          <w:spacing w:val="-2"/>
        </w:rPr>
        <w:t>项目中列报；</w:t>
      </w:r>
      <w:r>
        <w:rPr>
          <w:color w:val="333333"/>
          <w:spacing w:val="-2"/>
        </w:rPr>
        <w:t>⑧</w:t>
      </w:r>
      <w:r>
        <w:rPr>
          <w:spacing w:val="-2"/>
        </w:rPr>
        <w:t>进行研究与开发过程中发生的费用化支出，列示于</w:t>
      </w:r>
      <w:r>
        <w:rPr>
          <w:rFonts w:ascii="Times New Roman" w:hAnsi="Times New Roman" w:cs="Times New Roman" w:eastAsia="Times New Roman" w:hint="default"/>
          <w:spacing w:val="-2"/>
        </w:rPr>
        <w:t>“</w:t>
      </w:r>
      <w:r>
        <w:rPr>
          <w:spacing w:val="-2"/>
        </w:rPr>
        <w:t>研发费用</w:t>
      </w:r>
      <w:r>
        <w:rPr>
          <w:rFonts w:ascii="Times New Roman" w:hAnsi="Times New Roman" w:cs="Times New Roman" w:eastAsia="Times New Roman" w:hint="default"/>
          <w:spacing w:val="-2"/>
        </w:rPr>
        <w:t>”</w:t>
      </w:r>
      <w:r>
        <w:rPr>
          <w:spacing w:val="-2"/>
        </w:rPr>
        <w:t>项目，不再列示于</w:t>
      </w:r>
      <w:r>
        <w:rPr>
          <w:spacing w:val="-102"/>
        </w:rPr>
        <w:t> </w:t>
      </w:r>
      <w:r>
        <w:rPr>
          <w:spacing w:val="-102"/>
        </w:rPr>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r>
        <w:rPr>
          <w:color w:val="333333"/>
        </w:rPr>
        <w:t>⑨</w:t>
      </w:r>
      <w:r>
        <w:rPr/>
        <w:t>在财务费用项目下分拆</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r>
        <w:rPr>
          <w:color w:val="333333"/>
        </w:rPr>
        <w:t>⑩</w:t>
      </w:r>
      <w:r>
        <w:rPr/>
        <w:t>股东权益变动表中新增</w:t>
      </w:r>
      <w:r>
        <w:rPr>
          <w:spacing w:val="-64"/>
        </w:rPr>
        <w:t> </w:t>
      </w:r>
      <w:r>
        <w:rPr>
          <w:spacing w:val="-64"/>
        </w:rPr>
      </w:r>
      <w:r>
        <w:rPr>
          <w:rFonts w:ascii="Times New Roman" w:hAnsi="Times New Roman" w:cs="Times New Roman" w:eastAsia="Times New Roman" w:hint="default"/>
        </w:rPr>
        <w:t>“</w:t>
      </w:r>
      <w:r>
        <w:rPr/>
        <w:t>设定受益计划变动额结转留存收益</w:t>
      </w:r>
      <w:r>
        <w:rPr>
          <w:rFonts w:ascii="Times New Roman" w:hAnsi="Times New Roman" w:cs="Times New Roman" w:eastAsia="Times New Roman" w:hint="default"/>
        </w:rPr>
        <w:t>”</w:t>
      </w:r>
      <w:r>
        <w:rPr/>
        <w:t>项目。</w:t>
      </w:r>
    </w:p>
    <w:p>
      <w:pPr>
        <w:pStyle w:val="Heading6"/>
        <w:spacing w:line="273" w:lineRule="auto" w:before="2"/>
        <w:ind w:left="574" w:right="0"/>
        <w:jc w:val="left"/>
      </w:pPr>
      <w:r>
        <w:rPr/>
        <w:t>本集团根据上述列报要求相应追溯重述了比较报表。 </w:t>
      </w:r>
      <w:r>
        <w:rPr>
          <w:spacing w:val="-1"/>
        </w:rPr>
        <w:t>由于上述要求，本期和比较期间财务报表的部分项目列报内容不同，但对本期和比较期间的本集团合</w:t>
      </w:r>
    </w:p>
    <w:p>
      <w:pPr>
        <w:pStyle w:val="Heading6"/>
        <w:spacing w:line="240" w:lineRule="auto"/>
        <w:ind w:right="0"/>
        <w:jc w:val="left"/>
      </w:pPr>
      <w:r>
        <w:rPr/>
        <w:t>并及公司净利润和合并及公司股东权益无影响。</w:t>
      </w:r>
    </w:p>
    <w:p>
      <w:pPr>
        <w:pStyle w:val="Heading6"/>
        <w:spacing w:line="240" w:lineRule="auto" w:before="37"/>
        <w:ind w:left="574" w:right="0"/>
        <w:jc w:val="left"/>
      </w:pPr>
      <w:r>
        <w:rPr/>
        <w:t>（</w:t>
      </w:r>
      <w:r>
        <w:rPr>
          <w:rFonts w:ascii="Times New Roman" w:hAnsi="Times New Roman" w:cs="Times New Roman" w:eastAsia="Times New Roman" w:hint="default"/>
        </w:rPr>
        <w:t>2</w:t>
      </w:r>
      <w:r>
        <w:rPr/>
        <w:t>）联营企业执行新金融工具准则</w:t>
      </w:r>
    </w:p>
    <w:p>
      <w:pPr>
        <w:pStyle w:val="Heading6"/>
        <w:spacing w:line="240" w:lineRule="auto" w:before="21"/>
        <w:ind w:left="574" w:right="0"/>
        <w:jc w:val="left"/>
      </w:pPr>
      <w:r>
        <w:rPr>
          <w:rFonts w:ascii="Times New Roman" w:hAnsi="Times New Roman" w:cs="Times New Roman" w:eastAsia="Times New Roman" w:hint="default"/>
        </w:rPr>
        <w:t>2017</w:t>
      </w:r>
      <w:r>
        <w:rPr/>
        <w:t>年，财政部颁布了修订的《企业会计准则第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p>
    <w:p>
      <w:pPr>
        <w:pStyle w:val="Heading6"/>
        <w:spacing w:line="256" w:lineRule="auto" w:before="21"/>
        <w:ind w:right="1130"/>
        <w:jc w:val="both"/>
      </w:pPr>
      <w:r>
        <w:rPr>
          <w:rFonts w:ascii="Times New Roman" w:hAnsi="Times New Roman" w:cs="Times New Roman" w:eastAsia="Times New Roman" w:hint="default"/>
          <w:spacing w:val="-1"/>
        </w:rPr>
        <w:t>23</w:t>
      </w:r>
      <w:r>
        <w:rPr>
          <w:spacing w:val="-1"/>
        </w:rPr>
        <w:t>号</w:t>
      </w:r>
      <w:r>
        <w:rPr>
          <w:rFonts w:ascii="Times New Roman" w:hAnsi="Times New Roman" w:cs="Times New Roman" w:eastAsia="Times New Roman" w:hint="default"/>
          <w:spacing w:val="-1"/>
        </w:rPr>
        <w:t>——</w:t>
      </w:r>
      <w:r>
        <w:rPr>
          <w:spacing w:val="-1"/>
        </w:rPr>
        <w:t>金融资产转移》、《企业会计准则第</w:t>
      </w:r>
      <w:r>
        <w:rPr>
          <w:rFonts w:ascii="Times New Roman" w:hAnsi="Times New Roman" w:cs="Times New Roman" w:eastAsia="Times New Roman" w:hint="default"/>
          <w:spacing w:val="-1"/>
        </w:rPr>
        <w:t>24</w:t>
      </w:r>
      <w:r>
        <w:rPr>
          <w:spacing w:val="-1"/>
        </w:rPr>
        <w:t>号</w:t>
      </w:r>
      <w:r>
        <w:rPr>
          <w:rFonts w:ascii="Times New Roman" w:hAnsi="Times New Roman" w:cs="Times New Roman" w:eastAsia="Times New Roman" w:hint="default"/>
          <w:spacing w:val="-1"/>
        </w:rPr>
        <w:t>——</w:t>
      </w:r>
      <w:r>
        <w:rPr>
          <w:spacing w:val="-1"/>
        </w:rPr>
        <w:t>套期保值》以及《企业会计准则第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w:t>
      </w:r>
      <w:r>
        <w:rPr>
          <w:spacing w:val="-86"/>
        </w:rPr>
        <w:t> </w:t>
      </w:r>
      <w:r>
        <w:rPr>
          <w:spacing w:val="-86"/>
        </w:rPr>
      </w:r>
      <w:r>
        <w:rPr>
          <w:spacing w:val="-3"/>
        </w:rPr>
        <w:t>具列报》（以上</w:t>
      </w:r>
      <w:r>
        <w:rPr>
          <w:rFonts w:ascii="Times New Roman" w:hAnsi="Times New Roman" w:cs="Times New Roman" w:eastAsia="Times New Roman" w:hint="default"/>
          <w:spacing w:val="-3"/>
        </w:rPr>
        <w:t>4</w:t>
      </w:r>
      <w:r>
        <w:rPr>
          <w:spacing w:val="-3"/>
        </w:rPr>
        <w:t>项准则以下统称</w:t>
      </w:r>
      <w:r>
        <w:rPr>
          <w:rFonts w:ascii="Times New Roman" w:hAnsi="Times New Roman" w:cs="Times New Roman" w:eastAsia="Times New Roman" w:hint="default"/>
          <w:spacing w:val="-3"/>
        </w:rPr>
        <w:t>“</w:t>
      </w:r>
      <w:r>
        <w:rPr>
          <w:spacing w:val="-3"/>
        </w:rPr>
        <w:t>新金融工具准则</w:t>
      </w:r>
      <w:r>
        <w:rPr>
          <w:rFonts w:ascii="Times New Roman" w:hAnsi="Times New Roman" w:cs="Times New Roman" w:eastAsia="Times New Roman" w:hint="default"/>
          <w:spacing w:val="-3"/>
        </w:rPr>
        <w:t>”</w:t>
      </w:r>
      <w:r>
        <w:rPr>
          <w:spacing w:val="-3"/>
        </w:rPr>
        <w:t>）。本公司之联营企业</w:t>
      </w:r>
      <w:r>
        <w:rPr>
          <w:rFonts w:ascii="Times New Roman" w:hAnsi="Times New Roman" w:cs="Times New Roman" w:eastAsia="Times New Roman" w:hint="default"/>
          <w:spacing w:val="-3"/>
        </w:rPr>
        <w:t>——</w:t>
      </w:r>
      <w:r>
        <w:rPr>
          <w:spacing w:val="-3"/>
        </w:rPr>
        <w:t>华融创新资本投资有限公司</w:t>
      </w:r>
      <w:r>
        <w:rPr>
          <w:spacing w:val="-68"/>
        </w:rPr>
        <w:t> </w:t>
      </w:r>
      <w:r>
        <w:rPr/>
        <w:t>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日起施行新金融工具准则。</w:t>
      </w:r>
    </w:p>
    <w:p>
      <w:pPr>
        <w:pStyle w:val="Heading6"/>
        <w:spacing w:line="256" w:lineRule="auto" w:before="5"/>
        <w:ind w:right="1130" w:firstLine="420"/>
        <w:jc w:val="both"/>
      </w:pPr>
      <w:r>
        <w:rPr>
          <w:spacing w:val="-1"/>
        </w:rPr>
        <w:t>联营企业</w:t>
      </w:r>
      <w:r>
        <w:rPr>
          <w:rFonts w:ascii="Times New Roman" w:hAnsi="Times New Roman" w:cs="Times New Roman" w:eastAsia="Times New Roman" w:hint="default"/>
          <w:spacing w:val="-1"/>
        </w:rPr>
        <w:t>——</w:t>
      </w:r>
      <w:r>
        <w:rPr>
          <w:spacing w:val="-1"/>
        </w:rPr>
        <w:t>华融创新资本投资有限公司因实施新金融工具准则，调整减少</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日的未分配利</w:t>
      </w:r>
      <w:r>
        <w:rPr/>
        <w:t> </w:t>
      </w:r>
      <w:r>
        <w:rPr>
          <w:spacing w:val="-1"/>
        </w:rPr>
        <w:t>润</w:t>
      </w:r>
      <w:r>
        <w:rPr>
          <w:rFonts w:ascii="Times New Roman" w:hAnsi="Times New Roman" w:cs="Times New Roman" w:eastAsia="Times New Roman" w:hint="default"/>
          <w:spacing w:val="-1"/>
        </w:rPr>
        <w:t>30,431,281.86</w:t>
      </w:r>
      <w:r>
        <w:rPr>
          <w:spacing w:val="-1"/>
        </w:rPr>
        <w:t>元，因此影响本集团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日未分配利润减少金额为</w:t>
      </w:r>
      <w:r>
        <w:rPr>
          <w:rFonts w:ascii="Times New Roman" w:hAnsi="Times New Roman" w:cs="Times New Roman" w:eastAsia="Times New Roman" w:hint="default"/>
          <w:spacing w:val="-1"/>
        </w:rPr>
        <w:t>6,086,256.37</w:t>
      </w:r>
      <w:r>
        <w:rPr>
          <w:spacing w:val="-1"/>
        </w:rPr>
        <w:t>元、长期股权投资减</w:t>
      </w:r>
      <w:r>
        <w:rPr>
          <w:spacing w:val="-71"/>
        </w:rPr>
        <w:t> </w:t>
      </w:r>
      <w:r>
        <w:rPr>
          <w:spacing w:val="-71"/>
        </w:rPr>
      </w:r>
      <w:r>
        <w:rPr/>
        <w:t>少金额为</w:t>
      </w:r>
      <w:r>
        <w:rPr>
          <w:rFonts w:ascii="Times New Roman" w:hAnsi="Times New Roman" w:cs="Times New Roman" w:eastAsia="Times New Roman" w:hint="default"/>
        </w:rPr>
        <w:t>6,086,256.37</w:t>
      </w:r>
      <w:r>
        <w:rPr/>
        <w:t>元。</w:t>
      </w:r>
    </w:p>
    <w:p>
      <w:pPr>
        <w:pStyle w:val="Heading6"/>
        <w:spacing w:line="240" w:lineRule="auto" w:before="5"/>
        <w:ind w:left="574" w:right="0"/>
        <w:jc w:val="left"/>
      </w:pPr>
      <w:r>
        <w:rPr/>
        <w:t>（</w:t>
      </w:r>
      <w:r>
        <w:rPr>
          <w:rFonts w:ascii="Times New Roman" w:hAnsi="Times New Roman" w:cs="Times New Roman" w:eastAsia="Times New Roman" w:hint="default"/>
        </w:rPr>
        <w:t>3</w:t>
      </w:r>
      <w:r>
        <w:rPr/>
        <w:t>）个人所得税手续费返还</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56" w:lineRule="auto" w:before="35"/>
        <w:ind w:right="1126" w:firstLine="420"/>
        <w:jc w:val="both"/>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月发布了《关于</w:t>
      </w:r>
      <w:r>
        <w:rPr>
          <w:rFonts w:ascii="Times New Roman" w:hAnsi="Times New Roman" w:cs="Times New Roman" w:eastAsia="Times New Roman" w:hint="default"/>
        </w:rPr>
        <w:t>2018</w:t>
      </w:r>
      <w:r>
        <w:rPr/>
        <w:t>年度一般企业财务报表格式有关问题的解读》，根据《中华人 </w:t>
      </w:r>
      <w:r>
        <w:rPr>
          <w:spacing w:val="2"/>
        </w:rPr>
        <w:t>民共和国个人所得税法》收到的扣缴税款手续费，应作为其他与日常活动相关的项目在利润表的</w:t>
      </w:r>
      <w:r>
        <w:rPr>
          <w:rFonts w:ascii="Times New Roman" w:hAnsi="Times New Roman" w:cs="Times New Roman" w:eastAsia="Times New Roman" w:hint="default"/>
          <w:spacing w:val="2"/>
        </w:rPr>
        <w:t>“</w:t>
      </w:r>
      <w:r>
        <w:rPr>
          <w:spacing w:val="2"/>
        </w:rPr>
        <w:t>其他收</w:t>
      </w:r>
      <w:r>
        <w:rPr>
          <w:spacing w:val="-103"/>
        </w:rPr>
        <w:t> </w:t>
      </w:r>
      <w:r>
        <w:rPr/>
        <w:t>益</w:t>
      </w:r>
      <w:r>
        <w:rPr>
          <w:rFonts w:ascii="Times New Roman" w:hAnsi="Times New Roman" w:cs="Times New Roman" w:eastAsia="Times New Roman" w:hint="default"/>
        </w:rPr>
        <w:t>”</w:t>
      </w:r>
      <w:r>
        <w:rPr/>
        <w:t>项目中填列。本集团据此调整可比期间列报项目，具体如下表：</w:t>
      </w:r>
    </w:p>
    <w:tbl>
      <w:tblPr>
        <w:tblW w:w="0" w:type="auto"/>
        <w:jc w:val="left"/>
        <w:tblInd w:w="146" w:type="dxa"/>
        <w:tblLayout w:type="fixed"/>
        <w:tblCellMar>
          <w:top w:w="0" w:type="dxa"/>
          <w:left w:w="0" w:type="dxa"/>
          <w:bottom w:w="0" w:type="dxa"/>
          <w:right w:w="0" w:type="dxa"/>
        </w:tblCellMar>
        <w:tblLook w:val="01E0"/>
      </w:tblPr>
      <w:tblGrid>
        <w:gridCol w:w="2332"/>
        <w:gridCol w:w="1418"/>
        <w:gridCol w:w="1060"/>
        <w:gridCol w:w="1418"/>
        <w:gridCol w:w="1049"/>
        <w:gridCol w:w="1048"/>
        <w:gridCol w:w="1050"/>
      </w:tblGrid>
      <w:tr>
        <w:trPr>
          <w:trHeight w:val="603" w:hRule="exact"/>
        </w:trPr>
        <w:tc>
          <w:tcPr>
            <w:tcW w:w="2332" w:type="dxa"/>
            <w:vMerge w:val="restart"/>
            <w:tcBorders>
              <w:top w:val="single" w:sz="12" w:space="0" w:color="000000"/>
              <w:left w:val="single" w:sz="6" w:space="0" w:color="000000"/>
              <w:right w:val="single" w:sz="6" w:space="0" w:color="000000"/>
            </w:tcBorders>
          </w:tcPr>
          <w:p>
            <w:pPr>
              <w:pStyle w:val="TableParagraph"/>
              <w:spacing w:line="240" w:lineRule="auto" w:before="114"/>
              <w:ind w:left="738" w:right="0"/>
              <w:jc w:val="left"/>
              <w:rPr>
                <w:rFonts w:ascii="宋体" w:hAnsi="宋体" w:cs="宋体" w:eastAsia="宋体" w:hint="default"/>
                <w:sz w:val="21"/>
                <w:szCs w:val="21"/>
              </w:rPr>
            </w:pPr>
            <w:r>
              <w:rPr>
                <w:rFonts w:ascii="宋体" w:hAnsi="宋体" w:cs="宋体" w:eastAsia="宋体" w:hint="default"/>
                <w:color w:val="0000FF"/>
                <w:sz w:val="21"/>
                <w:szCs w:val="21"/>
              </w:rPr>
              <w:t>报表项目</w:t>
            </w:r>
            <w:r>
              <w:rPr>
                <w:rFonts w:ascii="宋体" w:hAnsi="宋体" w:cs="宋体" w:eastAsia="宋体" w:hint="default"/>
                <w:sz w:val="21"/>
                <w:szCs w:val="21"/>
              </w:rPr>
            </w:r>
          </w:p>
        </w:tc>
        <w:tc>
          <w:tcPr>
            <w:tcW w:w="3896"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color w:val="0000FF"/>
                <w:sz w:val="21"/>
                <w:szCs w:val="21"/>
              </w:rPr>
              <w:t>本集团</w:t>
            </w:r>
            <w:r>
              <w:rPr>
                <w:rFonts w:ascii="宋体" w:hAnsi="宋体" w:cs="宋体" w:eastAsia="宋体" w:hint="default"/>
                <w:sz w:val="21"/>
                <w:szCs w:val="21"/>
              </w:rPr>
            </w:r>
          </w:p>
        </w:tc>
        <w:tc>
          <w:tcPr>
            <w:tcW w:w="3147" w:type="dxa"/>
            <w:gridSpan w:val="3"/>
            <w:tcBorders>
              <w:top w:val="single" w:sz="12" w:space="0" w:color="000000"/>
              <w:left w:val="single" w:sz="6" w:space="0" w:color="000000"/>
              <w:bottom w:val="single" w:sz="12" w:space="0" w:color="000000"/>
              <w:right w:val="nil" w:sz="6" w:space="0" w:color="auto"/>
            </w:tcBorders>
          </w:tcPr>
          <w:p>
            <w:pPr>
              <w:pStyle w:val="TableParagraph"/>
              <w:spacing w:line="240" w:lineRule="auto" w:before="114"/>
              <w:ind w:right="3"/>
              <w:jc w:val="center"/>
              <w:rPr>
                <w:rFonts w:ascii="宋体" w:hAnsi="宋体" w:cs="宋体" w:eastAsia="宋体" w:hint="default"/>
                <w:sz w:val="21"/>
                <w:szCs w:val="21"/>
              </w:rPr>
            </w:pPr>
            <w:r>
              <w:rPr>
                <w:rFonts w:ascii="宋体" w:hAnsi="宋体" w:cs="宋体" w:eastAsia="宋体" w:hint="default"/>
                <w:color w:val="0000FF"/>
                <w:sz w:val="21"/>
                <w:szCs w:val="21"/>
              </w:rPr>
              <w:t>本公司</w:t>
            </w:r>
            <w:r>
              <w:rPr>
                <w:rFonts w:ascii="宋体" w:hAnsi="宋体" w:cs="宋体" w:eastAsia="宋体" w:hint="default"/>
                <w:sz w:val="21"/>
                <w:szCs w:val="21"/>
              </w:rPr>
            </w:r>
          </w:p>
        </w:tc>
      </w:tr>
      <w:tr>
        <w:trPr>
          <w:trHeight w:val="601" w:hRule="exact"/>
        </w:trPr>
        <w:tc>
          <w:tcPr>
            <w:tcW w:w="2332"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left="386" w:right="0"/>
              <w:jc w:val="left"/>
              <w:rPr>
                <w:rFonts w:ascii="宋体" w:hAnsi="宋体" w:cs="宋体" w:eastAsia="宋体" w:hint="default"/>
                <w:sz w:val="21"/>
                <w:szCs w:val="21"/>
              </w:rPr>
            </w:pPr>
            <w:r>
              <w:rPr>
                <w:rFonts w:ascii="宋体" w:hAnsi="宋体" w:cs="宋体" w:eastAsia="宋体" w:hint="default"/>
                <w:color w:val="0000FF"/>
                <w:sz w:val="21"/>
                <w:szCs w:val="21"/>
              </w:rPr>
              <w:t>调整前</w:t>
            </w:r>
            <w:r>
              <w:rPr>
                <w:rFonts w:ascii="宋体" w:hAnsi="宋体" w:cs="宋体" w:eastAsia="宋体" w:hint="default"/>
                <w:sz w:val="21"/>
                <w:szCs w:val="21"/>
              </w:rPr>
            </w:r>
          </w:p>
        </w:tc>
        <w:tc>
          <w:tcPr>
            <w:tcW w:w="1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left="101" w:right="0"/>
              <w:jc w:val="left"/>
              <w:rPr>
                <w:rFonts w:ascii="宋体" w:hAnsi="宋体" w:cs="宋体" w:eastAsia="宋体" w:hint="default"/>
                <w:sz w:val="21"/>
                <w:szCs w:val="21"/>
              </w:rPr>
            </w:pPr>
            <w:r>
              <w:rPr>
                <w:rFonts w:ascii="宋体" w:hAnsi="宋体" w:cs="宋体" w:eastAsia="宋体" w:hint="default"/>
                <w:color w:val="0000FF"/>
                <w:sz w:val="21"/>
                <w:szCs w:val="21"/>
              </w:rPr>
              <w:t>调整金额</w:t>
            </w:r>
            <w:r>
              <w:rPr>
                <w:rFonts w:ascii="宋体" w:hAnsi="宋体" w:cs="宋体" w:eastAsia="宋体" w:hint="default"/>
                <w:sz w:val="21"/>
                <w:szCs w:val="21"/>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left="386" w:right="0"/>
              <w:jc w:val="left"/>
              <w:rPr>
                <w:rFonts w:ascii="宋体" w:hAnsi="宋体" w:cs="宋体" w:eastAsia="宋体" w:hint="default"/>
                <w:sz w:val="21"/>
                <w:szCs w:val="21"/>
              </w:rPr>
            </w:pPr>
            <w:r>
              <w:rPr>
                <w:rFonts w:ascii="宋体" w:hAnsi="宋体" w:cs="宋体" w:eastAsia="宋体" w:hint="default"/>
                <w:color w:val="0000FF"/>
                <w:sz w:val="21"/>
                <w:szCs w:val="21"/>
              </w:rPr>
              <w:t>调整后</w:t>
            </w:r>
            <w:r>
              <w:rPr>
                <w:rFonts w:ascii="宋体" w:hAnsi="宋体" w:cs="宋体" w:eastAsia="宋体" w:hint="default"/>
                <w:sz w:val="21"/>
                <w:szCs w:val="21"/>
              </w:rPr>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left="202" w:right="0"/>
              <w:jc w:val="left"/>
              <w:rPr>
                <w:rFonts w:ascii="宋体" w:hAnsi="宋体" w:cs="宋体" w:eastAsia="宋体" w:hint="default"/>
                <w:sz w:val="21"/>
                <w:szCs w:val="21"/>
              </w:rPr>
            </w:pPr>
            <w:r>
              <w:rPr>
                <w:rFonts w:ascii="宋体" w:hAnsi="宋体" w:cs="宋体" w:eastAsia="宋体" w:hint="default"/>
                <w:color w:val="0000FF"/>
                <w:sz w:val="21"/>
                <w:szCs w:val="21"/>
              </w:rPr>
              <w:t>调整后</w:t>
            </w:r>
            <w:r>
              <w:rPr>
                <w:rFonts w:ascii="宋体" w:hAnsi="宋体" w:cs="宋体" w:eastAsia="宋体" w:hint="default"/>
                <w:sz w:val="21"/>
                <w:szCs w:val="21"/>
              </w:rPr>
            </w:r>
          </w:p>
        </w:tc>
        <w:tc>
          <w:tcPr>
            <w:tcW w:w="10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left="95" w:right="0"/>
              <w:jc w:val="left"/>
              <w:rPr>
                <w:rFonts w:ascii="宋体" w:hAnsi="宋体" w:cs="宋体" w:eastAsia="宋体" w:hint="default"/>
                <w:sz w:val="21"/>
                <w:szCs w:val="21"/>
              </w:rPr>
            </w:pPr>
            <w:r>
              <w:rPr>
                <w:rFonts w:ascii="宋体" w:hAnsi="宋体" w:cs="宋体" w:eastAsia="宋体" w:hint="default"/>
                <w:color w:val="0000FF"/>
                <w:sz w:val="21"/>
                <w:szCs w:val="21"/>
              </w:rPr>
              <w:t>调整金额</w:t>
            </w:r>
            <w:r>
              <w:rPr>
                <w:rFonts w:ascii="宋体" w:hAnsi="宋体" w:cs="宋体" w:eastAsia="宋体" w:hint="default"/>
                <w:sz w:val="21"/>
                <w:szCs w:val="21"/>
              </w:rPr>
            </w:r>
          </w:p>
        </w:tc>
        <w:tc>
          <w:tcPr>
            <w:tcW w:w="10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4"/>
              <w:ind w:left="201" w:right="0"/>
              <w:jc w:val="left"/>
              <w:rPr>
                <w:rFonts w:ascii="宋体" w:hAnsi="宋体" w:cs="宋体" w:eastAsia="宋体" w:hint="default"/>
                <w:sz w:val="21"/>
                <w:szCs w:val="21"/>
              </w:rPr>
            </w:pPr>
            <w:r>
              <w:rPr>
                <w:rFonts w:ascii="宋体" w:hAnsi="宋体" w:cs="宋体" w:eastAsia="宋体" w:hint="default"/>
                <w:color w:val="0000FF"/>
                <w:sz w:val="21"/>
                <w:szCs w:val="21"/>
              </w:rPr>
              <w:t>调整后</w:t>
            </w:r>
            <w:r>
              <w:rPr>
                <w:rFonts w:ascii="宋体" w:hAnsi="宋体" w:cs="宋体" w:eastAsia="宋体" w:hint="default"/>
                <w:sz w:val="21"/>
                <w:szCs w:val="21"/>
              </w:rPr>
            </w:r>
          </w:p>
        </w:tc>
      </w:tr>
      <w:tr>
        <w:trPr>
          <w:trHeight w:val="602" w:hRule="exact"/>
        </w:trPr>
        <w:tc>
          <w:tcPr>
            <w:tcW w:w="2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6"/>
              <w:ind w:left="2" w:right="0"/>
              <w:jc w:val="left"/>
              <w:rPr>
                <w:rFonts w:ascii="宋体" w:hAnsi="宋体" w:cs="宋体" w:eastAsia="宋体" w:hint="default"/>
                <w:sz w:val="21"/>
                <w:szCs w:val="21"/>
              </w:rPr>
            </w:pPr>
            <w:r>
              <w:rPr>
                <w:rFonts w:ascii="宋体" w:hAnsi="宋体" w:cs="宋体" w:eastAsia="宋体" w:hint="default"/>
                <w:color w:val="0000FF"/>
                <w:sz w:val="21"/>
                <w:szCs w:val="21"/>
              </w:rPr>
              <w:t>其他收益</w:t>
            </w:r>
            <w:r>
              <w:rPr>
                <w:rFonts w:ascii="宋体" w:hAnsi="宋体" w:cs="宋体" w:eastAsia="宋体" w:hint="default"/>
                <w:sz w:val="21"/>
                <w:szCs w:val="21"/>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5"/>
              <w:ind w:right="1"/>
              <w:jc w:val="right"/>
              <w:rPr>
                <w:rFonts w:ascii="Times New Roman" w:hAnsi="Times New Roman" w:cs="Times New Roman" w:eastAsia="Times New Roman" w:hint="default"/>
                <w:sz w:val="21"/>
                <w:szCs w:val="21"/>
              </w:rPr>
            </w:pPr>
            <w:r>
              <w:rPr>
                <w:rFonts w:ascii="Times New Roman"/>
                <w:spacing w:val="-1"/>
                <w:sz w:val="21"/>
              </w:rPr>
              <w:t>4,360,953.66</w:t>
            </w:r>
          </w:p>
        </w:tc>
        <w:tc>
          <w:tcPr>
            <w:tcW w:w="1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5"/>
              <w:ind w:right="1"/>
              <w:jc w:val="right"/>
              <w:rPr>
                <w:rFonts w:ascii="Times New Roman" w:hAnsi="Times New Roman" w:cs="Times New Roman" w:eastAsia="Times New Roman" w:hint="default"/>
                <w:sz w:val="21"/>
                <w:szCs w:val="21"/>
              </w:rPr>
            </w:pPr>
            <w:r>
              <w:rPr>
                <w:rFonts w:ascii="Times New Roman"/>
                <w:sz w:val="21"/>
              </w:rPr>
              <w:t>19,916.89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5"/>
              <w:ind w:right="0"/>
              <w:jc w:val="right"/>
              <w:rPr>
                <w:rFonts w:ascii="Times New Roman" w:hAnsi="Times New Roman" w:cs="Times New Roman" w:eastAsia="Times New Roman" w:hint="default"/>
                <w:sz w:val="21"/>
                <w:szCs w:val="21"/>
              </w:rPr>
            </w:pPr>
            <w:r>
              <w:rPr>
                <w:rFonts w:ascii="Times New Roman"/>
                <w:spacing w:val="-1"/>
                <w:sz w:val="21"/>
              </w:rPr>
              <w:t>4,380,870.55</w:t>
            </w:r>
          </w:p>
        </w:tc>
        <w:tc>
          <w:tcPr>
            <w:tcW w:w="1049" w:type="dxa"/>
            <w:tcBorders>
              <w:top w:val="single" w:sz="12" w:space="0" w:color="000000"/>
              <w:left w:val="single" w:sz="6" w:space="0" w:color="000000"/>
              <w:bottom w:val="single" w:sz="12" w:space="0" w:color="000000"/>
              <w:right w:val="single" w:sz="6" w:space="0" w:color="000000"/>
            </w:tcBorders>
          </w:tcPr>
          <w:p>
            <w:pPr/>
          </w:p>
        </w:tc>
        <w:tc>
          <w:tcPr>
            <w:tcW w:w="1048" w:type="dxa"/>
            <w:tcBorders>
              <w:top w:val="single" w:sz="12" w:space="0" w:color="000000"/>
              <w:left w:val="single" w:sz="6" w:space="0" w:color="000000"/>
              <w:bottom w:val="single" w:sz="12" w:space="0" w:color="000000"/>
              <w:right w:val="single" w:sz="6" w:space="0" w:color="000000"/>
            </w:tcBorders>
          </w:tcPr>
          <w:p>
            <w:pPr/>
          </w:p>
        </w:tc>
        <w:tc>
          <w:tcPr>
            <w:tcW w:w="1050" w:type="dxa"/>
            <w:tcBorders>
              <w:top w:val="single" w:sz="12" w:space="0" w:color="000000"/>
              <w:left w:val="single" w:sz="6" w:space="0" w:color="000000"/>
              <w:bottom w:val="single" w:sz="12" w:space="0" w:color="000000"/>
              <w:right w:val="nil" w:sz="6" w:space="0" w:color="auto"/>
            </w:tcBorders>
          </w:tcPr>
          <w:p>
            <w:pPr/>
          </w:p>
        </w:tc>
      </w:tr>
      <w:tr>
        <w:trPr>
          <w:trHeight w:val="602" w:hRule="exact"/>
        </w:trPr>
        <w:tc>
          <w:tcPr>
            <w:tcW w:w="23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left="2" w:right="0"/>
              <w:jc w:val="left"/>
              <w:rPr>
                <w:rFonts w:ascii="宋体" w:hAnsi="宋体" w:cs="宋体" w:eastAsia="宋体" w:hint="default"/>
                <w:sz w:val="21"/>
                <w:szCs w:val="21"/>
              </w:rPr>
            </w:pPr>
            <w:r>
              <w:rPr>
                <w:rFonts w:ascii="宋体" w:hAnsi="宋体" w:cs="宋体" w:eastAsia="宋体" w:hint="default"/>
                <w:color w:val="0000FF"/>
                <w:sz w:val="21"/>
                <w:szCs w:val="21"/>
              </w:rPr>
              <w:t>营业收入</w:t>
            </w:r>
            <w:r>
              <w:rPr>
                <w:rFonts w:ascii="宋体" w:hAnsi="宋体" w:cs="宋体" w:eastAsia="宋体" w:hint="default"/>
                <w:sz w:val="21"/>
                <w:szCs w:val="21"/>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4"/>
              <w:ind w:right="1"/>
              <w:jc w:val="right"/>
              <w:rPr>
                <w:rFonts w:ascii="Times New Roman" w:hAnsi="Times New Roman" w:cs="Times New Roman" w:eastAsia="Times New Roman" w:hint="default"/>
                <w:sz w:val="21"/>
                <w:szCs w:val="21"/>
              </w:rPr>
            </w:pPr>
            <w:r>
              <w:rPr>
                <w:rFonts w:ascii="Times New Roman"/>
                <w:spacing w:val="-1"/>
                <w:sz w:val="21"/>
              </w:rPr>
              <w:t>814,570,532.71</w:t>
            </w:r>
          </w:p>
        </w:tc>
        <w:tc>
          <w:tcPr>
            <w:tcW w:w="1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4"/>
              <w:ind w:right="0"/>
              <w:jc w:val="right"/>
              <w:rPr>
                <w:rFonts w:ascii="Times New Roman" w:hAnsi="Times New Roman" w:cs="Times New Roman" w:eastAsia="Times New Roman" w:hint="default"/>
                <w:sz w:val="21"/>
                <w:szCs w:val="21"/>
              </w:rPr>
            </w:pPr>
            <w:r>
              <w:rPr>
                <w:rFonts w:ascii="Times New Roman"/>
                <w:w w:val="95"/>
                <w:sz w:val="21"/>
              </w:rPr>
              <w:t>-19,916.89</w:t>
            </w:r>
            <w:r>
              <w:rPr>
                <w:rFonts w:ascii="Times New Roman"/>
                <w:sz w:val="21"/>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4"/>
              <w:ind w:right="1"/>
              <w:jc w:val="right"/>
              <w:rPr>
                <w:rFonts w:ascii="Times New Roman" w:hAnsi="Times New Roman" w:cs="Times New Roman" w:eastAsia="Times New Roman" w:hint="default"/>
                <w:sz w:val="21"/>
                <w:szCs w:val="21"/>
              </w:rPr>
            </w:pPr>
            <w:r>
              <w:rPr>
                <w:rFonts w:ascii="Times New Roman"/>
                <w:spacing w:val="-1"/>
                <w:sz w:val="21"/>
              </w:rPr>
              <w:t>814,550,615.82</w:t>
            </w:r>
          </w:p>
        </w:tc>
        <w:tc>
          <w:tcPr>
            <w:tcW w:w="1049" w:type="dxa"/>
            <w:tcBorders>
              <w:top w:val="single" w:sz="12" w:space="0" w:color="000000"/>
              <w:left w:val="single" w:sz="6" w:space="0" w:color="000000"/>
              <w:bottom w:val="single" w:sz="12" w:space="0" w:color="000000"/>
              <w:right w:val="single" w:sz="6" w:space="0" w:color="000000"/>
            </w:tcBorders>
          </w:tcPr>
          <w:p>
            <w:pPr/>
          </w:p>
        </w:tc>
        <w:tc>
          <w:tcPr>
            <w:tcW w:w="1048" w:type="dxa"/>
            <w:tcBorders>
              <w:top w:val="single" w:sz="12" w:space="0" w:color="000000"/>
              <w:left w:val="single" w:sz="6" w:space="0" w:color="000000"/>
              <w:bottom w:val="single" w:sz="12" w:space="0" w:color="000000"/>
              <w:right w:val="single" w:sz="6" w:space="0" w:color="000000"/>
            </w:tcBorders>
          </w:tcPr>
          <w:p>
            <w:pPr/>
          </w:p>
        </w:tc>
        <w:tc>
          <w:tcPr>
            <w:tcW w:w="1050" w:type="dxa"/>
            <w:tcBorders>
              <w:top w:val="single" w:sz="12" w:space="0" w:color="000000"/>
              <w:left w:val="single" w:sz="6" w:space="0" w:color="000000"/>
              <w:bottom w:val="single" w:sz="12" w:space="0" w:color="000000"/>
              <w:right w:val="nil" w:sz="6" w:space="0" w:color="auto"/>
            </w:tcBorders>
          </w:tcPr>
          <w:p>
            <w:pPr/>
          </w:p>
        </w:tc>
      </w:tr>
    </w:tbl>
    <w:p>
      <w:pPr>
        <w:pStyle w:val="Heading6"/>
        <w:spacing w:line="256" w:lineRule="auto" w:before="5"/>
        <w:ind w:left="574" w:right="6552"/>
        <w:jc w:val="left"/>
      </w:pPr>
      <w:r>
        <w:rPr>
          <w:rFonts w:ascii="Times New Roman" w:hAnsi="Times New Roman" w:cs="Times New Roman" w:eastAsia="Times New Roman" w:hint="default"/>
        </w:rPr>
        <w:t>2.</w:t>
      </w:r>
      <w:r>
        <w:rPr/>
        <w:t>会计估计变更 </w:t>
      </w:r>
      <w:r>
        <w:rPr>
          <w:color w:val="0000FF"/>
        </w:rPr>
        <w:t>本集团在报告期内无会计估计变更事项。</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56" w:lineRule="auto" w:before="173"/>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、重要会计判断和估计采用的关键假设和不确定因素</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本集团在运用会计政策过程中，由于经营活动内在的不确定性，本集团需要对无法准确计量的报表项</w:t>
      </w:r>
    </w:p>
    <w:p>
      <w:pPr>
        <w:pStyle w:val="Heading6"/>
        <w:spacing w:line="273" w:lineRule="auto" w:before="22"/>
        <w:ind w:right="1131"/>
        <w:jc w:val="both"/>
      </w:pPr>
      <w:r>
        <w:rPr>
          <w:spacing w:val="-1"/>
        </w:rPr>
        <w:t>目的账面价值进行判断、估计和假设。这些判断、估计和假设是基于本集团管理层过去的历史经验，并在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及资产负债表日或有负债的披露。然而，这些估计的不确定性所导致的结果可能造成对未来受影响的资产</w:t>
      </w:r>
      <w:r>
        <w:rPr>
          <w:spacing w:val="-81"/>
        </w:rPr>
        <w:t> </w:t>
      </w:r>
      <w:r>
        <w:rPr>
          <w:spacing w:val="-81"/>
        </w:rPr>
      </w:r>
      <w:r>
        <w:rPr/>
        <w:t>或负债的账面金额进行重大调整。</w:t>
      </w:r>
    </w:p>
    <w:p>
      <w:pPr>
        <w:pStyle w:val="Heading6"/>
        <w:spacing w:line="273" w:lineRule="auto" w:before="8"/>
        <w:ind w:right="1131" w:firstLine="420"/>
        <w:jc w:val="both"/>
      </w:pPr>
      <w:r>
        <w:rPr>
          <w:spacing w:val="-1"/>
        </w:rPr>
        <w:t>本集团对前述判断、估计和假设在持续经营的基础上进行定期复核，会计估计的变更仅影响变更当期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Heading6"/>
        <w:spacing w:line="240" w:lineRule="auto"/>
        <w:ind w:left="574" w:right="0"/>
        <w:jc w:val="left"/>
      </w:pPr>
      <w:r>
        <w:rPr/>
        <w:t>于资产负债表日，本集团需对财务报表项目金额进行判断、估计和假设的重要领域如下：</w:t>
      </w:r>
    </w:p>
    <w:p>
      <w:pPr>
        <w:pStyle w:val="Heading6"/>
        <w:spacing w:line="256" w:lineRule="auto" w:before="37"/>
        <w:ind w:left="574" w:right="0"/>
        <w:jc w:val="left"/>
      </w:pPr>
      <w:r>
        <w:rPr/>
        <w:t>（</w:t>
      </w:r>
      <w:r>
        <w:rPr>
          <w:rFonts w:ascii="Times New Roman" w:hAnsi="Times New Roman" w:cs="Times New Roman" w:eastAsia="Times New Roman" w:hint="default"/>
        </w:rPr>
        <w:t>1</w:t>
      </w:r>
      <w:r>
        <w:rPr/>
        <w:t>）坏账准备计提 </w:t>
      </w:r>
      <w:r>
        <w:rPr>
          <w:spacing w:val="-1"/>
        </w:rPr>
        <w:t>本集团根据应收款项的会计政策，采用备抵法核算坏账损失。应收账款减值是基于评估应收账款的可</w:t>
      </w:r>
    </w:p>
    <w:p>
      <w:pPr>
        <w:pStyle w:val="Heading6"/>
        <w:spacing w:line="273" w:lineRule="auto" w:before="22"/>
        <w:ind w:right="1131"/>
        <w:jc w:val="both"/>
      </w:pPr>
      <w:r>
        <w:rPr>
          <w:spacing w:val="-1"/>
        </w:rPr>
        <w:t>收回性。鉴定应收账款减值要求管理层的判断和估计。实际的结果与原先估计的差异将在估计被改变的期</w:t>
      </w:r>
      <w:r>
        <w:rPr>
          <w:spacing w:val="-81"/>
        </w:rPr>
        <w:t> </w:t>
      </w:r>
      <w:r>
        <w:rPr>
          <w:spacing w:val="-81"/>
        </w:rPr>
      </w:r>
      <w:r>
        <w:rPr/>
        <w:t>间影响应收账款的账面价值及应收账款坏账准备的计提或转回。</w:t>
      </w:r>
    </w:p>
    <w:p>
      <w:pPr>
        <w:pStyle w:val="Heading6"/>
        <w:spacing w:line="256" w:lineRule="auto"/>
        <w:ind w:left="574" w:right="0"/>
        <w:jc w:val="left"/>
      </w:pPr>
      <w:r>
        <w:rPr/>
        <w:t>（</w:t>
      </w:r>
      <w:r>
        <w:rPr>
          <w:rFonts w:ascii="Times New Roman" w:hAnsi="Times New Roman" w:cs="Times New Roman" w:eastAsia="Times New Roman" w:hint="default"/>
        </w:rPr>
        <w:t>2</w:t>
      </w:r>
      <w:r>
        <w:rPr/>
        <w:t>）存货跌价准备 </w:t>
      </w:r>
      <w:r>
        <w:rPr>
          <w:spacing w:val="-1"/>
        </w:rPr>
        <w:t>本集团根据存货会计政策，按照成本与可变现净值孰低计量，对成本高于可变现净值及陈旧和滞销的</w:t>
      </w:r>
    </w:p>
    <w:p>
      <w:pPr>
        <w:pStyle w:val="Heading6"/>
        <w:spacing w:line="273" w:lineRule="auto" w:before="22"/>
        <w:ind w:right="1131"/>
        <w:jc w:val="both"/>
      </w:pPr>
      <w:r>
        <w:rPr>
          <w:spacing w:val="-1"/>
        </w:rPr>
        <w:t>存货，计提存货跌价准备。存货减值至可变现净值是基于评估存货的可售性及其可变现净值。鉴定存货减</w:t>
      </w:r>
      <w:r>
        <w:rPr>
          <w:spacing w:val="-83"/>
        </w:rPr>
        <w:t> </w:t>
      </w:r>
      <w:r>
        <w:rPr>
          <w:spacing w:val="-83"/>
        </w:rPr>
      </w: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pStyle w:val="Heading6"/>
        <w:spacing w:line="256" w:lineRule="auto"/>
        <w:ind w:left="574" w:right="0"/>
        <w:jc w:val="left"/>
      </w:pPr>
      <w:r>
        <w:rPr/>
        <w:t>（</w:t>
      </w:r>
      <w:r>
        <w:rPr>
          <w:rFonts w:ascii="Times New Roman" w:hAnsi="Times New Roman" w:cs="Times New Roman" w:eastAsia="Times New Roman" w:hint="default"/>
        </w:rPr>
        <w:t>3</w:t>
      </w:r>
      <w:r>
        <w:rPr/>
        <w:t>）金融工具公允价值 </w:t>
      </w:r>
      <w:r>
        <w:rPr>
          <w:spacing w:val="-1"/>
        </w:rPr>
        <w:t>对不存在活跃交易市场的金融工具，本集团通过各种估值方法确定其公允价值。这些估值方法包括参</w:t>
      </w:r>
    </w:p>
    <w:p>
      <w:pPr>
        <w:pStyle w:val="Heading6"/>
        <w:spacing w:line="273" w:lineRule="auto" w:before="22"/>
        <w:ind w:right="1131"/>
        <w:jc w:val="both"/>
      </w:pPr>
      <w:r>
        <w:rPr>
          <w:spacing w:val="-1"/>
        </w:rPr>
        <w:t>考市场上另一类似金融工具的公允价值、贴现现金流模型分析及期权定价模型进行估算等。估值方法在最</w:t>
      </w:r>
      <w:r>
        <w:rPr>
          <w:spacing w:val="-81"/>
        </w:rPr>
        <w:t> </w:t>
      </w:r>
      <w:r>
        <w:rPr>
          <w:spacing w:val="-81"/>
        </w:rPr>
      </w:r>
      <w:r>
        <w:rPr>
          <w:spacing w:val="-1"/>
        </w:rPr>
        <w:t>大程度上利用可观察市场信息，然而，当可观察市场信息无法获得时，管理层将对估值方法中包括的重大</w:t>
      </w:r>
      <w:r>
        <w:rPr>
          <w:spacing w:val="-83"/>
        </w:rPr>
        <w:t> </w:t>
      </w:r>
      <w:r>
        <w:rPr>
          <w:spacing w:val="-83"/>
        </w:rPr>
      </w:r>
      <w:r>
        <w:rPr/>
        <w:t>不可观察信息作出估计。使用不同的估值技术或输入值可能导致公允价值估计存在较重大差异。</w:t>
      </w:r>
    </w:p>
    <w:p>
      <w:pPr>
        <w:pStyle w:val="Heading6"/>
        <w:spacing w:line="256" w:lineRule="auto"/>
        <w:ind w:left="574" w:right="0"/>
        <w:jc w:val="left"/>
      </w:pPr>
      <w:r>
        <w:rPr/>
        <w:t>（</w:t>
      </w:r>
      <w:r>
        <w:rPr>
          <w:rFonts w:ascii="Times New Roman" w:hAnsi="Times New Roman" w:cs="Times New Roman" w:eastAsia="Times New Roman" w:hint="default"/>
        </w:rPr>
        <w:t>4</w:t>
      </w:r>
      <w:r>
        <w:rPr/>
        <w:t>）可供出售金融资产减值 </w:t>
      </w:r>
      <w:r>
        <w:rPr>
          <w:spacing w:val="-1"/>
        </w:rPr>
        <w:t>本集团确定可供出售金融资产是否减值在很大程度上依赖于管理层的判断和假设，以确定是否需要在</w:t>
      </w:r>
    </w:p>
    <w:p>
      <w:pPr>
        <w:pStyle w:val="Heading6"/>
        <w:spacing w:line="240" w:lineRule="auto" w:before="22"/>
        <w:ind w:right="0"/>
        <w:jc w:val="both"/>
      </w:pPr>
      <w:r>
        <w:rPr/>
        <w:t>利润表中确认其减值损失。在进行判断和作出假设的过程中，本集团需评估该项投资的公允价值低于成本</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10"/>
        <w:jc w:val="both"/>
      </w:pPr>
      <w:r>
        <w:rPr/>
        <w:t>的程度和持续期间，以及被投资对象的财务状况和短期业务展望，包括行业状况、技术变革、信用评级、 违约率和对手方的风险。</w:t>
      </w:r>
    </w:p>
    <w:p>
      <w:pPr>
        <w:pStyle w:val="Heading6"/>
        <w:spacing w:line="256" w:lineRule="auto"/>
        <w:ind w:left="574" w:right="0"/>
        <w:jc w:val="left"/>
      </w:pPr>
      <w:r>
        <w:rPr/>
        <w:t>（</w:t>
      </w:r>
      <w:r>
        <w:rPr>
          <w:rFonts w:ascii="Times New Roman" w:hAnsi="Times New Roman" w:cs="Times New Roman" w:eastAsia="Times New Roman" w:hint="default"/>
        </w:rPr>
        <w:t>5</w:t>
      </w:r>
      <w:r>
        <w:rPr/>
        <w:t>）非金融非流动资产减值准备 </w:t>
      </w:r>
      <w:r>
        <w:rPr>
          <w:spacing w:val="-1"/>
        </w:rPr>
        <w:t>本集团于资产负债表日对除金融资产之外的非流动资产判断是否存在可能发生减值的迹象。对使用寿</w:t>
      </w:r>
    </w:p>
    <w:p>
      <w:pPr>
        <w:pStyle w:val="Heading6"/>
        <w:spacing w:line="273" w:lineRule="auto" w:before="23"/>
        <w:ind w:right="1132"/>
        <w:jc w:val="both"/>
      </w:pPr>
      <w:r>
        <w:rPr>
          <w:spacing w:val="-1"/>
        </w:rPr>
        <w:t>命不确定的无形资产，除每年进行的减值测试外，当其存在减值迹象时，也进行减值测试。其他除金融资</w:t>
      </w:r>
      <w:r>
        <w:rPr>
          <w:spacing w:val="-85"/>
        </w:rPr>
        <w:t> </w:t>
      </w:r>
      <w:r>
        <w:rPr>
          <w:spacing w:val="-85"/>
        </w:rPr>
      </w:r>
      <w:r>
        <w:rPr/>
        <w:t>产之外的非流动资产，当存在迹象表明其账面金额不可收回时，进行减值测试。</w:t>
      </w:r>
    </w:p>
    <w:p>
      <w:pPr>
        <w:pStyle w:val="Heading6"/>
        <w:spacing w:line="273" w:lineRule="auto"/>
        <w:ind w:right="1132" w:firstLine="420"/>
        <w:jc w:val="both"/>
      </w:pPr>
      <w:r>
        <w:rPr>
          <w:spacing w:val="-1"/>
        </w:rPr>
        <w:t>当资产或资产组的账面价值高于可收回金额，即公允价值减去处置费用后的净额和预计未来现金流量</w:t>
      </w:r>
      <w:r>
        <w:rPr/>
        <w:t> 的现值中的较高者，表明发生了减值。</w:t>
      </w:r>
    </w:p>
    <w:p>
      <w:pPr>
        <w:pStyle w:val="Heading6"/>
        <w:spacing w:line="273" w:lineRule="auto"/>
        <w:ind w:right="1131" w:firstLine="420"/>
        <w:jc w:val="both"/>
      </w:pPr>
      <w:r>
        <w:rPr>
          <w:spacing w:val="-1"/>
        </w:rPr>
        <w:t>在预计未来现金流量现值时，需要对该资产（或资产组）的产量、售价、相关经营成本以及计算现值</w:t>
      </w:r>
      <w:r>
        <w:rPr/>
        <w:t> </w:t>
      </w:r>
      <w:r>
        <w:rPr>
          <w:spacing w:val="-1"/>
        </w:rPr>
        <w:t>时使用的折现率等作出重大判断。本集团在估计可收回金额时会采用所有能够获得的相关资料，包括根据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Heading6"/>
        <w:spacing w:line="273" w:lineRule="auto"/>
        <w:ind w:right="1130" w:firstLine="420"/>
        <w:jc w:val="both"/>
      </w:pPr>
      <w:r>
        <w:rPr>
          <w:spacing w:val="-1"/>
        </w:rPr>
        <w:t>本集团至少每年测试商誉是否发生减值。这要求对分配了商誉的资产组或者资产组组合的未来现金流</w:t>
      </w:r>
      <w:r>
        <w:rPr/>
        <w:t> </w:t>
      </w:r>
      <w:r>
        <w:rPr>
          <w:spacing w:val="-1"/>
        </w:rPr>
        <w:t>量的现值进行预计。对未来现金流量的现值进行预计时，本集团需要预计未来资产组或者资产组组合产生</w:t>
      </w:r>
      <w:r>
        <w:rPr>
          <w:spacing w:val="-81"/>
        </w:rPr>
        <w:t> </w:t>
      </w:r>
      <w:r>
        <w:rPr>
          <w:spacing w:val="-81"/>
        </w:rPr>
      </w:r>
      <w:r>
        <w:rPr/>
        <w:t>的现金流量，同时选择恰当的折现率确定未来现金流量的现值。</w:t>
      </w:r>
    </w:p>
    <w:p>
      <w:pPr>
        <w:pStyle w:val="Heading6"/>
        <w:spacing w:line="256" w:lineRule="auto"/>
        <w:ind w:left="574" w:right="0"/>
        <w:jc w:val="left"/>
      </w:pPr>
      <w:r>
        <w:rPr/>
        <w:t>（</w:t>
      </w:r>
      <w:r>
        <w:rPr>
          <w:rFonts w:ascii="Times New Roman" w:hAnsi="Times New Roman" w:cs="Times New Roman" w:eastAsia="Times New Roman" w:hint="default"/>
        </w:rPr>
        <w:t>6</w:t>
      </w:r>
      <w:r>
        <w:rPr/>
        <w:t>）折旧和摊销 </w:t>
      </w:r>
      <w:r>
        <w:rPr>
          <w:spacing w:val="-1"/>
        </w:rPr>
        <w:t>本集团对投资性房地产、固定资产和无形资产在考虑其残值后，在使用寿命内按直线法计提折旧和摊</w:t>
      </w:r>
    </w:p>
    <w:p>
      <w:pPr>
        <w:pStyle w:val="Heading6"/>
        <w:spacing w:line="273" w:lineRule="auto" w:before="22"/>
        <w:ind w:right="1131"/>
        <w:jc w:val="both"/>
      </w:pPr>
      <w:r>
        <w:rPr>
          <w:spacing w:val="-1"/>
        </w:rPr>
        <w:t>销。本集团定期复核使用寿命，以决定将计入每个报告期的折旧和摊销费用数额。使用寿命是本集团根据</w:t>
      </w:r>
      <w:r>
        <w:rPr>
          <w:spacing w:val="-83"/>
        </w:rPr>
        <w:t> </w:t>
      </w:r>
      <w:r>
        <w:rPr>
          <w:spacing w:val="-83"/>
        </w:rPr>
      </w: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pStyle w:val="Heading6"/>
        <w:spacing w:line="256" w:lineRule="auto"/>
        <w:ind w:left="574" w:right="0"/>
        <w:jc w:val="left"/>
      </w:pPr>
      <w:r>
        <w:rPr/>
        <w:t>（</w:t>
      </w:r>
      <w:r>
        <w:rPr>
          <w:rFonts w:ascii="Times New Roman" w:hAnsi="Times New Roman" w:cs="Times New Roman" w:eastAsia="Times New Roman" w:hint="default"/>
        </w:rPr>
        <w:t>7</w:t>
      </w:r>
      <w:r>
        <w:rPr/>
        <w:t>）递延所得税资产 </w:t>
      </w:r>
      <w:r>
        <w:rPr>
          <w:spacing w:val="-1"/>
        </w:rPr>
        <w:t>在很有可能有足够的应纳税利润来抵扣亏损的限度内，本集团就所有未利用的税务亏损确认递延所得</w:t>
      </w:r>
    </w:p>
    <w:p>
      <w:pPr>
        <w:pStyle w:val="Heading6"/>
        <w:spacing w:line="273" w:lineRule="auto" w:before="22"/>
        <w:ind w:right="1131"/>
        <w:jc w:val="both"/>
      </w:pPr>
      <w:r>
        <w:rPr>
          <w:spacing w:val="-1"/>
        </w:rPr>
        <w:t>税资产。这需要本集团管理层运用大量的判断来估计未来应纳税利润发生的时间和金额，结合纳税筹划策</w:t>
      </w:r>
      <w:r>
        <w:rPr>
          <w:spacing w:val="-81"/>
        </w:rPr>
        <w:t> </w:t>
      </w:r>
      <w:r>
        <w:rPr>
          <w:spacing w:val="-81"/>
        </w:rPr>
      </w:r>
      <w:r>
        <w:rPr/>
        <w:t>略，以决定应确认的递延所得税资产的金额。</w:t>
      </w:r>
    </w:p>
    <w:p>
      <w:pPr>
        <w:pStyle w:val="Heading6"/>
        <w:spacing w:line="256" w:lineRule="auto"/>
        <w:ind w:left="574" w:right="1118"/>
        <w:jc w:val="left"/>
      </w:pPr>
      <w:r>
        <w:rPr/>
        <w:t>（</w:t>
      </w:r>
      <w:r>
        <w:rPr>
          <w:rFonts w:ascii="Times New Roman" w:hAnsi="Times New Roman" w:cs="Times New Roman" w:eastAsia="Times New Roman" w:hint="default"/>
        </w:rPr>
        <w:t>8</w:t>
      </w:r>
      <w:r>
        <w:rPr/>
        <w:t>）所得税 </w:t>
      </w:r>
      <w:r>
        <w:rPr>
          <w:spacing w:val="-1"/>
        </w:rPr>
        <w:t>本集团在正常的经营活动中，有部分交易其最终的税务处理和计算存在一定的不确定性。部分项目是</w:t>
      </w:r>
    </w:p>
    <w:p>
      <w:pPr>
        <w:pStyle w:val="Heading6"/>
        <w:spacing w:line="273" w:lineRule="auto" w:before="22"/>
        <w:ind w:right="1132"/>
        <w:jc w:val="both"/>
      </w:pP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both"/>
        <w:rPr>
          <w:b w:val="0"/>
          <w:bCs w:val="0"/>
        </w:rPr>
      </w:pPr>
      <w:bookmarkStart w:name="六、税项" w:id="215"/>
      <w:bookmarkEnd w:id="21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BodyText"/>
        <w:spacing w:line="240" w:lineRule="auto"/>
        <w:ind w:left="0" w:right="1138"/>
        <w:jc w:val="right"/>
      </w:pPr>
      <w:r>
        <w:rPr/>
        <w:pict>
          <v:shape style="position:absolute;margin-left:57.029999pt;margin-top:-92.368256pt;width:478.65pt;height:147.8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8.7%</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11.5%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12.5%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16.5%</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汉华易美（天津）图像技术有限公司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华盖创意（天津）视讯科技有限公司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天津华盖悦动信息技术有限公司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视觉中国集团控股有限公司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Datatool Hongkong</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Datatool China</w:t>
            </w:r>
            <w:r>
              <w:rPr>
                <w:rFonts w:ascii="Times New Roman"/>
                <w:spacing w:val="-4"/>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 China</w:t>
            </w:r>
            <w:r>
              <w:rPr>
                <w:rFonts w:ascii="Times New Roman"/>
                <w:spacing w:val="-3"/>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500px,</w:t>
            </w:r>
            <w:r>
              <w:rPr>
                <w:rFonts w:ascii="Times New Roman"/>
                <w:spacing w:val="-1"/>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500px. Inc</w:t>
            </w:r>
            <w:r>
              <w:rPr>
                <w:rFonts w:ascii="Times New Roman"/>
                <w:spacing w:val="-2"/>
                <w:sz w:val="18"/>
              </w:rPr>
              <w:t> </w:t>
            </w:r>
            <w:r>
              <w:rPr>
                <w:rFonts w:ascii="Times New Roman"/>
                <w:sz w:val="18"/>
              </w:rPr>
              <w:t>US</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w:t>
            </w:r>
          </w:p>
        </w:tc>
      </w:tr>
    </w:tbl>
    <w:p>
      <w:pPr>
        <w:spacing w:line="240" w:lineRule="auto" w:before="2"/>
        <w:rPr>
          <w:rFonts w:ascii="宋体" w:hAnsi="宋体" w:cs="宋体" w:eastAsia="宋体" w:hint="default"/>
          <w:sz w:val="19"/>
          <w:szCs w:val="19"/>
        </w:rPr>
      </w:pPr>
    </w:p>
    <w:p>
      <w:pPr>
        <w:pStyle w:val="Heading5"/>
        <w:spacing w:line="240" w:lineRule="auto" w:before="35"/>
        <w:ind w:right="0"/>
        <w:jc w:val="both"/>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6"/>
        <w:spacing w:line="256" w:lineRule="auto" w:before="0"/>
        <w:ind w:left="574" w:right="1118"/>
        <w:jc w:val="left"/>
      </w:pPr>
      <w:r>
        <w:rPr>
          <w:rFonts w:ascii="Times New Roman" w:hAnsi="Times New Roman" w:cs="Times New Roman" w:eastAsia="Times New Roman" w:hint="default"/>
        </w:rPr>
        <w:t>1.</w:t>
      </w:r>
      <w:r>
        <w:rPr/>
        <w:t>增值税 </w:t>
      </w:r>
      <w:r>
        <w:rPr>
          <w:spacing w:val="-4"/>
        </w:rPr>
        <w:t>根据财政部、国家税务总局《关于全面推开营业税改征增值税试点的通知》（财税</w:t>
      </w:r>
      <w:r>
        <w:rPr>
          <w:rFonts w:ascii="Times New Roman" w:hAnsi="Times New Roman" w:cs="Times New Roman" w:eastAsia="Times New Roman" w:hint="default"/>
          <w:spacing w:val="-4"/>
        </w:rPr>
        <w:t>[2016]36</w:t>
      </w:r>
      <w:r>
        <w:rPr>
          <w:spacing w:val="-4"/>
        </w:rPr>
        <w:t>号）之《营</w:t>
      </w:r>
    </w:p>
    <w:p>
      <w:pPr>
        <w:pStyle w:val="Heading6"/>
        <w:spacing w:line="256" w:lineRule="auto" w:before="5"/>
        <w:ind w:right="1136"/>
        <w:jc w:val="both"/>
      </w:pPr>
      <w:r>
        <w:rPr/>
        <w:t>业税改征增值税试点过渡政策的规定》</w:t>
      </w:r>
      <w:r>
        <w:rPr>
          <w:rFonts w:ascii="Times New Roman" w:hAnsi="Times New Roman" w:cs="Times New Roman" w:eastAsia="Times New Roman" w:hint="default"/>
        </w:rPr>
        <w:t>“</w:t>
      </w:r>
      <w:r>
        <w:rPr/>
        <w:t>（二十六）纳税人提供技术转让、技术开发和与之相关的技术咨</w:t>
      </w:r>
      <w:r>
        <w:rPr>
          <w:spacing w:val="-20"/>
        </w:rPr>
        <w:t> </w:t>
      </w:r>
      <w:r>
        <w:rPr>
          <w:spacing w:val="-20"/>
        </w:rPr>
      </w:r>
      <w:r>
        <w:rPr/>
        <w:t>询、技术服务</w:t>
      </w:r>
      <w:r>
        <w:rPr>
          <w:rFonts w:ascii="Times New Roman" w:hAnsi="Times New Roman" w:cs="Times New Roman" w:eastAsia="Times New Roman" w:hint="default"/>
        </w:rPr>
        <w:t>”</w:t>
      </w:r>
      <w:r>
        <w:rPr/>
        <w:t>免征增值税。</w:t>
      </w:r>
    </w:p>
    <w:p>
      <w:pPr>
        <w:pStyle w:val="Heading6"/>
        <w:spacing w:line="240" w:lineRule="auto" w:before="125"/>
        <w:ind w:left="574" w:right="0"/>
        <w:jc w:val="left"/>
      </w:pPr>
      <w:r>
        <w:rPr>
          <w:rFonts w:ascii="Times New Roman" w:hAnsi="Times New Roman" w:cs="Times New Roman" w:eastAsia="Times New Roman" w:hint="default"/>
        </w:rPr>
        <w:t>2.</w:t>
      </w:r>
      <w:r>
        <w:rPr/>
        <w:t>企业所得税</w:t>
      </w:r>
    </w:p>
    <w:p>
      <w:pPr>
        <w:pStyle w:val="Heading6"/>
        <w:spacing w:line="256" w:lineRule="auto" w:before="21"/>
        <w:ind w:right="1115" w:firstLine="420"/>
        <w:jc w:val="left"/>
      </w:pPr>
      <w:r>
        <w:rPr/>
        <w:t>（</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日，汉华易美（天津）图像技术有限公司取得编号为</w:t>
      </w:r>
      <w:r>
        <w:rPr>
          <w:rFonts w:ascii="Times New Roman" w:hAnsi="Times New Roman" w:cs="Times New Roman" w:eastAsia="Times New Roman" w:hint="default"/>
        </w:rPr>
        <w:t>GR201712000093</w:t>
      </w:r>
      <w:r>
        <w:rPr/>
        <w:t>的高新技 术企业证书，有效期三年，在此期间享受</w:t>
      </w:r>
      <w:r>
        <w:rPr>
          <w:rFonts w:ascii="Times New Roman" w:hAnsi="Times New Roman" w:cs="Times New Roman" w:eastAsia="Times New Roman" w:hint="default"/>
        </w:rPr>
        <w:t>15%</w:t>
      </w:r>
      <w:r>
        <w:rPr/>
        <w:t>的企业所得税优惠税率。</w:t>
      </w:r>
    </w:p>
    <w:p>
      <w:pPr>
        <w:pStyle w:val="Heading6"/>
        <w:spacing w:line="256" w:lineRule="auto" w:before="125"/>
        <w:ind w:right="1115" w:firstLine="420"/>
        <w:jc w:val="left"/>
      </w:pPr>
      <w:r>
        <w:rPr/>
        <w:t>（</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日，华盖创意（天津）视讯科技有限公司取得编号为</w:t>
      </w:r>
      <w:r>
        <w:rPr>
          <w:rFonts w:ascii="Times New Roman" w:hAnsi="Times New Roman" w:cs="Times New Roman" w:eastAsia="Times New Roman" w:hint="default"/>
        </w:rPr>
        <w:t>GR201712000114</w:t>
      </w:r>
      <w:r>
        <w:rPr/>
        <w:t>的高新技 术企业证书，有效期三年，在此期间享受</w:t>
      </w:r>
      <w:r>
        <w:rPr>
          <w:rFonts w:ascii="Times New Roman" w:hAnsi="Times New Roman" w:cs="Times New Roman" w:eastAsia="Times New Roman" w:hint="default"/>
        </w:rPr>
        <w:t>15%</w:t>
      </w:r>
      <w:r>
        <w:rPr/>
        <w:t>的企业所得税优惠税率。</w:t>
      </w:r>
    </w:p>
    <w:p>
      <w:pPr>
        <w:pStyle w:val="Heading6"/>
        <w:spacing w:line="240" w:lineRule="auto" w:before="125"/>
        <w:ind w:left="574" w:right="0"/>
        <w:jc w:val="left"/>
      </w:pPr>
      <w:r>
        <w:rPr/>
        <w:t>（</w:t>
      </w:r>
      <w:r>
        <w:rPr>
          <w:rFonts w:ascii="Times New Roman" w:hAnsi="Times New Roman" w:cs="Times New Roman" w:eastAsia="Times New Roman" w:hint="default"/>
        </w:rPr>
        <w:t>3</w:t>
      </w:r>
      <w:r>
        <w:rPr/>
        <w:t>）根据财政部、国家税务总局《关于进一步鼓励软件产业和集成业发展企业所得税政策的通知》</w:t>
      </w:r>
    </w:p>
    <w:p>
      <w:pPr>
        <w:pStyle w:val="Heading6"/>
        <w:spacing w:line="261" w:lineRule="auto" w:before="21"/>
        <w:ind w:right="1131"/>
        <w:jc w:val="both"/>
      </w:pP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号）的规定，宝东信息技术有限公司于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日取得了由中华人民共和国国家版</w:t>
      </w:r>
      <w:r>
        <w:rPr>
          <w:spacing w:val="-31"/>
        </w:rPr>
        <w:t> </w:t>
      </w:r>
      <w:r>
        <w:rPr>
          <w:spacing w:val="-31"/>
        </w:rPr>
      </w:r>
      <w:r>
        <w:rPr>
          <w:spacing w:val="-1"/>
        </w:rPr>
        <w:t>权局颁发的计算机软件著作权登记证书，自开始获利年度起，软件开发及技术服务所得享受两免三减半的</w:t>
      </w:r>
      <w:r>
        <w:rPr>
          <w:spacing w:val="-81"/>
        </w:rPr>
        <w:t> </w:t>
      </w:r>
      <w:r>
        <w:rPr>
          <w:spacing w:val="-81"/>
        </w:rPr>
      </w:r>
      <w:r>
        <w:rPr/>
        <w:t>企业所得税优惠。</w:t>
      </w:r>
      <w:r>
        <w:rPr>
          <w:rFonts w:ascii="Times New Roman" w:hAnsi="Times New Roman" w:cs="Times New Roman" w:eastAsia="Times New Roman" w:hint="default"/>
        </w:rPr>
        <w:t>2016</w:t>
      </w:r>
      <w:r>
        <w:rPr/>
        <w:t>年和</w:t>
      </w:r>
      <w:r>
        <w:rPr>
          <w:rFonts w:ascii="Times New Roman" w:hAnsi="Times New Roman" w:cs="Times New Roman" w:eastAsia="Times New Roman" w:hint="default"/>
        </w:rPr>
        <w:t>2017</w:t>
      </w:r>
      <w:r>
        <w:rPr/>
        <w:t>年为免税年度，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日期间享受</w:t>
      </w:r>
      <w:r>
        <w:rPr>
          <w:rFonts w:ascii="Times New Roman" w:hAnsi="Times New Roman" w:cs="Times New Roman" w:eastAsia="Times New Roman" w:hint="default"/>
        </w:rPr>
        <w:t>12.5%</w:t>
      </w:r>
      <w:r>
        <w:rPr/>
        <w:t>的企业所</w:t>
      </w:r>
      <w:r>
        <w:rPr>
          <w:spacing w:val="-62"/>
        </w:rPr>
        <w:t> </w:t>
      </w:r>
      <w:r>
        <w:rPr>
          <w:spacing w:val="-62"/>
        </w:rPr>
      </w:r>
      <w:r>
        <w:rPr/>
        <w:t>得税优惠税率。</w:t>
      </w:r>
    </w:p>
    <w:p>
      <w:pPr>
        <w:pStyle w:val="Heading6"/>
        <w:spacing w:line="256" w:lineRule="auto" w:before="18"/>
        <w:ind w:right="1026" w:firstLine="420"/>
        <w:jc w:val="left"/>
      </w:pPr>
      <w:r>
        <w:rPr/>
        <w:t>（</w:t>
      </w:r>
      <w:r>
        <w:rPr>
          <w:rFonts w:ascii="Times New Roman" w:hAnsi="Times New Roman" w:cs="Times New Roman" w:eastAsia="Times New Roman" w:hint="default"/>
        </w:rPr>
        <w:t>4</w:t>
      </w:r>
      <w:r>
        <w:rPr/>
        <w:t>）根据《进一步鼓励软件产业和集成电路产业发展的若干政策》和《软件企业评估规范》的有关 </w:t>
      </w:r>
      <w:r>
        <w:rPr>
          <w:spacing w:val="-1"/>
        </w:rPr>
        <w:t>规定，天津华盖悦动信息技术有限公司于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日取得由天津市软件行业协会颁发的软件企业证书，</w:t>
      </w:r>
      <w:r>
        <w:rPr>
          <w:spacing w:val="-80"/>
        </w:rPr>
        <w:t> </w:t>
      </w:r>
      <w:r>
        <w:rPr>
          <w:spacing w:val="-80"/>
        </w:rPr>
      </w:r>
      <w:r>
        <w:rPr/>
        <w:t>证书编号津</w:t>
      </w:r>
      <w:r>
        <w:rPr>
          <w:rFonts w:ascii="Times New Roman" w:hAnsi="Times New Roman" w:cs="Times New Roman" w:eastAsia="Times New Roman" w:hint="default"/>
        </w:rPr>
        <w:t>RQ-2017-0037</w:t>
      </w:r>
      <w:r>
        <w:rPr/>
        <w:t>，有效期</w:t>
      </w:r>
      <w:r>
        <w:rPr>
          <w:rFonts w:ascii="Times New Roman" w:hAnsi="Times New Roman" w:cs="Times New Roman" w:eastAsia="Times New Roman" w:hint="default"/>
        </w:rPr>
        <w:t>1</w:t>
      </w:r>
      <w:r>
        <w:rPr/>
        <w:t>年。</w:t>
      </w:r>
    </w:p>
    <w:p>
      <w:pPr>
        <w:pStyle w:val="Heading6"/>
        <w:spacing w:line="240" w:lineRule="auto" w:before="5"/>
        <w:ind w:left="574" w:right="0"/>
        <w:jc w:val="left"/>
      </w:pPr>
      <w:r>
        <w:rPr/>
        <w:t>（</w:t>
      </w:r>
      <w:r>
        <w:rPr>
          <w:rFonts w:ascii="Times New Roman" w:hAnsi="Times New Roman" w:cs="Times New Roman" w:eastAsia="Times New Roman" w:hint="default"/>
        </w:rPr>
        <w:t>5</w:t>
      </w:r>
      <w:r>
        <w:rPr/>
        <w:t>）根据财政部、国家税务总局《关于进一步鼓励软件产业和集成业发展企业所得税政策的通知》</w:t>
      </w:r>
    </w:p>
    <w:p>
      <w:pPr>
        <w:pStyle w:val="Heading6"/>
        <w:spacing w:line="264" w:lineRule="auto" w:before="21"/>
        <w:ind w:right="1131"/>
        <w:jc w:val="both"/>
      </w:pPr>
      <w:r>
        <w:rPr>
          <w:spacing w:val="-1"/>
        </w:rPr>
        <w:t>（财税（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号）的规定，亿迅信息技术有限公司于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4</w:t>
      </w:r>
      <w:r>
        <w:rPr>
          <w:spacing w:val="-1"/>
        </w:rPr>
        <w:t>日取得了由中华人民共和国国家版权</w:t>
      </w:r>
      <w:r>
        <w:rPr>
          <w:spacing w:val="-84"/>
        </w:rPr>
        <w:t> </w:t>
      </w:r>
      <w:r>
        <w:rPr>
          <w:spacing w:val="-84"/>
        </w:rPr>
      </w:r>
      <w:r>
        <w:rPr>
          <w:spacing w:val="-1"/>
        </w:rPr>
        <w:t>局颁发的计算机软件著作权登记证书，自开始获利年度起，软件开发及技术服务所得享受两免三减半的企</w:t>
      </w:r>
      <w:r>
        <w:rPr>
          <w:spacing w:val="-81"/>
        </w:rPr>
        <w:t> </w:t>
      </w:r>
      <w:r>
        <w:rPr>
          <w:spacing w:val="-81"/>
        </w:rPr>
      </w:r>
      <w:r>
        <w:rPr/>
        <w:t>业所得税优惠。</w:t>
      </w:r>
      <w:r>
        <w:rPr>
          <w:rFonts w:ascii="Times New Roman" w:hAnsi="Times New Roman" w:cs="Times New Roman" w:eastAsia="Times New Roman" w:hint="default"/>
        </w:rPr>
        <w:t>2016</w:t>
      </w:r>
      <w:r>
        <w:rPr/>
        <w:t>年和</w:t>
      </w:r>
      <w:r>
        <w:rPr>
          <w:rFonts w:ascii="Times New Roman" w:hAnsi="Times New Roman" w:cs="Times New Roman" w:eastAsia="Times New Roman" w:hint="default"/>
        </w:rPr>
        <w:t>2017</w:t>
      </w:r>
      <w:r>
        <w:rPr/>
        <w:t>年为免税年度，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日期间享受</w:t>
      </w:r>
      <w:r>
        <w:rPr>
          <w:rFonts w:ascii="Times New Roman" w:hAnsi="Times New Roman" w:cs="Times New Roman" w:eastAsia="Times New Roman" w:hint="default"/>
        </w:rPr>
        <w:t>12.5%</w:t>
      </w:r>
      <w:r>
        <w:rPr/>
        <w:t>的企业所得</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pPr>
      <w:r>
        <w:rPr/>
        <w:t>税优惠税率。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47,998.35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19,530.54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408,007,031.73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379,985,231.59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10,436,971.52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10,498,000.00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418,492,001.60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390,502,762.13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20,549,661.41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2,093,890.20</w:t>
            </w:r>
          </w:p>
        </w:tc>
      </w:tr>
    </w:tbl>
    <w:p>
      <w:pPr>
        <w:pStyle w:val="BodyText"/>
        <w:spacing w:line="240" w:lineRule="auto" w:before="51"/>
        <w:ind w:right="0"/>
        <w:jc w:val="left"/>
      </w:pPr>
      <w:r>
        <w:rPr/>
        <w:t>其他说明</w:t>
      </w:r>
    </w:p>
    <w:p>
      <w:pPr>
        <w:pStyle w:val="Heading6"/>
        <w:spacing w:line="240" w:lineRule="auto" w:before="89"/>
        <w:ind w:right="0"/>
        <w:jc w:val="left"/>
      </w:pPr>
      <w:r>
        <w:rPr/>
        <w:t>注：年末其他货币资金主要包括履约保证金</w:t>
      </w:r>
      <w:r>
        <w:rPr>
          <w:rFonts w:ascii="Times New Roman" w:hAnsi="Times New Roman" w:cs="Times New Roman" w:eastAsia="Times New Roman" w:hint="default"/>
        </w:rPr>
        <w:t>10,401,000.00</w:t>
      </w:r>
      <w:r>
        <w:rPr/>
        <w:t>元</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2、应收票据及应收账款" w:id="220"/>
      <w:bookmarkEnd w:id="220"/>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1,586,696.00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185,094,124.56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352,261,537.61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186,680,820.56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352,491,537.61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票据" w:id="221"/>
      <w:bookmarkEnd w:id="22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1,586,696.00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1,586,696.00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应收账款" w:id="222"/>
      <w:bookmarkEnd w:id="22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3,164,44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3,164,44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4,498,4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2,249,220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2,249,220.5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198,630,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200.58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13,536,0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76.02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185,094,1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24.56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364,468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,720.33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14,748,06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349,720,65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1.61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1,347,73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1,347,73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583,331</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291,665.5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291,665.50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203,142,</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372.58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18,048,2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48.02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185,094,1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24.56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369,550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,492.33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17,288,95</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4.72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352,261,53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7.61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乐视网信息技术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3,164,441.00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3,164,441.00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信用风险异常</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3,164,441.00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3,164,441.00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172,700,577.91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1,633,748.36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172,700,577.91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1,633,748.36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10,500,407.79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1,488,821.01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9,684,457.35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4,668,749.12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5,744,757.53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5,744,757.53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198,630,200.58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13,536,076.02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38" w:lineRule="auto" w:before="2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79" w:top="1060" w:bottom="1160" w:left="980" w:right="0"/>
        </w:sectPr>
      </w:pPr>
    </w:p>
    <w:p>
      <w:pPr>
        <w:pStyle w:val="BodyText"/>
        <w:spacing w:line="240" w:lineRule="auto"/>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15,318,580.55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360,000.00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7040" w:space="179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乐视网信息技术（北京）股份有限公司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5,373,462.40</w:t>
            </w:r>
          </w:p>
        </w:tc>
      </w:tr>
    </w:tbl>
    <w:p>
      <w:pPr>
        <w:pStyle w:val="BodyText"/>
        <w:spacing w:line="240" w:lineRule="auto" w:before="51"/>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乐视网信息技术（北</w:t>
            </w:r>
            <w:r>
              <w:rPr>
                <w:rFonts w:ascii="宋体" w:hAnsi="宋体" w:cs="宋体" w:eastAsia="宋体" w:hint="default"/>
                <w:sz w:val="18"/>
                <w:szCs w:val="18"/>
              </w:rPr>
              <w:t> 京）股份有限公司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深圳响巢看看信息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北京久和成文化传 媒有限公司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260,230.32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广州威众文化传播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橙果广告</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3,082,232.08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5,373,462.40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6747"/>
        <w:jc w:val="left"/>
      </w:pPr>
      <w:r>
        <w:rPr/>
        <w:t>应收账款核销说明： 本报告期实际核销的应收账款金额为</w:t>
      </w:r>
      <w:r>
        <w:rPr>
          <w:rFonts w:ascii="Times New Roman" w:hAnsi="Times New Roman" w:cs="Times New Roman" w:eastAsia="Times New Roman" w:hint="default"/>
        </w:rPr>
        <w:t>5,373,462.40</w:t>
      </w:r>
      <w:r>
        <w:rPr/>
        <w:t>元</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430" w:lineRule="atLeast" w:before="0"/>
        <w:ind w:left="595" w:right="1176" w:hanging="442"/>
        <w:jc w:val="left"/>
      </w:pPr>
      <w:r>
        <w:rPr>
          <w:rFonts w:ascii="Times New Roman" w:hAnsi="Times New Roman" w:cs="Times New Roman" w:eastAsia="Times New Roman" w:hint="default"/>
        </w:rPr>
        <w:t>4)</w:t>
      </w:r>
      <w:r>
        <w:rPr/>
        <w:t>按欠款方归集的期末余额前五名的应收账款情况</w:t>
      </w:r>
      <w:r>
        <w:rPr>
          <w:w w:val="99"/>
        </w:rPr>
        <w:t> </w:t>
      </w:r>
      <w:r>
        <w:rPr/>
        <w:t>本公司本年按欠款方归集的年末余额前五名应收账款汇总金额为</w:t>
      </w:r>
      <w:r>
        <w:rPr>
          <w:rFonts w:ascii="Times New Roman" w:hAnsi="Times New Roman" w:cs="Times New Roman" w:eastAsia="Times New Roman" w:hint="default"/>
        </w:rPr>
        <w:t>69,832,063.82</w:t>
      </w:r>
      <w:r>
        <w:rPr/>
        <w:t>元，占应收账款年末余额合计数的比例</w:t>
      </w:r>
    </w:p>
    <w:p>
      <w:pPr>
        <w:pStyle w:val="BodyText"/>
        <w:spacing w:line="240" w:lineRule="auto" w:before="63"/>
        <w:ind w:left="156" w:right="0"/>
        <w:jc w:val="left"/>
      </w:pPr>
      <w:r>
        <w:rPr/>
        <w:t>为</w:t>
      </w:r>
      <w:r>
        <w:rPr>
          <w:rFonts w:ascii="Times New Roman" w:hAnsi="Times New Roman" w:cs="Times New Roman" w:eastAsia="Times New Roman" w:hint="default"/>
        </w:rPr>
        <w:t>34.38%</w:t>
      </w:r>
      <w:r>
        <w:rPr/>
        <w:t>，相应计提的坏账准备年末余额汇总金额为</w:t>
      </w:r>
      <w:r>
        <w:rPr>
          <w:rFonts w:ascii="Times New Roman" w:hAnsi="Times New Roman" w:cs="Times New Roman" w:eastAsia="Times New Roman" w:hint="default"/>
        </w:rPr>
        <w:t>605,777.61</w:t>
      </w:r>
      <w:r>
        <w:rPr/>
        <w:t>元。</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right="0"/>
        <w:jc w:val="left"/>
        <w:rPr>
          <w:b w:val="0"/>
          <w:bCs w:val="0"/>
        </w:rPr>
      </w:pPr>
      <w:bookmarkStart w:name="3、预付款项" w:id="223"/>
      <w:bookmarkEnd w:id="223"/>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24"/>
      <w:bookmarkEnd w:id="22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29,334,451.42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5,517,808.11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454,372.16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279,158.48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531,007.54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508,107.54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30,121,717.44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6,503,787.81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92" w:lineRule="auto" w:before="51"/>
        <w:ind w:right="3402"/>
        <w:jc w:val="left"/>
        <w:rPr>
          <w:rFonts w:ascii="微软雅黑" w:hAnsi="微软雅黑" w:cs="微软雅黑" w:eastAsia="微软雅黑" w:hint="default"/>
        </w:rPr>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注：预付款项年末余额较年初增加</w:t>
      </w:r>
      <w:r>
        <w:rPr>
          <w:rFonts w:ascii="Times New Roman" w:hAnsi="Times New Roman" w:cs="Times New Roman" w:eastAsia="Times New Roman" w:hint="default"/>
        </w:rPr>
        <w:t>23,617,929.63</w:t>
      </w:r>
      <w:r>
        <w:rPr/>
        <w:t>元，增幅</w:t>
      </w:r>
      <w:r>
        <w:rPr>
          <w:rFonts w:ascii="Times New Roman" w:hAnsi="Times New Roman" w:cs="Times New Roman" w:eastAsia="Times New Roman" w:hint="default"/>
        </w:rPr>
        <w:t>363.14%</w:t>
      </w:r>
      <w:r>
        <w:rPr/>
        <w:t>，主要系业务预付款增加</w:t>
      </w:r>
      <w:r>
        <w:rPr>
          <w:rFonts w:ascii="微软雅黑" w:hAnsi="微软雅黑" w:cs="微软雅黑" w:eastAsia="微软雅黑" w:hint="default"/>
        </w:rPr>
        <w:t>ﾋﾖ｡</w:t>
      </w:r>
    </w:p>
    <w:p>
      <w:pPr>
        <w:spacing w:line="240" w:lineRule="auto" w:before="13"/>
        <w:rPr>
          <w:rFonts w:ascii="微软雅黑" w:hAnsi="微软雅黑" w:cs="微软雅黑" w:eastAsia="微软雅黑" w:hint="default"/>
          <w:sz w:val="15"/>
          <w:szCs w:val="15"/>
        </w:rPr>
      </w:pPr>
    </w:p>
    <w:p>
      <w:pPr>
        <w:pStyle w:val="Heading5"/>
        <w:spacing w:line="240" w:lineRule="auto"/>
        <w:ind w:right="0"/>
        <w:jc w:val="left"/>
        <w:rPr>
          <w:b w:val="0"/>
          <w:bCs w:val="0"/>
        </w:rPr>
      </w:pPr>
      <w:bookmarkStart w:name="（2）按预付对象归集的期末余额前五名的预付款情况" w:id="225"/>
      <w:bookmarkEnd w:id="22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截至报告期末按供应商归集的期末余额前五名预付款项汇总金额为</w:t>
      </w:r>
      <w:r>
        <w:rPr>
          <w:rFonts w:ascii="Times New Roman" w:hAnsi="Times New Roman" w:cs="Times New Roman" w:eastAsia="Times New Roman" w:hint="default"/>
        </w:rPr>
        <w:t>18,621,044.03</w:t>
      </w:r>
      <w:r>
        <w:rPr/>
        <w:t>元，占预付款项期末余额合计数的比例为</w:t>
      </w:r>
    </w:p>
    <w:p>
      <w:pPr>
        <w:pStyle w:val="BodyText"/>
        <w:spacing w:line="240" w:lineRule="auto" w:before="63"/>
        <w:ind w:right="0"/>
        <w:jc w:val="left"/>
      </w:pPr>
      <w:r>
        <w:rPr>
          <w:rFonts w:ascii="Times New Roman" w:hAnsi="Times New Roman" w:cs="Times New Roman" w:eastAsia="Times New Roman" w:hint="default"/>
        </w:rPr>
        <w:t>61.82%</w:t>
      </w:r>
      <w:r>
        <w:rPr/>
        <w:t>。</w:t>
      </w:r>
    </w:p>
    <w:p>
      <w:pPr>
        <w:pStyle w:val="BodyText"/>
        <w:spacing w:line="240" w:lineRule="auto" w:before="103"/>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其他应收款" w:id="226"/>
      <w:bookmarkEnd w:id="226"/>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8,009,257.39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443,625.00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69,932,313.34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108,068,154.24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20,253,003.97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186,009,724.97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20,696,628.97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利息" w:id="227"/>
      <w:bookmarkEnd w:id="22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5,425,875.00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443,625.00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预付投资款利息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2,583,382.39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8,009,257.39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443,625.00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应收股利" w:id="228"/>
      <w:bookmarkEnd w:id="22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51,436,472.61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15,755,475.33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 China</w:t>
            </w:r>
            <w:r>
              <w:rPr>
                <w:rFonts w:ascii="Times New Roman"/>
                <w:spacing w:val="-3"/>
                <w:sz w:val="18"/>
              </w:rPr>
              <w:t> </w:t>
            </w:r>
            <w:r>
              <w:rPr>
                <w:rFonts w:ascii="Times New Roman"/>
                <w:sz w:val="18"/>
              </w:rPr>
              <w:t>Limited</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2,740,365.40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69,932,313.34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其他应收款" w:id="229"/>
      <w:bookmarkEnd w:id="22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111,008,9</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18.95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2,940,76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108,068,1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54.24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21,234,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750.14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981,746.1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20,253,003.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111,008,9</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18.95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2,940,76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4.71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108,068,1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54.24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21,234,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750.14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981,746.1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20,253,003.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94,350,550.89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942,607.37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94,350,550.89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942,607.37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9,237,636.92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497,527.34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106,589,447.81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2,940,764.71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ind w:right="-13"/>
        <w:jc w:val="left"/>
      </w:pPr>
      <w:r>
        <w:rPr/>
        <w:pict>
          <v:shape style="position:absolute;margin-left:56.700001pt;margin-top:-134.718292pt;width:538.620007pt;height:128.25pt;mso-position-horizontal-relative:page;mso-position-vertical-relative:paragraph;z-index:1648" type="#_x0000_t75" stroked="false">
            <v:imagedata r:id="rId21" o:title=""/>
          </v:shape>
        </w:pict>
      </w: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1,948,158.74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6,066,389.40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1,332,722.09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4,419,471.14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6,279,119.69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97,523,058.41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10,622,908.36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111,008,918.95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21,234,750.14</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5"/>
              <w:jc w:val="left"/>
              <w:rPr>
                <w:rFonts w:ascii="Times New Roman" w:hAnsi="Times New Roman" w:cs="Times New Roman" w:eastAsia="Times New Roman" w:hint="default"/>
                <w:sz w:val="18"/>
                <w:szCs w:val="18"/>
              </w:rPr>
            </w:pPr>
            <w:r>
              <w:rPr>
                <w:rFonts w:ascii="Times New Roman"/>
                <w:sz w:val="18"/>
              </w:rPr>
              <w:t>Gold Insight</w:t>
            </w:r>
            <w:r>
              <w:rPr>
                <w:rFonts w:ascii="Times New Roman"/>
                <w:w w:val="99"/>
                <w:sz w:val="18"/>
              </w:rPr>
              <w:t> </w:t>
            </w:r>
            <w:r>
              <w:rPr>
                <w:rFonts w:ascii="Times New Roman"/>
                <w:sz w:val="18"/>
              </w:rPr>
              <w:t>Investments</w:t>
            </w:r>
            <w:r>
              <w:rPr>
                <w:rFonts w:ascii="Times New Roman"/>
                <w:spacing w:val="-4"/>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85,953,344.43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859,533.44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洛克互娱智能科技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8.11%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4,503,040.31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45,030.40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常州市新世纪房地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拆迁款项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北京英赫世纪置业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1,414,157.40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70,707.87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103,870,542.14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2,925,271.71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存货" w:id="230"/>
      <w:bookmarkEnd w:id="230"/>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1）存货分类" w:id="231"/>
      <w:bookmarkEnd w:id="23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4,681,927.52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4,681,927.52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24,712,989.53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24,712,989.53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29,394,917.05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29,394,917.05</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存货跌价准备" w:id="232"/>
      <w:bookmarkEnd w:id="23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存货期末余额含有借款费用资本化金额的说明" w:id="233"/>
      <w:bookmarkEnd w:id="23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期末建造合同形成的已完工未结算资产情况" w:id="234"/>
      <w:bookmarkEnd w:id="23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6、一年内到期的非流动资产" w:id="235"/>
      <w:bookmarkEnd w:id="235"/>
      <w:r>
        <w:rPr>
          <w:b w:val="0"/>
          <w:bCs w:val="0"/>
        </w:rPr>
      </w:r>
      <w:r>
        <w:rPr>
          <w:rFonts w:ascii="Times New Roman" w:hAnsi="Times New Roman" w:cs="Times New Roman" w:eastAsia="Times New Roman" w:hint="default"/>
        </w:rPr>
        <w:t>6</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定期存单（附注七（</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512"/>
        <w:jc w:val="left"/>
      </w:pPr>
      <w:r>
        <w:rPr/>
        <w:t>其他说明： 注：定期存单主要核算贷款保函保证金。</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7、其他流动资产" w:id="236"/>
      <w:bookmarkEnd w:id="236"/>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4,049,769.67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1,618,087.83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预缴的其他税款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4,378,253.37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5,383,784.28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待摊房租及服务费等</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1,411,005.14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8,428,023.04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8,412,877.25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8、可供出售金融资产" w:id="237"/>
      <w:bookmarkEnd w:id="237"/>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可供出售金融资产情况" w:id="238"/>
      <w:bookmarkEnd w:id="23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57,889,687.88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57,889,687.88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110,445,464.30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110,445,464.30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57,889,687.88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57,889,687.88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110,445,464.30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110,445,464.30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57,889,687.88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57,889,687.88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110,445,464.30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110,445,464.30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按成本计量的可供出售金融资产" w:id="239"/>
      <w:bookmarkEnd w:id="239"/>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北京视觉 像素网络 科技有限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82" w:right="0"/>
              <w:jc w:val="left"/>
              <w:rPr>
                <w:rFonts w:ascii="Times New Roman" w:hAnsi="Times New Roman" w:cs="Times New Roman" w:eastAsia="Times New Roman" w:hint="default"/>
                <w:sz w:val="18"/>
                <w:szCs w:val="18"/>
              </w:rPr>
            </w:pPr>
            <w:r>
              <w:rPr>
                <w:rFonts w:ascii="Times New Roman"/>
                <w:sz w:val="18"/>
              </w:rPr>
              <w:t>19.85%</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北京华盖 映月影视 文化投资 合伙企业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28,569,172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179,484.50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28,389,687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常州合一 科文投资 合伙企业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常州视觉 互动网络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102,691.92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102,691.92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8"/>
              <w:jc w:val="left"/>
              <w:rPr>
                <w:rFonts w:ascii="Times New Roman" w:hAnsi="Times New Roman" w:cs="Times New Roman" w:eastAsia="Times New Roman" w:hint="default"/>
                <w:sz w:val="18"/>
                <w:szCs w:val="18"/>
              </w:rPr>
            </w:pPr>
            <w:r>
              <w:rPr>
                <w:rFonts w:ascii="Times New Roman"/>
                <w:sz w:val="18"/>
              </w:rPr>
              <w:t>500PX</w:t>
            </w:r>
            <w:r>
              <w:rPr>
                <w:rFonts w:ascii="Times New Roman"/>
                <w:w w:val="99"/>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52,273,600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52,273,600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110,445,46</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4.30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52,555,776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57,889,687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9、长期股权投资" w:id="240"/>
      <w:bookmarkEnd w:id="240"/>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湖北司马 彦文化科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358,059,4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77.85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36,968,71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-17,554,3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377,473,8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358,059,4</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77.85</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36,968,71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-17,554,3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43.26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377,473,8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50.39</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北京华盖 映月影视 文化投资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12,914,13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411,557.3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13,325,68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华融创新 投资股份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114,075,9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8,953,524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-5,875,38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117,154,1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37.26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广东南方 视觉文化 传媒有限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55,891.20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1,255,891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常州视觉 跃动文化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4,356,363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-910.43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7,055,453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44,522,87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-10,083,8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34,439,00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北京视觉 像素网络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广东易教 优培教育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121,764,0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62.32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15,916,68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141,180,7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北京灵睿 博智国际 广告有限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738,898.6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45,738,89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厦门视觉 像科技有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4,088,888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-624,320.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13,191,37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16,655,94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华盖安鹭</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（厦门） 文化产业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-2,591,01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72,408,98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2"/>
              <w:jc w:val="left"/>
              <w:rPr>
                <w:rFonts w:ascii="Times New Roman" w:hAnsi="Times New Roman" w:cs="Times New Roman" w:eastAsia="Times New Roman" w:hint="default"/>
                <w:sz w:val="18"/>
                <w:szCs w:val="18"/>
              </w:rPr>
            </w:pPr>
            <w:r>
              <w:rPr>
                <w:rFonts w:ascii="Times New Roman"/>
                <w:sz w:val="18"/>
              </w:rPr>
              <w:t>GETTY</w:t>
            </w:r>
            <w:r>
              <w:rPr>
                <w:rFonts w:ascii="Times New Roman"/>
                <w:w w:val="99"/>
                <w:sz w:val="18"/>
              </w:rPr>
              <w:t> </w:t>
            </w:r>
            <w:r>
              <w:rPr>
                <w:rFonts w:ascii="Times New Roman"/>
                <w:sz w:val="18"/>
              </w:rPr>
              <w:t>IMAGES</w:t>
            </w:r>
            <w:r>
              <w:rPr>
                <w:rFonts w:ascii="Times New Roman"/>
                <w:w w:val="99"/>
                <w:sz w:val="18"/>
              </w:rPr>
              <w:t> </w:t>
            </w:r>
            <w:r>
              <w:rPr>
                <w:rFonts w:ascii="Times New Roman"/>
                <w:sz w:val="18"/>
              </w:rPr>
              <w:t>SEA</w:t>
            </w:r>
            <w:r>
              <w:rPr>
                <w:rFonts w:ascii="Times New Roman"/>
                <w:w w:val="99"/>
                <w:sz w:val="18"/>
              </w:rPr>
              <w:t> </w:t>
            </w:r>
            <w:r>
              <w:rPr>
                <w:rFonts w:ascii="Times New Roman"/>
                <w:sz w:val="18"/>
              </w:rPr>
              <w:t>HOLDIN</w:t>
            </w:r>
            <w:r>
              <w:rPr>
                <w:rFonts w:ascii="Times New Roman"/>
                <w:w w:val="99"/>
                <w:sz w:val="18"/>
              </w:rPr>
              <w:t> </w:t>
            </w:r>
            <w:r>
              <w:rPr>
                <w:rFonts w:ascii="Times New Roman"/>
                <w:sz w:val="18"/>
              </w:rPr>
              <w:t>GS</w:t>
            </w:r>
            <w:r>
              <w:rPr>
                <w:rFonts w:ascii="Times New Roman"/>
                <w:spacing w:val="-1"/>
                <w:w w:val="99"/>
                <w:sz w:val="18"/>
              </w:rPr>
              <w:t> </w:t>
            </w:r>
            <w:r>
              <w:rPr>
                <w:rFonts w:ascii="Times New Roman"/>
                <w:sz w:val="18"/>
              </w:rPr>
              <w:t>CO.LIMI</w:t>
            </w:r>
            <w:r>
              <w:rPr>
                <w:rFonts w:ascii="Times New Roman"/>
                <w:w w:val="99"/>
                <w:sz w:val="18"/>
              </w:rPr>
              <w:t> </w:t>
            </w:r>
            <w:r>
              <w:rPr>
                <w:rFonts w:ascii="Times New Roman"/>
                <w:sz w:val="18"/>
              </w:rPr>
              <w:t>TED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313,839,0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67.38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492,839.7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15,569,67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329,901,5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77.79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辽宁新兴 文化创业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97,990,13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-2,025,12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95,965,01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7.68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29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投资基金 合伙企业</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709,462,6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29.08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131,488,8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11,244,15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15,569,67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13,191,37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-5,875,38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875,081,3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35.26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1,067,522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,106.93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131,488,8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48,212,86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15,569,67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13,191,37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-23,429,7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1,252,555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,185.65</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0、固定资产" w:id="241"/>
      <w:bookmarkEnd w:id="241"/>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4,087,216.32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5,941,766.23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4,087,216.32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5,941,766.23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固定资产情况" w:id="242"/>
      <w:bookmarkEnd w:id="24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4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8,960,625.22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462,986.53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4,129,023.67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795,520.75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14,348,156.17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1,223,600.48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283,492.37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411,217.67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1,918,310.52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1,129,683.28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283,492.37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411,217.67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1,824,393.32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86,047.43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86,047.43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）外 币报表折算差额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7,869.77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7,869.77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4,287,622.34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355,742.48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544,694.66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262,799.05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5,450,858.53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3,514,501.60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355,742.48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518,033.00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262,799.05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4,651,076.13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61"/>
              <w:jc w:val="right"/>
              <w:rPr>
                <w:rFonts w:ascii="宋体" w:hAnsi="宋体" w:cs="宋体" w:eastAsia="宋体" w:hint="default"/>
                <w:sz w:val="18"/>
                <w:szCs w:val="18"/>
              </w:rPr>
            </w:pPr>
            <w:r>
              <w:rPr>
                <w:rFonts w:ascii="宋体" w:hAnsi="宋体" w:cs="宋体" w:eastAsia="宋体" w:hint="default"/>
                <w:sz w:val="18"/>
                <w:szCs w:val="18"/>
              </w:rPr>
              <w:t>企业合并减</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773,120.74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26,661.66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799,782.40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5,896,603.36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107,244.05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3,867,821.38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943,939.37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10,815,608.16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5,584,829.92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416,687.64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1,752,673.32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652,199.06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8,406,389.94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1,899,423.19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722,063.68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159,267.92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2,780,755.02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1,845,858.04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722,063.68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159,267.92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2,727,189.87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52,015.79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52,015.79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）外币</w:t>
            </w:r>
            <w:r>
              <w:rPr>
                <w:rFonts w:ascii="宋体" w:hAnsi="宋体" w:cs="宋体" w:eastAsia="宋体" w:hint="default"/>
                <w:sz w:val="18"/>
                <w:szCs w:val="18"/>
              </w:rPr>
              <w:t> 报表折算差额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1,549.36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3,365,280.77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320,168.23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514,688.27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258,615.85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4,458,753.12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3,034,123.85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320,168.23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493,081.98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258,615.85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4,105,989.91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企业合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并减少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331,156.92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352,763.21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4,118,972.34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96,519.64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1,960,048.73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552,851.13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6,728,391.84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1,777,631.02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10,724.41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1,907,772.65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391,088.24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4,087,216.32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3,375,795.30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46,298.89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2,376,350.35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143,321.69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5,941,766.23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0"/>
        <w:jc w:val="left"/>
        <w:rPr>
          <w:b w:val="0"/>
          <w:bCs w:val="0"/>
        </w:rPr>
      </w:pPr>
      <w:bookmarkStart w:name="11、无形资产" w:id="243"/>
      <w:bookmarkEnd w:id="243"/>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244"/>
      <w:bookmarkEnd w:id="24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162"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管理系统软件</w:t>
            </w:r>
          </w:p>
        </w:tc>
        <w:tc>
          <w:tcPr>
            <w:tcW w:w="119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商标使用权及 域名</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12" w:right="53" w:hanging="360"/>
              <w:jc w:val="left"/>
              <w:rPr>
                <w:rFonts w:ascii="宋体" w:hAnsi="宋体" w:cs="宋体" w:eastAsia="宋体" w:hint="default"/>
                <w:sz w:val="18"/>
                <w:szCs w:val="18"/>
              </w:rPr>
            </w:pPr>
            <w:r>
              <w:rPr>
                <w:rFonts w:ascii="宋体" w:hAnsi="宋体" w:cs="宋体" w:eastAsia="宋体" w:hint="default"/>
                <w:sz w:val="18"/>
                <w:szCs w:val="18"/>
              </w:rPr>
              <w:t>计算机软件著 作权</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vMerge/>
            <w:tcBorders>
              <w:left w:val="single" w:sz="9" w:space="0" w:color="D2D2D2"/>
              <w:right w:val="single" w:sz="4" w:space="0" w:color="000000"/>
            </w:tcBorders>
            <w:shd w:val="clear" w:color="auto" w:fill="E0FFFF"/>
          </w:tcPr>
          <w:p>
            <w:pPr/>
          </w:p>
        </w:tc>
        <w:tc>
          <w:tcPr>
            <w:tcW w:w="1197"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shd w:val="clear" w:color="auto" w:fill="E0FFFF"/>
          </w:tcPr>
          <w:p>
            <w:pPr/>
          </w:p>
        </w:tc>
        <w:tc>
          <w:tcPr>
            <w:tcW w:w="1197"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19,375,610.35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4,778,636.09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995,673.23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25,149,919.67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12,702,147.15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59,103,900.52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7,551,428.45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79,357,476.12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687,453.66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17,045,400.00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17,732,853.66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12,014,693.49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7,551,428.45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19,566,121.94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40,668,915.56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40,668,915.56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外币报表折算 差额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1,389,584.96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1,389,584.96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1,753,823.79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1,753,823.79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1,520,170.03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1,520,170.03</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233,653.76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233,653.76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30,323,933.71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63,882,536.61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8,547,101.68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102,753,572.00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3,324,629.11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1,539,562.79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4,872,489.18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1,935,495.23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2,883,955.77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162,891.29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4,982,342.29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1,935,495.23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2,887,103.90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162,891.29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4,985,490.42</w:t>
            </w:r>
          </w:p>
        </w:tc>
      </w:tr>
      <w:tr>
        <w:trPr>
          <w:trHeight w:val="67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外币报表折算 差额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-3,148.13</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-3,148.13</w:t>
            </w:r>
            <w:r>
              <w:rPr>
                <w:rFonts w:ascii="Times New Roman"/>
                <w:sz w:val="18"/>
              </w:rPr>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1,557,361.24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1,557,361.24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1,502,725.00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1,502,725.00</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6"/>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54,636.24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54,636.24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3,702,763.10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4,423,518.56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171,188.57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8,297,470.23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26,621,170.61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59,459,018.05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8,375,913.11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94,456,101.77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16,050,981.24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3,239,073.30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987,375.95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20,277,430.49</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24.80%</w:t>
      </w:r>
      <w:r>
        <w:rPr/>
        <w:t>。</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12、开发支出" w:id="245"/>
      <w:bookmarkEnd w:id="245"/>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71" w:right="0"/>
              <w:jc w:val="center"/>
              <w:rPr>
                <w:rFonts w:ascii="宋体" w:hAnsi="宋体" w:cs="宋体" w:eastAsia="宋体" w:hint="default"/>
                <w:sz w:val="18"/>
                <w:szCs w:val="18"/>
              </w:rPr>
            </w:pPr>
            <w:r>
              <w:rPr>
                <w:rFonts w:ascii="宋体" w:hAnsi="宋体" w:cs="宋体" w:eastAsia="宋体" w:hint="default"/>
                <w:sz w:val="18"/>
                <w:szCs w:val="18"/>
              </w:rPr>
              <w:t>互联网图片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5,755,643.25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5,755,643.25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10"/>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结构化与智 能管控平台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4" w:firstLine="9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Veer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创意素 材交易平台</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3,712,561.45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3,712,561.45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39" w:firstLine="9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供应商管理 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2,546,488.79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2,546,488.79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39" w:firstLine="90"/>
              <w:jc w:val="left"/>
              <w:rPr>
                <w:rFonts w:ascii="宋体" w:hAnsi="宋体" w:cs="宋体" w:eastAsia="宋体" w:hint="default"/>
                <w:sz w:val="18"/>
                <w:szCs w:val="18"/>
              </w:rPr>
            </w:pPr>
            <w:r>
              <w:rPr>
                <w:rFonts w:ascii="宋体" w:hAnsi="宋体" w:cs="宋体" w:eastAsia="宋体" w:hint="default"/>
                <w:sz w:val="18"/>
                <w:szCs w:val="18"/>
              </w:rPr>
              <w:t>后端迁移系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7,551,428.46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7,551,428.46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19,566,121.9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19,566,121.9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3、商誉" w:id="246"/>
      <w:bookmarkEnd w:id="246"/>
      <w:r>
        <w:rPr>
          <w:b w:val="0"/>
          <w:bCs w:val="0"/>
        </w:rPr>
      </w:r>
      <w:r>
        <w:rPr>
          <w:rFonts w:ascii="Times New Roman" w:hAnsi="Times New Roman" w:cs="Times New Roman" w:eastAsia="Times New Roman" w:hint="default"/>
        </w:rPr>
        <w:t>13</w:t>
      </w:r>
      <w:r>
        <w:rPr/>
        <w:t>、商誉</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247"/>
      <w:bookmarkEnd w:id="24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97"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9" w:space="0" w:color="D2D2D2"/>
              <w:right w:val="single" w:sz="9" w:space="0" w:color="D2D2D2"/>
            </w:tcBorders>
            <w:shd w:val="clear" w:color="auto" w:fill="E0FFFF"/>
          </w:tcPr>
          <w:p>
            <w:pPr>
              <w:pStyle w:val="TableParagraph"/>
              <w:spacing w:line="316" w:lineRule="auto" w:before="56"/>
              <w:ind w:left="581" w:right="40" w:hanging="540"/>
              <w:jc w:val="left"/>
              <w:rPr>
                <w:rFonts w:ascii="宋体" w:hAnsi="宋体" w:cs="宋体" w:eastAsia="宋体" w:hint="default"/>
                <w:sz w:val="18"/>
                <w:szCs w:val="18"/>
              </w:rPr>
            </w:pPr>
            <w:r>
              <w:rPr>
                <w:rFonts w:ascii="宋体" w:hAnsi="宋体" w:cs="宋体" w:eastAsia="宋体" w:hint="default"/>
                <w:sz w:val="18"/>
                <w:szCs w:val="18"/>
              </w:rPr>
              <w:t>外币报表折算差 额</w:t>
            </w:r>
          </w:p>
        </w:tc>
        <w:tc>
          <w:tcPr>
            <w:tcW w:w="1367" w:type="dxa"/>
            <w:tcBorders>
              <w:top w:val="single" w:sz="4" w:space="0" w:color="000000"/>
              <w:left w:val="single" w:sz="10" w:space="0" w:color="E0FFFF"/>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10" w:space="0" w:color="E0FFFF"/>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9" w:space="0" w:color="D2D2D2"/>
              <w:right w:val="single" w:sz="9" w:space="0" w:color="D2D2D2"/>
            </w:tcBorders>
            <w:shd w:val="clear" w:color="auto" w:fill="E0FFFF"/>
          </w:tcPr>
          <w:p>
            <w:pPr/>
          </w:p>
        </w:tc>
        <w:tc>
          <w:tcPr>
            <w:tcW w:w="1367" w:type="dxa"/>
            <w:vMerge/>
            <w:tcBorders>
              <w:left w:val="single" w:sz="10" w:space="0" w:color="E0FFFF"/>
              <w:bottom w:val="nil" w:sz="6" w:space="0" w:color="auto"/>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9"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10" w:space="0" w:color="E0FFFF"/>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18" w:space="0" w:color="D2D2D2"/>
              <w:left w:val="single" w:sz="4" w:space="0" w:color="000000"/>
              <w:bottom w:val="single" w:sz="4" w:space="0" w:color="000000"/>
              <w:right w:val="single" w:sz="4" w:space="0" w:color="000000"/>
            </w:tcBorders>
            <w:shd w:val="clear" w:color="auto" w:fill="E0FFFF"/>
          </w:tcPr>
          <w:p>
            <w:pPr>
              <w:pStyle w:val="TableParagraph"/>
              <w:spacing w:line="316" w:lineRule="auto" w:before="33"/>
              <w:ind w:left="22" w:right="61"/>
              <w:jc w:val="left"/>
              <w:rPr>
                <w:rFonts w:ascii="宋体" w:hAnsi="宋体" w:cs="宋体" w:eastAsia="宋体" w:hint="default"/>
                <w:sz w:val="18"/>
                <w:szCs w:val="18"/>
              </w:rPr>
            </w:pPr>
            <w:r>
              <w:rPr>
                <w:rFonts w:ascii="宋体" w:hAnsi="宋体" w:cs="宋体" w:eastAsia="宋体" w:hint="default"/>
                <w:sz w:val="18"/>
                <w:szCs w:val="18"/>
              </w:rPr>
              <w:t>非同一控制下企 业合并东星视讯</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90,601,733.37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90,601,733.37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非同一控制下企 业合并上海卓越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71,694,109.06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71,694,109.06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反向收购</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924,317,158.51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924,317,158.51</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非同一控制下企 业合并亿迅资产 组</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178,022,161.70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178,022,161.70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非同一控制下企 业合并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500PX</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84,944,867.50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7,768,927.56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92,713,795.06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1,264,635,162.64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84,944,867.50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7,768,927.56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178,022,161.70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1,179,326,796.00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商誉减值准备" w:id="248"/>
      <w:bookmarkEnd w:id="24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商誉所在资产组或资产组组合的相关信息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319" w:lineRule="auto" w:before="0"/>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57" w:lineRule="auto" w:before="56"/>
        <w:ind w:right="9132"/>
        <w:jc w:val="left"/>
      </w:pPr>
      <w:r>
        <w:rPr/>
        <w:t>商誉减值测试的影响 其他说明</w:t>
      </w:r>
    </w:p>
    <w:p>
      <w:pPr>
        <w:pStyle w:val="Heading6"/>
        <w:spacing w:line="273" w:lineRule="auto" w:before="2"/>
        <w:ind w:right="1131" w:firstLine="475"/>
        <w:jc w:val="both"/>
      </w:pPr>
      <w:r>
        <w:rPr>
          <w:spacing w:val="-2"/>
        </w:rPr>
        <w:t>本公司期末对与商誉相关的各资产组进行了减值测试，首先将该商誉及归属于少数股东权益的商誉包</w:t>
      </w:r>
      <w:r>
        <w:rPr/>
        <w:t> </w:t>
      </w:r>
      <w:r>
        <w:rPr>
          <w:spacing w:val="-1"/>
        </w:rPr>
        <w:t>括在内，调整各资产组的账面价值，然后将调整后的各资产组账面价值与其可收回金额进行比较，以确定</w:t>
      </w:r>
      <w:r>
        <w:rPr>
          <w:spacing w:val="-83"/>
        </w:rPr>
        <w:t> </w:t>
      </w:r>
      <w:r>
        <w:rPr>
          <w:spacing w:val="-83"/>
        </w:rPr>
      </w:r>
      <w:r>
        <w:rPr/>
        <w:t>各资产组（包括商誉）是否发生了减值。</w:t>
      </w:r>
    </w:p>
    <w:p>
      <w:pPr>
        <w:pStyle w:val="Heading6"/>
        <w:spacing w:line="264" w:lineRule="auto"/>
        <w:ind w:right="1130" w:firstLine="475"/>
        <w:jc w:val="both"/>
      </w:pPr>
      <w:r>
        <w:rPr>
          <w:spacing w:val="-2"/>
        </w:rPr>
        <w:t>本公司聘请了沃克森（北京）国际资产评估有限公司，对进行商誉减值测试所涉及的包含商誉资产组</w:t>
      </w:r>
      <w:r>
        <w:rPr/>
        <w:t> 在基准日（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日）的可回收金额进行了测试，并于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日分别出具了商誉减值测试报</w:t>
      </w:r>
      <w:r>
        <w:rPr>
          <w:spacing w:val="-33"/>
        </w:rPr>
        <w:t> </w:t>
      </w:r>
      <w:r>
        <w:rPr>
          <w:spacing w:val="-33"/>
        </w:rPr>
      </w:r>
      <w:r>
        <w:rPr/>
        <w:t>告。</w:t>
      </w:r>
    </w:p>
    <w:p>
      <w:pPr>
        <w:pStyle w:val="Heading6"/>
        <w:spacing w:line="273" w:lineRule="auto" w:before="16"/>
        <w:ind w:right="1131" w:firstLine="475"/>
        <w:jc w:val="both"/>
      </w:pPr>
      <w:r>
        <w:rPr>
          <w:spacing w:val="-2"/>
        </w:rPr>
        <w:t>在预计可回收金额时，采用了与商誉有关的资产组组合来预计未来现金流量现值。根据资产组的过往</w:t>
      </w:r>
      <w:r>
        <w:rPr/>
        <w:t> </w:t>
      </w:r>
      <w:r>
        <w:rPr>
          <w:spacing w:val="-1"/>
        </w:rPr>
        <w:t>表现及未来经营的预期，对资产组未来现金流量做出估计，并按照税前折现率折现后计算资产组的可收回</w:t>
      </w:r>
      <w:r>
        <w:rPr>
          <w:spacing w:val="-81"/>
        </w:rPr>
        <w:t> </w:t>
      </w:r>
      <w:r>
        <w:rPr>
          <w:spacing w:val="-81"/>
        </w:rPr>
      </w:r>
      <w:r>
        <w:rPr/>
        <w:t>价值。</w:t>
      </w:r>
    </w:p>
    <w:p>
      <w:pPr>
        <w:pStyle w:val="Heading6"/>
        <w:spacing w:line="256" w:lineRule="auto"/>
        <w:ind w:right="1130" w:firstLine="475"/>
        <w:jc w:val="both"/>
      </w:pPr>
      <w:r>
        <w:rPr>
          <w:spacing w:val="-3"/>
        </w:rPr>
        <w:t>经沃克森（北京）国际资产评估有限公司对该商誉评估（税前折现率为</w:t>
      </w:r>
      <w:r>
        <w:rPr>
          <w:rFonts w:ascii="Times New Roman" w:hAnsi="Times New Roman" w:cs="Times New Roman" w:eastAsia="Times New Roman" w:hint="default"/>
          <w:color w:val="FF0000"/>
          <w:spacing w:val="-3"/>
        </w:rPr>
        <w:t>15.21%</w:t>
      </w:r>
      <w:r>
        <w:rPr>
          <w:spacing w:val="-3"/>
        </w:rPr>
        <w:t>），并出具了《估值报</w:t>
      </w:r>
      <w:r>
        <w:rPr/>
        <w:t> 告书》（沃克森咨报字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0499</w:t>
      </w:r>
      <w:r>
        <w:rPr/>
        <w:t>号），本期末因收购东星视讯的商誉不存在减值。</w:t>
      </w:r>
    </w:p>
    <w:p>
      <w:pPr>
        <w:pStyle w:val="Heading6"/>
        <w:spacing w:line="256" w:lineRule="auto" w:before="5"/>
        <w:ind w:right="1130" w:firstLine="475"/>
        <w:jc w:val="both"/>
      </w:pPr>
      <w:r>
        <w:rPr>
          <w:spacing w:val="-3"/>
        </w:rPr>
        <w:t>经沃克森（北京）国际资产评估有限公司对该商誉评估（税前折现率为</w:t>
      </w:r>
      <w:r>
        <w:rPr>
          <w:rFonts w:ascii="Times New Roman" w:hAnsi="Times New Roman" w:cs="Times New Roman" w:eastAsia="Times New Roman" w:hint="default"/>
          <w:color w:val="FF0000"/>
          <w:spacing w:val="-3"/>
        </w:rPr>
        <w:t>15.93%</w:t>
      </w:r>
      <w:r>
        <w:rPr>
          <w:spacing w:val="-3"/>
        </w:rPr>
        <w:t>），并出具了《估值报</w:t>
      </w:r>
      <w:r>
        <w:rPr/>
        <w:t> 告书》（沃克森咨报字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0497</w:t>
      </w:r>
      <w:r>
        <w:rPr/>
        <w:t>号），本期末因收购卓越资产组形成的商誉不存在减值。</w:t>
      </w:r>
    </w:p>
    <w:p>
      <w:pPr>
        <w:pStyle w:val="Heading6"/>
        <w:spacing w:line="256" w:lineRule="auto" w:before="5"/>
        <w:ind w:right="1130" w:firstLine="475"/>
        <w:jc w:val="both"/>
      </w:pPr>
      <w:r>
        <w:rPr>
          <w:spacing w:val="-3"/>
        </w:rPr>
        <w:t>经沃克森（北京）国际资产评估有限公司对该商誉评估（税前折现率为</w:t>
      </w:r>
      <w:r>
        <w:rPr>
          <w:rFonts w:ascii="Times New Roman" w:hAnsi="Times New Roman" w:cs="Times New Roman" w:eastAsia="Times New Roman" w:hint="default"/>
          <w:color w:val="FF0000"/>
          <w:spacing w:val="-3"/>
        </w:rPr>
        <w:t>14.74%</w:t>
      </w:r>
      <w:r>
        <w:rPr>
          <w:spacing w:val="-3"/>
        </w:rPr>
        <w:t>），并出具了《估值报</w:t>
      </w:r>
      <w:r>
        <w:rPr/>
        <w:t> 告书》（沃克森咨报字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0496</w:t>
      </w:r>
      <w:r>
        <w:rPr/>
        <w:t>号），本期末因反向收购形成的商誉不存在减值。</w:t>
      </w:r>
    </w:p>
    <w:p>
      <w:pPr>
        <w:pStyle w:val="Heading6"/>
        <w:spacing w:line="256" w:lineRule="auto" w:before="5"/>
        <w:ind w:right="1130" w:firstLine="475"/>
        <w:jc w:val="both"/>
      </w:pPr>
      <w:r>
        <w:rPr>
          <w:spacing w:val="-3"/>
        </w:rPr>
        <w:t>经沃克森（北京）国际资产评估有限公司对该商誉评估（税前折现率为</w:t>
      </w:r>
      <w:r>
        <w:rPr>
          <w:rFonts w:ascii="Times New Roman" w:hAnsi="Times New Roman" w:cs="Times New Roman" w:eastAsia="Times New Roman" w:hint="default"/>
          <w:color w:val="FF0000"/>
          <w:spacing w:val="-3"/>
        </w:rPr>
        <w:t>10.88%</w:t>
      </w:r>
      <w:r>
        <w:rPr>
          <w:spacing w:val="-3"/>
        </w:rPr>
        <w:t>），并出具了《估值报</w:t>
      </w:r>
      <w:r>
        <w:rPr/>
        <w:t> 告书》（沃克森咨报字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0498</w:t>
      </w:r>
      <w:r>
        <w:rPr/>
        <w:t>号），本期末因收购</w:t>
      </w:r>
      <w:r>
        <w:rPr>
          <w:rFonts w:ascii="Times New Roman" w:hAnsi="Times New Roman" w:cs="Times New Roman" w:eastAsia="Times New Roman" w:hint="default"/>
        </w:rPr>
        <w:t>500PX</w:t>
      </w:r>
      <w:r>
        <w:rPr/>
        <w:t>的商誉不存在减值。</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2"/>
          <w:szCs w:val="32"/>
        </w:rPr>
      </w:pPr>
    </w:p>
    <w:p>
      <w:pPr>
        <w:pStyle w:val="Heading5"/>
        <w:spacing w:line="240" w:lineRule="auto"/>
        <w:ind w:right="0"/>
        <w:jc w:val="left"/>
        <w:rPr>
          <w:b w:val="0"/>
          <w:bCs w:val="0"/>
        </w:rPr>
      </w:pPr>
      <w:bookmarkStart w:name="14、长期待摊费用" w:id="249"/>
      <w:bookmarkEnd w:id="249"/>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6,308,470.23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2,373,487.15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1,699,440.52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6,982,516.86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6,308,470.23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2,373,487.15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1,699,440.52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6,982,516.86</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5、递延所得税资产/递延所得税负债" w:id="250"/>
      <w:bookmarkEnd w:id="250"/>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251"/>
      <w:bookmarkEnd w:id="25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17,732,335.61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2,944,401.14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14,718,913.41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2,396,688.75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129,834.47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32,458.62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17,862,170.08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2,976,859.76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14,718,913.41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2,396,688.75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252"/>
      <w:bookmarkEnd w:id="25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40,183,640.34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4,622,122.79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firstLine="90"/>
              <w:jc w:val="left"/>
              <w:rPr>
                <w:rFonts w:ascii="宋体" w:hAnsi="宋体" w:cs="宋体" w:eastAsia="宋体" w:hint="default"/>
                <w:sz w:val="18"/>
                <w:szCs w:val="18"/>
              </w:rPr>
            </w:pPr>
            <w:r>
              <w:rPr>
                <w:rFonts w:ascii="宋体" w:hAnsi="宋体" w:cs="宋体" w:eastAsia="宋体" w:hint="default"/>
                <w:sz w:val="18"/>
                <w:szCs w:val="18"/>
              </w:rPr>
              <w:t>非同一控制下企业合 并东星形成的无形资产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322,580.62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80,645.16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580,645.14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145,161.29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40,506,220.96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4,702,767.95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580,645.14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145,161.29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未确认递延所得税资产明细" w:id="253"/>
      <w:bookmarkEnd w:id="253"/>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3,256,677.12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3,551,787.48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258,831,364.22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139,713,577.72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262,088,041.34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143,265,365.20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的可抵扣亏损将于以下年度到期" w:id="254"/>
      <w:bookmarkEnd w:id="254"/>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341,781.84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35,893,690.31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28,553,423.04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36,235,472.15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75,057,685.82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28,470,727.30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118,984,783.22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75,007,378.27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258,831,364.23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139,713,577.72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6、其他非流动资产" w:id="255"/>
      <w:bookmarkEnd w:id="255"/>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预付用友软件实施款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235,849.06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Corbis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图片素材</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540,782,182.85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515,349,431.97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预付的投资款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减：一年内到期部分（见附注七、</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622,018,031.91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807,849,431.97</w:t>
            </w:r>
          </w:p>
        </w:tc>
      </w:tr>
    </w:tbl>
    <w:p>
      <w:pPr>
        <w:pStyle w:val="BodyText"/>
        <w:spacing w:line="240" w:lineRule="auto" w:before="51"/>
        <w:ind w:right="0"/>
        <w:jc w:val="left"/>
      </w:pPr>
      <w:r>
        <w:rPr/>
        <w:t>其他说明：</w:t>
      </w:r>
    </w:p>
    <w:p>
      <w:pPr>
        <w:pStyle w:val="Heading4"/>
        <w:spacing w:line="430" w:lineRule="atLeast" w:before="37"/>
        <w:ind w:left="595" w:right="1122"/>
        <w:jc w:val="left"/>
      </w:pPr>
      <w:r>
        <w:rPr/>
        <w:t>注</w:t>
      </w:r>
      <w:r>
        <w:rPr>
          <w:rFonts w:ascii="Times New Roman" w:hAnsi="Times New Roman" w:cs="Times New Roman" w:eastAsia="Times New Roman" w:hint="default"/>
        </w:rPr>
        <w:t>1</w:t>
      </w:r>
      <w:r>
        <w:rPr/>
        <w:t>：预付投资款系支付富银消费金融有限责任公司投资款。</w:t>
      </w:r>
      <w:r>
        <w:rPr>
          <w:w w:val="99"/>
        </w:rPr>
        <w:t> </w:t>
      </w:r>
      <w:r>
        <w:rPr>
          <w:spacing w:val="-1"/>
        </w:rPr>
        <w:t>注</w:t>
      </w:r>
      <w:r>
        <w:rPr>
          <w:rFonts w:ascii="Times New Roman" w:hAnsi="Times New Roman" w:cs="Times New Roman" w:eastAsia="Times New Roman" w:hint="default"/>
          <w:spacing w:val="-1"/>
        </w:rPr>
        <w:t>2</w:t>
      </w:r>
      <w:r>
        <w:rPr>
          <w:spacing w:val="-1"/>
        </w:rPr>
        <w:t>：经沃克森（北京）国际资产评估有限公司对使用寿命不确定的</w:t>
      </w:r>
      <w:r>
        <w:rPr>
          <w:rFonts w:ascii="Times New Roman" w:hAnsi="Times New Roman" w:cs="Times New Roman" w:eastAsia="Times New Roman" w:hint="default"/>
          <w:spacing w:val="-1"/>
        </w:rPr>
        <w:t>"Corbis</w:t>
      </w:r>
      <w:r>
        <w:rPr>
          <w:spacing w:val="-1"/>
        </w:rPr>
        <w:t>图片素材</w:t>
      </w:r>
      <w:r>
        <w:rPr>
          <w:rFonts w:ascii="Times New Roman" w:hAnsi="Times New Roman" w:cs="Times New Roman" w:eastAsia="Times New Roman" w:hint="default"/>
          <w:spacing w:val="-1"/>
        </w:rPr>
        <w:t>"</w:t>
      </w:r>
      <w:r>
        <w:rPr>
          <w:spacing w:val="-1"/>
        </w:rPr>
        <w:t>进行减值测</w:t>
      </w:r>
    </w:p>
    <w:p>
      <w:pPr>
        <w:pStyle w:val="Heading4"/>
        <w:spacing w:line="247" w:lineRule="auto" w:before="7"/>
        <w:ind w:right="1118"/>
        <w:jc w:val="left"/>
      </w:pPr>
      <w:r>
        <w:rPr>
          <w:spacing w:val="-2"/>
        </w:rPr>
        <w:t>试，并出具了《估值报告书》（沃克森咨报字</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0490</w:t>
      </w:r>
      <w:r>
        <w:rPr>
          <w:spacing w:val="-2"/>
        </w:rPr>
        <w:t>号），经测试本期末</w:t>
      </w:r>
      <w:r>
        <w:rPr>
          <w:rFonts w:ascii="Times New Roman" w:hAnsi="Times New Roman" w:cs="Times New Roman" w:eastAsia="Times New Roman" w:hint="default"/>
          <w:spacing w:val="-2"/>
        </w:rPr>
        <w:t>"Corbis</w:t>
      </w:r>
      <w:r>
        <w:rPr>
          <w:spacing w:val="-2"/>
        </w:rPr>
        <w:t>图片素材</w:t>
      </w:r>
      <w:r>
        <w:rPr>
          <w:rFonts w:ascii="Times New Roman" w:hAnsi="Times New Roman" w:cs="Times New Roman" w:eastAsia="Times New Roman" w:hint="default"/>
          <w:spacing w:val="-2"/>
        </w:rPr>
        <w:t>"</w:t>
      </w:r>
      <w:r>
        <w:rPr>
          <w:spacing w:val="-2"/>
        </w:rPr>
        <w:t>不存</w:t>
      </w:r>
      <w:r>
        <w:rPr>
          <w:spacing w:val="-98"/>
        </w:rPr>
        <w:t> </w:t>
      </w:r>
      <w:r>
        <w:rPr/>
        <w:t>在减值。</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83"/>
        <w:ind w:right="0"/>
        <w:jc w:val="left"/>
        <w:rPr>
          <w:b w:val="0"/>
          <w:bCs w:val="0"/>
        </w:rPr>
      </w:pPr>
      <w:bookmarkStart w:name="17、 其他关联交易" w:id="256"/>
      <w:bookmarkEnd w:id="256"/>
      <w:r>
        <w:rPr>
          <w:b w:val="0"/>
          <w:bCs w:val="0"/>
        </w:rPr>
      </w:r>
      <w:r>
        <w:rPr>
          <w:rFonts w:ascii="Times New Roman" w:hAnsi="Times New Roman" w:cs="Times New Roman" w:eastAsia="Times New Roman" w:hint="default"/>
        </w:rPr>
        <w:t>17</w:t>
      </w:r>
      <w:r>
        <w:rPr/>
        <w:t>、</w:t>
      </w:r>
      <w:r>
        <w:rPr>
          <w:spacing w:val="-2"/>
        </w:rPr>
        <w:t> </w:t>
      </w:r>
      <w:r>
        <w:rPr/>
        <w:t>其他关联交易</w:t>
      </w:r>
      <w:r>
        <w:rPr>
          <w:b w:val="0"/>
          <w:bCs w:val="0"/>
        </w:rPr>
      </w:r>
    </w:p>
    <w:p>
      <w:pPr>
        <w:spacing w:line="240" w:lineRule="auto" w:before="12"/>
        <w:rPr>
          <w:rFonts w:ascii="宋体" w:hAnsi="宋体" w:cs="宋体" w:eastAsia="宋体" w:hint="default"/>
          <w:b/>
          <w:bCs/>
          <w:sz w:val="23"/>
          <w:szCs w:val="23"/>
        </w:rPr>
      </w:pPr>
    </w:p>
    <w:p>
      <w:pPr>
        <w:pStyle w:val="Heading4"/>
        <w:spacing w:line="244" w:lineRule="auto" w:before="0"/>
        <w:ind w:right="1017" w:firstLine="439"/>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日，本公司第八届董事会第三十九次会议审议通过了《关于转让亿迅资产组股权暨</w:t>
      </w:r>
      <w:r>
        <w:rPr>
          <w:spacing w:val="1"/>
          <w:w w:val="99"/>
        </w:rPr>
        <w:t> </w:t>
      </w:r>
      <w:r>
        <w:rPr/>
        <w:t>关联交易的议案》，该议案于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日经公司</w:t>
      </w:r>
      <w:r>
        <w:rPr>
          <w:rFonts w:ascii="Times New Roman" w:hAnsi="Times New Roman" w:cs="Times New Roman" w:eastAsia="Times New Roman" w:hint="default"/>
        </w:rPr>
        <w:t>2018</w:t>
      </w:r>
      <w:r>
        <w:rPr/>
        <w:t>年第三次临时股东大会审议通过。本公司之</w:t>
      </w:r>
      <w:r>
        <w:rPr>
          <w:w w:val="99"/>
        </w:rPr>
        <w:t> </w:t>
      </w:r>
      <w:r>
        <w:rPr/>
        <w:t>子公司常州远东文化产业有限公司及视觉中国香港有限公司与</w:t>
      </w:r>
      <w:r>
        <w:rPr>
          <w:rFonts w:ascii="Times New Roman" w:hAnsi="Times New Roman" w:cs="Times New Roman" w:eastAsia="Times New Roman" w:hint="default"/>
        </w:rPr>
        <w:t>GoldInsightInvestmentsLimited</w:t>
      </w:r>
      <w:r>
        <w:rPr/>
        <w:t>签订</w:t>
      </w:r>
      <w:r>
        <w:rPr>
          <w:rFonts w:ascii="Times New Roman" w:hAnsi="Times New Roman" w:cs="Times New Roman" w:eastAsia="Times New Roman" w:hint="default"/>
        </w:rPr>
        <w:t>“</w:t>
      </w:r>
      <w:r>
        <w:rPr/>
        <w:t>股</w:t>
      </w:r>
      <w:r>
        <w:rPr>
          <w:w w:val="99"/>
        </w:rPr>
        <w:t> </w:t>
      </w:r>
      <w:r>
        <w:rPr>
          <w:spacing w:val="-1"/>
        </w:rPr>
        <w:t>权转让协议</w:t>
      </w:r>
      <w:r>
        <w:rPr>
          <w:rFonts w:ascii="Times New Roman" w:hAnsi="Times New Roman" w:cs="Times New Roman" w:eastAsia="Times New Roman" w:hint="default"/>
          <w:spacing w:val="-1"/>
        </w:rPr>
        <w:t>”</w:t>
      </w:r>
      <w:r>
        <w:rPr>
          <w:spacing w:val="-1"/>
        </w:rPr>
        <w:t>，常州远东文化产业有限公司及视觉中国香港有限公司将其所持亿迅信息技术有限公司、</w:t>
      </w:r>
      <w:r>
        <w:rPr>
          <w:w w:val="99"/>
        </w:rPr>
        <w:t> </w:t>
      </w:r>
      <w:r>
        <w:rPr/>
        <w:t>宝东信息技术有限公司、</w:t>
      </w:r>
      <w:r>
        <w:rPr>
          <w:rFonts w:ascii="Times New Roman" w:hAnsi="Times New Roman" w:cs="Times New Roman" w:eastAsia="Times New Roman" w:hint="default"/>
        </w:rPr>
        <w:t>eSOONChinaLimited</w:t>
      </w:r>
      <w:r>
        <w:rPr/>
        <w:t>、</w:t>
      </w:r>
      <w:r>
        <w:rPr>
          <w:rFonts w:ascii="Times New Roman" w:hAnsi="Times New Roman" w:cs="Times New Roman" w:eastAsia="Times New Roman" w:hint="default"/>
        </w:rPr>
        <w:t>DataToolChinaLimited</w:t>
      </w:r>
      <w:r>
        <w:rPr/>
        <w:t>、</w:t>
      </w:r>
      <w:r>
        <w:rPr>
          <w:rFonts w:ascii="Times New Roman" w:hAnsi="Times New Roman" w:cs="Times New Roman" w:eastAsia="Times New Roman" w:hint="default"/>
        </w:rPr>
        <w:t>DataToolHongKongLimited</w:t>
      </w:r>
      <w:r>
        <w:rPr/>
        <w:t>的</w:t>
      </w:r>
      <w:r>
        <w:rPr>
          <w:w w:val="99"/>
        </w:rPr>
        <w:t> </w:t>
      </w:r>
      <w:r>
        <w:rPr/>
        <w:t>全部股权（各家均为</w:t>
      </w:r>
      <w:r>
        <w:rPr>
          <w:rFonts w:ascii="Times New Roman" w:hAnsi="Times New Roman" w:cs="Times New Roman" w:eastAsia="Times New Roman" w:hint="default"/>
        </w:rPr>
        <w:t>76.623%</w:t>
      </w:r>
      <w:r>
        <w:rPr/>
        <w:t>）作价</w:t>
      </w:r>
      <w:r>
        <w:rPr>
          <w:rFonts w:ascii="Times New Roman" w:hAnsi="Times New Roman" w:cs="Times New Roman" w:eastAsia="Times New Roman" w:hint="default"/>
        </w:rPr>
        <w:t>21,684.97</w:t>
      </w:r>
      <w:r>
        <w:rPr/>
        <w:t>万元转让给</w:t>
      </w:r>
      <w:r>
        <w:rPr>
          <w:rFonts w:ascii="Times New Roman" w:hAnsi="Times New Roman" w:cs="Times New Roman" w:eastAsia="Times New Roman" w:hint="default"/>
        </w:rPr>
        <w:t>GoldInsightInvestmentsLimited</w:t>
      </w:r>
      <w:r>
        <w:rPr/>
        <w:t>。该股权转让</w:t>
      </w:r>
      <w:r>
        <w:rPr>
          <w:w w:val="99"/>
        </w:rPr>
        <w:t> </w:t>
      </w:r>
      <w:r>
        <w:rPr/>
        <w:t>协议约定股权转让款分三期收取，截至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日尚未收取的余款为</w:t>
      </w:r>
      <w:r>
        <w:rPr>
          <w:rFonts w:ascii="Times New Roman" w:hAnsi="Times New Roman" w:cs="Times New Roman" w:eastAsia="Times New Roman" w:hint="default"/>
        </w:rPr>
        <w:t>85,953,344.43</w:t>
      </w:r>
      <w:r>
        <w:rPr/>
        <w:t>元，股权转让</w:t>
      </w:r>
      <w:r>
        <w:rPr>
          <w:w w:val="99"/>
        </w:rPr>
        <w:t> </w:t>
      </w:r>
      <w:r>
        <w:rPr/>
        <w:t>协议约定受让方应于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日前支付。</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68"/>
        <w:ind w:right="0"/>
        <w:jc w:val="left"/>
        <w:rPr>
          <w:b w:val="0"/>
          <w:bCs w:val="0"/>
        </w:rPr>
      </w:pPr>
      <w:bookmarkStart w:name="18、 资产减值准备明细表" w:id="257"/>
      <w:bookmarkEnd w:id="257"/>
      <w:r>
        <w:rPr>
          <w:b w:val="0"/>
          <w:bCs w:val="0"/>
        </w:rPr>
      </w:r>
      <w:r>
        <w:rPr>
          <w:rFonts w:ascii="Times New Roman" w:hAnsi="Times New Roman" w:cs="Times New Roman" w:eastAsia="Times New Roman" w:hint="default"/>
        </w:rPr>
        <w:t>18</w:t>
      </w:r>
      <w:r>
        <w:rPr/>
        <w:t>、</w:t>
      </w:r>
      <w:r>
        <w:rPr>
          <w:spacing w:val="-4"/>
        </w:rPr>
        <w:t> </w:t>
      </w:r>
      <w:r>
        <w:rPr/>
        <w:t>资产减值准备明细表</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521"/>
        <w:gridCol w:w="1520"/>
        <w:gridCol w:w="1522"/>
        <w:gridCol w:w="1520"/>
        <w:gridCol w:w="1524"/>
        <w:gridCol w:w="1522"/>
      </w:tblGrid>
      <w:tr>
        <w:trPr>
          <w:trHeight w:val="355" w:hRule="exact"/>
        </w:trPr>
        <w:tc>
          <w:tcPr>
            <w:tcW w:w="152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567"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93" w:right="0"/>
              <w:jc w:val="left"/>
              <w:rPr>
                <w:rFonts w:ascii="宋体" w:hAnsi="宋体" w:cs="宋体" w:eastAsia="宋体" w:hint="default"/>
                <w:sz w:val="18"/>
                <w:szCs w:val="18"/>
              </w:rPr>
            </w:pPr>
            <w:r>
              <w:rPr>
                <w:rFonts w:ascii="宋体" w:hAnsi="宋体" w:cs="宋体" w:eastAsia="宋体" w:hint="default"/>
                <w:sz w:val="18"/>
                <w:szCs w:val="18"/>
              </w:rPr>
              <w:t>本期减少</w:t>
            </w:r>
          </w:p>
        </w:tc>
      </w:tr>
      <w:tr>
        <w:trPr>
          <w:trHeight w:val="352" w:hRule="exact"/>
        </w:trPr>
        <w:tc>
          <w:tcPr>
            <w:tcW w:w="1521" w:type="dxa"/>
            <w:vMerge/>
            <w:tcBorders>
              <w:left w:val="single" w:sz="6" w:space="0" w:color="000000"/>
              <w:bottom w:val="single" w:sz="12" w:space="0" w:color="000000"/>
              <w:right w:val="single" w:sz="6" w:space="0" w:color="000000"/>
            </w:tcBorders>
          </w:tcPr>
          <w:p>
            <w:pPr/>
          </w:p>
        </w:tc>
        <w:tc>
          <w:tcPr>
            <w:tcW w:w="1520" w:type="dxa"/>
            <w:vMerge/>
            <w:tcBorders>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sz w:val="18"/>
                <w:szCs w:val="18"/>
              </w:rPr>
              <w:t>计提数</w:t>
            </w: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合并范围变动</w:t>
            </w:r>
          </w:p>
        </w:tc>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3" w:right="0"/>
              <w:jc w:val="left"/>
              <w:rPr>
                <w:rFonts w:ascii="宋体" w:hAnsi="宋体" w:cs="宋体" w:eastAsia="宋体" w:hint="default"/>
                <w:sz w:val="18"/>
                <w:szCs w:val="18"/>
              </w:rPr>
            </w:pPr>
            <w:r>
              <w:rPr>
                <w:rFonts w:ascii="宋体" w:hAnsi="宋体" w:cs="宋体" w:eastAsia="宋体" w:hint="default"/>
                <w:sz w:val="18"/>
                <w:szCs w:val="18"/>
              </w:rPr>
              <w:t>增加合计</w:t>
            </w:r>
          </w:p>
        </w:tc>
        <w:tc>
          <w:tcPr>
            <w:tcW w:w="15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本期转回或收回</w:t>
            </w:r>
          </w:p>
        </w:tc>
      </w:tr>
      <w:tr>
        <w:trPr>
          <w:trHeight w:val="353" w:hRule="exact"/>
        </w:trPr>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18,270,700.89</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0" w:right="0"/>
              <w:jc w:val="left"/>
              <w:rPr>
                <w:rFonts w:ascii="Times New Roman" w:hAnsi="Times New Roman" w:cs="Times New Roman" w:eastAsia="Times New Roman" w:hint="default"/>
                <w:sz w:val="18"/>
                <w:szCs w:val="18"/>
              </w:rPr>
            </w:pPr>
            <w:r>
              <w:rPr>
                <w:rFonts w:ascii="Times New Roman"/>
                <w:sz w:val="18"/>
              </w:rPr>
              <w:t>17,266,739.29</w:t>
            </w:r>
          </w:p>
        </w:tc>
        <w:tc>
          <w:tcPr>
            <w:tcW w:w="1520"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17,266,739.29</w:t>
            </w:r>
          </w:p>
        </w:tc>
        <w:tc>
          <w:tcPr>
            <w:tcW w:w="15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360,000.00</w:t>
            </w:r>
          </w:p>
        </w:tc>
      </w:tr>
      <w:tr>
        <w:trPr>
          <w:trHeight w:val="352" w:hRule="exact"/>
        </w:trPr>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18,270,700.89</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0" w:right="0"/>
              <w:jc w:val="left"/>
              <w:rPr>
                <w:rFonts w:ascii="Times New Roman" w:hAnsi="Times New Roman" w:cs="Times New Roman" w:eastAsia="Times New Roman" w:hint="default"/>
                <w:sz w:val="18"/>
                <w:szCs w:val="18"/>
              </w:rPr>
            </w:pPr>
            <w:r>
              <w:rPr>
                <w:rFonts w:ascii="Times New Roman"/>
                <w:sz w:val="18"/>
              </w:rPr>
              <w:t>17,266,739.29</w:t>
            </w:r>
          </w:p>
        </w:tc>
        <w:tc>
          <w:tcPr>
            <w:tcW w:w="1520"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17,266,739.29</w:t>
            </w:r>
          </w:p>
        </w:tc>
        <w:tc>
          <w:tcPr>
            <w:tcW w:w="15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4"/>
        <w:rPr>
          <w:rFonts w:ascii="宋体" w:hAnsi="宋体" w:cs="宋体" w:eastAsia="宋体" w:hint="default"/>
          <w:b/>
          <w:bCs/>
          <w:sz w:val="24"/>
          <w:szCs w:val="24"/>
        </w:rPr>
      </w:pPr>
    </w:p>
    <w:p>
      <w:pPr>
        <w:pStyle w:val="Heading4"/>
        <w:spacing w:line="240" w:lineRule="auto"/>
        <w:ind w:left="595" w:right="0"/>
        <w:jc w:val="left"/>
      </w:pPr>
      <w:r>
        <w:rPr>
          <w:w w:val="99"/>
        </w:rPr>
        <w:t>续</w:t>
      </w:r>
      <w:r>
        <w:rPr/>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521"/>
        <w:gridCol w:w="1520"/>
        <w:gridCol w:w="1522"/>
        <w:gridCol w:w="1520"/>
        <w:gridCol w:w="1524"/>
        <w:gridCol w:w="1522"/>
      </w:tblGrid>
      <w:tr>
        <w:trPr>
          <w:trHeight w:val="355" w:hRule="exact"/>
        </w:trPr>
        <w:tc>
          <w:tcPr>
            <w:tcW w:w="152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87" w:type="dxa"/>
            <w:gridSpan w:val="4"/>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22" w:type="dxa"/>
            <w:vMerge w:val="restart"/>
            <w:tcBorders>
              <w:top w:val="single" w:sz="6" w:space="0" w:color="000000"/>
              <w:left w:val="single" w:sz="6" w:space="0" w:color="000000"/>
              <w:right w:val="nil" w:sz="6" w:space="0" w:color="auto"/>
            </w:tcBorders>
          </w:tcPr>
          <w:p>
            <w:pPr>
              <w:pStyle w:val="TableParagraph"/>
              <w:spacing w:line="240" w:lineRule="auto" w:before="21"/>
              <w:ind w:left="39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3" w:hRule="exact"/>
        </w:trPr>
        <w:tc>
          <w:tcPr>
            <w:tcW w:w="1521" w:type="dxa"/>
            <w:vMerge/>
            <w:tcBorders>
              <w:left w:val="single" w:sz="6" w:space="0" w:color="000000"/>
              <w:bottom w:val="single" w:sz="12" w:space="0" w:color="000000"/>
              <w:right w:val="single" w:sz="6" w:space="0" w:color="000000"/>
            </w:tcBorders>
          </w:tcPr>
          <w:p>
            <w:pP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合并报表变动</w:t>
            </w:r>
          </w:p>
        </w:tc>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本期减少合计</w:t>
            </w:r>
          </w:p>
        </w:tc>
        <w:tc>
          <w:tcPr>
            <w:tcW w:w="1522" w:type="dxa"/>
            <w:vMerge/>
            <w:tcBorders>
              <w:left w:val="single" w:sz="6" w:space="0" w:color="000000"/>
              <w:bottom w:val="single" w:sz="12" w:space="0" w:color="000000"/>
              <w:right w:val="nil" w:sz="6" w:space="0" w:color="auto"/>
            </w:tcBorders>
          </w:tcPr>
          <w:p>
            <w:pPr/>
          </w:p>
        </w:tc>
      </w:tr>
      <w:tr>
        <w:trPr>
          <w:trHeight w:val="352" w:hRule="exact"/>
        </w:trPr>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5,373,462.40</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-218,832.54</w:t>
            </w:r>
            <w:r>
              <w:rPr>
                <w:rFonts w:ascii="Times New Roman"/>
                <w:sz w:val="18"/>
              </w:rPr>
            </w: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9,033,797.59</w:t>
            </w:r>
          </w:p>
        </w:tc>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14,548,427.45</w:t>
            </w:r>
          </w:p>
        </w:tc>
        <w:tc>
          <w:tcPr>
            <w:tcW w:w="15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20,989,012.73</w:t>
            </w:r>
          </w:p>
        </w:tc>
      </w:tr>
      <w:tr>
        <w:trPr>
          <w:trHeight w:val="352" w:hRule="exact"/>
        </w:trPr>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5,373,462.40</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-218,832.54</w:t>
            </w:r>
            <w:r>
              <w:rPr>
                <w:rFonts w:ascii="Times New Roman"/>
                <w:sz w:val="18"/>
              </w:rPr>
            </w:r>
          </w:p>
        </w:tc>
        <w:tc>
          <w:tcPr>
            <w:tcW w:w="15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9,033,797.59</w:t>
            </w:r>
          </w:p>
        </w:tc>
        <w:tc>
          <w:tcPr>
            <w:tcW w:w="1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14,548,427.45</w:t>
            </w:r>
          </w:p>
        </w:tc>
        <w:tc>
          <w:tcPr>
            <w:tcW w:w="15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20,989,012.73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19、短期借款" w:id="258"/>
      <w:bookmarkEnd w:id="258"/>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259"/>
      <w:bookmarkEnd w:id="25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77,526,476.53</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127,629,116.17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100,144,728.07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177,671,204.60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157,629,116.17</w:t>
            </w:r>
          </w:p>
        </w:tc>
      </w:tr>
    </w:tbl>
    <w:p>
      <w:pPr>
        <w:pStyle w:val="BodyText"/>
        <w:spacing w:line="357" w:lineRule="auto" w:before="51"/>
        <w:ind w:right="5802"/>
        <w:jc w:val="left"/>
      </w:pPr>
      <w:r>
        <w:rPr/>
        <w:t>短期借款分类的说明： 注：保证借款系本公司与子公司之间担保，详见附注十二、</w:t>
      </w:r>
      <w:r>
        <w:rPr>
          <w:rFonts w:ascii="Times New Roman" w:hAnsi="Times New Roman" w:cs="Times New Roman" w:eastAsia="Times New Roman" w:hint="default"/>
        </w:rPr>
        <w:t>5</w:t>
      </w:r>
      <w:r>
        <w:rPr/>
        <w:t>。</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bookmarkStart w:name="20、应付票据及应付账款" w:id="260"/>
      <w:bookmarkEnd w:id="260"/>
      <w:r>
        <w:rPr>
          <w:b w:val="0"/>
          <w:bCs w:val="0"/>
        </w:rPr>
      </w:r>
      <w:r>
        <w:rPr>
          <w:rFonts w:ascii="Times New Roman" w:hAnsi="Times New Roman" w:cs="Times New Roman" w:eastAsia="Times New Roman" w:hint="default"/>
        </w:rPr>
        <w:t>20</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140,826,664.50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185,249,437.31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140,826,664.50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185,249,437.31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付账款列示" w:id="261"/>
      <w:bookmarkEnd w:id="26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122,548,683.15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167,616,359.79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15,462,825.77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15,463,901.24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1,934,863.10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1,995,682.13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880,292.48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173,494.15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140,826,664.50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185,249,437.31</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262"/>
      <w:bookmarkEnd w:id="26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1、预收款项" w:id="263"/>
      <w:bookmarkEnd w:id="263"/>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264"/>
      <w:bookmarkEnd w:id="26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125,764,574.02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85,619,010.67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6,276,471.44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16,597,228.90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2,961,507.62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1,497,658.71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1,243,101.65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738,467.12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136,245,654.73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104,452,365.40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265"/>
      <w:bookmarkEnd w:id="26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南通濠河旅游园景建设有限公司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1,267,924.49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未交付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青岛酷特智能股份有限公司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未交付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九江银行股份有限公司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未交付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北京优虎商务服务有限公司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249,279.00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未交付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挂号网</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206,840.00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未交付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2,894,043.49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2、应付职工薪酬" w:id="266"/>
      <w:bookmarkEnd w:id="266"/>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267"/>
      <w:bookmarkEnd w:id="26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12,327,102.56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138,633,483.76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135,698,281.65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15,262,304.67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340,553.86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10,379,006.86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10,380,556.23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339,004.49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1,340,614.48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1,340,614.48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12,667,656.42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150,353,105.10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147,419,452.36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15,601,309.16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短期薪酬列示" w:id="268"/>
      <w:bookmarkEnd w:id="26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12,025,441.94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122,528,650.98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119,523,923.79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15,030,169.13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1,948,815.02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1,993,655.02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162,057.33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6,939,893.96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6,912,347.19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189,604.10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146,655.69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6,206,533.79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6,182,663.32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170,526.16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208,099.01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207,805.35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4,653.97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525,261.16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521,878.52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14,423.97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94,343.29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7,192,681.42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7,249,310.63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37,714.08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23,442.38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19,045.02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4,397.36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12,327,102.56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138,633,483.76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135,698,281.65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15,262,304.67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设定提存计划列示" w:id="269"/>
      <w:bookmarkEnd w:id="26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328,500.68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10,013,559.14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10,015,674.33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326,385.49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365,447.72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364,881.90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12,619.00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340,553.86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10,379,006.86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10,380,556.23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339,004.49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3、应交税费" w:id="270"/>
      <w:bookmarkEnd w:id="270"/>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5,420,196.71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22,229,372.32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37,773,942.57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39,056,378.27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757,371.52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746,980.26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447,549.02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512,279.10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194,418.71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213,891.16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126,565.16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144,188.25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39,503.01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副食品调控基金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100,535.19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1,723,321.67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44,824,604.07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64,672,694.04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4、其他应付款" w:id="271"/>
      <w:bookmarkEnd w:id="271"/>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2,947,468.52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2,470,055.99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9,226,605.76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20,962,908.61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12,174,074.28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23,432,964.60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付利息" w:id="272"/>
      <w:bookmarkEnd w:id="27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2,410,300.70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2,165,086.57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537,167.82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304,969.42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2,947,468.52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2,470,055.99</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应付股利" w:id="273"/>
      <w:bookmarkEnd w:id="27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其他应付款" w:id="274"/>
      <w:bookmarkEnd w:id="27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待付费用款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3,702,555.55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6,965,688.87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5,524,050.21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13,997,219.74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代扣代缴社保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9,226,605.76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20,962,908.61</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远东实业股份（香港）有限公司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770,961.45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770,961.45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5、一年内到期的非流动负债" w:id="275"/>
      <w:bookmarkEnd w:id="275"/>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201,588,211.28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61,096,891.45</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年内应支付的上海卓越形象广告传播 有限公司股权转让款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22,260,000.00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年内应支付的广东易教优培教育科技 有限公司股权转让款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年内应支付的湖北司马彦文化科技有 限公司股权转让款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年内应支付的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500PX,Inc.</w:t>
            </w: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6,131,574.78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327,429,786.06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188,066,891.45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6、长期借款" w:id="276"/>
      <w:bookmarkEnd w:id="276"/>
      <w:r>
        <w:rPr>
          <w:b w:val="0"/>
          <w:bCs w:val="0"/>
        </w:rPr>
      </w: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277"/>
      <w:bookmarkEnd w:id="27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56,396,891.45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478,052,531.28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494,363,582.19</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减：一年内到期的长期借款（附注七（二</w:t>
            </w:r>
            <w:r>
              <w:rPr>
                <w:rFonts w:ascii="宋体" w:hAnsi="宋体" w:cs="宋体" w:eastAsia="宋体" w:hint="default"/>
                <w:sz w:val="18"/>
                <w:szCs w:val="18"/>
              </w:rPr>
              <w:t> </w:t>
            </w:r>
            <w:r>
              <w:rPr>
                <w:rFonts w:ascii="宋体" w:hAnsi="宋体" w:cs="宋体" w:eastAsia="宋体" w:hint="default"/>
                <w:spacing w:val="-23"/>
                <w:sz w:val="18"/>
                <w:szCs w:val="18"/>
              </w:rPr>
              <w:t>十二））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-201,588,211.28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-61,096,891.45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276,464,320.00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489,663,582.19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48" w:lineRule="auto"/>
        <w:ind w:right="3282"/>
        <w:jc w:val="left"/>
      </w:pPr>
      <w:r>
        <w:rPr/>
        <w:t>长期借款分类的说明： 注：保证借款为本公司为子公司提供连带保证责任从银行取得的长期借款，详见附注十二、</w:t>
      </w:r>
      <w:r>
        <w:rPr>
          <w:rFonts w:ascii="Times New Roman" w:hAnsi="Times New Roman" w:cs="Times New Roman" w:eastAsia="Times New Roman" w:hint="default"/>
        </w:rPr>
        <w:t>5</w:t>
      </w:r>
      <w:r>
        <w:rPr/>
        <w:t>。 其他说明，包括利率区间：</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bookmarkStart w:name="27、长期应付款" w:id="278"/>
      <w:bookmarkEnd w:id="278"/>
      <w:r>
        <w:rPr>
          <w:b w:val="0"/>
          <w:bCs w:val="0"/>
        </w:rPr>
      </w:r>
      <w:r>
        <w:rPr>
          <w:rFonts w:ascii="Times New Roman" w:hAnsi="Times New Roman" w:cs="Times New Roman" w:eastAsia="Times New Roman" w:hint="default"/>
        </w:rPr>
        <w:t>27</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174,716,800.00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156,820,800.00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174,716,800.00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156,820,800.00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按款项性质列示长期应付款" w:id="279"/>
      <w:bookmarkEnd w:id="27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Getty Images SEA Holding</w:t>
            </w:r>
            <w:r>
              <w:rPr>
                <w:rFonts w:ascii="Times New Roman"/>
                <w:spacing w:val="-19"/>
                <w:sz w:val="18"/>
              </w:rPr>
              <w:t> </w:t>
            </w:r>
            <w:r>
              <w:rPr>
                <w:rFonts w:ascii="Times New Roman"/>
                <w:sz w:val="18"/>
              </w:rPr>
              <w:t>Co.,Limite</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174,716,800.00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156,820,800.00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8、递延收益" w:id="280"/>
      <w:bookmarkEnd w:id="280"/>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公共旅游智 慧平台项目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互联网图片 深度标引及 侵权追踪技 术研究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中国传统文 化设计素材 公共服务平 台建设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数字图像篡 改鉴别技术 的数字版权 保护技术方 案研发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9、其他非流动负债" w:id="281"/>
      <w:bookmarkEnd w:id="281"/>
      <w:r>
        <w:rPr>
          <w:b w:val="0"/>
          <w:bCs w:val="0"/>
        </w:rPr>
      </w:r>
      <w:r>
        <w:rPr>
          <w:rFonts w:ascii="Times New Roman" w:hAnsi="Times New Roman" w:cs="Times New Roman" w:eastAsia="Times New Roman" w:hint="default"/>
        </w:rPr>
        <w:t>29</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131,973,149.56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236,670,596.66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减：一年内到期的其他非流动负债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-125,841,574.78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6,131,574.78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109,700,596.66</w:t>
            </w:r>
          </w:p>
        </w:tc>
      </w:tr>
    </w:tbl>
    <w:p>
      <w:pPr>
        <w:pStyle w:val="BodyText"/>
        <w:spacing w:line="240" w:lineRule="auto" w:before="51"/>
        <w:ind w:right="0"/>
        <w:jc w:val="left"/>
      </w:pPr>
      <w:r>
        <w:rPr/>
        <w:t>其他说明：</w:t>
      </w:r>
    </w:p>
    <w:p>
      <w:pPr>
        <w:spacing w:line="240" w:lineRule="auto" w:before="6"/>
        <w:rPr>
          <w:rFonts w:ascii="宋体" w:hAnsi="宋体" w:cs="宋体" w:eastAsia="宋体" w:hint="default"/>
          <w:sz w:val="12"/>
          <w:szCs w:val="12"/>
        </w:rPr>
      </w:pPr>
    </w:p>
    <w:p>
      <w:pPr>
        <w:pStyle w:val="Heading4"/>
        <w:spacing w:line="244" w:lineRule="auto" w:before="0"/>
        <w:ind w:right="0" w:firstLine="439"/>
        <w:jc w:val="left"/>
      </w:pPr>
      <w:r>
        <w:rPr>
          <w:w w:val="95"/>
        </w:rPr>
        <w:t>注：其他非流动负债年末余额较年初减少</w:t>
      </w:r>
      <w:r>
        <w:rPr>
          <w:rFonts w:ascii="Times New Roman" w:hAnsi="Times New Roman" w:cs="Times New Roman" w:eastAsia="Times New Roman" w:hint="default"/>
          <w:w w:val="95"/>
        </w:rPr>
        <w:t>103,569,021.88</w:t>
      </w:r>
      <w:r>
        <w:rPr>
          <w:w w:val="95"/>
        </w:rPr>
        <w:t>元，减幅</w:t>
      </w:r>
      <w:r>
        <w:rPr>
          <w:rFonts w:ascii="Times New Roman" w:hAnsi="Times New Roman" w:cs="Times New Roman" w:eastAsia="Times New Roman" w:hint="default"/>
          <w:w w:val="95"/>
        </w:rPr>
        <w:t>94.41%</w:t>
      </w:r>
      <w:r>
        <w:rPr>
          <w:w w:val="95"/>
        </w:rPr>
        <w:t>，主要系股权收购款支</w:t>
      </w:r>
      <w:r>
        <w:rPr>
          <w:w w:val="99"/>
        </w:rPr>
        <w:t> </w:t>
      </w:r>
      <w:r>
        <w:rPr/>
        <w:t>付及一年到到期重分类。</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85"/>
        <w:ind w:right="0"/>
        <w:jc w:val="left"/>
        <w:rPr>
          <w:b w:val="0"/>
          <w:bCs w:val="0"/>
        </w:rPr>
      </w:pPr>
      <w:bookmarkStart w:name="30、股本" w:id="282"/>
      <w:bookmarkEnd w:id="282"/>
      <w:r>
        <w:rPr>
          <w:b w:val="0"/>
          <w:bCs w:val="0"/>
        </w:rPr>
      </w:r>
      <w:r>
        <w:rPr>
          <w:rFonts w:ascii="Times New Roman" w:hAnsi="Times New Roman" w:cs="Times New Roman" w:eastAsia="Times New Roman" w:hint="default"/>
        </w:rPr>
        <w:t>30</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73,892,895.00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73,892,895.00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1、资本公积" w:id="283"/>
      <w:bookmarkEnd w:id="283"/>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594,971,082.45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594,971,082.45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13,191,378.48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13,191,378.48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反向购买模拟发行股份 调整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1,005,383,192.86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1,005,383,192.86</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1,600,354,275.31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13,191,378.48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1,613,545,653.79</w:t>
            </w:r>
          </w:p>
        </w:tc>
      </w:tr>
    </w:tbl>
    <w:p>
      <w:pPr>
        <w:pStyle w:val="BodyText"/>
        <w:spacing w:line="357" w:lineRule="auto" w:before="51"/>
        <w:ind w:right="3372"/>
        <w:jc w:val="left"/>
      </w:pPr>
      <w:r>
        <w:rPr/>
        <w:t>其他说明，包括本期增减变动情况、变动原因说明： 注：其他资本公积系本集团联营企业厦门视觉像科技有限公司资本公积变动对本集团的影响。</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2、其他综合收益" w:id="284"/>
      <w:bookmarkEnd w:id="284"/>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-12,214,473.1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18,600,023.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-525,375.25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500,100.72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18,722,792.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-97,494.23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6,508,319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-1,161,065.07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-241,273.66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-241,273.66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-1,402,33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8.73</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-11,053,408.1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18,841,297.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-525,375.25</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500,100.72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18,964,066.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-97,494.23</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7,910,657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-12,214,473.1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18,600,023.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-525,375.25</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500,100.72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18,722,792.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-97,494.23</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6,508,319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3、盈余公积" w:id="285"/>
      <w:bookmarkEnd w:id="285"/>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8,943,162.85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3,309,958.01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12,253,120.86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8,943,162.85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3,309,958.01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12,253,120.86</w:t>
            </w:r>
          </w:p>
        </w:tc>
      </w:tr>
    </w:tbl>
    <w:p>
      <w:pPr>
        <w:pStyle w:val="BodyText"/>
        <w:spacing w:line="240" w:lineRule="auto" w:before="51"/>
        <w:ind w:right="0"/>
        <w:jc w:val="left"/>
      </w:pPr>
      <w:r>
        <w:rPr/>
        <w:t>盈余公积说明，包括本期增减变动情况、变动原因说明：</w:t>
      </w:r>
    </w:p>
    <w:p>
      <w:pPr>
        <w:pStyle w:val="BodyText"/>
        <w:spacing w:line="300" w:lineRule="auto" w:before="115"/>
        <w:ind w:right="0"/>
        <w:jc w:val="left"/>
      </w:pPr>
      <w:r>
        <w:rPr>
          <w:spacing w:val="-1"/>
        </w:rPr>
        <w:t>注：根据公司法、章程的规定，本公司按净利润的</w:t>
      </w:r>
      <w:r>
        <w:rPr>
          <w:rFonts w:ascii="Times New Roman" w:hAnsi="Times New Roman" w:cs="Times New Roman" w:eastAsia="Times New Roman" w:hint="default"/>
          <w:spacing w:val="-1"/>
        </w:rPr>
        <w:t>10%</w:t>
      </w:r>
      <w:r>
        <w:rPr>
          <w:spacing w:val="-1"/>
        </w:rPr>
        <w:t>提取法定盈余公积金。法定盈余公积累计额为本公司注册资本</w:t>
      </w:r>
      <w:r>
        <w:rPr>
          <w:rFonts w:ascii="Times New Roman" w:hAnsi="Times New Roman" w:cs="Times New Roman" w:eastAsia="Times New Roman" w:hint="default"/>
          <w:spacing w:val="-1"/>
        </w:rPr>
        <w:t>50%</w:t>
      </w:r>
      <w:r>
        <w:rPr>
          <w:spacing w:val="-1"/>
        </w:rPr>
        <w:t>以</w:t>
      </w:r>
      <w:r>
        <w:rPr>
          <w:spacing w:val="-57"/>
        </w:rPr>
        <w:t> </w:t>
      </w:r>
      <w:r>
        <w:rPr/>
        <w:t>上的，可不再提取。</w:t>
      </w:r>
    </w:p>
    <w:p>
      <w:pPr>
        <w:pStyle w:val="BodyText"/>
        <w:spacing w:line="300" w:lineRule="auto" w:before="31"/>
        <w:ind w:right="1189"/>
        <w:jc w:val="left"/>
      </w:pPr>
      <w:r>
        <w:rPr>
          <w:rFonts w:ascii="Times New Roman" w:hAnsi="Times New Roman" w:cs="Times New Roman" w:eastAsia="Times New Roman" w:hint="default"/>
        </w:rPr>
        <w:t>&gt;&gt;</w:t>
      </w:r>
      <w:r>
        <w:rPr/>
        <w:t>本公司在提取法定盈余公积金后，可提取任意盈余公积金。经批准，任意盈余公积金可用于弥补以前年度亏损或增加股 本。</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bookmarkStart w:name="34、未分配利润" w:id="286"/>
      <w:bookmarkEnd w:id="286"/>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901,523,172.91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619,145,418.60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-6,086,256.37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895,436,916.54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619,145,418.60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321,211,367.56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290,820,917.16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3,309,958.01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8,443,162.85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29,424,252.30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36" w:right="0"/>
              <w:jc w:val="left"/>
              <w:rPr>
                <w:rFonts w:ascii="Times New Roman" w:hAnsi="Times New Roman" w:cs="Times New Roman" w:eastAsia="Times New Roman" w:hint="default"/>
                <w:sz w:val="18"/>
                <w:szCs w:val="18"/>
              </w:rPr>
            </w:pPr>
            <w:r>
              <w:rPr>
                <w:rFonts w:ascii="Times New Roman"/>
                <w:sz w:val="18"/>
              </w:rPr>
              <w:t>1,183,914,073.79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901,523,172.91</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-6,086,256.37</w:t>
      </w:r>
      <w:r>
        <w:rPr>
          <w:rFonts w:ascii="Times New Roman" w:hAnsi="Times New Roman" w:cs="Times New Roman" w:eastAsia="Times New Roman" w:hint="default"/>
          <w:spacing w:val="-4"/>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5、营业收入和营业成本" w:id="287"/>
      <w:bookmarkEnd w:id="287"/>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987,837,517.43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349,166,381.63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811,193,561.84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275,059,279.27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3,357,053.98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3,045,889.98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987,837,517.43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349,166,381.63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814,550,615.82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278,105,169.25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6、税金及附加" w:id="288"/>
      <w:bookmarkEnd w:id="288"/>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3,039,853.96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1,757,231.66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1,314,853.14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759,549.40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1,457,948.07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2,097,431.30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871,120.09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504,776.66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残疾人保障基金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167,164.78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323,763.14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209,741.85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139,972.52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文化教育事业费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681,730.44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102,554.05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13,583.51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7,755,995.84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5,685,278.73</w:t>
            </w:r>
          </w:p>
        </w:tc>
      </w:tr>
    </w:tbl>
    <w:p>
      <w:pPr>
        <w:pStyle w:val="BodyText"/>
        <w:spacing w:line="357" w:lineRule="auto" w:before="51"/>
        <w:ind w:right="4032"/>
        <w:jc w:val="left"/>
      </w:pPr>
      <w:r>
        <w:rPr/>
        <w:t>其他说明： 注：税金及附加本年较上年增加</w:t>
      </w:r>
      <w:r>
        <w:rPr>
          <w:rFonts w:ascii="Times New Roman" w:hAnsi="Times New Roman" w:cs="Times New Roman" w:eastAsia="Times New Roman" w:hint="default"/>
        </w:rPr>
        <w:t>2,070,717.11</w:t>
      </w:r>
      <w:r>
        <w:rPr/>
        <w:t>元，增幅</w:t>
      </w:r>
      <w:r>
        <w:rPr>
          <w:rFonts w:ascii="Times New Roman" w:hAnsi="Times New Roman" w:cs="Times New Roman" w:eastAsia="Times New Roman" w:hint="default"/>
        </w:rPr>
        <w:t>36.42%</w:t>
      </w:r>
      <w:r>
        <w:rPr/>
        <w:t>，主要系销售增加所致。</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bookmarkStart w:name="37、销售费用" w:id="289"/>
      <w:bookmarkEnd w:id="289"/>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56,147,122.49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45,308,473.47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7,794,152.36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12,358,092.12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4,911,619.61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2,358,005.33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3,341,146.91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3,212,389.03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2,751,721.03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2,572,479.29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1,624,782.80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423,005.62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1,388,018.95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790,930.84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1,098,619.93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717,437.97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656,686.09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686,635.09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2,968,761.33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136,659.42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5,232.55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337,737.32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80,706,578.00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71,542,100.81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8、管理费用" w:id="290"/>
      <w:bookmarkEnd w:id="290"/>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44,610,290.91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32,094,428.57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14,573,225.05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13,885,853.10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15,714,399.99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7,389,917.89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10,430,683.88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14,517,326.22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10,874,384.15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3,576,579.62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5,817,169.18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11,997,961.57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4,633,800.47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8,384,167.18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3,204,118.78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2,439,656.96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1,259,559.65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1,056,136.19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1,255,809.89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1,007,180.09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718,433.28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257,191.20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800,853.14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2,408,334.63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113,892,728.37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99,014,733.22</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9、研发费用" w:id="291"/>
      <w:bookmarkEnd w:id="291"/>
      <w:r>
        <w:rPr>
          <w:b w:val="0"/>
          <w:bCs w:val="0"/>
        </w:rPr>
      </w:r>
      <w:r>
        <w:rPr>
          <w:rFonts w:ascii="Times New Roman" w:hAnsi="Times New Roman" w:cs="Times New Roman" w:eastAsia="Times New Roman" w:hint="default"/>
        </w:rPr>
        <w:t>39</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30,070,820.95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17,444,795.52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101,072.52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53,882.24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12,489,314.89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4,722,601.22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1,838,117.20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3,795,604.78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44,499,325.56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26,016,883.76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0、财务费用" w:id="292"/>
      <w:bookmarkEnd w:id="292"/>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34,947,864.42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27,972,150.85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其中：财政贴息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9,275,630.21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2,820,752.31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-3,557,625.00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3,250,305.48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4,210,294.02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6,827,593.59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26,324,903.23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35,229,297.62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1、资产减值损失" w:id="293"/>
      <w:bookmarkEnd w:id="293"/>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16,906,739.29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14,863,838.22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16,906,739.29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14,863,838.22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2、其他收益" w:id="294"/>
      <w:bookmarkEnd w:id="294"/>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21,732.93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19,916.89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公共旅游智慧平台项目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互联网图片深度标引及侵权追踪技术研 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梅龙镇企业扶持资金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深度学习技术的新闻图像自动索引与分 发系统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中国传统文化设计素材公共服务平台建 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6,305,215.48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2,345,887.20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双软补贴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采用深度学习技术的新闻图像自动索引 与分发系统的研发及应用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5,066.46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10,758.94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3、投资收益" w:id="295"/>
      <w:bookmarkEnd w:id="295"/>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48,212,867.99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60,797,389.05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-18,757,617.29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1,264,123.38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3,564,359.03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-179,484.50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3,646,900.79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32,840,125.23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65,708,413.22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4、公允价值变动收益" w:id="296"/>
      <w:bookmarkEnd w:id="296"/>
      <w:r>
        <w:rPr>
          <w:b w:val="0"/>
          <w:bCs w:val="0"/>
        </w:rPr>
      </w:r>
      <w:r>
        <w:rPr>
          <w:rFonts w:ascii="Times New Roman" w:hAnsi="Times New Roman" w:cs="Times New Roman" w:eastAsia="Times New Roman" w:hint="default"/>
        </w:rPr>
        <w:t>44</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5、资产处置收益" w:id="297"/>
      <w:bookmarkEnd w:id="297"/>
      <w:r>
        <w:rPr>
          <w:b w:val="0"/>
          <w:bCs w:val="0"/>
        </w:rPr>
      </w:r>
      <w:r>
        <w:rPr>
          <w:rFonts w:ascii="Times New Roman" w:hAnsi="Times New Roman" w:cs="Times New Roman" w:eastAsia="Times New Roman" w:hint="default"/>
        </w:rPr>
        <w:t>45</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建工程、生产性生物资产及无形资产而 产生的处置利得或损失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41,675.71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其中：处置未划分为持有待售的固定资 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41,675.71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6、营业外收入" w:id="298"/>
      <w:bookmarkEnd w:id="298"/>
      <w:r>
        <w:rPr>
          <w:b w:val="0"/>
          <w:bCs w:val="0"/>
        </w:rPr>
      </w:r>
      <w:r>
        <w:rPr>
          <w:rFonts w:ascii="Times New Roman" w:hAnsi="Times New Roman" w:cs="Times New Roman" w:eastAsia="Times New Roman" w:hint="default"/>
        </w:rPr>
        <w:t>46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156,569.49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217,195.45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156,569.49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217,195.45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7、营业外支出" w:id="299"/>
      <w:bookmarkEnd w:id="299"/>
      <w:r>
        <w:rPr>
          <w:b w:val="0"/>
          <w:bCs w:val="0"/>
        </w:rPr>
      </w:r>
      <w:r>
        <w:rPr>
          <w:rFonts w:ascii="Times New Roman" w:hAnsi="Times New Roman" w:cs="Times New Roman" w:eastAsia="Times New Roman" w:hint="default"/>
        </w:rPr>
        <w:t>47</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非流动资产毁损报废损失合 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208,348.55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199,343.84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208,348.55</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firstLine="450"/>
              <w:jc w:val="left"/>
              <w:rPr>
                <w:rFonts w:ascii="宋体" w:hAnsi="宋体" w:cs="宋体" w:eastAsia="宋体" w:hint="default"/>
                <w:sz w:val="18"/>
                <w:szCs w:val="18"/>
              </w:rPr>
            </w:pPr>
            <w:r>
              <w:rPr>
                <w:rFonts w:ascii="宋体" w:hAnsi="宋体" w:cs="宋体" w:eastAsia="宋体" w:hint="default"/>
                <w:sz w:val="18"/>
                <w:szCs w:val="18"/>
              </w:rPr>
              <w:t>其中：固定资产毁损报 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208,348.55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199,343.84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208,348.55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351,145.33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292,996.79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351,145.33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559,493.88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492,340.63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559,493.88</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8、所得税费用" w:id="300"/>
      <w:bookmarkEnd w:id="300"/>
      <w:r>
        <w:rPr>
          <w:b w:val="0"/>
          <w:bCs w:val="0"/>
        </w:rPr>
      </w: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01"/>
      <w:bookmarkEnd w:id="30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58,086,957.77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42,449,521.76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-1,535,758.61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-1,737,382.05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56,551,199.16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40,712,139.71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302"/>
      <w:bookmarkEnd w:id="30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391,801,449.41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97,950,362.34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-27,344,858.58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-7,114,326.18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-33,460,298.10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20,877.25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-7,826.63</w:t>
            </w:r>
            <w:r>
              <w:rPr>
                <w:rFonts w:ascii="Times New Roman"/>
                <w:sz w:val="18"/>
              </w:rPr>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26,543,262.77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汇率调整导致期初递延所得税资产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-35,993.71</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56,551,199.16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8594" w:firstLine="0"/>
        <w:jc w:val="left"/>
        <w:rPr>
          <w:rFonts w:ascii="宋体" w:hAnsi="宋体" w:cs="宋体" w:eastAsia="宋体" w:hint="default"/>
          <w:sz w:val="21"/>
          <w:szCs w:val="21"/>
        </w:rPr>
      </w:pPr>
      <w:bookmarkStart w:name="49、其他综合收益" w:id="303"/>
      <w:bookmarkEnd w:id="303"/>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pacing w:val="-13"/>
          <w:sz w:val="18"/>
          <w:szCs w:val="18"/>
        </w:rPr>
        <w:t>详见附注详见附注七、</w:t>
      </w:r>
      <w:r>
        <w:rPr>
          <w:rFonts w:ascii="Times New Roman" w:hAnsi="Times New Roman" w:cs="Times New Roman" w:eastAsia="Times New Roman" w:hint="default"/>
          <w:spacing w:val="-13"/>
          <w:sz w:val="18"/>
          <w:szCs w:val="18"/>
        </w:rPr>
        <w:t>31</w:t>
      </w:r>
      <w:r>
        <w:rPr>
          <w:rFonts w:ascii="宋体" w:hAnsi="宋体" w:cs="宋体" w:eastAsia="宋体" w:hint="default"/>
          <w:spacing w:val="-13"/>
          <w:sz w:val="18"/>
          <w:szCs w:val="18"/>
        </w:rPr>
        <w:t>。。</w:t>
      </w:r>
      <w:r>
        <w:rPr>
          <w:rFonts w:ascii="宋体" w:hAnsi="宋体" w:cs="宋体" w:eastAsia="宋体" w:hint="default"/>
          <w:spacing w:val="-90"/>
          <w:sz w:val="18"/>
          <w:szCs w:val="18"/>
        </w:rPr>
        <w:t> </w:t>
      </w:r>
      <w:bookmarkStart w:name="50、现金流量表项目" w:id="304"/>
      <w:bookmarkEnd w:id="304"/>
      <w:r>
        <w:rPr>
          <w:rFonts w:ascii="宋体" w:hAnsi="宋体" w:cs="宋体" w:eastAsia="宋体" w:hint="default"/>
          <w:spacing w:val="-90"/>
          <w:sz w:val="18"/>
          <w:szCs w:val="18"/>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6"/>
        <w:ind w:right="0"/>
        <w:jc w:val="left"/>
        <w:rPr>
          <w:b w:val="0"/>
          <w:bCs w:val="0"/>
        </w:rPr>
      </w:pPr>
      <w:bookmarkStart w:name="（1）收到的其他与经营活动有关的现金" w:id="305"/>
      <w:bookmarkEnd w:id="30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5,060,953.66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46,350,150.98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58,334,391.32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9,275,630.21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2,820,932.25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合作意向金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674,841.45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63,200,622.64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74,577,397.23</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支付的其他与经营活动有关的现金" w:id="306"/>
      <w:bookmarkEnd w:id="30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1,222,346.78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58,724,111.94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4,210,294.02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6,827,593.60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88,299,437.33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93,896,722.82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387,709.07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292,996.79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94,119,787.20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159,741,425.15</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收到的其他与投资活动有关的现金" w:id="307"/>
      <w:bookmarkEnd w:id="30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购买理财产品到期收回</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4,933,233.03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174,933,233.03</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收到的其他与筹资活动有关的现金" w:id="308"/>
      <w:bookmarkEnd w:id="308"/>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非金融机构借款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pStyle w:val="BodyText"/>
        <w:spacing w:line="240" w:lineRule="auto" w:before="51"/>
        <w:ind w:right="0"/>
        <w:jc w:val="left"/>
      </w:pPr>
      <w:r>
        <w:rPr/>
        <w:t>收到的其他与筹资活动有关的现金说明：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605.169983pt;width:151.25pt;height:40.9pt;mso-position-horizontal-relative:page;mso-position-vertical-relative:page;z-index:-1246624" coordorigin="4467,12103" coordsize="3025,818">
            <v:group style="position:absolute;left:4478;top:12115;width:2;height:393" coordorigin="4478,12115" coordsize="2,393">
              <v:shape style="position:absolute;left:4478;top:12115;width:2;height:393" coordorigin="4478,12115" coordsize="0,393" path="m4478,12115l4478,12507e" filled="false" stroked="true" strokeweight="1.140pt" strokecolor="#ffffff">
                <v:path arrowok="t"/>
              </v:shape>
            </v:group>
            <v:group style="position:absolute;left:4490;top:12115;width:3002;height:393" coordorigin="4490,12115" coordsize="3002,393">
              <v:shape style="position:absolute;left:4490;top:12115;width:3002;height:393" coordorigin="4490,12115" coordsize="3002,393" path="m4490,12507l7491,12507,7491,12115,4490,12115,4490,12507xe" filled="true" fillcolor="#ffffff" stroked="false">
                <v:path arrowok="t"/>
                <v:fill type="solid"/>
              </v:shape>
            </v:group>
            <v:group style="position:absolute;left:4478;top:12517;width:2;height:393" coordorigin="4478,12517" coordsize="2,393">
              <v:shape style="position:absolute;left:4478;top:12517;width:2;height:393" coordorigin="4478,12517" coordsize="0,393" path="m4478,12517l4478,12909e" filled="false" stroked="true" strokeweight="1.140pt" strokecolor="#ffffff">
                <v:path arrowok="t"/>
              </v:shape>
            </v:group>
            <v:group style="position:absolute;left:4490;top:12517;width:3002;height:393" coordorigin="4490,12517" coordsize="3002,393">
              <v:shape style="position:absolute;left:4490;top:12517;width:3002;height:393" coordorigin="4490,12517" coordsize="3002,393" path="m4490,12909l7491,12909,7491,12517,4490,12517,4490,12909xe" filled="true" fillcolor="#ffffff" stroked="false">
                <v:path arrowok="t"/>
                <v:fill type="solid"/>
              </v:shape>
            </v:group>
            <w10:wrap type="none"/>
          </v:group>
        </w:pict>
      </w:r>
    </w:p>
    <w:p>
      <w:pPr>
        <w:pStyle w:val="Heading5"/>
        <w:spacing w:line="240" w:lineRule="auto" w:before="35"/>
        <w:ind w:right="0"/>
        <w:jc w:val="left"/>
        <w:rPr>
          <w:b w:val="0"/>
          <w:bCs w:val="0"/>
        </w:rPr>
      </w:pPr>
      <w:bookmarkStart w:name="（5）支付的其他与筹资活动有关的现金" w:id="309"/>
      <w:bookmarkEnd w:id="309"/>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贷款定期存单</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3,060,516.89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5,100,962.14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8,060,516.89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268,100,962.14</w:t>
            </w:r>
          </w:p>
        </w:tc>
      </w:tr>
    </w:tbl>
    <w:p>
      <w:pPr>
        <w:pStyle w:val="BodyText"/>
        <w:spacing w:line="240" w:lineRule="auto" w:before="51"/>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1、现金流量表补充资料" w:id="310"/>
      <w:bookmarkEnd w:id="310"/>
      <w:r>
        <w:rPr>
          <w:b w:val="0"/>
          <w:bCs w:val="0"/>
        </w:rPr>
      </w: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311"/>
      <w:bookmarkEnd w:id="31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335,250,250.25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312,566,573.09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16,906,739.29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14,863,838.22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2,727,189.87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3,117,761.10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4,985,490.42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1,286,008.04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1,699,440.52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1,263,239.61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-41,675.71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208,348.55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199,343.84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628,740.00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28,858,939.08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31,317,753.62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-32,840,125.23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-65,708,413.22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-1,289,461.19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-1,662,425.89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4,586,653.63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-74,956.16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1,224,810.55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-8,884,524.16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320,132,902.56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6,993,718.38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-391,360,019.48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-42,531,486.68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-3,247,539.91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291,049,483.11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250,127,629.88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408,091,001.60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380,004,762.13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380,004,762.13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445,588,488.59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28,086,239.47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-65,583,726.46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312"/>
      <w:bookmarkEnd w:id="31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59,329,794.60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500PX,Inc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59,329,794.60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13,536,874.22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500PX,Inc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13,536,874.22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45,792,920.38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本期收到的处置子公司的现金净额" w:id="313"/>
      <w:bookmarkEnd w:id="31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126,652,750.09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126,652,750.09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10,798,667.14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10,798,667.14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115,854,082.95</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现金和现金等价物的构成" w:id="314"/>
      <w:bookmarkEnd w:id="31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408,091,001.60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380,004,762.13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47,998.35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19,530.54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408,007,031.73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379,985,231.59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35,971.52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408,091,001.60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380,004,762.13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2、所有权或使用权受到限制的资产" w:id="315"/>
      <w:bookmarkEnd w:id="315"/>
      <w:r>
        <w:rPr>
          <w:b w:val="0"/>
          <w:bCs w:val="0"/>
        </w:rPr>
      </w:r>
      <w:r>
        <w:rPr>
          <w:rFonts w:ascii="Times New Roman" w:hAnsi="Times New Roman" w:cs="Times New Roman" w:eastAsia="Times New Roman" w:hint="default"/>
        </w:rPr>
        <w:t>52</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10,401,000.00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借款保函质押存单</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5,425,875.00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借款保函质押存单利息</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195,826,875.00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3、外币货币性项目" w:id="316"/>
      <w:bookmarkEnd w:id="316"/>
      <w:r>
        <w:rPr>
          <w:b w:val="0"/>
          <w:bCs w:val="0"/>
        </w:rPr>
      </w:r>
      <w:r>
        <w:rPr>
          <w:rFonts w:ascii="Times New Roman" w:hAnsi="Times New Roman" w:cs="Times New Roman" w:eastAsia="Times New Roman" w:hint="default"/>
        </w:rPr>
        <w:t>53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317"/>
      <w:bookmarkEnd w:id="31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153,958,597.59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8,657,963.33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59,421,333.93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45,349.37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7.8545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356,196.63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104,060,532.92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91,177,838.94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596,980.16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3,003,228.09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10,632,725.74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1,103,038.43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7,570,373.35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10"/>
              <w:jc w:val="righ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10"/>
              <w:jc w:val="right"/>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608,732.86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3,062,352.39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740,370,460.00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249,134,160.00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7.8545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161,802,700.00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868,766.68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53,138.33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162,130.19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815,628.35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46,522,652.23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5,643,956.93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38,735,605.20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19,529.97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7.8545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153,398.15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402,854.00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352,980.67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61,092.33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1,435,103.64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7,219,575.88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677,772.99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43,240.17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296,765.93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75,736.39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381,007.06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144,727.30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28,768.82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5.0307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144,727.30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164,716,800.00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164,716,800.00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12,263,149.56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1,786,797.64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12,263,149.56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2,483,786.86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361,899.24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2,483,786.86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59" w:lineRule="auto"/>
        <w:ind w:right="0"/>
        <w:jc w:val="left"/>
        <w:rPr>
          <w:b w:val="0"/>
          <w:bCs w:val="0"/>
        </w:rPr>
      </w:pPr>
      <w:bookmarkStart w:name="（2）境外经营实体说明，包括对于重要的境外经营实体，应披露其境外主要经营地、记账" w:id="318"/>
      <w:bookmarkEnd w:id="31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522"/>
        <w:gridCol w:w="1523"/>
        <w:gridCol w:w="1521"/>
        <w:gridCol w:w="1522"/>
        <w:gridCol w:w="1521"/>
        <w:gridCol w:w="1522"/>
      </w:tblGrid>
      <w:tr>
        <w:trPr>
          <w:trHeight w:val="667" w:hRule="exact"/>
        </w:trPr>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境外主要经营地</w:t>
            </w:r>
          </w:p>
        </w:tc>
        <w:tc>
          <w:tcPr>
            <w:tcW w:w="152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72" w:right="33" w:hanging="540"/>
              <w:jc w:val="left"/>
              <w:rPr>
                <w:rFonts w:ascii="宋体" w:hAnsi="宋体" w:cs="宋体" w:eastAsia="宋体" w:hint="default"/>
                <w:sz w:val="18"/>
                <w:szCs w:val="18"/>
              </w:rPr>
            </w:pPr>
            <w:r>
              <w:rPr>
                <w:rFonts w:ascii="宋体" w:hAnsi="宋体" w:cs="宋体" w:eastAsia="宋体" w:hint="default"/>
                <w:sz w:val="18"/>
                <w:szCs w:val="18"/>
              </w:rPr>
              <w:t>记账本位币及选择 依据</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02" w:right="32" w:hanging="270"/>
              <w:jc w:val="left"/>
              <w:rPr>
                <w:rFonts w:ascii="宋体" w:hAnsi="宋体" w:cs="宋体" w:eastAsia="宋体" w:hint="default"/>
                <w:sz w:val="18"/>
                <w:szCs w:val="18"/>
              </w:rPr>
            </w:pPr>
            <w:r>
              <w:rPr>
                <w:rFonts w:ascii="宋体" w:hAnsi="宋体" w:cs="宋体" w:eastAsia="宋体" w:hint="default"/>
                <w:sz w:val="18"/>
                <w:szCs w:val="18"/>
              </w:rPr>
              <w:t>记账本位币本期是 否发生变化</w:t>
            </w:r>
          </w:p>
        </w:tc>
        <w:tc>
          <w:tcPr>
            <w:tcW w:w="152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92" w:right="33" w:hanging="360"/>
              <w:jc w:val="left"/>
              <w:rPr>
                <w:rFonts w:ascii="宋体" w:hAnsi="宋体" w:cs="宋体" w:eastAsia="宋体" w:hint="default"/>
                <w:sz w:val="18"/>
                <w:szCs w:val="18"/>
              </w:rPr>
            </w:pPr>
            <w:r>
              <w:rPr>
                <w:rFonts w:ascii="宋体" w:hAnsi="宋体" w:cs="宋体" w:eastAsia="宋体" w:hint="default"/>
                <w:sz w:val="18"/>
                <w:szCs w:val="18"/>
              </w:rPr>
              <w:t>记账本位币发生变 化的原因</w:t>
            </w: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213" w:right="38" w:hanging="180"/>
              <w:jc w:val="left"/>
              <w:rPr>
                <w:rFonts w:ascii="宋体" w:hAnsi="宋体" w:cs="宋体" w:eastAsia="宋体" w:hint="default"/>
                <w:sz w:val="18"/>
                <w:szCs w:val="18"/>
              </w:rPr>
            </w:pPr>
            <w:r>
              <w:rPr>
                <w:rFonts w:ascii="宋体" w:hAnsi="宋体" w:cs="宋体" w:eastAsia="宋体" w:hint="default"/>
                <w:sz w:val="18"/>
                <w:szCs w:val="18"/>
              </w:rPr>
              <w:t>记账本位币发生变 化的会计处理</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2"/>
        <w:gridCol w:w="1523"/>
        <w:gridCol w:w="1521"/>
        <w:gridCol w:w="1522"/>
        <w:gridCol w:w="1521"/>
        <w:gridCol w:w="1522"/>
      </w:tblGrid>
      <w:tr>
        <w:trPr>
          <w:trHeight w:val="667" w:hRule="exact"/>
        </w:trPr>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63"/>
              <w:jc w:val="left"/>
              <w:rPr>
                <w:rFonts w:ascii="宋体" w:hAnsi="宋体" w:cs="宋体" w:eastAsia="宋体" w:hint="default"/>
                <w:sz w:val="18"/>
                <w:szCs w:val="18"/>
              </w:rPr>
            </w:pPr>
            <w:r>
              <w:rPr>
                <w:rFonts w:ascii="宋体" w:hAnsi="宋体" w:cs="宋体" w:eastAsia="宋体" w:hint="default"/>
                <w:sz w:val="18"/>
                <w:szCs w:val="18"/>
              </w:rPr>
              <w:t>视觉中国集团控股 有限公司</w:t>
            </w:r>
          </w:p>
        </w:tc>
        <w:tc>
          <w:tcPr>
            <w:tcW w:w="15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662"/>
              <w:jc w:val="right"/>
              <w:rPr>
                <w:rFonts w:ascii="宋体" w:hAnsi="宋体" w:cs="宋体" w:eastAsia="宋体" w:hint="default"/>
                <w:sz w:val="18"/>
                <w:szCs w:val="18"/>
              </w:rPr>
            </w:pPr>
            <w:r>
              <w:rPr>
                <w:rFonts w:ascii="宋体" w:hAnsi="宋体" w:cs="宋体" w:eastAsia="宋体" w:hint="default"/>
                <w:sz w:val="18"/>
                <w:szCs w:val="18"/>
              </w:rPr>
              <w:t>否</w:t>
            </w:r>
          </w:p>
        </w:tc>
        <w:tc>
          <w:tcPr>
            <w:tcW w:w="1521" w:type="dxa"/>
            <w:tcBorders>
              <w:top w:val="single" w:sz="6" w:space="0" w:color="000000"/>
              <w:left w:val="single" w:sz="6" w:space="0" w:color="000000"/>
              <w:bottom w:val="single" w:sz="12" w:space="0" w:color="000000"/>
              <w:right w:val="single" w:sz="6" w:space="0" w:color="000000"/>
            </w:tcBorders>
          </w:tcPr>
          <w:p>
            <w:pPr/>
          </w:p>
        </w:tc>
        <w:tc>
          <w:tcPr>
            <w:tcW w:w="1522" w:type="dxa"/>
            <w:tcBorders>
              <w:top w:val="single" w:sz="6" w:space="0" w:color="000000"/>
              <w:left w:val="single" w:sz="6" w:space="0" w:color="000000"/>
              <w:bottom w:val="single" w:sz="12" w:space="0" w:color="000000"/>
              <w:right w:val="nil" w:sz="6" w:space="0" w:color="auto"/>
            </w:tcBorders>
          </w:tcPr>
          <w:p>
            <w:pPr/>
          </w:p>
        </w:tc>
      </w:tr>
      <w:tr>
        <w:trPr>
          <w:trHeight w:val="664"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3"/>
              <w:jc w:val="left"/>
              <w:rPr>
                <w:rFonts w:ascii="宋体" w:hAnsi="宋体" w:cs="宋体" w:eastAsia="宋体" w:hint="default"/>
                <w:sz w:val="18"/>
                <w:szCs w:val="18"/>
              </w:rPr>
            </w:pPr>
            <w:r>
              <w:rPr>
                <w:rFonts w:ascii="宋体" w:hAnsi="宋体" w:cs="宋体" w:eastAsia="宋体" w:hint="default"/>
                <w:sz w:val="18"/>
                <w:szCs w:val="18"/>
              </w:rPr>
              <w:t>视觉中国香港有限 公司</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62"/>
              <w:jc w:val="right"/>
              <w:rPr>
                <w:rFonts w:ascii="宋体" w:hAnsi="宋体" w:cs="宋体" w:eastAsia="宋体" w:hint="default"/>
                <w:sz w:val="18"/>
                <w:szCs w:val="18"/>
              </w:rPr>
            </w:pPr>
            <w:r>
              <w:rPr>
                <w:rFonts w:ascii="宋体" w:hAnsi="宋体" w:cs="宋体" w:eastAsia="宋体" w:hint="default"/>
                <w:sz w:val="18"/>
                <w:szCs w:val="18"/>
              </w:rPr>
              <w:t>否</w:t>
            </w:r>
          </w:p>
        </w:tc>
        <w:tc>
          <w:tcPr>
            <w:tcW w:w="1521"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662"/>
              <w:jc w:val="right"/>
              <w:rPr>
                <w:rFonts w:ascii="宋体" w:hAnsi="宋体" w:cs="宋体" w:eastAsia="宋体" w:hint="default"/>
                <w:sz w:val="18"/>
                <w:szCs w:val="18"/>
              </w:rPr>
            </w:pPr>
            <w:r>
              <w:rPr>
                <w:rFonts w:ascii="宋体" w:hAnsi="宋体" w:cs="宋体" w:eastAsia="宋体" w:hint="default"/>
                <w:sz w:val="18"/>
                <w:szCs w:val="18"/>
              </w:rPr>
              <w:t>否</w:t>
            </w:r>
          </w:p>
        </w:tc>
        <w:tc>
          <w:tcPr>
            <w:tcW w:w="1521"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500px,Inc.</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多伦多</w:t>
            </w:r>
          </w:p>
        </w:tc>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加元</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62"/>
              <w:jc w:val="right"/>
              <w:rPr>
                <w:rFonts w:ascii="宋体" w:hAnsi="宋体" w:cs="宋体" w:eastAsia="宋体" w:hint="default"/>
                <w:sz w:val="18"/>
                <w:szCs w:val="18"/>
              </w:rPr>
            </w:pPr>
            <w:r>
              <w:rPr>
                <w:rFonts w:ascii="宋体" w:hAnsi="宋体" w:cs="宋体" w:eastAsia="宋体" w:hint="default"/>
                <w:sz w:val="18"/>
                <w:szCs w:val="18"/>
              </w:rPr>
              <w:t>否</w:t>
            </w:r>
          </w:p>
        </w:tc>
        <w:tc>
          <w:tcPr>
            <w:tcW w:w="1521"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八、合并范围的变更" w:id="319"/>
      <w:bookmarkEnd w:id="319"/>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非同一控制下企业合并" w:id="320"/>
      <w:bookmarkEnd w:id="32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期发生的非同一控制下企业合并" w:id="321"/>
      <w:bookmarkEnd w:id="32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500px,Inc.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101,660,041.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29,389,906.5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-1,627,439.67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及商誉" w:id="322"/>
      <w:bookmarkEnd w:id="32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500px,Inc.</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101,660,041.50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101,660,041.50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16,715,174.00</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84,944,867.50</w:t>
            </w:r>
          </w:p>
        </w:tc>
      </w:tr>
    </w:tbl>
    <w:p>
      <w:pPr>
        <w:pStyle w:val="BodyText"/>
        <w:spacing w:line="240" w:lineRule="auto" w:before="51"/>
        <w:ind w:right="0"/>
        <w:jc w:val="left"/>
      </w:pPr>
      <w:r>
        <w:rPr/>
        <w:t>合并成本公允价值的确定方法、或有对价及其变动的说明：</w:t>
      </w:r>
    </w:p>
    <w:p>
      <w:pPr>
        <w:spacing w:line="240" w:lineRule="auto" w:before="6"/>
        <w:rPr>
          <w:rFonts w:ascii="宋体" w:hAnsi="宋体" w:cs="宋体" w:eastAsia="宋体" w:hint="default"/>
          <w:sz w:val="12"/>
          <w:szCs w:val="12"/>
        </w:rPr>
      </w:pPr>
    </w:p>
    <w:p>
      <w:pPr>
        <w:pStyle w:val="Heading4"/>
        <w:spacing w:line="259" w:lineRule="auto" w:before="0"/>
        <w:ind w:left="154" w:right="0" w:firstLine="440"/>
        <w:jc w:val="left"/>
      </w:pPr>
      <w:r>
        <w:rPr>
          <w:spacing w:val="-2"/>
        </w:rPr>
        <w:t>合并成本公允价值的确定：由沃克森（北京）国际资产评估有限公司估值，并出具了《估值报告</w:t>
      </w:r>
      <w:r>
        <w:rPr>
          <w:w w:val="99"/>
        </w:rPr>
        <w:t> </w:t>
      </w:r>
      <w:r>
        <w:rPr/>
        <w:t>书》（沃克森咨报字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1659</w:t>
      </w:r>
      <w:r>
        <w:rPr/>
        <w:t>号）。</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360" w:lineRule="auto" w:before="0"/>
        <w:ind w:right="8592"/>
        <w:jc w:val="left"/>
      </w:pPr>
      <w:r>
        <w:rPr/>
        <w:t>大额商誉形成的主要原因：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被购买方于购买日可辨认资产、负债" w:id="323"/>
      <w:bookmarkEnd w:id="32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500px,Inc.</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12,846,352.87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12,846,352.87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3,776,342.29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3,776,342.29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39,032.50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25,488.88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40,668,915.56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195,006.62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1,302,652.61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1,302,652.61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2,051,116.41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2,051,116.41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749,558.62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749,558.62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9,561,487.67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9,561,487.67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25,821,165.85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25,821,165.85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7,837,026.10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3,180,969.07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16,715,174.00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-19,116,221.53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16,715,174.00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-19,116,221.53</w:t>
            </w:r>
          </w:p>
        </w:tc>
      </w:tr>
    </w:tbl>
    <w:p>
      <w:pPr>
        <w:pStyle w:val="BodyText"/>
        <w:spacing w:line="240" w:lineRule="auto" w:before="51"/>
        <w:ind w:right="0"/>
        <w:jc w:val="left"/>
      </w:pPr>
      <w:r>
        <w:rPr/>
        <w:t>可辨认资产、负债公允价值的确定方法：购买日公允价值的确定：由沃克森（北京）国际资产评估有限公司估值，并出具了</w:t>
      </w:r>
    </w:p>
    <w:p>
      <w:pPr>
        <w:pStyle w:val="BodyText"/>
        <w:spacing w:line="338" w:lineRule="auto" w:before="77"/>
        <w:ind w:right="3890"/>
        <w:jc w:val="left"/>
      </w:pPr>
      <w:r>
        <w:rPr>
          <w:spacing w:val="-3"/>
          <w:w w:val="99"/>
        </w:rPr>
        <w:t>《</w:t>
      </w:r>
      <w:r>
        <w:rPr>
          <w:rFonts w:ascii="Times New Roman" w:hAnsi="Times New Roman" w:cs="Times New Roman" w:eastAsia="Times New Roman" w:hint="default"/>
          <w:spacing w:val="-3"/>
          <w:w w:val="99"/>
        </w:rPr>
        <w:t>500PX,INC.</w:t>
      </w:r>
      <w:r>
        <w:rPr>
          <w:spacing w:val="-3"/>
          <w:w w:val="99"/>
        </w:rPr>
        <w:t>可辨识资产和负债公允价值估值报告》（沃克森咨报字</w:t>
      </w:r>
      <w:r>
        <w:rPr>
          <w:rFonts w:ascii="Times New Roman" w:hAnsi="Times New Roman" w:cs="Times New Roman" w:eastAsia="Times New Roman" w:hint="default"/>
          <w:spacing w:val="-3"/>
          <w:w w:val="99"/>
        </w:rPr>
        <w:t>[2018]</w:t>
      </w:r>
      <w:r>
        <w:rPr>
          <w:spacing w:val="-3"/>
          <w:w w:val="99"/>
        </w:rPr>
        <w:t>第</w:t>
      </w:r>
      <w:r>
        <w:rPr>
          <w:spacing w:val="-31"/>
          <w:w w:val="99"/>
        </w:rPr>
        <w:t> </w:t>
      </w:r>
      <w:r>
        <w:rPr>
          <w:rFonts w:ascii="Times New Roman" w:hAnsi="Times New Roman" w:cs="Times New Roman" w:eastAsia="Times New Roman" w:hint="default"/>
        </w:rPr>
        <w:t>1658</w:t>
      </w:r>
      <w:r>
        <w:rPr>
          <w:rFonts w:ascii="Times New Roman" w:hAnsi="Times New Roman" w:cs="Times New Roman" w:eastAsia="Times New Roman" w:hint="default"/>
          <w:spacing w:val="14"/>
        </w:rPr>
        <w:t> </w:t>
      </w:r>
      <w:r>
        <w:rPr>
          <w:spacing w:val="-30"/>
        </w:rPr>
        <w:t>号）。</w:t>
      </w:r>
      <w:r>
        <w:rPr>
          <w:spacing w:val="-87"/>
        </w:rPr>
        <w:t> </w:t>
      </w:r>
      <w:r>
        <w:rPr>
          <w:spacing w:val="-87"/>
        </w:rPr>
      </w:r>
      <w:r>
        <w:rPr/>
        <w:t>企业合并中承担的被购买方的或有负债：</w:t>
      </w:r>
    </w:p>
    <w:p>
      <w:pPr>
        <w:pStyle w:val="BodyText"/>
        <w:spacing w:line="240" w:lineRule="auto" w:before="43"/>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处置子公司" w:id="324"/>
      <w:bookmarkEnd w:id="324"/>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8"/>
        <w:gridCol w:w="737"/>
        <w:gridCol w:w="736"/>
        <w:gridCol w:w="736"/>
        <w:gridCol w:w="734"/>
        <w:gridCol w:w="736"/>
        <w:gridCol w:w="734"/>
        <w:gridCol w:w="736"/>
        <w:gridCol w:w="737"/>
        <w:gridCol w:w="736"/>
        <w:gridCol w:w="736"/>
        <w:gridCol w:w="737"/>
        <w:gridCol w:w="736"/>
      </w:tblGrid>
      <w:tr>
        <w:trPr>
          <w:trHeight w:val="1026"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firstLine="90"/>
              <w:jc w:val="left"/>
              <w:rPr>
                <w:rFonts w:ascii="宋体" w:hAnsi="宋体" w:cs="宋体" w:eastAsia="宋体" w:hint="default"/>
                <w:sz w:val="18"/>
                <w:szCs w:val="18"/>
              </w:rPr>
            </w:pPr>
            <w:r>
              <w:rPr>
                <w:rFonts w:ascii="宋体" w:hAnsi="宋体" w:cs="宋体" w:eastAsia="宋体" w:hint="default"/>
                <w:sz w:val="18"/>
                <w:szCs w:val="18"/>
              </w:rPr>
              <w:t>亿迅资 产组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216,849,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1" w:firstLine="90"/>
              <w:jc w:val="left"/>
              <w:rPr>
                <w:rFonts w:ascii="宋体" w:hAnsi="宋体" w:cs="宋体" w:eastAsia="宋体" w:hint="default"/>
                <w:sz w:val="18"/>
                <w:szCs w:val="18"/>
              </w:rPr>
            </w:pPr>
            <w:r>
              <w:rPr>
                <w:rFonts w:ascii="宋体" w:hAnsi="宋体" w:cs="宋体" w:eastAsia="宋体" w:hint="default"/>
                <w:sz w:val="18"/>
                <w:szCs w:val="18"/>
              </w:rPr>
              <w:t>完成变 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-18,757,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617.29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2"/>
        <w:jc w:val="left"/>
      </w:pPr>
      <w:r>
        <w:rPr/>
        <w:t>其他说明： 是否存在通过多次交易分步处置对子公司投资且在本期丧失控制权的情形</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其他原因的合并范围变动" w:id="325"/>
      <w:bookmarkEnd w:id="325"/>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3642"/>
        <w:jc w:val="left"/>
      </w:pPr>
      <w:r>
        <w:rPr/>
        <w:t>说明其他原因导致的合并范围变动（如，新设子公司、清算子公司等）及其相关情况： 北京汉华易美图片有限公司于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日设立全资子公司上海悦芷网络科技有限公司。</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九、在其他主体中的权益" w:id="326"/>
      <w:bookmarkEnd w:id="32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在子公司中的权益" w:id="327"/>
      <w:bookmarkEnd w:id="32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企业集团的构成" w:id="328"/>
      <w:bookmarkEnd w:id="32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北京汉华易美图 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汉华易美</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东星</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视讯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上海卓越形象广 告传播有限公司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江苏卓越形象媒 体传播有限公司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北京卓越形象广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天津优亿新科技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天津华盖悦动信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视觉中国集团控 股有限公司</w:t>
            </w:r>
            <w:r>
              <w:rPr>
                <w:rFonts w:ascii="Times New Roman" w:hAnsi="Times New Roman" w:cs="Times New Roman" w:eastAsia="Times New Roman" w:hint="default"/>
                <w:sz w:val="18"/>
                <w:szCs w:val="18"/>
              </w:rPr>
              <w:t>(HK)</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视觉中国集团控 股有限公司 </w:t>
            </w:r>
            <w:r>
              <w:rPr>
                <w:rFonts w:ascii="Times New Roman" w:hAnsi="Times New Roman" w:cs="Times New Roman" w:eastAsia="Times New Roman" w:hint="default"/>
                <w:sz w:val="18"/>
                <w:szCs w:val="18"/>
              </w:rPr>
              <w:t>(BVI)</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视讯科技有限公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江苏视觉娱乐新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常州远东文化产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视觉中国香港有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常州竹晓软件有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常州视觉家信息 技术咨询有限公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辽宁华盖安泰企 业管理中心（有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天津图源视觉科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天津视觉星动网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上海悦芷网络科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500px,</w:t>
            </w:r>
            <w:r>
              <w:rPr>
                <w:rFonts w:ascii="Times New Roman"/>
                <w:spacing w:val="-1"/>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威明顿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63"/>
              <w:jc w:val="left"/>
              <w:rPr>
                <w:rFonts w:ascii="Times New Roman" w:hAnsi="Times New Roman" w:cs="Times New Roman" w:eastAsia="Times New Roman" w:hint="default"/>
                <w:sz w:val="18"/>
                <w:szCs w:val="18"/>
              </w:rPr>
            </w:pPr>
            <w:r>
              <w:rPr>
                <w:rFonts w:ascii="Times New Roman"/>
                <w:sz w:val="18"/>
              </w:rPr>
              <w:t>857790Canada,In 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7"/>
              <w:jc w:val="left"/>
              <w:rPr>
                <w:rFonts w:ascii="Times New Roman" w:hAnsi="Times New Roman" w:cs="Times New Roman" w:eastAsia="Times New Roman" w:hint="default"/>
                <w:sz w:val="18"/>
                <w:szCs w:val="18"/>
              </w:rPr>
            </w:pPr>
            <w:r>
              <w:rPr>
                <w:rFonts w:ascii="Times New Roman"/>
                <w:sz w:val="18"/>
              </w:rPr>
              <w:t>500px,Inc.(Canad 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联景国际有限公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西藏汉华易美图 像技术有限公司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互联网文化创意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2）重要的非全资子公司" w:id="329"/>
      <w:bookmarkEnd w:id="32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上海卓越形象广告传播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1" w:right="0"/>
              <w:jc w:val="left"/>
              <w:rPr>
                <w:rFonts w:ascii="Times New Roman" w:hAnsi="Times New Roman" w:cs="Times New Roman" w:eastAsia="Times New Roman" w:hint="default"/>
                <w:sz w:val="18"/>
                <w:szCs w:val="18"/>
              </w:rPr>
            </w:pPr>
            <w:r>
              <w:rPr>
                <w:rFonts w:ascii="Times New Roman"/>
                <w:sz w:val="18"/>
              </w:rPr>
              <w:t>6,112,556.06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19,622,278.52</w:t>
            </w:r>
          </w:p>
        </w:tc>
      </w:tr>
    </w:tbl>
    <w:p>
      <w:pPr>
        <w:pStyle w:val="BodyText"/>
        <w:spacing w:line="360" w:lineRule="auto" w:before="51"/>
        <w:ind w:right="6432"/>
        <w:jc w:val="left"/>
      </w:pPr>
      <w:r>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3）重要非全资子公司的主要财务信息" w:id="330"/>
      <w:bookmarkEnd w:id="33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上海卓 越形象 广告传 播有限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60,932,0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34.07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61,615,4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21,569,9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52.84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21,569,9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62,511,5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62,993,1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35,422,3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15.23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35,422,3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15.23</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上海卓越形 象广告传播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54,684,303.0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12,474,604.1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12,474,604.1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-21,577,818.3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70,576,752.0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25,248,416.0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25,248,416.0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31,051,263.3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在合营安排或联营企业中的权益" w:id="331"/>
      <w:bookmarkEnd w:id="331"/>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332"/>
      <w:bookmarkEnd w:id="33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湖北司马彦文化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视觉</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产业：教育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唱游信息技术有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视觉</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产业：旅游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2"/>
              <w:jc w:val="left"/>
              <w:rPr>
                <w:rFonts w:ascii="Times New Roman" w:hAnsi="Times New Roman" w:cs="Times New Roman" w:eastAsia="Times New Roman" w:hint="default"/>
                <w:sz w:val="18"/>
                <w:szCs w:val="18"/>
              </w:rPr>
            </w:pPr>
            <w:r>
              <w:rPr>
                <w:rFonts w:ascii="Times New Roman"/>
                <w:sz w:val="18"/>
              </w:rPr>
              <w:t>Getty Images</w:t>
            </w:r>
            <w:r>
              <w:rPr>
                <w:rFonts w:ascii="Times New Roman"/>
                <w:w w:val="99"/>
                <w:sz w:val="18"/>
              </w:rPr>
              <w:t> </w:t>
            </w:r>
            <w:r>
              <w:rPr>
                <w:rFonts w:ascii="Times New Roman"/>
                <w:sz w:val="18"/>
              </w:rPr>
              <w:t>SEA</w:t>
            </w:r>
            <w:r>
              <w:rPr>
                <w:rFonts w:ascii="Times New Roman"/>
                <w:spacing w:val="-11"/>
                <w:sz w:val="18"/>
              </w:rPr>
              <w:t> </w:t>
            </w:r>
            <w:r>
              <w:rPr>
                <w:rFonts w:ascii="Times New Roman"/>
                <w:sz w:val="18"/>
              </w:rPr>
              <w:t>Holdings</w:t>
            </w:r>
            <w:r>
              <w:rPr>
                <w:rFonts w:ascii="Times New Roman"/>
                <w:sz w:val="18"/>
              </w:rPr>
              <w:t> Co.,Limited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华融创新投资股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广东易教优培教 育科技有限公司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辽宁新兴文化创 业投资基金合伙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5pt;mso-position-horizontal-relative:char;mso-position-vertical-relative:line" coordorigin="0,0" coordsize="1358,313">
                  <v:group style="position:absolute;left:0;top:0;width:1358;height:313" coordorigin="0,0" coordsize="1358,313">
                    <v:shape style="position:absolute;left:0;top:0;width:1358;height:313" coordorigin="0,0" coordsize="1358,313"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生态投资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pict>
          <v:shape style="position:absolute;margin-left:74.343002pt;margin-top:-16.118294pt;width:119.1pt;height:15.65pt;mso-position-horizontal-relative:page;mso-position-vertical-relative:paragraph;z-index:-1246576" type="#_x0000_t202" filled="false" stroked="false">
            <v:textbox inset="0,0,0,0">
              <w:txbxContent>
                <w:p>
                  <w:pPr>
                    <w:pStyle w:val="BodyText"/>
                    <w:spacing w:line="208" w:lineRule="exact" w:before="0"/>
                    <w:ind w:left="0" w:right="0"/>
                    <w:jc w:val="left"/>
                  </w:pPr>
                  <w:r>
                    <w:rPr/>
                    <w:t>（有限合伙）</w:t>
                  </w:r>
                </w:p>
              </w:txbxContent>
            </v:textbox>
            <w10:wrap type="none"/>
          </v:shape>
        </w:pict>
      </w: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重要合营企业的主要财务信息" w:id="333"/>
      <w:bookmarkEnd w:id="33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湖北司马彦文化科技有限公司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湖北司马彦文化科技有限公司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282,907,693.92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191,794,651.11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78,667,826.89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19,425,223.45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3,632,830.96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2,198,070.22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286,540,524.88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193,992,721.33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92,385,032.92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41,583,678.50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92,385,032.92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41,583,678.50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194,155,491.96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152,409,042.83</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95,136,191.06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74,680,430.99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95,136,191.06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358,059,477.85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170,413,860.76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155,305,710.24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-52,852.84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-515,718.42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6,889,747.75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8,284,829.61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75,446,358.77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71,650,380.61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75,446,358.77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71,650,380.61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17,554,343.26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32,221,744.48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重要联营企业的主要财务信息" w:id="334"/>
      <w:bookmarkEnd w:id="33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58"/>
        <w:gridCol w:w="869"/>
        <w:gridCol w:w="870"/>
        <w:gridCol w:w="869"/>
        <w:gridCol w:w="869"/>
        <w:gridCol w:w="869"/>
        <w:gridCol w:w="869"/>
        <w:gridCol w:w="869"/>
        <w:gridCol w:w="870"/>
        <w:gridCol w:w="869"/>
        <w:gridCol w:w="869"/>
      </w:tblGrid>
      <w:tr>
        <w:trPr>
          <w:trHeight w:val="402"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3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85"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1" w:right="23" w:firstLine="45"/>
              <w:jc w:val="center"/>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362" w:lineRule="auto" w:before="91"/>
              <w:ind w:left="170" w:right="168" w:firstLine="104"/>
              <w:jc w:val="both"/>
              <w:rPr>
                <w:rFonts w:ascii="Times New Roman" w:hAnsi="Times New Roman" w:cs="Times New Roman" w:eastAsia="Times New Roman" w:hint="default"/>
                <w:sz w:val="18"/>
                <w:szCs w:val="18"/>
              </w:rPr>
            </w:pPr>
            <w:r>
              <w:rPr>
                <w:rFonts w:ascii="Times New Roman"/>
                <w:sz w:val="18"/>
              </w:rPr>
              <w:t>Getty</w:t>
            </w:r>
            <w:r>
              <w:rPr>
                <w:rFonts w:ascii="Times New Roman"/>
                <w:w w:val="99"/>
                <w:sz w:val="18"/>
              </w:rPr>
              <w:t> </w:t>
            </w:r>
            <w:r>
              <w:rPr>
                <w:rFonts w:ascii="Times New Roman"/>
                <w:sz w:val="18"/>
              </w:rPr>
              <w:t>Images</w:t>
            </w:r>
            <w:r>
              <w:rPr>
                <w:rFonts w:ascii="Times New Roman"/>
                <w:w w:val="99"/>
                <w:sz w:val="18"/>
              </w:rPr>
              <w:t> </w:t>
            </w:r>
            <w:r>
              <w:rPr>
                <w:rFonts w:ascii="Times New Roman"/>
                <w:sz w:val="18"/>
              </w:rPr>
              <w:t>SEA</w:t>
            </w:r>
          </w:p>
          <w:p>
            <w:pPr>
              <w:pStyle w:val="TableParagraph"/>
              <w:spacing w:line="362" w:lineRule="auto" w:before="3"/>
              <w:ind w:left="39" w:right="38" w:hanging="1"/>
              <w:jc w:val="center"/>
              <w:rPr>
                <w:rFonts w:ascii="Times New Roman" w:hAnsi="Times New Roman" w:cs="Times New Roman" w:eastAsia="Times New Roman" w:hint="default"/>
                <w:sz w:val="18"/>
                <w:szCs w:val="18"/>
              </w:rPr>
            </w:pPr>
            <w:r>
              <w:rPr>
                <w:rFonts w:ascii="Times New Roman"/>
                <w:sz w:val="18"/>
              </w:rPr>
              <w:t>Holdings</w:t>
            </w:r>
            <w:r>
              <w:rPr>
                <w:rFonts w:ascii="Times New Roman"/>
                <w:w w:val="99"/>
                <w:sz w:val="18"/>
              </w:rPr>
              <w:t> </w:t>
            </w:r>
            <w:r>
              <w:rPr>
                <w:rFonts w:ascii="Times New Roman"/>
                <w:sz w:val="18"/>
              </w:rPr>
              <w:t>Co.,Limite</w:t>
            </w:r>
            <w:r>
              <w:rPr>
                <w:rFonts w:ascii="Times New Roman"/>
                <w:w w:val="99"/>
                <w:sz w:val="18"/>
              </w:rPr>
              <w:t> </w:t>
            </w:r>
            <w:r>
              <w:rPr>
                <w:rFonts w:ascii="Times New Roman"/>
                <w:sz w:val="18"/>
              </w:rPr>
              <w:t>d</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8" w:right="23" w:firstLine="45"/>
              <w:jc w:val="both"/>
              <w:rPr>
                <w:rFonts w:ascii="宋体" w:hAnsi="宋体" w:cs="宋体" w:eastAsia="宋体" w:hint="default"/>
                <w:sz w:val="18"/>
                <w:szCs w:val="18"/>
              </w:rPr>
            </w:pPr>
            <w:r>
              <w:rPr>
                <w:rFonts w:ascii="宋体" w:hAnsi="宋体" w:cs="宋体" w:eastAsia="宋体" w:hint="default"/>
                <w:sz w:val="18"/>
                <w:szCs w:val="18"/>
              </w:rPr>
              <w:t>华融创新 投资股份 有限公司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8" w:right="23" w:firstLine="45"/>
              <w:jc w:val="center"/>
              <w:rPr>
                <w:rFonts w:ascii="宋体" w:hAnsi="宋体" w:cs="宋体" w:eastAsia="宋体" w:hint="default"/>
                <w:sz w:val="18"/>
                <w:szCs w:val="18"/>
              </w:rPr>
            </w:pPr>
            <w:r>
              <w:rPr>
                <w:rFonts w:ascii="宋体" w:hAnsi="宋体" w:cs="宋体" w:eastAsia="宋体" w:hint="default"/>
                <w:sz w:val="18"/>
                <w:szCs w:val="18"/>
              </w:rPr>
              <w:t>广东易教 优培教育 科技有限 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68" w:right="23" w:firstLine="45"/>
              <w:jc w:val="both"/>
              <w:rPr>
                <w:rFonts w:ascii="宋体" w:hAnsi="宋体" w:cs="宋体" w:eastAsia="宋体" w:hint="default"/>
                <w:sz w:val="18"/>
                <w:szCs w:val="18"/>
              </w:rPr>
            </w:pPr>
            <w:r>
              <w:rPr>
                <w:rFonts w:ascii="宋体" w:hAnsi="宋体" w:cs="宋体" w:eastAsia="宋体" w:hint="default"/>
                <w:sz w:val="18"/>
                <w:szCs w:val="18"/>
              </w:rPr>
              <w:t>辽宁新兴 文化创业 投资基金 合伙企业</w:t>
            </w:r>
          </w:p>
          <w:p>
            <w:pPr>
              <w:pStyle w:val="TableParagraph"/>
              <w:spacing w:line="319" w:lineRule="auto" w:before="19"/>
              <w:ind w:left="248" w:right="68" w:hanging="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8" w:right="23" w:firstLine="45"/>
              <w:jc w:val="center"/>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62" w:lineRule="auto" w:before="91"/>
              <w:ind w:left="169" w:right="168" w:firstLine="104"/>
              <w:jc w:val="both"/>
              <w:rPr>
                <w:rFonts w:ascii="Times New Roman" w:hAnsi="Times New Roman" w:cs="Times New Roman" w:eastAsia="Times New Roman" w:hint="default"/>
                <w:sz w:val="18"/>
                <w:szCs w:val="18"/>
              </w:rPr>
            </w:pPr>
            <w:r>
              <w:rPr>
                <w:rFonts w:ascii="Times New Roman"/>
                <w:sz w:val="18"/>
              </w:rPr>
              <w:t>Getty</w:t>
            </w:r>
            <w:r>
              <w:rPr>
                <w:rFonts w:ascii="Times New Roman"/>
                <w:w w:val="99"/>
                <w:sz w:val="18"/>
              </w:rPr>
              <w:t> </w:t>
            </w:r>
            <w:r>
              <w:rPr>
                <w:rFonts w:ascii="Times New Roman"/>
                <w:sz w:val="18"/>
              </w:rPr>
              <w:t>Images</w:t>
            </w:r>
            <w:r>
              <w:rPr>
                <w:rFonts w:ascii="Times New Roman"/>
                <w:w w:val="99"/>
                <w:sz w:val="18"/>
              </w:rPr>
              <w:t> </w:t>
            </w:r>
            <w:r>
              <w:rPr>
                <w:rFonts w:ascii="Times New Roman"/>
                <w:sz w:val="18"/>
              </w:rPr>
              <w:t>SEA</w:t>
            </w:r>
          </w:p>
          <w:p>
            <w:pPr>
              <w:pStyle w:val="TableParagraph"/>
              <w:spacing w:line="362" w:lineRule="auto" w:before="3"/>
              <w:ind w:left="38" w:right="38" w:hanging="1"/>
              <w:jc w:val="center"/>
              <w:rPr>
                <w:rFonts w:ascii="Times New Roman" w:hAnsi="Times New Roman" w:cs="Times New Roman" w:eastAsia="Times New Roman" w:hint="default"/>
                <w:sz w:val="18"/>
                <w:szCs w:val="18"/>
              </w:rPr>
            </w:pPr>
            <w:r>
              <w:rPr>
                <w:rFonts w:ascii="Times New Roman"/>
                <w:sz w:val="18"/>
              </w:rPr>
              <w:t>Holdings</w:t>
            </w:r>
            <w:r>
              <w:rPr>
                <w:rFonts w:ascii="Times New Roman"/>
                <w:w w:val="99"/>
                <w:sz w:val="18"/>
              </w:rPr>
              <w:t> </w:t>
            </w:r>
            <w:r>
              <w:rPr>
                <w:rFonts w:ascii="Times New Roman"/>
                <w:sz w:val="18"/>
              </w:rPr>
              <w:t>Co.,Limite</w:t>
            </w:r>
            <w:r>
              <w:rPr>
                <w:rFonts w:ascii="Times New Roman"/>
                <w:w w:val="99"/>
                <w:sz w:val="18"/>
              </w:rPr>
              <w:t> </w:t>
            </w:r>
            <w:r>
              <w:rPr>
                <w:rFonts w:ascii="Times New Roman"/>
                <w:sz w:val="18"/>
              </w:rPr>
              <w:t>d</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9" w:right="23" w:firstLine="45"/>
              <w:jc w:val="both"/>
              <w:rPr>
                <w:rFonts w:ascii="宋体" w:hAnsi="宋体" w:cs="宋体" w:eastAsia="宋体" w:hint="default"/>
                <w:sz w:val="18"/>
                <w:szCs w:val="18"/>
              </w:rPr>
            </w:pPr>
            <w:r>
              <w:rPr>
                <w:rFonts w:ascii="宋体" w:hAnsi="宋体" w:cs="宋体" w:eastAsia="宋体" w:hint="default"/>
                <w:sz w:val="18"/>
                <w:szCs w:val="18"/>
              </w:rPr>
              <w:t>华融创新 投资股份 有限公司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8" w:right="23" w:firstLine="45"/>
              <w:jc w:val="center"/>
              <w:rPr>
                <w:rFonts w:ascii="宋体" w:hAnsi="宋体" w:cs="宋体" w:eastAsia="宋体" w:hint="default"/>
                <w:sz w:val="18"/>
                <w:szCs w:val="18"/>
              </w:rPr>
            </w:pPr>
            <w:r>
              <w:rPr>
                <w:rFonts w:ascii="宋体" w:hAnsi="宋体" w:cs="宋体" w:eastAsia="宋体" w:hint="default"/>
                <w:sz w:val="18"/>
                <w:szCs w:val="18"/>
              </w:rPr>
              <w:t>广东易教 优培教育 科技有限 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68" w:right="23" w:firstLine="45"/>
              <w:jc w:val="both"/>
              <w:rPr>
                <w:rFonts w:ascii="宋体" w:hAnsi="宋体" w:cs="宋体" w:eastAsia="宋体" w:hint="default"/>
                <w:sz w:val="18"/>
                <w:szCs w:val="18"/>
              </w:rPr>
            </w:pPr>
            <w:r>
              <w:rPr>
                <w:rFonts w:ascii="宋体" w:hAnsi="宋体" w:cs="宋体" w:eastAsia="宋体" w:hint="default"/>
                <w:sz w:val="18"/>
                <w:szCs w:val="18"/>
              </w:rPr>
              <w:t>辽宁新兴 文化创业 投资基金 合伙企业</w:t>
            </w:r>
          </w:p>
          <w:p>
            <w:pPr>
              <w:pStyle w:val="TableParagraph"/>
              <w:spacing w:line="319" w:lineRule="auto" w:before="19"/>
              <w:ind w:left="248" w:right="68" w:hanging="180"/>
              <w:jc w:val="left"/>
              <w:rPr>
                <w:rFonts w:ascii="宋体" w:hAnsi="宋体" w:cs="宋体" w:eastAsia="宋体" w:hint="default"/>
                <w:sz w:val="18"/>
                <w:szCs w:val="18"/>
              </w:rPr>
            </w:pPr>
            <w:r>
              <w:rPr>
                <w:rFonts w:ascii="宋体" w:hAnsi="宋体" w:cs="宋体" w:eastAsia="宋体" w:hint="default"/>
                <w:sz w:val="18"/>
                <w:szCs w:val="18"/>
              </w:rPr>
              <w:t>（有限合 伙）</w:t>
            </w:r>
          </w:p>
        </w:tc>
      </w:tr>
      <w:tr>
        <w:trPr>
          <w:trHeight w:val="392"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
        </w:tc>
        <w:tc>
          <w:tcPr>
            <w:tcW w:w="869" w:type="dxa"/>
            <w:vMerge/>
            <w:tcBorders>
              <w:left w:val="single" w:sz="9" w:space="0" w:color="D2D2D2"/>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r>
      <w:tr>
        <w:trPr>
          <w:trHeight w:val="785"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r>
      <w:tr>
        <w:trPr>
          <w:trHeight w:val="161"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48,147,546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182,213,59</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5.18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6,990,403,</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974.72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92,780,486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14,773,003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65,828,395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121,370,46</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5.70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450,031,12</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8.26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67,249,076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31,620,848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w:t>
            </w:r>
          </w:p>
        </w:tc>
      </w:tr>
      <w:tr>
        <w:trPr>
          <w:trHeight w:val="392"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3"/>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4"/>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62,170,141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174,086,00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2.53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59,457,961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575,128.56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167,564,22</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46,213,855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213,758,87</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8,315,927,</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200.40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212,970.49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154,560,00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110,317,68</w:t>
            </w:r>
          </w:p>
          <w:p>
            <w:pPr>
              <w:pStyle w:val="TableParagraph"/>
              <w:spacing w:line="240" w:lineRule="auto" w:before="106"/>
              <w:ind w:left="514" w:right="0"/>
              <w:jc w:val="left"/>
              <w:rPr>
                <w:rFonts w:ascii="Times New Roman" w:hAnsi="Times New Roman" w:cs="Times New Roman" w:eastAsia="Times New Roman" w:hint="default"/>
                <w:sz w:val="18"/>
                <w:szCs w:val="18"/>
              </w:rPr>
            </w:pPr>
            <w:r>
              <w:rPr>
                <w:rFonts w:ascii="Times New Roman"/>
                <w:sz w:val="18"/>
              </w:rPr>
              <w:t>7.44</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356,299,59</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7.71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7,049,861,</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936.01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93,355,614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182,337,22</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8.58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112,042,25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0.58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335,129,33</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6.45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8,765,958,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328.66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67,462,046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186,180,84</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8.43</w:t>
            </w:r>
          </w:p>
        </w:tc>
      </w:tr>
      <w:tr>
        <w:trPr>
          <w:trHeight w:val="392"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3"/>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1"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51,565,885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17,946,695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5,569,591,</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249.72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5,284,814.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4,225.00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30,604,058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21,771,745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.24</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2,992,484,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796.68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28,367,482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300.00</w:t>
            </w:r>
          </w:p>
        </w:tc>
      </w:tr>
      <w:tr>
        <w:trPr>
          <w:trHeight w:val="392"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3"/>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4"/>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869"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11,135,746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894,500,00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5,172,662,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272.55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51,565,885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29,082,442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6,464,091,</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249.72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5,284,814.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4,225.00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30,604,058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23,936,727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8,165,147,</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069.23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28,367,482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300.00</w:t>
            </w:r>
          </w:p>
        </w:tc>
      </w:tr>
      <w:tr>
        <w:trPr>
          <w:trHeight w:val="392"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3"/>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026"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4"/>
              <w:jc w:val="both"/>
              <w:rPr>
                <w:rFonts w:ascii="宋体" w:hAnsi="宋体" w:cs="宋体" w:eastAsia="宋体" w:hint="default"/>
                <w:sz w:val="18"/>
                <w:szCs w:val="18"/>
              </w:rPr>
            </w:pPr>
            <w:r>
              <w:rPr>
                <w:rFonts w:ascii="宋体" w:hAnsi="宋体" w:cs="宋体" w:eastAsia="宋体" w:hint="default"/>
                <w:sz w:val="18"/>
                <w:szCs w:val="18"/>
              </w:rPr>
              <w:t>归属于母 公司股东 权益</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58,751,801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327,217,15</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5.46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585,770,68</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6.29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88,070,800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182,333,00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3.58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81,438,192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311,192,60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9.37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600,811,25</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9.43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39,094,564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186,180,84</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8.43</w:t>
            </w:r>
          </w:p>
        </w:tc>
      </w:tr>
      <w:tr>
        <w:trPr>
          <w:trHeight w:val="133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4"/>
              <w:jc w:val="both"/>
              <w:rPr>
                <w:rFonts w:ascii="宋体" w:hAnsi="宋体" w:cs="宋体" w:eastAsia="宋体" w:hint="default"/>
                <w:sz w:val="18"/>
                <w:szCs w:val="18"/>
              </w:rPr>
            </w:pPr>
            <w:r>
              <w:rPr>
                <w:rFonts w:ascii="宋体" w:hAnsi="宋体" w:cs="宋体" w:eastAsia="宋体" w:hint="default"/>
                <w:sz w:val="18"/>
                <w:szCs w:val="18"/>
              </w:rPr>
              <w:t>按持股比 例计算的 净资产份 额</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26,438,310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163,608,57</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7.73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117,154,13</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7.26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30,824,780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95,961,859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36,647,186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155,596,30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4.69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120,162,25</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1.89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13,683,097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97,986,980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114"/>
              <w:jc w:val="left"/>
              <w:rPr>
                <w:rFonts w:ascii="宋体" w:hAnsi="宋体" w:cs="宋体" w:eastAsia="宋体" w:hint="default"/>
                <w:sz w:val="18"/>
                <w:szCs w:val="18"/>
              </w:rPr>
            </w:pPr>
            <w:r>
              <w:rPr>
                <w:rFonts w:ascii="宋体" w:hAnsi="宋体" w:cs="宋体" w:eastAsia="宋体" w:hint="default"/>
                <w:sz w:val="18"/>
                <w:szCs w:val="18"/>
              </w:rPr>
              <w:t>对联营企 业权益投</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26,438,310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163,608,57</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7.73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117,154,13</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7.26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30,824,780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95,961,859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36,647,186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155,596,30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4.69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120,162,25</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1.89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13,683,097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97,986,980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67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14"/>
              <w:jc w:val="left"/>
              <w:rPr>
                <w:rFonts w:ascii="宋体" w:hAnsi="宋体" w:cs="宋体" w:eastAsia="宋体" w:hint="default"/>
                <w:sz w:val="18"/>
                <w:szCs w:val="18"/>
              </w:rPr>
            </w:pPr>
            <w:r>
              <w:rPr>
                <w:rFonts w:ascii="宋体" w:hAnsi="宋体" w:cs="宋体" w:eastAsia="宋体" w:hint="default"/>
                <w:sz w:val="18"/>
                <w:szCs w:val="18"/>
              </w:rPr>
              <w:t>资的账面 价值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98,841,491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33,299,215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66,579,107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4,795,791.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90,176,029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189,604,55</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9.74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50,809,585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-22,408,60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985,807.24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44,767,624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45,476,236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-3,847,844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-1,695,384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897,206.23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81,602,543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33,611,606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-3,818,851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15,998,234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-21,343,80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8.60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-22,408,60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16,984,042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44,767,624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45,476,236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-3,847,844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-1,695,384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-20,446,60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81,602,543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33,611,606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-3,818,851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r>
      <w:tr>
        <w:trPr>
          <w:trHeight w:val="1338"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本年度收 到的来自 联营企业 的股利</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5,875,383.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不重要的合营企业和联营企业的汇总财务信息" w:id="335"/>
      <w:bookmarkEnd w:id="33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129,000,883.97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8,549,749.08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-2,017,236.61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-239,538.94</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-2,017,236.61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-239,538.94</w:t>
            </w:r>
            <w:r>
              <w:rPr>
                <w:rFonts w:ascii="Times New Roman"/>
                <w:sz w:val="18"/>
              </w:rPr>
            </w:r>
          </w:p>
        </w:tc>
      </w:tr>
    </w:tbl>
    <w:p>
      <w:pPr>
        <w:pStyle w:val="BodyText"/>
        <w:spacing w:line="240" w:lineRule="auto" w:before="51"/>
        <w:ind w:right="0"/>
        <w:jc w:val="left"/>
      </w:pPr>
      <w:r>
        <w:rPr/>
        <w:t>其他说明</w:t>
      </w:r>
    </w:p>
    <w:p>
      <w:pPr>
        <w:pStyle w:val="BodyText"/>
        <w:spacing w:line="319" w:lineRule="auto" w:before="116"/>
        <w:ind w:right="1130" w:firstLine="360"/>
        <w:jc w:val="both"/>
      </w:pPr>
      <w:r>
        <w:rPr>
          <w:spacing w:val="-2"/>
        </w:rPr>
        <w:t>注：不重要的联营企业为常州视觉跃动文化发展有限公司、北京华盖映月影视文化投资管理有限公司、北京灵睿博智广</w:t>
      </w:r>
      <w:r>
        <w:rPr/>
        <w:t> </w:t>
      </w:r>
      <w:r>
        <w:rPr>
          <w:spacing w:val="-2"/>
        </w:rPr>
        <w:t>告有限公司、广东南方视觉文化传媒有限公司、华盖安鹭（厦门）文化产业投资合伙企业（有限合伙）以及厦门视觉像科技</w:t>
      </w:r>
      <w:r>
        <w:rPr>
          <w:spacing w:val="-68"/>
        </w:rPr>
        <w:t> </w:t>
      </w:r>
      <w:r>
        <w:rPr>
          <w:spacing w:val="-68"/>
        </w:rPr>
      </w:r>
      <w:r>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十、与金融工具相关的风险" w:id="336"/>
      <w:bookmarkEnd w:id="336"/>
      <w:r>
        <w:rPr>
          <w:b w:val="0"/>
          <w:bCs w:val="0"/>
        </w:rPr>
      </w:r>
      <w:r>
        <w:rPr/>
        <w:t>十、与金融工具相关的风险</w:t>
      </w:r>
      <w:r>
        <w:rPr>
          <w:b w:val="0"/>
          <w:bCs w:val="0"/>
        </w:rPr>
      </w:r>
    </w:p>
    <w:p>
      <w:pPr>
        <w:spacing w:line="240" w:lineRule="auto" w:before="12"/>
        <w:rPr>
          <w:rFonts w:ascii="宋体" w:hAnsi="宋体" w:cs="宋体" w:eastAsia="宋体" w:hint="default"/>
          <w:b/>
          <w:bCs/>
          <w:sz w:val="23"/>
          <w:szCs w:val="23"/>
        </w:rPr>
      </w:pPr>
    </w:p>
    <w:p>
      <w:pPr>
        <w:pStyle w:val="Heading4"/>
        <w:spacing w:line="252" w:lineRule="auto" w:before="0"/>
        <w:ind w:right="1114" w:firstLine="439"/>
        <w:jc w:val="left"/>
      </w:pPr>
      <w:r>
        <w:rPr>
          <w:spacing w:val="-2"/>
        </w:rPr>
        <w:t>本集团董事会负责规划并建立本集团的风险管理架构，制定本集团的风险管理政策和相关指引并</w:t>
      </w:r>
      <w:r>
        <w:rPr>
          <w:w w:val="99"/>
        </w:rPr>
        <w:t> </w:t>
      </w:r>
      <w:r>
        <w:rPr>
          <w:spacing w:val="-1"/>
        </w:rPr>
        <w:t>监督风险管理措施的执行情况。通过制定风险管理政策，设定适当的控制程序以识别、分析、监控和</w:t>
      </w:r>
      <w:r>
        <w:rPr>
          <w:w w:val="99"/>
        </w:rPr>
        <w:t> </w:t>
      </w:r>
      <w:r>
        <w:rPr>
          <w:spacing w:val="-3"/>
        </w:rPr>
        <w:t>报告风险情况，定期对整体风险状况进行评估，本集团的经营活动会面临各种金融风险：市场风险</w:t>
      </w:r>
      <w:r>
        <w:rPr>
          <w:rFonts w:ascii="Times New Roman" w:hAnsi="Times New Roman" w:cs="Times New Roman" w:eastAsia="Times New Roman" w:hint="default"/>
          <w:spacing w:val="-3"/>
        </w:rPr>
        <w:t>(</w:t>
      </w:r>
      <w:r>
        <w:rPr>
          <w:spacing w:val="-3"/>
        </w:rPr>
        <w:t>主</w:t>
      </w:r>
      <w:r>
        <w:rPr>
          <w:spacing w:val="-107"/>
        </w:rPr>
        <w:t> </w:t>
      </w:r>
      <w:r>
        <w:rPr/>
        <w:t>要为外汇风险和利率风险</w:t>
      </w:r>
      <w:r>
        <w:rPr>
          <w:rFonts w:ascii="Times New Roman" w:hAnsi="Times New Roman" w:cs="Times New Roman" w:eastAsia="Times New Roman" w:hint="default"/>
        </w:rPr>
        <w:t>)</w:t>
      </w:r>
      <w:r>
        <w:rPr/>
        <w:t>、信用风险和流动性风险。本集团整体的风险管理计划针对金融市场的不</w:t>
      </w:r>
      <w:r>
        <w:rPr>
          <w:w w:val="99"/>
        </w:rPr>
        <w:t> </w:t>
      </w:r>
      <w:r>
        <w:rPr/>
        <w:t>可预见性，力求减少对本集团财务业绩的潜在不利影响。</w:t>
      </w:r>
    </w:p>
    <w:p>
      <w:pPr>
        <w:spacing w:after="0" w:line="252" w:lineRule="auto"/>
        <w:jc w:val="left"/>
        <w:sectPr>
          <w:pgSz w:w="11910" w:h="16840"/>
          <w:pgMar w:header="747" w:footer="979" w:top="1060" w:bottom="1160" w:left="980" w:right="0"/>
        </w:sectPr>
      </w:pPr>
    </w:p>
    <w:p>
      <w:pPr>
        <w:spacing w:line="240" w:lineRule="auto" w:before="4"/>
        <w:rPr>
          <w:rFonts w:ascii="宋体" w:hAnsi="宋体" w:cs="宋体" w:eastAsia="宋体" w:hint="default"/>
          <w:sz w:val="24"/>
          <w:szCs w:val="24"/>
        </w:rPr>
      </w:pPr>
    </w:p>
    <w:p>
      <w:pPr>
        <w:pStyle w:val="Heading4"/>
        <w:spacing w:line="256" w:lineRule="auto"/>
        <w:ind w:right="1132" w:firstLine="439"/>
        <w:jc w:val="both"/>
      </w:pPr>
      <w:r>
        <w:rPr>
          <w:spacing w:val="-2"/>
        </w:rPr>
        <w:t>本集团通过适当的多样化投资及业务组合来分散金融工具风险，并通过制定相应的风险管理政策</w:t>
      </w:r>
      <w:r>
        <w:rPr>
          <w:w w:val="99"/>
        </w:rPr>
        <w:t> </w:t>
      </w:r>
      <w:r>
        <w:rPr>
          <w:spacing w:val="-1"/>
        </w:rPr>
        <w:t>减少集中于任何单一行业，特定地区或特定交易对手的风险。于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日，本集团没有对客户</w:t>
      </w:r>
      <w:r>
        <w:rPr>
          <w:w w:val="99"/>
        </w:rPr>
        <w:t> </w:t>
      </w:r>
      <w:r>
        <w:rPr>
          <w:spacing w:val="-1"/>
          <w:w w:val="95"/>
        </w:rPr>
        <w:t>类型、某一行业或地理位置的集中风险。相反，我们的业务对象和投资具有广泛分布的特征，我们的</w:t>
      </w:r>
      <w:r>
        <w:rPr>
          <w:spacing w:val="50"/>
          <w:w w:val="95"/>
        </w:rPr>
        <w:t> </w:t>
      </w:r>
      <w:r>
        <w:rPr>
          <w:spacing w:val="50"/>
          <w:w w:val="95"/>
        </w:rPr>
      </w:r>
      <w:r>
        <w:rPr>
          <w:spacing w:val="-2"/>
        </w:rPr>
        <w:t>金融工具风险敞口主要受各个客户特征的影响，不具有相似特征并且受相似经济或其他条件变化影响</w:t>
      </w:r>
      <w:r>
        <w:rPr>
          <w:spacing w:val="-87"/>
        </w:rPr>
        <w:t> </w:t>
      </w:r>
      <w:r>
        <w:rPr>
          <w:spacing w:val="-87"/>
        </w:rPr>
      </w:r>
      <w:r>
        <w:rPr/>
        <w:t>的金融工具，因此，我们相信我们的风险集中是有限的。</w:t>
      </w:r>
    </w:p>
    <w:p>
      <w:pPr>
        <w:pStyle w:val="Heading4"/>
        <w:spacing w:line="240" w:lineRule="auto" w:before="128"/>
        <w:ind w:left="154" w:right="0"/>
        <w:jc w:val="left"/>
      </w:pPr>
      <w:r>
        <w:rPr>
          <w:rFonts w:ascii="宋体" w:hAnsi="宋体" w:cs="宋体" w:eastAsia="宋体" w:hint="default"/>
        </w:rPr>
        <w:t>1.</w:t>
      </w:r>
      <w:r>
        <w:rPr>
          <w:rFonts w:ascii="宋体" w:hAnsi="宋体" w:cs="宋体" w:eastAsia="宋体" w:hint="default"/>
          <w:spacing w:val="26"/>
        </w:rPr>
        <w:t> </w:t>
      </w:r>
      <w:r>
        <w:rPr/>
        <w:t>市场风险</w:t>
      </w:r>
    </w:p>
    <w:p>
      <w:pPr>
        <w:pStyle w:val="Heading4"/>
        <w:spacing w:line="252" w:lineRule="auto" w:before="144"/>
        <w:ind w:right="1092" w:firstLine="439"/>
        <w:jc w:val="both"/>
      </w:pPr>
      <w:r>
        <w:rPr>
          <w:spacing w:val="-2"/>
        </w:rPr>
        <w:t>本集团的主要经营位于中国境内，主要业务以人民币结算。但本集团已确认的外币资产和负债及</w:t>
      </w:r>
      <w:r>
        <w:rPr>
          <w:w w:val="99"/>
        </w:rPr>
        <w:t> </w:t>
      </w:r>
      <w:r>
        <w:rPr/>
        <w:t>未来的外币交易</w:t>
      </w:r>
      <w:r>
        <w:rPr>
          <w:rFonts w:ascii="Times New Roman" w:hAnsi="Times New Roman" w:cs="Times New Roman" w:eastAsia="Times New Roman" w:hint="default"/>
        </w:rPr>
        <w:t>(</w:t>
      </w:r>
      <w:r>
        <w:rPr/>
        <w:t>外币资产和负债及外币交易的计价货币主要为美元</w:t>
      </w:r>
      <w:r>
        <w:rPr>
          <w:rFonts w:ascii="Times New Roman" w:hAnsi="Times New Roman" w:cs="Times New Roman" w:eastAsia="Times New Roman" w:hint="default"/>
        </w:rPr>
        <w:t>)</w:t>
      </w:r>
      <w:r>
        <w:rPr/>
        <w:t>依然存在外汇风险。本集团总部</w:t>
      </w:r>
      <w:r>
        <w:rPr>
          <w:w w:val="99"/>
        </w:rPr>
        <w:t> </w:t>
      </w:r>
      <w:r>
        <w:rPr>
          <w:w w:val="95"/>
        </w:rPr>
        <w:t>财务部门负责监控集团外币交易和外币资产及负债的规模，以最大程度降低面临的外汇风险；为此，</w:t>
      </w:r>
      <w:r>
        <w:rPr>
          <w:spacing w:val="46"/>
          <w:w w:val="95"/>
        </w:rPr>
        <w:t> </w:t>
      </w:r>
      <w:r>
        <w:rPr>
          <w:spacing w:val="46"/>
          <w:w w:val="95"/>
        </w:rPr>
      </w:r>
      <w:r>
        <w:rPr>
          <w:spacing w:val="-1"/>
        </w:rPr>
        <w:t>本集团可能会以签署远期外汇合约或货币互换合约的方式来达到规避外汇风险的目的。于</w:t>
      </w:r>
      <w:r>
        <w:rPr>
          <w:rFonts w:ascii="Times New Roman" w:hAnsi="Times New Roman" w:cs="Times New Roman" w:eastAsia="Times New Roman" w:hint="default"/>
          <w:spacing w:val="-1"/>
        </w:rPr>
        <w:t>2018</w:t>
      </w:r>
      <w:r>
        <w:rPr>
          <w:spacing w:val="-1"/>
        </w:rPr>
        <w:t>年度及</w:t>
      </w:r>
      <w:r>
        <w:rPr>
          <w:spacing w:val="-2"/>
          <w:w w:val="99"/>
        </w:rPr>
        <w:t> </w:t>
      </w:r>
      <w:r>
        <w:rPr>
          <w:rFonts w:ascii="Times New Roman" w:hAnsi="Times New Roman" w:cs="Times New Roman" w:eastAsia="Times New Roman" w:hint="default"/>
        </w:rPr>
        <w:t>2017</w:t>
      </w:r>
      <w:r>
        <w:rPr/>
        <w:t>年度，本集团未签署任何远期外汇合约或货币互换合约。</w:t>
      </w:r>
    </w:p>
    <w:p>
      <w:pPr>
        <w:pStyle w:val="Heading4"/>
        <w:spacing w:line="244" w:lineRule="auto" w:before="115"/>
        <w:ind w:right="1134" w:firstLine="439"/>
        <w:jc w:val="both"/>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日，本集团持有的外币金融资产和外币金融负债折算成人民币</w:t>
      </w:r>
      <w:r>
        <w:rPr>
          <w:w w:val="99"/>
        </w:rPr>
        <w:t> </w:t>
      </w:r>
      <w:r>
        <w:rPr/>
        <w:t>的金额列示如下：</w:t>
      </w:r>
    </w:p>
    <w:p>
      <w:pPr>
        <w:spacing w:line="240" w:lineRule="auto" w:before="6"/>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563"/>
        <w:gridCol w:w="1049"/>
        <w:gridCol w:w="1304"/>
        <w:gridCol w:w="1304"/>
        <w:gridCol w:w="1303"/>
        <w:gridCol w:w="1304"/>
        <w:gridCol w:w="1303"/>
      </w:tblGrid>
      <w:tr>
        <w:trPr>
          <w:trHeight w:val="355" w:hRule="exact"/>
        </w:trPr>
        <w:tc>
          <w:tcPr>
            <w:tcW w:w="1563"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7"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1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2" w:hRule="exact"/>
        </w:trPr>
        <w:tc>
          <w:tcPr>
            <w:tcW w:w="1563" w:type="dxa"/>
            <w:vMerge/>
            <w:tcBorders>
              <w:left w:val="single" w:sz="6" w:space="0" w:color="000000"/>
              <w:bottom w:val="single" w:sz="12" w:space="0" w:color="000000"/>
              <w:right w:val="single" w:sz="6" w:space="0" w:color="000000"/>
            </w:tcBorders>
          </w:tcPr>
          <w:p>
            <w:pP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其他外币项目</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其他外币项目</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65"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59,421,333.9</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94,537,263.66</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153,958,597.59</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117,783,610.45</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2,153,132.08</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119,936,742.53</w:t>
            </w:r>
          </w:p>
        </w:tc>
      </w:tr>
      <w:tr>
        <w:trPr>
          <w:trHeight w:val="352"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7,570,373.35</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3,062,352.39</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10,632,725.74</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6,244,950.83</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6,244,950.83</w:t>
            </w:r>
          </w:p>
        </w:tc>
      </w:tr>
      <w:tr>
        <w:trPr>
          <w:trHeight w:val="352"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53,138.33</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815,628.35</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868,766.68</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7,573,128.19</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7,573,128.19</w:t>
            </w:r>
          </w:p>
        </w:tc>
      </w:tr>
      <w:tr>
        <w:trPr>
          <w:trHeight w:val="353"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可供出售金额资产</w:t>
            </w:r>
          </w:p>
        </w:tc>
        <w:tc>
          <w:tcPr>
            <w:tcW w:w="1049"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52,273,600.00</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52,273,600.00</w:t>
            </w:r>
          </w:p>
        </w:tc>
      </w:tr>
      <w:tr>
        <w:trPr>
          <w:trHeight w:val="664"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67,044,845.6</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98,415,244.40</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165,460,090.01</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183,875,289.47</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2,153,132.08</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186,028,421.55</w:t>
            </w:r>
          </w:p>
        </w:tc>
      </w:tr>
      <w:tr>
        <w:trPr>
          <w:trHeight w:val="352"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49"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144,727.30</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144,727.30</w:t>
            </w:r>
          </w:p>
        </w:tc>
        <w:tc>
          <w:tcPr>
            <w:tcW w:w="1303"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38,735,605.2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7,787,047.03</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46,522,652.23</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26,839,599.99</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21,176,647.18</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48,016,247.17</w:t>
            </w:r>
          </w:p>
        </w:tc>
      </w:tr>
      <w:tr>
        <w:trPr>
          <w:trHeight w:val="352"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2,483,786.86</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2,483,786.86</w:t>
            </w:r>
          </w:p>
        </w:tc>
        <w:tc>
          <w:tcPr>
            <w:tcW w:w="1303"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296,765.93</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381,007.06</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677,772.99</w:t>
            </w:r>
          </w:p>
        </w:tc>
        <w:tc>
          <w:tcPr>
            <w:tcW w:w="1303"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249,134,160.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00</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161,802,700.00</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410,936,860.00</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479,236,473.64</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left"/>
              <w:rPr>
                <w:rFonts w:ascii="Times New Roman" w:hAnsi="Times New Roman" w:cs="Times New Roman" w:eastAsia="Times New Roman" w:hint="default"/>
                <w:sz w:val="18"/>
                <w:szCs w:val="18"/>
              </w:rPr>
            </w:pPr>
            <w:r>
              <w:rPr>
                <w:rFonts w:ascii="Times New Roman"/>
                <w:sz w:val="18"/>
              </w:rPr>
              <w:t>479,236,473.64</w:t>
            </w:r>
          </w:p>
        </w:tc>
      </w:tr>
      <w:tr>
        <w:trPr>
          <w:trHeight w:val="664"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164,716,800.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00</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164,716,800.00</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left"/>
              <w:rPr>
                <w:rFonts w:ascii="Times New Roman" w:hAnsi="Times New Roman" w:cs="Times New Roman" w:eastAsia="Times New Roman" w:hint="default"/>
                <w:sz w:val="18"/>
                <w:szCs w:val="18"/>
              </w:rPr>
            </w:pPr>
            <w:r>
              <w:rPr>
                <w:rFonts w:ascii="Times New Roman"/>
                <w:sz w:val="18"/>
              </w:rPr>
              <w:t>156,820,800.00</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left"/>
              <w:rPr>
                <w:rFonts w:ascii="Times New Roman" w:hAnsi="Times New Roman" w:cs="Times New Roman" w:eastAsia="Times New Roman" w:hint="default"/>
                <w:sz w:val="18"/>
                <w:szCs w:val="18"/>
              </w:rPr>
            </w:pPr>
            <w:r>
              <w:rPr>
                <w:rFonts w:ascii="Times New Roman"/>
                <w:sz w:val="18"/>
              </w:rPr>
              <w:t>156,820,800.00</w:t>
            </w:r>
          </w:p>
        </w:tc>
      </w:tr>
      <w:tr>
        <w:trPr>
          <w:trHeight w:val="664"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12,263,149.5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12,263,149.56</w:t>
            </w:r>
          </w:p>
        </w:tc>
        <w:tc>
          <w:tcPr>
            <w:tcW w:w="1303" w:type="dxa"/>
            <w:tcBorders>
              <w:top w:val="single" w:sz="12" w:space="0" w:color="000000"/>
              <w:left w:val="single" w:sz="6" w:space="0" w:color="000000"/>
              <w:bottom w:val="single" w:sz="12" w:space="0" w:color="000000"/>
              <w:right w:val="single" w:sz="6" w:space="0" w:color="000000"/>
            </w:tcBorders>
          </w:tcPr>
          <w:p>
            <w:pPr/>
          </w:p>
        </w:tc>
        <w:tc>
          <w:tcPr>
            <w:tcW w:w="1304" w:type="dxa"/>
            <w:tcBorders>
              <w:top w:val="single" w:sz="12" w:space="0" w:color="000000"/>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467,630,267.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55</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170,115,481.39</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637,745,748.94</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662,896,873.63</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21,176,647.18</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684,073,520.81</w:t>
            </w:r>
          </w:p>
        </w:tc>
      </w:tr>
    </w:tbl>
    <w:p>
      <w:pPr>
        <w:spacing w:line="240" w:lineRule="auto" w:before="13"/>
        <w:rPr>
          <w:rFonts w:ascii="宋体" w:hAnsi="宋体" w:cs="宋体" w:eastAsia="宋体" w:hint="default"/>
          <w:sz w:val="4"/>
          <w:szCs w:val="4"/>
        </w:rPr>
      </w:pPr>
    </w:p>
    <w:p>
      <w:pPr>
        <w:pStyle w:val="Heading4"/>
        <w:spacing w:line="247" w:lineRule="auto"/>
        <w:ind w:right="1117" w:firstLine="439"/>
        <w:jc w:val="left"/>
        <w:rPr>
          <w:rFonts w:ascii="Times New Roman" w:hAnsi="Times New Roman" w:cs="Times New Roman" w:eastAsia="Times New Roman" w:hint="default"/>
        </w:rPr>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日，对于本集团各类外币金融资产和外币金融负债，如果人民币对该等外币升值</w:t>
      </w:r>
      <w:r>
        <w:rPr>
          <w:w w:val="99"/>
        </w:rPr>
        <w:t> </w:t>
      </w:r>
      <w:r>
        <w:rPr/>
        <w:t>或贬值</w:t>
      </w:r>
      <w:r>
        <w:rPr>
          <w:rFonts w:ascii="Times New Roman" w:hAnsi="Times New Roman" w:cs="Times New Roman" w:eastAsia="Times New Roman" w:hint="default"/>
        </w:rPr>
        <w:t>10%</w:t>
      </w:r>
      <w:r>
        <w:rPr/>
        <w:t>，其他因素保持不变，则本集团将减少或增加综合收益约</w:t>
      </w:r>
      <w:r>
        <w:rPr>
          <w:rFonts w:ascii="Times New Roman" w:hAnsi="Times New Roman" w:cs="Times New Roman" w:eastAsia="Times New Roman" w:hint="default"/>
        </w:rPr>
        <w:t>472,224,566.60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w w:val="99"/>
        </w:rPr>
        <w:t> </w:t>
      </w:r>
      <w:r>
        <w:rPr>
          <w:spacing w:val="-2"/>
        </w:rPr>
        <w:t>日：约</w:t>
      </w:r>
      <w:r>
        <w:rPr>
          <w:rFonts w:ascii="Times New Roman" w:hAnsi="Times New Roman" w:cs="Times New Roman" w:eastAsia="Times New Roman" w:hint="default"/>
          <w:spacing w:val="-2"/>
        </w:rPr>
        <w:t>498,045,099.26</w:t>
      </w:r>
      <w:r>
        <w:rPr>
          <w:spacing w:val="-2"/>
        </w:rPr>
        <w:t>元</w:t>
      </w:r>
      <w:r>
        <w:rPr>
          <w:rFonts w:ascii="Times New Roman" w:hAnsi="Times New Roman" w:cs="Times New Roman" w:eastAsia="Times New Roman" w:hint="default"/>
          <w:spacing w:val="-2"/>
        </w:rPr>
        <w:t>)</w:t>
      </w:r>
      <w:r>
        <w:rPr>
          <w:spacing w:val="-2"/>
        </w:rPr>
        <w:t>，增加或减少股东权益约</w:t>
      </w:r>
      <w:r>
        <w:rPr>
          <w:rFonts w:ascii="Times New Roman" w:hAnsi="Times New Roman" w:cs="Times New Roman" w:eastAsia="Times New Roman" w:hint="default"/>
          <w:spacing w:val="-2"/>
        </w:rPr>
        <w:t>472,224,566.60</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日：约</w:t>
      </w:r>
      <w:r>
        <w:rPr>
          <w:rFonts w:ascii="Times New Roman" w:hAnsi="Times New Roman" w:cs="Times New Roman" w:eastAsia="Times New Roman" w:hint="default"/>
          <w:spacing w:val="-2"/>
        </w:rPr>
        <w:t>498,045,099.26</w:t>
      </w:r>
    </w:p>
    <w:p>
      <w:pPr>
        <w:pStyle w:val="Heading4"/>
        <w:spacing w:line="240" w:lineRule="auto" w:before="0"/>
        <w:ind w:right="0"/>
        <w:jc w:val="left"/>
      </w:pPr>
      <w:r>
        <w:rPr/>
        <w:t>元</w:t>
      </w:r>
      <w:r>
        <w:rPr>
          <w:rFonts w:ascii="Times New Roman" w:hAnsi="Times New Roman" w:cs="Times New Roman" w:eastAsia="Times New Roman" w:hint="default"/>
        </w:rPr>
        <w:t>)</w:t>
      </w:r>
      <w:r>
        <w:rPr/>
        <w:t>。</w:t>
      </w:r>
    </w:p>
    <w:p>
      <w:pPr>
        <w:pStyle w:val="Heading4"/>
        <w:spacing w:line="240" w:lineRule="auto" w:before="127"/>
        <w:ind w:left="1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利率风险</w:t>
      </w:r>
    </w:p>
    <w:p>
      <w:pPr>
        <w:spacing w:after="0" w:line="240" w:lineRule="auto"/>
        <w:jc w:val="left"/>
        <w:sectPr>
          <w:pgSz w:w="11910" w:h="16840"/>
          <w:pgMar w:header="747" w:footer="979" w:top="1060" w:bottom="1160" w:left="980" w:right="0"/>
        </w:sectPr>
      </w:pPr>
    </w:p>
    <w:p>
      <w:pPr>
        <w:spacing w:line="240" w:lineRule="auto" w:before="4"/>
        <w:rPr>
          <w:rFonts w:ascii="宋体" w:hAnsi="宋体" w:cs="宋体" w:eastAsia="宋体" w:hint="default"/>
          <w:sz w:val="24"/>
          <w:szCs w:val="24"/>
        </w:rPr>
      </w:pPr>
    </w:p>
    <w:p>
      <w:pPr>
        <w:pStyle w:val="Heading4"/>
        <w:spacing w:line="252" w:lineRule="auto"/>
        <w:ind w:left="154" w:right="1116" w:firstLine="440"/>
        <w:jc w:val="left"/>
      </w:pPr>
      <w:r>
        <w:rPr>
          <w:spacing w:val="-1"/>
          <w:w w:val="95"/>
        </w:rPr>
        <w:t>本集团的利率风险主要产生于长期银行借款及应付债券等长期带息债务。浮动利率的金融负债使</w:t>
      </w:r>
      <w:r>
        <w:rPr>
          <w:spacing w:val="-99"/>
          <w:w w:val="95"/>
        </w:rPr>
        <w:t> </w:t>
      </w:r>
      <w:r>
        <w:rPr>
          <w:spacing w:val="-99"/>
          <w:w w:val="95"/>
        </w:rPr>
      </w:r>
      <w:r>
        <w:rPr>
          <w:spacing w:val="-1"/>
        </w:rPr>
        <w:t>本集团面临现金流量利率风险，固定利率的金融负债使本集团面临公允价值利率风险。本集团根据当</w:t>
      </w:r>
      <w:r>
        <w:rPr>
          <w:w w:val="99"/>
        </w:rPr>
        <w:t> </w:t>
      </w:r>
      <w:r>
        <w:rPr>
          <w:spacing w:val="-1"/>
        </w:rPr>
        <w:t>时的市场环境来决定固定利率及浮动利率合同的相对比例。于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日，本集团长期带息债务</w:t>
      </w:r>
      <w:r>
        <w:rPr>
          <w:w w:val="99"/>
        </w:rPr>
        <w:t> </w:t>
      </w:r>
      <w:r>
        <w:rPr/>
        <w:t>分别为人民币计价的浮动利率合同，金额为</w:t>
      </w:r>
      <w:r>
        <w:rPr>
          <w:rFonts w:ascii="Times New Roman" w:hAnsi="Times New Roman" w:cs="Times New Roman" w:eastAsia="Times New Roman" w:hint="default"/>
        </w:rPr>
        <w:t>244,350,476.53</w:t>
      </w:r>
      <w:r>
        <w:rPr/>
        <w:t>元，美元计价的浮动利率合同，金额为</w:t>
      </w:r>
      <w:r>
        <w:rPr>
          <w:w w:val="99"/>
        </w:rPr>
        <w:t> </w:t>
      </w:r>
      <w:r>
        <w:rPr>
          <w:rFonts w:ascii="Times New Roman" w:hAnsi="Times New Roman" w:cs="Times New Roman" w:eastAsia="Times New Roman" w:hint="default"/>
        </w:rPr>
        <w:t>60,300,000.00</w:t>
      </w:r>
      <w:r>
        <w:rPr/>
        <w:t>美元。欧元计价的浮动利率合同，金额为</w:t>
      </w:r>
      <w:r>
        <w:rPr>
          <w:rFonts w:ascii="Times New Roman" w:hAnsi="Times New Roman" w:cs="Times New Roman" w:eastAsia="Times New Roman" w:hint="default"/>
        </w:rPr>
        <w:t>20,600,000.00</w:t>
      </w:r>
      <w:r>
        <w:rPr/>
        <w:t>欧元。本集团总部财务部门持续</w:t>
      </w:r>
      <w:r>
        <w:rPr>
          <w:w w:val="99"/>
        </w:rPr>
        <w:t> </w:t>
      </w:r>
      <w:r>
        <w:rPr>
          <w:spacing w:val="-1"/>
        </w:rPr>
        <w:t>监控集团利率水平。利率上升会增加新增带息债务的成本以及本集团尚未付清的以浮动利率计息的带</w:t>
      </w:r>
      <w:r>
        <w:rPr>
          <w:w w:val="99"/>
        </w:rPr>
        <w:t> </w:t>
      </w:r>
      <w:r>
        <w:rPr>
          <w:spacing w:val="-1"/>
        </w:rPr>
        <w:t>息债务的利息支出，并对本集团的财务业绩产生重大的不利影响，管理层会依据最新的市场状况及时</w:t>
      </w:r>
      <w:r>
        <w:rPr>
          <w:w w:val="99"/>
        </w:rPr>
        <w:t> </w:t>
      </w:r>
      <w:r>
        <w:rPr>
          <w:spacing w:val="-1"/>
        </w:rPr>
        <w:t>做出调整，这些调整可能是进行利率互换的安排来降低利率风险。于</w:t>
      </w:r>
      <w:r>
        <w:rPr>
          <w:rFonts w:ascii="Times New Roman" w:hAnsi="Times New Roman" w:cs="Times New Roman" w:eastAsia="Times New Roman" w:hint="default"/>
          <w:spacing w:val="-1"/>
        </w:rPr>
        <w:t>2018</w:t>
      </w:r>
      <w:r>
        <w:rPr>
          <w:spacing w:val="-1"/>
        </w:rPr>
        <w:t>年度本集团并无利率互换安</w:t>
      </w:r>
      <w:r>
        <w:rPr>
          <w:w w:val="99"/>
        </w:rPr>
        <w:t> </w:t>
      </w:r>
      <w:r>
        <w:rPr/>
        <w:t>排。</w:t>
      </w:r>
    </w:p>
    <w:p>
      <w:pPr>
        <w:spacing w:line="240" w:lineRule="auto" w:before="10"/>
        <w:rPr>
          <w:rFonts w:ascii="宋体" w:hAnsi="宋体" w:cs="宋体" w:eastAsia="宋体" w:hint="default"/>
          <w:sz w:val="7"/>
          <w:szCs w:val="7"/>
        </w:rPr>
      </w:pPr>
    </w:p>
    <w:p>
      <w:pPr>
        <w:pStyle w:val="Heading4"/>
        <w:spacing w:line="244" w:lineRule="auto"/>
        <w:ind w:left="154" w:right="0" w:firstLine="440"/>
        <w:jc w:val="left"/>
      </w:pPr>
      <w:r>
        <w:rPr>
          <w:spacing w:val="-4"/>
        </w:rPr>
        <w:t>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日，如果以浮动利率计算的借款利率上升或下降</w:t>
      </w:r>
      <w:r>
        <w:rPr>
          <w:rFonts w:ascii="Times New Roman" w:hAnsi="Times New Roman" w:cs="Times New Roman" w:eastAsia="Times New Roman" w:hint="default"/>
          <w:spacing w:val="-4"/>
        </w:rPr>
        <w:t>50</w:t>
      </w:r>
      <w:r>
        <w:rPr>
          <w:spacing w:val="-4"/>
        </w:rPr>
        <w:t>个基点，而其他因素保持不变，</w:t>
      </w:r>
      <w:r>
        <w:rPr>
          <w:w w:val="99"/>
        </w:rPr>
        <w:t> </w:t>
      </w:r>
      <w:r>
        <w:rPr/>
        <w:t>本集团的净利润会减少或增加约</w:t>
      </w:r>
      <w:r>
        <w:rPr>
          <w:rFonts w:ascii="Times New Roman" w:hAnsi="Times New Roman" w:cs="Times New Roman" w:eastAsia="Times New Roman" w:hint="default"/>
        </w:rPr>
        <w:t>3,884,518.35</w:t>
      </w:r>
      <w:r>
        <w:rPr/>
        <w:t>元。</w:t>
      </w:r>
    </w:p>
    <w:p>
      <w:pPr>
        <w:pStyle w:val="Heading4"/>
        <w:spacing w:line="240" w:lineRule="auto" w:before="122"/>
        <w:ind w:left="15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信用风险</w:t>
      </w:r>
    </w:p>
    <w:p>
      <w:pPr>
        <w:pStyle w:val="Heading4"/>
        <w:spacing w:line="259" w:lineRule="auto" w:before="127"/>
        <w:ind w:left="154" w:right="1136" w:firstLine="440"/>
        <w:jc w:val="both"/>
      </w:pPr>
      <w:r>
        <w:rPr>
          <w:spacing w:val="-2"/>
        </w:rPr>
        <w:t>本集团对信用风险按组合分类进行管理。信用风险主要产生于银行存款、应收账款、其他应收款</w:t>
      </w:r>
      <w:r>
        <w:rPr>
          <w:w w:val="99"/>
        </w:rPr>
        <w:t> </w:t>
      </w:r>
      <w:r>
        <w:rPr/>
        <w:t>和应收票据等。</w:t>
      </w:r>
    </w:p>
    <w:p>
      <w:pPr>
        <w:pStyle w:val="Heading4"/>
        <w:spacing w:line="259" w:lineRule="auto" w:before="126"/>
        <w:ind w:left="154" w:right="1133" w:firstLine="440"/>
        <w:jc w:val="both"/>
      </w:pPr>
      <w:r>
        <w:rPr>
          <w:spacing w:val="-1"/>
          <w:w w:val="95"/>
        </w:rPr>
        <w:t>本集团银行存款主要存放于国有商业银行和其它大中型上市银行，本集团认为其不存在重大的信</w:t>
      </w:r>
      <w:r>
        <w:rPr>
          <w:spacing w:val="-98"/>
          <w:w w:val="95"/>
        </w:rPr>
        <w:t> </w:t>
      </w:r>
      <w:r>
        <w:rPr>
          <w:spacing w:val="-98"/>
          <w:w w:val="95"/>
        </w:rPr>
      </w:r>
      <w:r>
        <w:rPr/>
        <w:t>用风险，不会产生因对方单位违约而导致的任何重大损失。</w:t>
      </w:r>
    </w:p>
    <w:p>
      <w:pPr>
        <w:pStyle w:val="Heading4"/>
        <w:spacing w:line="259" w:lineRule="auto" w:before="126"/>
        <w:ind w:left="154" w:right="1136" w:firstLine="440"/>
        <w:jc w:val="both"/>
      </w:pPr>
      <w:r>
        <w:rPr>
          <w:spacing w:val="-2"/>
        </w:rPr>
        <w:t>此外，对于应收账款、其他应收款和应收票据，本集团设定相关政策以控制信用风险敞口。本集</w:t>
      </w:r>
      <w:r>
        <w:rPr>
          <w:w w:val="99"/>
        </w:rPr>
        <w:t> </w:t>
      </w:r>
      <w:r>
        <w:rPr>
          <w:spacing w:val="-1"/>
          <w:w w:val="95"/>
        </w:rPr>
        <w:t>团基于对客户的财务状况、从第三方获取担保的可能性、信用记录及其它因素诸如目前市场状况等评</w:t>
      </w:r>
      <w:r>
        <w:rPr>
          <w:spacing w:val="49"/>
          <w:w w:val="95"/>
        </w:rPr>
        <w:t> </w:t>
      </w:r>
      <w:r>
        <w:rPr>
          <w:spacing w:val="49"/>
          <w:w w:val="95"/>
        </w:rPr>
      </w:r>
      <w:r>
        <w:rPr>
          <w:spacing w:val="-1"/>
          <w:w w:val="95"/>
        </w:rPr>
        <w:t>估客户的信用资质并设置相应信用期。本集团会定期对客户信用记录进行监控，对于信用记录不良的</w:t>
      </w:r>
      <w:r>
        <w:rPr>
          <w:spacing w:val="49"/>
          <w:w w:val="95"/>
        </w:rPr>
        <w:t> </w:t>
      </w:r>
      <w:r>
        <w:rPr>
          <w:spacing w:val="49"/>
          <w:w w:val="95"/>
        </w:rPr>
      </w:r>
      <w:r>
        <w:rPr>
          <w:spacing w:val="-1"/>
          <w:w w:val="95"/>
        </w:rPr>
        <w:t>客户，本集团会采用书面催款、缩短信用期或取消信用期等方式，以确保本集团的整体信用风险在可</w:t>
      </w:r>
      <w:r>
        <w:rPr>
          <w:spacing w:val="48"/>
          <w:w w:val="95"/>
        </w:rPr>
        <w:t> </w:t>
      </w:r>
      <w:r>
        <w:rPr>
          <w:spacing w:val="48"/>
          <w:w w:val="95"/>
        </w:rPr>
      </w:r>
      <w:r>
        <w:rPr/>
        <w:t>控的范围内。</w:t>
      </w:r>
    </w:p>
    <w:p>
      <w:pPr>
        <w:pStyle w:val="Heading4"/>
        <w:spacing w:line="240" w:lineRule="auto" w:before="126"/>
        <w:ind w:left="15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流动风险</w:t>
      </w:r>
    </w:p>
    <w:p>
      <w:pPr>
        <w:pStyle w:val="Heading4"/>
        <w:spacing w:line="259" w:lineRule="auto" w:before="127"/>
        <w:ind w:right="1133" w:firstLine="439"/>
        <w:jc w:val="both"/>
      </w:pPr>
      <w:r>
        <w:rPr>
          <w:spacing w:val="-2"/>
        </w:rPr>
        <w:t>本集团内各子公司负责其自身的现金流量预测。总部财务部门在汇总各子公司现金流量预测的基</w:t>
      </w:r>
      <w:r>
        <w:rPr>
          <w:w w:val="99"/>
        </w:rPr>
        <w:t> </w:t>
      </w:r>
      <w:r>
        <w:rPr>
          <w:spacing w:val="-1"/>
          <w:w w:val="95"/>
        </w:rPr>
        <w:t>础上，在集团层面持续监控短期和长期的资金需求，以确保维持充裕的现金储备和可供随时变现的有</w:t>
      </w:r>
      <w:r>
        <w:rPr>
          <w:spacing w:val="48"/>
          <w:w w:val="95"/>
        </w:rPr>
        <w:t> </w:t>
      </w:r>
      <w:r>
        <w:rPr>
          <w:spacing w:val="48"/>
          <w:w w:val="95"/>
        </w:rPr>
      </w:r>
      <w:r>
        <w:rPr>
          <w:spacing w:val="-2"/>
        </w:rPr>
        <w:t>价证券；同时持续监控是否符合借款协议的规定，从主要金融机构获得提供足够备用资金的承诺，以</w:t>
      </w:r>
      <w:r>
        <w:rPr>
          <w:spacing w:val="-85"/>
        </w:rPr>
        <w:t> </w:t>
      </w:r>
      <w:r>
        <w:rPr>
          <w:spacing w:val="-85"/>
        </w:rPr>
      </w:r>
      <w:r>
        <w:rPr/>
        <w:t>满足短期和长期的资金需求。</w:t>
      </w:r>
    </w:p>
    <w:p>
      <w:pPr>
        <w:pStyle w:val="Heading4"/>
        <w:spacing w:line="240" w:lineRule="auto" w:before="126"/>
        <w:ind w:left="595" w:right="0"/>
        <w:jc w:val="left"/>
      </w:pPr>
      <w:r>
        <w:rPr/>
        <w:t>于资产负债表日，本集团各项金融负债以未折现的合同现金流量按到期日列示如下：</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702"/>
        <w:gridCol w:w="1484"/>
        <w:gridCol w:w="1485"/>
        <w:gridCol w:w="1486"/>
        <w:gridCol w:w="1485"/>
        <w:gridCol w:w="1488"/>
      </w:tblGrid>
      <w:tr>
        <w:trPr>
          <w:trHeight w:val="355"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28"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2" w:hRule="exact"/>
        </w:trPr>
        <w:tc>
          <w:tcPr>
            <w:tcW w:w="1702" w:type="dxa"/>
            <w:vMerge/>
            <w:tcBorders>
              <w:left w:val="single" w:sz="6" w:space="0" w:color="000000"/>
              <w:bottom w:val="single" w:sz="12" w:space="0" w:color="000000"/>
              <w:right w:val="single" w:sz="6" w:space="0" w:color="000000"/>
            </w:tcBorders>
          </w:tcPr>
          <w:p>
            <w:pP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到</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到</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177,671,204.60</w:t>
            </w:r>
          </w:p>
        </w:tc>
        <w:tc>
          <w:tcPr>
            <w:tcW w:w="1485" w:type="dxa"/>
            <w:tcBorders>
              <w:top w:val="single" w:sz="12" w:space="0" w:color="000000"/>
              <w:left w:val="single" w:sz="6" w:space="0" w:color="000000"/>
              <w:bottom w:val="single" w:sz="12" w:space="0" w:color="000000"/>
              <w:right w:val="single" w:sz="6" w:space="0" w:color="000000"/>
            </w:tcBorders>
          </w:tcPr>
          <w:p>
            <w:pP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177,671,204.60</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122,548,683.15</w:t>
            </w: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15,462,825.77</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23" w:right="0"/>
              <w:jc w:val="left"/>
              <w:rPr>
                <w:rFonts w:ascii="Times New Roman" w:hAnsi="Times New Roman" w:cs="Times New Roman" w:eastAsia="Times New Roman" w:hint="default"/>
                <w:sz w:val="18"/>
                <w:szCs w:val="18"/>
              </w:rPr>
            </w:pPr>
            <w:r>
              <w:rPr>
                <w:rFonts w:ascii="Times New Roman"/>
                <w:sz w:val="18"/>
              </w:rPr>
              <w:t>1,934,863.10</w:t>
            </w: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880,292.48</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140,826,664.50</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15,601,309.16</w:t>
            </w:r>
          </w:p>
        </w:tc>
        <w:tc>
          <w:tcPr>
            <w:tcW w:w="1485" w:type="dxa"/>
            <w:tcBorders>
              <w:top w:val="single" w:sz="12" w:space="0" w:color="000000"/>
              <w:left w:val="single" w:sz="6" w:space="0" w:color="000000"/>
              <w:bottom w:val="single" w:sz="12" w:space="0" w:color="000000"/>
              <w:right w:val="single" w:sz="6" w:space="0" w:color="000000"/>
            </w:tcBorders>
          </w:tcPr>
          <w:p>
            <w:pP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15,601,309.16</w:t>
            </w:r>
          </w:p>
        </w:tc>
      </w:tr>
      <w:tr>
        <w:trPr>
          <w:trHeight w:val="35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44,824,604.07</w:t>
            </w:r>
          </w:p>
        </w:tc>
        <w:tc>
          <w:tcPr>
            <w:tcW w:w="1485" w:type="dxa"/>
            <w:tcBorders>
              <w:top w:val="single" w:sz="12" w:space="0" w:color="000000"/>
              <w:left w:val="single" w:sz="6" w:space="0" w:color="000000"/>
              <w:bottom w:val="single" w:sz="12" w:space="0" w:color="000000"/>
              <w:right w:val="single" w:sz="6" w:space="0" w:color="000000"/>
            </w:tcBorders>
          </w:tcPr>
          <w:p>
            <w:pP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44,824,604.07</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2,947,468.52</w:t>
            </w:r>
          </w:p>
        </w:tc>
        <w:tc>
          <w:tcPr>
            <w:tcW w:w="1485" w:type="dxa"/>
            <w:tcBorders>
              <w:top w:val="single" w:sz="12" w:space="0" w:color="000000"/>
              <w:left w:val="single" w:sz="6" w:space="0" w:color="000000"/>
              <w:bottom w:val="single" w:sz="12" w:space="0" w:color="000000"/>
              <w:right w:val="single" w:sz="6" w:space="0" w:color="000000"/>
            </w:tcBorders>
          </w:tcPr>
          <w:p>
            <w:pP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2,947,468.52</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7,607,970.73</w:t>
            </w: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804,673.58</w:t>
            </w: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813,961.45</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9,226,605.76</w:t>
            </w:r>
          </w:p>
        </w:tc>
      </w:tr>
      <w:tr>
        <w:trPr>
          <w:trHeight w:val="665"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327,429,786.06</w:t>
            </w:r>
          </w:p>
        </w:tc>
        <w:tc>
          <w:tcPr>
            <w:tcW w:w="1485" w:type="dxa"/>
            <w:tcBorders>
              <w:top w:val="single" w:sz="12" w:space="0" w:color="000000"/>
              <w:left w:val="single" w:sz="6" w:space="0" w:color="000000"/>
              <w:bottom w:val="single" w:sz="12" w:space="0" w:color="000000"/>
              <w:right w:val="single" w:sz="6" w:space="0" w:color="000000"/>
            </w:tcBorders>
          </w:tcPr>
          <w:p>
            <w:pP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327,429,786.06</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84"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84"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229,464,320.00</w:t>
            </w: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47,000,000.00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276,464,320.00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702"/>
        <w:gridCol w:w="1484"/>
        <w:gridCol w:w="1485"/>
        <w:gridCol w:w="1486"/>
        <w:gridCol w:w="1485"/>
        <w:gridCol w:w="1488"/>
      </w:tblGrid>
      <w:tr>
        <w:trPr>
          <w:trHeight w:val="355" w:hRule="exact"/>
        </w:trPr>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484" w:type="dxa"/>
            <w:tcBorders>
              <w:top w:val="single" w:sz="6" w:space="0" w:color="000000"/>
              <w:left w:val="single" w:sz="6" w:space="0" w:color="000000"/>
              <w:bottom w:val="single" w:sz="12" w:space="0" w:color="000000"/>
              <w:right w:val="single" w:sz="6" w:space="0" w:color="000000"/>
            </w:tcBorders>
          </w:tcPr>
          <w:p>
            <w:pPr/>
          </w:p>
        </w:tc>
        <w:tc>
          <w:tcPr>
            <w:tcW w:w="14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169,716,800.00</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485" w:type="dxa"/>
            <w:tcBorders>
              <w:top w:val="single" w:sz="6" w:space="0" w:color="000000"/>
              <w:left w:val="single" w:sz="6" w:space="0" w:color="000000"/>
              <w:bottom w:val="single" w:sz="12" w:space="0" w:color="000000"/>
              <w:right w:val="single" w:sz="6" w:space="0" w:color="000000"/>
            </w:tcBorders>
          </w:tcPr>
          <w:p>
            <w:pPr/>
          </w:p>
        </w:tc>
        <w:tc>
          <w:tcPr>
            <w:tcW w:w="14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174,716,800.00</w:t>
            </w:r>
          </w:p>
        </w:tc>
      </w:tr>
      <w:tr>
        <w:trPr>
          <w:trHeight w:val="35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84"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6,131,574.78</w:t>
            </w:r>
          </w:p>
        </w:tc>
        <w:tc>
          <w:tcPr>
            <w:tcW w:w="1486" w:type="dxa"/>
            <w:tcBorders>
              <w:top w:val="single" w:sz="12" w:space="0" w:color="000000"/>
              <w:left w:val="single" w:sz="6" w:space="0" w:color="000000"/>
              <w:bottom w:val="single" w:sz="12" w:space="0" w:color="000000"/>
              <w:right w:val="single" w:sz="6" w:space="0" w:color="000000"/>
            </w:tcBorders>
          </w:tcPr>
          <w:p>
            <w:pPr/>
          </w:p>
        </w:tc>
        <w:tc>
          <w:tcPr>
            <w:tcW w:w="1485"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6,131,574.78</w:t>
            </w:r>
          </w:p>
        </w:tc>
      </w:tr>
      <w:tr>
        <w:trPr>
          <w:trHeight w:val="43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698,631,026.29</w:t>
            </w: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421,580,194.13</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6,934,863.10</w:t>
            </w:r>
          </w:p>
        </w:tc>
        <w:tc>
          <w:tcPr>
            <w:tcW w:w="14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48,694,253.93</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1,175,840,337.45</w:t>
            </w:r>
          </w:p>
        </w:tc>
      </w:tr>
    </w:tbl>
    <w:p>
      <w:pPr>
        <w:spacing w:line="240" w:lineRule="auto" w:before="0"/>
        <w:rPr>
          <w:rFonts w:ascii="宋体" w:hAnsi="宋体" w:cs="宋体" w:eastAsia="宋体" w:hint="default"/>
          <w:sz w:val="5"/>
          <w:szCs w:val="5"/>
        </w:rPr>
      </w:pPr>
    </w:p>
    <w:p>
      <w:pPr>
        <w:pStyle w:val="Heading4"/>
        <w:spacing w:line="240" w:lineRule="auto"/>
        <w:ind w:left="595" w:right="0"/>
        <w:jc w:val="left"/>
      </w:pPr>
      <w:r>
        <w:rPr>
          <w:w w:val="99"/>
        </w:rPr>
        <w:t>续</w:t>
      </w:r>
      <w:r>
        <w:rPr/>
      </w:r>
    </w:p>
    <w:p>
      <w:pPr>
        <w:spacing w:line="240" w:lineRule="auto" w:before="9"/>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684"/>
        <w:gridCol w:w="1506"/>
        <w:gridCol w:w="1505"/>
        <w:gridCol w:w="1505"/>
        <w:gridCol w:w="1505"/>
        <w:gridCol w:w="1510"/>
      </w:tblGrid>
      <w:tr>
        <w:trPr>
          <w:trHeight w:val="356" w:hRule="exact"/>
        </w:trPr>
        <w:tc>
          <w:tcPr>
            <w:tcW w:w="168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7531"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5"/>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2" w:hRule="exact"/>
        </w:trPr>
        <w:tc>
          <w:tcPr>
            <w:tcW w:w="1684" w:type="dxa"/>
            <w:vMerge/>
            <w:tcBorders>
              <w:left w:val="single" w:sz="6" w:space="0" w:color="000000"/>
              <w:bottom w:val="single" w:sz="12" w:space="0" w:color="000000"/>
              <w:right w:val="single" w:sz="6" w:space="0" w:color="000000"/>
            </w:tcBorders>
          </w:tcPr>
          <w:p>
            <w:pP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4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到</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4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到</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52"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157,629,116.17</w:t>
            </w: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157,629,116.17</w:t>
            </w:r>
          </w:p>
        </w:tc>
      </w:tr>
      <w:tr>
        <w:trPr>
          <w:trHeight w:val="353"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185,249,437.31</w:t>
            </w: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185,249,437.31</w:t>
            </w:r>
          </w:p>
        </w:tc>
      </w:tr>
      <w:tr>
        <w:trPr>
          <w:trHeight w:val="352"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12,667,656.42</w:t>
            </w: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0"/>
                <w:szCs w:val="20"/>
              </w:rPr>
            </w:pPr>
            <w:r>
              <w:rPr>
                <w:rFonts w:ascii="Times New Roman"/>
                <w:spacing w:val="-1"/>
                <w:sz w:val="20"/>
              </w:rPr>
              <w:t>12,667,656.42</w:t>
            </w:r>
          </w:p>
        </w:tc>
      </w:tr>
      <w:tr>
        <w:trPr>
          <w:trHeight w:val="352"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64,672,694.04</w:t>
            </w: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0"/>
                <w:szCs w:val="20"/>
              </w:rPr>
            </w:pPr>
            <w:r>
              <w:rPr>
                <w:rFonts w:ascii="Times New Roman"/>
                <w:spacing w:val="-1"/>
                <w:sz w:val="20"/>
              </w:rPr>
              <w:t>64,672,694.04</w:t>
            </w:r>
          </w:p>
        </w:tc>
      </w:tr>
      <w:tr>
        <w:trPr>
          <w:trHeight w:val="353"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2,470,055.99</w:t>
            </w: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2,470,055.99</w:t>
            </w:r>
          </w:p>
        </w:tc>
      </w:tr>
      <w:tr>
        <w:trPr>
          <w:trHeight w:val="352"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20,962,908.61</w:t>
            </w: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0"/>
                <w:szCs w:val="20"/>
              </w:rPr>
            </w:pPr>
            <w:r>
              <w:rPr>
                <w:rFonts w:ascii="Times New Roman"/>
                <w:spacing w:val="-1"/>
                <w:sz w:val="20"/>
              </w:rPr>
              <w:t>20,962,908.61</w:t>
            </w:r>
          </w:p>
        </w:tc>
      </w:tr>
      <w:tr>
        <w:trPr>
          <w:trHeight w:val="352"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506"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86,276,540.00</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190,372,122.19</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213,014,920.00</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489,663,582.19</w:t>
            </w:r>
          </w:p>
        </w:tc>
      </w:tr>
      <w:tr>
        <w:trPr>
          <w:trHeight w:val="665"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3"/>
              <w:jc w:val="left"/>
              <w:rPr>
                <w:rFonts w:ascii="宋体" w:hAnsi="宋体" w:cs="宋体" w:eastAsia="宋体" w:hint="default"/>
                <w:sz w:val="20"/>
                <w:szCs w:val="20"/>
              </w:rPr>
            </w:pPr>
            <w:r>
              <w:rPr>
                <w:rFonts w:ascii="宋体" w:hAnsi="宋体" w:cs="宋体" w:eastAsia="宋体" w:hint="default"/>
                <w:spacing w:val="6"/>
                <w:sz w:val="20"/>
                <w:szCs w:val="20"/>
              </w:rPr>
              <w:t>一年内到期的非流</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动负债</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188,066,891.45</w:t>
            </w: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188,066,891.45</w:t>
            </w:r>
          </w:p>
        </w:tc>
      </w:tr>
      <w:tr>
        <w:trPr>
          <w:trHeight w:val="352"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506"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156,820,800.00</w:t>
            </w:r>
          </w:p>
        </w:tc>
        <w:tc>
          <w:tcPr>
            <w:tcW w:w="1505" w:type="dxa"/>
            <w:tcBorders>
              <w:top w:val="single" w:sz="12" w:space="0" w:color="000000"/>
              <w:left w:val="single" w:sz="6" w:space="0" w:color="000000"/>
              <w:bottom w:val="single" w:sz="12" w:space="0" w:color="000000"/>
              <w:right w:val="single" w:sz="6" w:space="0" w:color="000000"/>
            </w:tcBorders>
          </w:tcPr>
          <w:p>
            <w:pP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156,820,800.00</w:t>
            </w:r>
          </w:p>
        </w:tc>
      </w:tr>
      <w:tr>
        <w:trPr>
          <w:trHeight w:val="352"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506" w:type="dxa"/>
            <w:tcBorders>
              <w:top w:val="single" w:sz="12" w:space="0" w:color="000000"/>
              <w:left w:val="single" w:sz="6" w:space="0" w:color="000000"/>
              <w:bottom w:val="single" w:sz="12" w:space="0" w:color="000000"/>
              <w:right w:val="single" w:sz="6" w:space="0" w:color="000000"/>
            </w:tcBorders>
          </w:tcPr>
          <w:p>
            <w:pP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100,710,000.00</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5,000,000.00</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5,000,000.00</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110,710,000.00</w:t>
            </w:r>
          </w:p>
        </w:tc>
      </w:tr>
      <w:tr>
        <w:trPr>
          <w:trHeight w:val="353" w:hRule="exact"/>
        </w:trPr>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631,718,759.99</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186,986,540.00</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352,192,922.19</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218,014,920.00</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0"/>
                <w:szCs w:val="20"/>
              </w:rPr>
            </w:pPr>
            <w:r>
              <w:rPr>
                <w:rFonts w:ascii="Times New Roman"/>
                <w:spacing w:val="-1"/>
                <w:sz w:val="20"/>
              </w:rPr>
              <w:t>1,388,913,142.18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bookmarkStart w:name="十一、公允价值的披露" w:id="337"/>
      <w:bookmarkEnd w:id="33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 w:id="338"/>
      <w:bookmarkEnd w:id="338"/>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88" w:right="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日，本集团无以公允价值计量的金融资产、金融负债。</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二、关联方及关联交易" w:id="339"/>
      <w:bookmarkEnd w:id="339"/>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企业的母公司情况" w:id="340"/>
      <w:bookmarkEnd w:id="34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left="660" w:right="1118" w:hanging="507"/>
        <w:jc w:val="left"/>
      </w:pPr>
      <w:r>
        <w:rPr/>
        <w:t>本企业的母公司情况的说明 </w:t>
      </w:r>
      <w:r>
        <w:rPr>
          <w:spacing w:val="-1"/>
        </w:rPr>
        <w:t>廖道训、吴玉瑞、吴春红、柴继军、姜海林、陈智华、袁闯、李学凌、高玮、梁世平等</w:t>
      </w:r>
      <w:r>
        <w:rPr>
          <w:rFonts w:ascii="Times New Roman" w:hAnsi="Times New Roman" w:cs="Times New Roman" w:eastAsia="Times New Roman" w:hint="default"/>
          <w:spacing w:val="-1"/>
        </w:rPr>
        <w:t>10</w:t>
      </w:r>
      <w:r>
        <w:rPr>
          <w:spacing w:val="-1"/>
        </w:rPr>
        <w:t>名一致行动人合计持有本公</w:t>
      </w:r>
    </w:p>
    <w:p>
      <w:pPr>
        <w:pStyle w:val="BodyText"/>
        <w:spacing w:line="214" w:lineRule="exact" w:before="0"/>
        <w:ind w:right="0"/>
        <w:jc w:val="left"/>
      </w:pPr>
      <w:r>
        <w:rPr/>
        <w:t>司</w:t>
      </w:r>
      <w:r>
        <w:rPr>
          <w:rFonts w:ascii="Times New Roman" w:hAnsi="Times New Roman" w:cs="Times New Roman" w:eastAsia="Times New Roman" w:hint="default"/>
        </w:rPr>
        <w:t>388,039,891</w:t>
      </w:r>
      <w:r>
        <w:rPr/>
        <w:t>股股份，持股比例为</w:t>
      </w:r>
      <w:r>
        <w:rPr>
          <w:rFonts w:ascii="Times New Roman" w:hAnsi="Times New Roman" w:cs="Times New Roman" w:eastAsia="Times New Roman" w:hint="default"/>
        </w:rPr>
        <w:t>55.39%</w:t>
      </w:r>
      <w:r>
        <w:rPr/>
        <w:t>，取得本公司的控制权，为本公司实际控制人。</w:t>
      </w:r>
    </w:p>
    <w:p>
      <w:pPr>
        <w:pStyle w:val="BodyText"/>
        <w:spacing w:line="300" w:lineRule="auto" w:before="103"/>
        <w:ind w:right="1122"/>
        <w:jc w:val="left"/>
      </w:pPr>
      <w:r>
        <w:rPr/>
        <w:t>本企业最终控制方是廖道训、吴玉瑞、吴春红、柴继军、姜海林、陈智华、袁闯、李学凌、高玮、梁世平等</w:t>
      </w:r>
      <w:r>
        <w:rPr>
          <w:spacing w:val="-45"/>
        </w:rPr>
        <w:t> </w:t>
      </w:r>
      <w:r>
        <w:rPr>
          <w:rFonts w:ascii="Times New Roman" w:hAnsi="Times New Roman" w:cs="Times New Roman" w:eastAsia="Times New Roman" w:hint="default"/>
        </w:rPr>
        <w:t>10 </w:t>
      </w:r>
      <w:r>
        <w:rPr/>
        <w:t>名一致行动 人。</w:t>
      </w:r>
    </w:p>
    <w:p>
      <w:pPr>
        <w:pStyle w:val="BodyText"/>
        <w:spacing w:line="240" w:lineRule="auto" w:before="7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4992" w:firstLine="0"/>
        <w:jc w:val="left"/>
        <w:rPr>
          <w:rFonts w:ascii="宋体" w:hAnsi="宋体" w:cs="宋体" w:eastAsia="宋体" w:hint="default"/>
          <w:sz w:val="21"/>
          <w:szCs w:val="21"/>
        </w:rPr>
      </w:pPr>
      <w:bookmarkStart w:name="2、本企业的子公司情况" w:id="341"/>
      <w:bookmarkEnd w:id="3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在子公司中的权益。。</w:t>
      </w:r>
      <w:r>
        <w:rPr>
          <w:rFonts w:ascii="宋体" w:hAnsi="宋体" w:cs="宋体" w:eastAsia="宋体" w:hint="default"/>
          <w:spacing w:val="-70"/>
          <w:sz w:val="18"/>
          <w:szCs w:val="18"/>
        </w:rPr>
        <w:t> </w:t>
      </w:r>
      <w:r>
        <w:rPr>
          <w:rFonts w:ascii="宋体" w:hAnsi="宋体" w:cs="宋体" w:eastAsia="宋体" w:hint="default"/>
          <w:spacing w:val="-70"/>
          <w:sz w:val="18"/>
          <w:szCs w:val="18"/>
        </w:rPr>
      </w:r>
      <w:bookmarkStart w:name="3、本企业合营和联营企业情况" w:id="342"/>
      <w:bookmarkEnd w:id="342"/>
      <w:r>
        <w:rPr>
          <w:rFonts w:ascii="宋体" w:hAnsi="宋体" w:cs="宋体" w:eastAsia="宋体" w:hint="default"/>
          <w:spacing w:val="-70"/>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1"/>
        <w:ind w:right="2292"/>
        <w:jc w:val="left"/>
      </w:pPr>
      <w:r>
        <w:rPr/>
        <w:t>本企业重要的合营或联营企业详见附注九（二）在合营安排或联营企业中的权益。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Getty Images SEA Holdings</w:t>
            </w:r>
            <w:r>
              <w:rPr>
                <w:rFonts w:ascii="Times New Roman"/>
                <w:spacing w:val="-18"/>
                <w:sz w:val="18"/>
              </w:rPr>
              <w:t> </w:t>
            </w:r>
            <w:r>
              <w:rPr>
                <w:rFonts w:ascii="Times New Roman"/>
                <w:sz w:val="18"/>
              </w:rPr>
              <w:t>Co.,Limited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北京灵睿博智国际广告有限公司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广东南方视觉文化传媒有限公司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8"/>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关联方情况" w:id="343"/>
      <w:bookmarkEnd w:id="34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北京创新乐知信息技术有限公司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Gold Insight Investments</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持股的公司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原子公司，现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Gold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Insight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原子公司，现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Gold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Insight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eSOONChina</w:t>
            </w:r>
            <w:r>
              <w:rPr>
                <w:rFonts w:ascii="Times New Roman"/>
                <w:spacing w:val="-4"/>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原子公司，现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Gold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Insight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北京华鼎嘉业技术有限公司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关联交易情况" w:id="344"/>
      <w:bookmarkEnd w:id="34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345"/>
      <w:bookmarkEnd w:id="34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唱游信息技术有限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2,283,672.01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北京创新乐知信息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3,361,741.80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北京华鼎嘉业技术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235,259.43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广东南方视觉文化 传媒有限公司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23,245.50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firstLine="90"/>
              <w:jc w:val="left"/>
              <w:rPr>
                <w:rFonts w:ascii="宋体" w:hAnsi="宋体" w:cs="宋体" w:eastAsia="宋体" w:hint="default"/>
                <w:sz w:val="18"/>
                <w:szCs w:val="18"/>
              </w:rPr>
            </w:pPr>
            <w:r>
              <w:rPr>
                <w:rFonts w:ascii="宋体" w:hAnsi="宋体" w:cs="宋体" w:eastAsia="宋体" w:hint="default"/>
                <w:sz w:val="18"/>
                <w:szCs w:val="18"/>
              </w:rPr>
              <w:t>北京灵睿博智国 际广告有限公司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25,894,930.93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唱游信息技术有限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148,207.54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北京创新乐知信息技术有限公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68,443.40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71,273.58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282,075.47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17,028.30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35,377.35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9"/>
              <w:jc w:val="left"/>
              <w:rPr>
                <w:rFonts w:ascii="Times New Roman" w:hAnsi="Times New Roman" w:cs="Times New Roman" w:eastAsia="Times New Roman" w:hint="default"/>
                <w:sz w:val="18"/>
                <w:szCs w:val="18"/>
              </w:rPr>
            </w:pPr>
            <w:r>
              <w:rPr>
                <w:rFonts w:ascii="Times New Roman"/>
                <w:sz w:val="18"/>
              </w:rPr>
              <w:t>Getty Images SEA</w:t>
            </w:r>
            <w:r>
              <w:rPr>
                <w:rFonts w:ascii="Times New Roman"/>
                <w:spacing w:val="-14"/>
                <w:sz w:val="18"/>
              </w:rPr>
              <w:t> </w:t>
            </w:r>
            <w:r>
              <w:rPr>
                <w:rFonts w:ascii="Times New Roman"/>
                <w:sz w:val="18"/>
              </w:rPr>
              <w:t>Holdings</w:t>
            </w:r>
            <w:r>
              <w:rPr>
                <w:rFonts w:ascii="Times New Roman"/>
                <w:sz w:val="18"/>
              </w:rPr>
              <w:t> Co.,Limited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15,432,799.55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17,171,280.25</w:t>
            </w:r>
          </w:p>
        </w:tc>
      </w:tr>
    </w:tbl>
    <w:p>
      <w:pPr>
        <w:pStyle w:val="BodyText"/>
        <w:spacing w:line="240" w:lineRule="auto" w:before="51"/>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关联租赁情况" w:id="346"/>
      <w:bookmarkEnd w:id="346"/>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北京宏瑞达科科技有限公司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475,407.71</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 关联方担保情况" w:id="347"/>
      <w:bookmarkEnd w:id="347"/>
      <w:r>
        <w:rPr>
          <w:b w:val="0"/>
          <w:bCs w:val="0"/>
        </w:rPr>
      </w:r>
      <w:r>
        <w:rPr/>
        <w:t>（</w:t>
      </w:r>
      <w:r>
        <w:rPr>
          <w:rFonts w:ascii="Times New Roman" w:hAnsi="Times New Roman" w:cs="Times New Roman" w:eastAsia="Times New Roman" w:hint="default"/>
        </w:rPr>
        <w:t>3</w:t>
      </w:r>
      <w:r>
        <w:rPr/>
        <w:t>）</w:t>
      </w:r>
      <w:r>
        <w:rPr>
          <w:spacing w:val="-3"/>
        </w:rPr>
        <w:t> </w:t>
      </w:r>
      <w:r>
        <w:rPr/>
        <w:t>关联方担保情况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0"/>
        <w:ind w:left="594" w:right="0"/>
        <w:jc w:val="left"/>
      </w:pPr>
      <w:r>
        <w:rPr>
          <w:rFonts w:ascii="Times New Roman" w:hAnsi="Times New Roman" w:cs="Times New Roman" w:eastAsia="Times New Roman" w:hint="default"/>
        </w:rPr>
        <w:t>(1)</w:t>
      </w:r>
      <w:r>
        <w:rPr/>
        <w:t>本公司作为担保方</w:t>
      </w:r>
    </w:p>
    <w:p>
      <w:pPr>
        <w:spacing w:line="240" w:lineRule="auto" w:before="6"/>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268"/>
        <w:gridCol w:w="1702"/>
        <w:gridCol w:w="1506"/>
        <w:gridCol w:w="1827"/>
        <w:gridCol w:w="1826"/>
      </w:tblGrid>
      <w:tr>
        <w:trPr>
          <w:trHeight w:val="355" w:hRule="exact"/>
        </w:trPr>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5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8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52"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视觉中国集团控股有限公司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10,300,000.00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2017/11/28</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2019/11/27</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视觉中国集团控股有限公司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10,300,000.00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2017/12/13</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2020/12/12</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64"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17" w:firstLine="73"/>
              <w:jc w:val="left"/>
              <w:rPr>
                <w:rFonts w:ascii="宋体" w:hAnsi="宋体" w:cs="宋体" w:eastAsia="宋体" w:hint="default"/>
                <w:sz w:val="18"/>
                <w:szCs w:val="18"/>
              </w:rPr>
            </w:pPr>
            <w:r>
              <w:rPr>
                <w:rFonts w:ascii="宋体" w:hAnsi="宋体" w:cs="宋体" w:eastAsia="宋体" w:hint="default"/>
                <w:sz w:val="18"/>
                <w:szCs w:val="18"/>
              </w:rPr>
              <w:t>华夏视觉（天津）信息技术 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47,000,000.00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2017/6/5</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2020/6/3</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19,824,000.00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2015/12/21</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2020/12/20</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US$3,700,000.00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2017/5/12</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2019/5/11</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4"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268"/>
        <w:gridCol w:w="1702"/>
        <w:gridCol w:w="1506"/>
        <w:gridCol w:w="1827"/>
        <w:gridCol w:w="1826"/>
      </w:tblGrid>
      <w:tr>
        <w:trPr>
          <w:trHeight w:val="355" w:hRule="exact"/>
        </w:trPr>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US$32,600,000.00</w:t>
            </w:r>
          </w:p>
        </w:tc>
        <w:tc>
          <w:tcPr>
            <w:tcW w:w="15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2017/5/16</w:t>
            </w:r>
          </w:p>
        </w:tc>
        <w:tc>
          <w:tcPr>
            <w:tcW w:w="18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2020/5/15</w:t>
            </w:r>
          </w:p>
        </w:tc>
        <w:tc>
          <w:tcPr>
            <w:tcW w:w="18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8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64"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89"/>
              <w:jc w:val="left"/>
              <w:rPr>
                <w:rFonts w:ascii="宋体" w:hAnsi="宋体" w:cs="宋体" w:eastAsia="宋体" w:hint="default"/>
                <w:sz w:val="18"/>
                <w:szCs w:val="18"/>
              </w:rPr>
            </w:pPr>
            <w:r>
              <w:rPr>
                <w:rFonts w:ascii="宋体" w:hAnsi="宋体" w:cs="宋体" w:eastAsia="宋体" w:hint="default"/>
                <w:sz w:val="18"/>
                <w:szCs w:val="18"/>
              </w:rPr>
              <w:t>汉华易美（天津）图像技术 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2018/1/17</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2019/1/16</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8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65"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17" w:firstLine="73"/>
              <w:jc w:val="left"/>
              <w:rPr>
                <w:rFonts w:ascii="宋体" w:hAnsi="宋体" w:cs="宋体" w:eastAsia="宋体" w:hint="default"/>
                <w:sz w:val="18"/>
                <w:szCs w:val="18"/>
              </w:rPr>
            </w:pPr>
            <w:r>
              <w:rPr>
                <w:rFonts w:ascii="宋体" w:hAnsi="宋体" w:cs="宋体" w:eastAsia="宋体" w:hint="default"/>
                <w:sz w:val="18"/>
                <w:szCs w:val="18"/>
              </w:rPr>
              <w:t>华盖创意（天津）视讯科技 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2018/2/13</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2019/2/12</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85"/>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3"/>
        <w:rPr>
          <w:rFonts w:ascii="宋体" w:hAnsi="宋体" w:cs="宋体" w:eastAsia="宋体" w:hint="default"/>
          <w:sz w:val="4"/>
          <w:szCs w:val="4"/>
        </w:rPr>
      </w:pPr>
    </w:p>
    <w:p>
      <w:pPr>
        <w:pStyle w:val="Heading4"/>
        <w:spacing w:line="240" w:lineRule="auto"/>
        <w:ind w:left="594" w:right="0"/>
        <w:jc w:val="left"/>
      </w:pPr>
      <w:r>
        <w:rPr>
          <w:rFonts w:ascii="Times New Roman" w:hAnsi="Times New Roman" w:cs="Times New Roman" w:eastAsia="Times New Roman" w:hint="default"/>
        </w:rPr>
        <w:t>(2)</w:t>
      </w:r>
      <w:r>
        <w:rPr/>
        <w:t>子公司之间担保的情况如下：</w:t>
      </w:r>
    </w:p>
    <w:p>
      <w:pPr>
        <w:spacing w:line="240" w:lineRule="auto" w:before="6"/>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521"/>
        <w:gridCol w:w="1519"/>
        <w:gridCol w:w="1522"/>
        <w:gridCol w:w="1523"/>
        <w:gridCol w:w="1523"/>
        <w:gridCol w:w="1522"/>
      </w:tblGrid>
      <w:tr>
        <w:trPr>
          <w:trHeight w:val="667" w:hRule="exact"/>
        </w:trPr>
        <w:tc>
          <w:tcPr>
            <w:tcW w:w="15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573" w:right="38"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664" w:hRule="exact"/>
        </w:trPr>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3"/>
              <w:jc w:val="left"/>
              <w:rPr>
                <w:rFonts w:ascii="宋体" w:hAnsi="宋体" w:cs="宋体" w:eastAsia="宋体" w:hint="default"/>
                <w:sz w:val="18"/>
                <w:szCs w:val="18"/>
              </w:rPr>
            </w:pPr>
            <w:r>
              <w:rPr>
                <w:rFonts w:ascii="宋体" w:hAnsi="宋体" w:cs="宋体" w:eastAsia="宋体" w:hint="default"/>
                <w:sz w:val="18"/>
                <w:szCs w:val="18"/>
              </w:rPr>
              <w:t>华盖创意（天津） 视讯科技有限公司</w:t>
            </w:r>
          </w:p>
        </w:tc>
        <w:tc>
          <w:tcPr>
            <w:tcW w:w="15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汉华易美（天津） 图像技术有限公司</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2,394,474.30</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2018/10/11</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2019/1/10</w:t>
            </w:r>
          </w:p>
        </w:tc>
        <w:tc>
          <w:tcPr>
            <w:tcW w:w="15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6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65" w:hRule="exact"/>
        </w:trPr>
        <w:tc>
          <w:tcPr>
            <w:tcW w:w="152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3"/>
              <w:jc w:val="left"/>
              <w:rPr>
                <w:rFonts w:ascii="宋体" w:hAnsi="宋体" w:cs="宋体" w:eastAsia="宋体" w:hint="default"/>
                <w:sz w:val="18"/>
                <w:szCs w:val="18"/>
              </w:rPr>
            </w:pPr>
            <w:r>
              <w:rPr>
                <w:rFonts w:ascii="宋体" w:hAnsi="宋体" w:cs="宋体" w:eastAsia="宋体" w:hint="default"/>
                <w:sz w:val="18"/>
                <w:szCs w:val="18"/>
              </w:rPr>
              <w:t>华盖创意（天津） 视讯科技有限公司</w:t>
            </w:r>
          </w:p>
        </w:tc>
        <w:tc>
          <w:tcPr>
            <w:tcW w:w="15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汉华易美（天津） 图像技术有限公司</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5,132,002.23</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2018/10/15</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2019/1/14</w:t>
            </w:r>
          </w:p>
        </w:tc>
        <w:tc>
          <w:tcPr>
            <w:tcW w:w="15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6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240" w:lineRule="auto" w:before="35"/>
        <w:ind w:right="0"/>
        <w:jc w:val="left"/>
        <w:rPr>
          <w:b w:val="0"/>
          <w:bCs w:val="0"/>
        </w:rPr>
      </w:pPr>
      <w:bookmarkStart w:name="（4） 资金拆借" w:id="348"/>
      <w:bookmarkEnd w:id="348"/>
      <w:r>
        <w:rPr>
          <w:b w:val="0"/>
          <w:bCs w:val="0"/>
        </w:rPr>
      </w:r>
      <w:r>
        <w:rPr/>
        <w:t>（</w:t>
      </w:r>
      <w:r>
        <w:rPr>
          <w:rFonts w:ascii="Times New Roman" w:hAnsi="Times New Roman" w:cs="Times New Roman" w:eastAsia="Times New Roman" w:hint="default"/>
        </w:rPr>
        <w:t>4</w:t>
      </w:r>
      <w:r>
        <w:rPr/>
        <w:t>）</w:t>
      </w:r>
      <w:r>
        <w:rPr>
          <w:spacing w:val="-2"/>
        </w:rPr>
        <w:t> </w:t>
      </w:r>
      <w:r>
        <w:rPr/>
        <w:t>资金拆借</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386"/>
        <w:gridCol w:w="1684"/>
        <w:gridCol w:w="1687"/>
        <w:gridCol w:w="1688"/>
        <w:gridCol w:w="1685"/>
      </w:tblGrid>
      <w:tr>
        <w:trPr>
          <w:trHeight w:val="355" w:hRule="exact"/>
        </w:trPr>
        <w:tc>
          <w:tcPr>
            <w:tcW w:w="23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2"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拆入：</w:t>
            </w:r>
          </w:p>
        </w:tc>
        <w:tc>
          <w:tcPr>
            <w:tcW w:w="1684" w:type="dxa"/>
            <w:tcBorders>
              <w:top w:val="single" w:sz="12" w:space="0" w:color="000000"/>
              <w:left w:val="single" w:sz="6" w:space="0" w:color="000000"/>
              <w:bottom w:val="single" w:sz="12" w:space="0" w:color="000000"/>
              <w:right w:val="single" w:sz="6" w:space="0" w:color="000000"/>
            </w:tcBorders>
          </w:tcPr>
          <w:p>
            <w:pPr/>
          </w:p>
        </w:tc>
        <w:tc>
          <w:tcPr>
            <w:tcW w:w="1687" w:type="dxa"/>
            <w:tcBorders>
              <w:top w:val="single" w:sz="12" w:space="0" w:color="000000"/>
              <w:left w:val="single" w:sz="6" w:space="0" w:color="000000"/>
              <w:bottom w:val="single" w:sz="12" w:space="0" w:color="000000"/>
              <w:right w:val="single" w:sz="6" w:space="0" w:color="000000"/>
            </w:tcBorders>
          </w:tcPr>
          <w:p>
            <w:pPr/>
          </w:p>
        </w:tc>
        <w:tc>
          <w:tcPr>
            <w:tcW w:w="1688" w:type="dxa"/>
            <w:tcBorders>
              <w:top w:val="single" w:sz="12" w:space="0" w:color="000000"/>
              <w:left w:val="single" w:sz="6" w:space="0" w:color="000000"/>
              <w:bottom w:val="single" w:sz="12" w:space="0" w:color="000000"/>
              <w:right w:val="single" w:sz="6" w:space="0" w:color="000000"/>
            </w:tcBorders>
          </w:tcPr>
          <w:p>
            <w:pPr/>
          </w:p>
        </w:tc>
        <w:tc>
          <w:tcPr>
            <w:tcW w:w="1685"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0"/>
              <w:ind w:left="2" w:right="58"/>
              <w:jc w:val="left"/>
              <w:rPr>
                <w:rFonts w:ascii="Times New Roman" w:hAnsi="Times New Roman" w:cs="Times New Roman" w:eastAsia="Times New Roman" w:hint="default"/>
                <w:sz w:val="18"/>
                <w:szCs w:val="18"/>
              </w:rPr>
            </w:pPr>
            <w:r>
              <w:rPr>
                <w:rFonts w:ascii="Times New Roman"/>
                <w:sz w:val="18"/>
              </w:rPr>
              <w:t>GettyImagesSEAHoldingCo.,Li mited</w:t>
            </w:r>
          </w:p>
        </w:tc>
        <w:tc>
          <w:tcPr>
            <w:tcW w:w="16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11" w:right="0"/>
              <w:jc w:val="left"/>
              <w:rPr>
                <w:rFonts w:ascii="Times New Roman" w:hAnsi="Times New Roman" w:cs="Times New Roman" w:eastAsia="Times New Roman" w:hint="default"/>
                <w:sz w:val="18"/>
                <w:szCs w:val="18"/>
              </w:rPr>
            </w:pPr>
            <w:r>
              <w:rPr>
                <w:rFonts w:ascii="Times New Roman"/>
                <w:sz w:val="18"/>
              </w:rPr>
              <w:t>US$24,000,000.00</w:t>
            </w:r>
          </w:p>
        </w:tc>
        <w:tc>
          <w:tcPr>
            <w:tcW w:w="1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939" w:right="0"/>
              <w:jc w:val="left"/>
              <w:rPr>
                <w:rFonts w:ascii="Times New Roman" w:hAnsi="Times New Roman" w:cs="Times New Roman" w:eastAsia="Times New Roman" w:hint="default"/>
                <w:sz w:val="18"/>
                <w:szCs w:val="18"/>
              </w:rPr>
            </w:pPr>
            <w:r>
              <w:rPr>
                <w:rFonts w:ascii="Times New Roman"/>
                <w:sz w:val="18"/>
              </w:rPr>
              <w:t>2016/8/18</w:t>
            </w:r>
          </w:p>
        </w:tc>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见注</w:t>
            </w:r>
          </w:p>
        </w:tc>
        <w:tc>
          <w:tcPr>
            <w:tcW w:w="16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2.5%</w:t>
            </w:r>
          </w:p>
        </w:tc>
      </w:tr>
    </w:tbl>
    <w:p>
      <w:pPr>
        <w:spacing w:line="240" w:lineRule="auto" w:before="13"/>
        <w:rPr>
          <w:rFonts w:ascii="宋体" w:hAnsi="宋体" w:cs="宋体" w:eastAsia="宋体" w:hint="default"/>
          <w:b/>
          <w:bCs/>
          <w:sz w:val="4"/>
          <w:szCs w:val="4"/>
        </w:rPr>
      </w:pPr>
    </w:p>
    <w:p>
      <w:pPr>
        <w:pStyle w:val="Heading4"/>
        <w:spacing w:line="244" w:lineRule="auto"/>
        <w:ind w:right="0" w:firstLine="439"/>
        <w:jc w:val="left"/>
      </w:pPr>
      <w:r>
        <w:rPr>
          <w:spacing w:val="-1"/>
        </w:rPr>
        <w:t>注：根据本公司之子公司视觉控股与</w:t>
      </w:r>
      <w:r>
        <w:rPr>
          <w:rFonts w:ascii="Times New Roman" w:hAnsi="Times New Roman" w:cs="Times New Roman" w:eastAsia="Times New Roman" w:hint="default"/>
          <w:spacing w:val="-1"/>
        </w:rPr>
        <w:t>GettyImagesSEAHoldingCo.,Limited</w:t>
      </w:r>
      <w:r>
        <w:rPr>
          <w:spacing w:val="-1"/>
        </w:rPr>
        <w:t>所签订的</w:t>
      </w:r>
      <w:r>
        <w:rPr>
          <w:rFonts w:ascii="Times New Roman" w:hAnsi="Times New Roman" w:cs="Times New Roman" w:eastAsia="Times New Roman" w:hint="default"/>
          <w:spacing w:val="-1"/>
        </w:rPr>
        <w:t>"</w:t>
      </w:r>
      <w:r>
        <w:rPr>
          <w:spacing w:val="-1"/>
        </w:rPr>
        <w:t>借款协议</w:t>
      </w:r>
      <w:r>
        <w:rPr>
          <w:rFonts w:ascii="Times New Roman" w:hAnsi="Times New Roman" w:cs="Times New Roman" w:eastAsia="Times New Roman" w:hint="default"/>
          <w:spacing w:val="-1"/>
        </w:rPr>
        <w:t>"</w:t>
      </w:r>
      <w:r>
        <w:rPr>
          <w:spacing w:val="-1"/>
        </w:rPr>
        <w:t>，该</w:t>
      </w:r>
      <w:r>
        <w:rPr>
          <w:spacing w:val="-15"/>
          <w:w w:val="99"/>
        </w:rPr>
        <w:t> </w:t>
      </w:r>
      <w:r>
        <w:rPr/>
        <w:t>项借款在视觉控股作为其股东期间到期后将自动展期，因此本集团将其确认为长期应付款。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85"/>
        <w:ind w:right="0"/>
        <w:jc w:val="left"/>
        <w:rPr>
          <w:b w:val="0"/>
          <w:bCs w:val="0"/>
        </w:rPr>
      </w:pPr>
      <w:bookmarkStart w:name="（5） 其他关联交易" w:id="349"/>
      <w:bookmarkEnd w:id="349"/>
      <w:r>
        <w:rPr>
          <w:b w:val="0"/>
          <w:bCs w:val="0"/>
        </w:rPr>
      </w:r>
      <w:r>
        <w:rPr/>
        <w:t>（</w:t>
      </w:r>
      <w:r>
        <w:rPr>
          <w:rFonts w:ascii="Times New Roman" w:hAnsi="Times New Roman" w:cs="Times New Roman" w:eastAsia="Times New Roman" w:hint="default"/>
        </w:rPr>
        <w:t>5</w:t>
      </w:r>
      <w:r>
        <w:rPr/>
        <w:t>）</w:t>
      </w:r>
      <w:r>
        <w:rPr>
          <w:spacing w:val="-2"/>
        </w:rPr>
        <w:t> </w:t>
      </w:r>
      <w:r>
        <w:rPr/>
        <w:t>其他关联交易</w:t>
      </w:r>
      <w:r>
        <w:rPr>
          <w:b w:val="0"/>
          <w:bCs w:val="0"/>
        </w:rPr>
      </w:r>
    </w:p>
    <w:p>
      <w:pPr>
        <w:spacing w:line="240" w:lineRule="auto" w:before="12"/>
        <w:rPr>
          <w:rFonts w:ascii="宋体" w:hAnsi="宋体" w:cs="宋体" w:eastAsia="宋体" w:hint="default"/>
          <w:b/>
          <w:bCs/>
          <w:sz w:val="23"/>
          <w:szCs w:val="23"/>
        </w:rPr>
      </w:pPr>
    </w:p>
    <w:p>
      <w:pPr>
        <w:pStyle w:val="Heading4"/>
        <w:spacing w:line="244" w:lineRule="auto" w:before="0"/>
        <w:ind w:right="1017" w:firstLine="439"/>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日，本公司第八届董事会第三十九次会议审议通过了《关于转让亿迅资产组股权暨</w:t>
      </w:r>
      <w:r>
        <w:rPr>
          <w:w w:val="99"/>
        </w:rPr>
        <w:t> </w:t>
      </w:r>
      <w:r>
        <w:rPr/>
        <w:t>关联交易的议案》，该议案于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日经公司</w:t>
      </w:r>
      <w:r>
        <w:rPr>
          <w:rFonts w:ascii="Times New Roman" w:hAnsi="Times New Roman" w:cs="Times New Roman" w:eastAsia="Times New Roman" w:hint="default"/>
        </w:rPr>
        <w:t>2018</w:t>
      </w:r>
      <w:r>
        <w:rPr/>
        <w:t>年第三次临时股东大会审议通过。本公司之</w:t>
      </w:r>
      <w:r>
        <w:rPr>
          <w:w w:val="99"/>
        </w:rPr>
        <w:t> </w:t>
      </w:r>
      <w:r>
        <w:rPr/>
        <w:t>子公司常州远东文化产业有限公司及视觉中国香港有限公司与</w:t>
      </w:r>
      <w:r>
        <w:rPr>
          <w:rFonts w:ascii="Times New Roman" w:hAnsi="Times New Roman" w:cs="Times New Roman" w:eastAsia="Times New Roman" w:hint="default"/>
        </w:rPr>
        <w:t>GoldInsightInvestmentsLimited</w:t>
      </w:r>
      <w:r>
        <w:rPr/>
        <w:t>签订</w:t>
      </w:r>
      <w:r>
        <w:rPr>
          <w:rFonts w:ascii="Times New Roman" w:hAnsi="Times New Roman" w:cs="Times New Roman" w:eastAsia="Times New Roman" w:hint="default"/>
        </w:rPr>
        <w:t>“</w:t>
      </w:r>
      <w:r>
        <w:rPr/>
        <w:t>股</w:t>
      </w:r>
      <w:r>
        <w:rPr>
          <w:w w:val="99"/>
        </w:rPr>
        <w:t> </w:t>
      </w:r>
      <w:r>
        <w:rPr>
          <w:spacing w:val="-1"/>
        </w:rPr>
        <w:t>权转让协议</w:t>
      </w:r>
      <w:r>
        <w:rPr>
          <w:rFonts w:ascii="Times New Roman" w:hAnsi="Times New Roman" w:cs="Times New Roman" w:eastAsia="Times New Roman" w:hint="default"/>
          <w:spacing w:val="-1"/>
        </w:rPr>
        <w:t>”</w:t>
      </w:r>
      <w:r>
        <w:rPr>
          <w:spacing w:val="-1"/>
        </w:rPr>
        <w:t>，常州远东文化产业有限公司及视觉中国香港有限公司将其所持亿迅信息技术有限公司、</w:t>
      </w:r>
      <w:r>
        <w:rPr>
          <w:w w:val="99"/>
        </w:rPr>
        <w:t> </w:t>
      </w:r>
      <w:r>
        <w:rPr/>
        <w:t>宝东信息技术有限公司、</w:t>
      </w:r>
      <w:r>
        <w:rPr>
          <w:rFonts w:ascii="Times New Roman" w:hAnsi="Times New Roman" w:cs="Times New Roman" w:eastAsia="Times New Roman" w:hint="default"/>
        </w:rPr>
        <w:t>eSOONChinaLimited</w:t>
      </w:r>
      <w:r>
        <w:rPr/>
        <w:t>、</w:t>
      </w:r>
      <w:r>
        <w:rPr>
          <w:rFonts w:ascii="Times New Roman" w:hAnsi="Times New Roman" w:cs="Times New Roman" w:eastAsia="Times New Roman" w:hint="default"/>
        </w:rPr>
        <w:t>DataToolChinaLimited</w:t>
      </w:r>
      <w:r>
        <w:rPr/>
        <w:t>、</w:t>
      </w:r>
      <w:r>
        <w:rPr>
          <w:rFonts w:ascii="Times New Roman" w:hAnsi="Times New Roman" w:cs="Times New Roman" w:eastAsia="Times New Roman" w:hint="default"/>
        </w:rPr>
        <w:t>DataToolHongKongLimited</w:t>
      </w:r>
      <w:r>
        <w:rPr/>
        <w:t>的</w:t>
      </w:r>
      <w:r>
        <w:rPr>
          <w:w w:val="99"/>
        </w:rPr>
        <w:t> </w:t>
      </w:r>
      <w:r>
        <w:rPr/>
        <w:t>全部股权（各家均为</w:t>
      </w:r>
      <w:r>
        <w:rPr>
          <w:rFonts w:ascii="Times New Roman" w:hAnsi="Times New Roman" w:cs="Times New Roman" w:eastAsia="Times New Roman" w:hint="default"/>
        </w:rPr>
        <w:t>76.623%</w:t>
      </w:r>
      <w:r>
        <w:rPr/>
        <w:t>）作价</w:t>
      </w:r>
      <w:r>
        <w:rPr>
          <w:rFonts w:ascii="Times New Roman" w:hAnsi="Times New Roman" w:cs="Times New Roman" w:eastAsia="Times New Roman" w:hint="default"/>
        </w:rPr>
        <w:t>21,684.97</w:t>
      </w:r>
      <w:r>
        <w:rPr/>
        <w:t>万元转让给</w:t>
      </w:r>
      <w:r>
        <w:rPr>
          <w:rFonts w:ascii="Times New Roman" w:hAnsi="Times New Roman" w:cs="Times New Roman" w:eastAsia="Times New Roman" w:hint="default"/>
        </w:rPr>
        <w:t>GoldInsightInvestmentsLimited</w:t>
      </w:r>
      <w:r>
        <w:rPr/>
        <w:t>。该股权转让</w:t>
      </w:r>
      <w:r>
        <w:rPr>
          <w:w w:val="99"/>
        </w:rPr>
        <w:t> </w:t>
      </w:r>
      <w:r>
        <w:rPr/>
        <w:t>协议约定股权转让款分三期收取，截至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日尚未收取的余款为</w:t>
      </w:r>
      <w:r>
        <w:rPr>
          <w:rFonts w:ascii="Times New Roman" w:hAnsi="Times New Roman" w:cs="Times New Roman" w:eastAsia="Times New Roman" w:hint="default"/>
        </w:rPr>
        <w:t>85,953,344.43</w:t>
      </w:r>
      <w:r>
        <w:rPr/>
        <w:t>元，股权转让</w:t>
      </w:r>
      <w:r>
        <w:rPr>
          <w:w w:val="99"/>
        </w:rPr>
        <w:t> </w:t>
      </w:r>
      <w:r>
        <w:rPr/>
        <w:t>协议约定受让方应于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日前支付。</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68"/>
        <w:ind w:right="0"/>
        <w:jc w:val="left"/>
        <w:rPr>
          <w:b w:val="0"/>
          <w:bCs w:val="0"/>
        </w:rPr>
      </w:pPr>
      <w:bookmarkStart w:name="（6）关键管理人员报酬" w:id="350"/>
      <w:bookmarkEnd w:id="350"/>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3,392,600.00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关联方应收应付款项" w:id="351"/>
      <w:bookmarkEnd w:id="35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应收项目" w:id="352"/>
      <w:bookmarkEnd w:id="35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唱游信息技术有限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2,702,617.00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1,510,772.00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8,195,117.00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2,699,231.51</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2"/>
              <w:jc w:val="left"/>
              <w:rPr>
                <w:rFonts w:ascii="Times New Roman" w:hAnsi="Times New Roman" w:cs="Times New Roman" w:eastAsia="Times New Roman" w:hint="default"/>
                <w:sz w:val="18"/>
                <w:szCs w:val="18"/>
              </w:rPr>
            </w:pPr>
            <w:r>
              <w:rPr>
                <w:rFonts w:ascii="Times New Roman"/>
                <w:sz w:val="18"/>
              </w:rPr>
              <w:t>Getty Images</w:t>
            </w:r>
            <w:r>
              <w:rPr>
                <w:rFonts w:ascii="Times New Roman"/>
                <w:spacing w:val="-4"/>
                <w:sz w:val="18"/>
              </w:rPr>
              <w:t> </w:t>
            </w:r>
            <w:r>
              <w:rPr>
                <w:rFonts w:ascii="Times New Roman"/>
                <w:sz w:val="18"/>
              </w:rPr>
              <w:t>SEA</w:t>
            </w:r>
            <w:r>
              <w:rPr>
                <w:rFonts w:ascii="Times New Roman"/>
                <w:w w:val="99"/>
                <w:sz w:val="18"/>
              </w:rPr>
              <w:t> </w:t>
            </w:r>
            <w:r>
              <w:rPr>
                <w:rFonts w:ascii="Times New Roman"/>
                <w:sz w:val="18"/>
              </w:rPr>
              <w:t>Holdings</w:t>
            </w:r>
            <w:r>
              <w:rPr>
                <w:rFonts w:ascii="Times New Roman"/>
                <w:w w:val="99"/>
                <w:sz w:val="18"/>
              </w:rPr>
              <w:t> </w:t>
            </w:r>
            <w:r>
              <w:rPr>
                <w:rFonts w:ascii="Times New Roman"/>
                <w:sz w:val="18"/>
              </w:rPr>
              <w:t>Co.,Limited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4,915,065.03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49,150.65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2,866,406.06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28,664.06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亿迅信息技术有限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51,436,472.61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宝东信息技术有限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15,755,475.33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0"/>
              <w:jc w:val="left"/>
              <w:rPr>
                <w:rFonts w:ascii="Times New Roman" w:hAnsi="Times New Roman" w:cs="Times New Roman" w:eastAsia="Times New Roman" w:hint="default"/>
                <w:sz w:val="18"/>
                <w:szCs w:val="18"/>
              </w:rPr>
            </w:pPr>
            <w:r>
              <w:rPr>
                <w:rFonts w:ascii="Times New Roman"/>
                <w:sz w:val="18"/>
              </w:rPr>
              <w:t>eSOONChinaLimite</w:t>
            </w:r>
            <w:r>
              <w:rPr>
                <w:rFonts w:ascii="Times New Roman"/>
                <w:w w:val="99"/>
                <w:sz w:val="18"/>
              </w:rPr>
              <w:t> </w:t>
            </w:r>
            <w:r>
              <w:rPr>
                <w:rFonts w:ascii="Times New Roman"/>
                <w:sz w:val="18"/>
              </w:rPr>
              <w:t>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2,740,365.40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5"/>
              <w:jc w:val="left"/>
              <w:rPr>
                <w:rFonts w:ascii="Times New Roman" w:hAnsi="Times New Roman" w:cs="Times New Roman" w:eastAsia="Times New Roman" w:hint="default"/>
                <w:sz w:val="18"/>
                <w:szCs w:val="18"/>
              </w:rPr>
            </w:pPr>
            <w:r>
              <w:rPr>
                <w:rFonts w:ascii="Times New Roman"/>
                <w:sz w:val="18"/>
              </w:rPr>
              <w:t>Gold Insight</w:t>
            </w:r>
            <w:r>
              <w:rPr>
                <w:rFonts w:ascii="Times New Roman"/>
                <w:w w:val="99"/>
                <w:sz w:val="18"/>
              </w:rPr>
              <w:t> </w:t>
            </w:r>
            <w:r>
              <w:rPr>
                <w:rFonts w:ascii="Times New Roman"/>
                <w:sz w:val="18"/>
              </w:rPr>
              <w:t>Investments</w:t>
            </w:r>
            <w:r>
              <w:rPr>
                <w:rFonts w:ascii="Times New Roman"/>
                <w:spacing w:val="-4"/>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85,953,344.43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859,533.44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应付项目" w:id="353"/>
      <w:bookmarkEnd w:id="35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广东南方视觉文化传媒有限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25,717.00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北京创新乐知信息技术有限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5,143,609.59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3" w:firstLine="90"/>
              <w:jc w:val="left"/>
              <w:rPr>
                <w:rFonts w:ascii="Times New Roman" w:hAnsi="Times New Roman" w:cs="Times New Roman" w:eastAsia="Times New Roman" w:hint="default"/>
                <w:sz w:val="18"/>
                <w:szCs w:val="18"/>
              </w:rPr>
            </w:pPr>
            <w:r>
              <w:rPr>
                <w:rFonts w:ascii="Times New Roman"/>
                <w:sz w:val="18"/>
              </w:rPr>
              <w:t>Getty Images SEA</w:t>
            </w:r>
            <w:r>
              <w:rPr>
                <w:rFonts w:ascii="Times New Roman"/>
                <w:spacing w:val="-13"/>
                <w:sz w:val="18"/>
              </w:rPr>
              <w:t> </w:t>
            </w:r>
            <w:r>
              <w:rPr>
                <w:rFonts w:ascii="Times New Roman"/>
                <w:sz w:val="18"/>
              </w:rPr>
              <w:t>Holding</w:t>
            </w:r>
            <w:r>
              <w:rPr>
                <w:rFonts w:ascii="Times New Roman"/>
                <w:sz w:val="18"/>
              </w:rPr>
              <w:t> Co.,Limited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164,716,800.00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156,820,800.00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spacing w:line="506" w:lineRule="auto" w:before="26"/>
        <w:ind w:left="154" w:right="7692" w:firstLine="0"/>
        <w:jc w:val="left"/>
        <w:rPr>
          <w:rFonts w:ascii="宋体" w:hAnsi="宋体" w:cs="宋体" w:eastAsia="宋体" w:hint="default"/>
          <w:sz w:val="18"/>
          <w:szCs w:val="18"/>
        </w:rPr>
      </w:pPr>
      <w:bookmarkStart w:name="十三、承诺及或有事项" w:id="354"/>
      <w:bookmarkEnd w:id="354"/>
      <w:r>
        <w:rPr/>
      </w:r>
      <w:r>
        <w:rPr>
          <w:rFonts w:ascii="宋体" w:hAnsi="宋体" w:cs="宋体" w:eastAsia="宋体" w:hint="default"/>
          <w:b/>
          <w:bCs/>
          <w:w w:val="95"/>
          <w:sz w:val="24"/>
          <w:szCs w:val="24"/>
        </w:rPr>
        <w:t>十三、承诺及或有事项</w:t>
      </w:r>
      <w:r>
        <w:rPr>
          <w:rFonts w:ascii="宋体" w:hAnsi="宋体" w:cs="宋体" w:eastAsia="宋体" w:hint="default"/>
          <w:b/>
          <w:bCs/>
          <w:spacing w:val="-4"/>
          <w:w w:val="95"/>
          <w:sz w:val="24"/>
          <w:szCs w:val="24"/>
        </w:rPr>
        <w:t> </w:t>
      </w:r>
      <w:bookmarkStart w:name="1、重要承诺事项" w:id="355"/>
      <w:bookmarkEnd w:id="355"/>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Heading4"/>
        <w:spacing w:line="266" w:lineRule="exact" w:before="0"/>
        <w:ind w:left="154" w:right="0"/>
        <w:jc w:val="left"/>
      </w:pPr>
      <w:r>
        <w:rPr>
          <w:rFonts w:ascii="宋体" w:hAnsi="宋体" w:cs="宋体" w:eastAsia="宋体" w:hint="default"/>
        </w:rPr>
        <w:t>1.</w:t>
      </w:r>
      <w:r>
        <w:rPr>
          <w:rFonts w:ascii="宋体" w:hAnsi="宋体" w:cs="宋体" w:eastAsia="宋体" w:hint="default"/>
          <w:spacing w:val="19"/>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日公司对外投资承诺明细</w:t>
      </w:r>
    </w:p>
    <w:p>
      <w:pPr>
        <w:spacing w:line="240" w:lineRule="auto" w:before="6"/>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826"/>
        <w:gridCol w:w="1825"/>
        <w:gridCol w:w="1826"/>
        <w:gridCol w:w="1827"/>
        <w:gridCol w:w="1826"/>
      </w:tblGrid>
      <w:tr>
        <w:trPr>
          <w:trHeight w:val="355" w:hRule="exact"/>
        </w:trPr>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8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承诺投资金额</w:t>
            </w:r>
          </w:p>
        </w:tc>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5" w:right="0"/>
              <w:jc w:val="left"/>
              <w:rPr>
                <w:rFonts w:ascii="宋体" w:hAnsi="宋体" w:cs="宋体" w:eastAsia="宋体" w:hint="default"/>
                <w:sz w:val="18"/>
                <w:szCs w:val="18"/>
              </w:rPr>
            </w:pPr>
            <w:r>
              <w:rPr>
                <w:rFonts w:ascii="宋体" w:hAnsi="宋体" w:cs="宋体" w:eastAsia="宋体" w:hint="default"/>
                <w:sz w:val="18"/>
                <w:szCs w:val="18"/>
              </w:rPr>
              <w:t>尚未投出金额</w:t>
            </w:r>
          </w:p>
        </w:tc>
        <w:tc>
          <w:tcPr>
            <w:tcW w:w="18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5" w:right="0"/>
              <w:jc w:val="left"/>
              <w:rPr>
                <w:rFonts w:ascii="宋体" w:hAnsi="宋体" w:cs="宋体" w:eastAsia="宋体" w:hint="default"/>
                <w:sz w:val="18"/>
                <w:szCs w:val="18"/>
              </w:rPr>
            </w:pPr>
            <w:r>
              <w:rPr>
                <w:rFonts w:ascii="宋体" w:hAnsi="宋体" w:cs="宋体" w:eastAsia="宋体" w:hint="default"/>
                <w:sz w:val="18"/>
                <w:szCs w:val="18"/>
              </w:rPr>
              <w:t>累计已投金额</w:t>
            </w:r>
          </w:p>
        </w:tc>
        <w:tc>
          <w:tcPr>
            <w:tcW w:w="18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65"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
              <w:jc w:val="left"/>
              <w:rPr>
                <w:rFonts w:ascii="宋体" w:hAnsi="宋体" w:cs="宋体" w:eastAsia="宋体" w:hint="default"/>
                <w:sz w:val="18"/>
                <w:szCs w:val="18"/>
              </w:rPr>
            </w:pPr>
            <w:r>
              <w:rPr>
                <w:rFonts w:ascii="宋体" w:hAnsi="宋体" w:cs="宋体" w:eastAsia="宋体" w:hint="default"/>
                <w:sz w:val="18"/>
                <w:szCs w:val="18"/>
              </w:rPr>
              <w:t>湖北司马彦文化科技有 限公司</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85,710,000.00</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214,290,000.00</w:t>
            </w:r>
          </w:p>
        </w:tc>
        <w:tc>
          <w:tcPr>
            <w:tcW w:w="1826"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
              <w:jc w:val="left"/>
              <w:rPr>
                <w:rFonts w:ascii="宋体" w:hAnsi="宋体" w:cs="宋体" w:eastAsia="宋体" w:hint="default"/>
                <w:sz w:val="18"/>
                <w:szCs w:val="18"/>
              </w:rPr>
            </w:pPr>
            <w:r>
              <w:rPr>
                <w:rFonts w:ascii="宋体" w:hAnsi="宋体" w:cs="宋体" w:eastAsia="宋体" w:hint="default"/>
                <w:sz w:val="18"/>
                <w:szCs w:val="18"/>
              </w:rPr>
              <w:t>富银消费金融有限责任 公司</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102,000,000.00</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21,000,000.00</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81,000,000.00</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908" w:right="0"/>
              <w:jc w:val="left"/>
              <w:rPr>
                <w:rFonts w:ascii="宋体" w:hAnsi="宋体" w:cs="宋体" w:eastAsia="宋体" w:hint="default"/>
                <w:sz w:val="18"/>
                <w:szCs w:val="18"/>
              </w:rPr>
            </w:pPr>
            <w:r>
              <w:rPr>
                <w:rFonts w:ascii="宋体" w:hAnsi="宋体" w:cs="宋体" w:eastAsia="宋体" w:hint="default"/>
                <w:sz w:val="18"/>
                <w:szCs w:val="18"/>
              </w:rPr>
              <w:t>拟设立投资</w:t>
            </w:r>
          </w:p>
        </w:tc>
      </w:tr>
      <w:tr>
        <w:trPr>
          <w:trHeight w:val="664"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
              <w:jc w:val="left"/>
              <w:rPr>
                <w:rFonts w:ascii="宋体" w:hAnsi="宋体" w:cs="宋体" w:eastAsia="宋体" w:hint="default"/>
                <w:sz w:val="18"/>
                <w:szCs w:val="18"/>
              </w:rPr>
            </w:pPr>
            <w:r>
              <w:rPr>
                <w:rFonts w:ascii="宋体" w:hAnsi="宋体" w:cs="宋体" w:eastAsia="宋体" w:hint="default"/>
                <w:sz w:val="18"/>
                <w:szCs w:val="18"/>
              </w:rPr>
              <w:t>广东易教优培教育科技 有限公司</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110,000,000.00</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44,000,000.00</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66,000,000.00</w:t>
            </w:r>
          </w:p>
        </w:tc>
        <w:tc>
          <w:tcPr>
            <w:tcW w:w="182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512,000,000.00</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150,710,000.00</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361,290,000.00</w:t>
            </w:r>
          </w:p>
        </w:tc>
        <w:tc>
          <w:tcPr>
            <w:tcW w:w="182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4"/>
          <w:szCs w:val="4"/>
        </w:rPr>
      </w:pPr>
    </w:p>
    <w:p>
      <w:pPr>
        <w:pStyle w:val="Heading4"/>
        <w:spacing w:line="240" w:lineRule="auto"/>
        <w:ind w:left="595" w:right="0"/>
        <w:jc w:val="left"/>
      </w:pPr>
      <w:r>
        <w:rPr/>
        <w:t>（续）</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826"/>
        <w:gridCol w:w="1825"/>
        <w:gridCol w:w="1826"/>
        <w:gridCol w:w="1827"/>
        <w:gridCol w:w="1826"/>
      </w:tblGrid>
      <w:tr>
        <w:trPr>
          <w:trHeight w:val="355" w:hRule="exact"/>
        </w:trPr>
        <w:tc>
          <w:tcPr>
            <w:tcW w:w="1826" w:type="dxa"/>
            <w:vMerge w:val="restart"/>
            <w:tcBorders>
              <w:top w:val="single" w:sz="6" w:space="0" w:color="000000"/>
              <w:left w:val="single" w:sz="6" w:space="0" w:color="000000"/>
              <w:right w:val="single" w:sz="6"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30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113" w:right="0"/>
              <w:jc w:val="left"/>
              <w:rPr>
                <w:rFonts w:ascii="宋体" w:hAnsi="宋体" w:cs="宋体" w:eastAsia="宋体" w:hint="default"/>
                <w:sz w:val="18"/>
                <w:szCs w:val="18"/>
              </w:rPr>
            </w:pPr>
            <w:r>
              <w:rPr>
                <w:rFonts w:ascii="宋体" w:hAnsi="宋体" w:cs="宋体" w:eastAsia="宋体" w:hint="default"/>
                <w:sz w:val="18"/>
                <w:szCs w:val="18"/>
              </w:rPr>
              <w:t>原股东在股权出让时业绩承诺（万元）</w:t>
            </w:r>
          </w:p>
        </w:tc>
      </w:tr>
      <w:tr>
        <w:trPr>
          <w:trHeight w:val="352" w:hRule="exact"/>
        </w:trPr>
        <w:tc>
          <w:tcPr>
            <w:tcW w:w="1826" w:type="dxa"/>
            <w:vMerge/>
            <w:tcBorders>
              <w:left w:val="single" w:sz="6" w:space="0" w:color="000000"/>
              <w:bottom w:val="single" w:sz="12" w:space="0" w:color="000000"/>
              <w:right w:val="single" w:sz="6" w:space="0" w:color="000000"/>
            </w:tcBorders>
          </w:tcPr>
          <w:p>
            <w:pP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664"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
              <w:jc w:val="left"/>
              <w:rPr>
                <w:rFonts w:ascii="宋体" w:hAnsi="宋体" w:cs="宋体" w:eastAsia="宋体" w:hint="default"/>
                <w:sz w:val="18"/>
                <w:szCs w:val="18"/>
              </w:rPr>
            </w:pPr>
            <w:r>
              <w:rPr>
                <w:rFonts w:ascii="宋体" w:hAnsi="宋体" w:cs="宋体" w:eastAsia="宋体" w:hint="default"/>
                <w:sz w:val="18"/>
                <w:szCs w:val="18"/>
              </w:rPr>
              <w:t>湖北司马彦文化科技有 限公司</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扣除非经常性损益净利</w:t>
            </w:r>
          </w:p>
          <w:p>
            <w:pPr>
              <w:pStyle w:val="TableParagraph"/>
              <w:spacing w:line="240" w:lineRule="auto" w:before="76"/>
              <w:ind w:left="8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&gt;4,000.00</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扣除非经常性损益净利</w:t>
            </w:r>
          </w:p>
          <w:p>
            <w:pPr>
              <w:pStyle w:val="TableParagraph"/>
              <w:spacing w:line="240" w:lineRule="auto" w:before="76"/>
              <w:ind w:left="8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&gt;5,000.00</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扣除非经常性损益净利</w:t>
            </w:r>
          </w:p>
          <w:p>
            <w:pPr>
              <w:pStyle w:val="TableParagraph"/>
              <w:spacing w:line="240" w:lineRule="auto" w:before="76"/>
              <w:ind w:left="8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&gt;6,000.00</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扣除非经常性损益净利</w:t>
            </w:r>
          </w:p>
          <w:p>
            <w:pPr>
              <w:pStyle w:val="TableParagraph"/>
              <w:spacing w:line="240" w:lineRule="auto" w:before="76"/>
              <w:ind w:left="8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&gt;6,000.00</w:t>
            </w:r>
          </w:p>
        </w:tc>
      </w:tr>
      <w:tr>
        <w:trPr>
          <w:trHeight w:val="665"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 w:right="6"/>
              <w:jc w:val="left"/>
              <w:rPr>
                <w:rFonts w:ascii="宋体" w:hAnsi="宋体" w:cs="宋体" w:eastAsia="宋体" w:hint="default"/>
                <w:sz w:val="18"/>
                <w:szCs w:val="18"/>
              </w:rPr>
            </w:pPr>
            <w:r>
              <w:rPr>
                <w:rFonts w:ascii="宋体" w:hAnsi="宋体" w:cs="宋体" w:eastAsia="宋体" w:hint="default"/>
                <w:sz w:val="18"/>
                <w:szCs w:val="18"/>
              </w:rPr>
              <w:t>富银消费金融有限责任 公司</w:t>
            </w:r>
          </w:p>
        </w:tc>
        <w:tc>
          <w:tcPr>
            <w:tcW w:w="1825" w:type="dxa"/>
            <w:tcBorders>
              <w:top w:val="single" w:sz="12" w:space="0" w:color="000000"/>
              <w:left w:val="single" w:sz="6" w:space="0" w:color="000000"/>
              <w:bottom w:val="single" w:sz="12" w:space="0" w:color="000000"/>
              <w:right w:val="single" w:sz="6" w:space="0" w:color="000000"/>
            </w:tcBorders>
          </w:tcPr>
          <w:p>
            <w:pPr/>
          </w:p>
        </w:tc>
        <w:tc>
          <w:tcPr>
            <w:tcW w:w="1826" w:type="dxa"/>
            <w:tcBorders>
              <w:top w:val="single" w:sz="12" w:space="0" w:color="000000"/>
              <w:left w:val="single" w:sz="6" w:space="0" w:color="000000"/>
              <w:bottom w:val="single" w:sz="12" w:space="0" w:color="000000"/>
              <w:right w:val="single" w:sz="6" w:space="0" w:color="000000"/>
            </w:tcBorders>
          </w:tcPr>
          <w:p>
            <w:pPr/>
          </w:p>
        </w:tc>
        <w:tc>
          <w:tcPr>
            <w:tcW w:w="1827" w:type="dxa"/>
            <w:tcBorders>
              <w:top w:val="single" w:sz="12" w:space="0" w:color="000000"/>
              <w:left w:val="single" w:sz="6" w:space="0" w:color="000000"/>
              <w:bottom w:val="single" w:sz="12" w:space="0" w:color="000000"/>
              <w:right w:val="single" w:sz="6" w:space="0" w:color="000000"/>
            </w:tcBorders>
          </w:tcPr>
          <w:p>
            <w:pPr/>
          </w:p>
        </w:tc>
        <w:tc>
          <w:tcPr>
            <w:tcW w:w="182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4"/>
          <w:szCs w:val="4"/>
        </w:rPr>
      </w:pPr>
    </w:p>
    <w:p>
      <w:pPr>
        <w:pStyle w:val="Heading4"/>
        <w:spacing w:line="240" w:lineRule="auto"/>
        <w:ind w:left="595" w:right="0"/>
        <w:jc w:val="left"/>
      </w:pPr>
      <w:r>
        <w:rPr/>
        <w:t>（续）</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826"/>
        <w:gridCol w:w="1825"/>
        <w:gridCol w:w="1826"/>
        <w:gridCol w:w="1827"/>
        <w:gridCol w:w="1826"/>
      </w:tblGrid>
      <w:tr>
        <w:trPr>
          <w:trHeight w:val="355" w:hRule="exact"/>
        </w:trPr>
        <w:tc>
          <w:tcPr>
            <w:tcW w:w="1826" w:type="dxa"/>
            <w:vMerge w:val="restart"/>
            <w:tcBorders>
              <w:top w:val="single" w:sz="6" w:space="0" w:color="000000"/>
              <w:left w:val="single" w:sz="6"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30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113" w:right="0"/>
              <w:jc w:val="left"/>
              <w:rPr>
                <w:rFonts w:ascii="宋体" w:hAnsi="宋体" w:cs="宋体" w:eastAsia="宋体" w:hint="default"/>
                <w:sz w:val="18"/>
                <w:szCs w:val="18"/>
              </w:rPr>
            </w:pPr>
            <w:r>
              <w:rPr>
                <w:rFonts w:ascii="宋体" w:hAnsi="宋体" w:cs="宋体" w:eastAsia="宋体" w:hint="default"/>
                <w:sz w:val="18"/>
                <w:szCs w:val="18"/>
              </w:rPr>
              <w:t>原股东在股权出让时业绩承诺（万元）</w:t>
            </w:r>
          </w:p>
        </w:tc>
      </w:tr>
      <w:tr>
        <w:trPr>
          <w:trHeight w:val="352" w:hRule="exact"/>
        </w:trPr>
        <w:tc>
          <w:tcPr>
            <w:tcW w:w="1826" w:type="dxa"/>
            <w:vMerge/>
            <w:tcBorders>
              <w:left w:val="single" w:sz="6" w:space="0" w:color="000000"/>
              <w:bottom w:val="single" w:sz="12" w:space="0" w:color="000000"/>
              <w:right w:val="single" w:sz="6" w:space="0" w:color="000000"/>
            </w:tcBorders>
          </w:tcPr>
          <w:p>
            <w:pP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p>
        </w:tc>
      </w:tr>
      <w:tr>
        <w:trPr>
          <w:trHeight w:val="665"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
              <w:jc w:val="left"/>
              <w:rPr>
                <w:rFonts w:ascii="宋体" w:hAnsi="宋体" w:cs="宋体" w:eastAsia="宋体" w:hint="default"/>
                <w:sz w:val="18"/>
                <w:szCs w:val="18"/>
              </w:rPr>
            </w:pPr>
            <w:r>
              <w:rPr>
                <w:rFonts w:ascii="宋体" w:hAnsi="宋体" w:cs="宋体" w:eastAsia="宋体" w:hint="default"/>
                <w:sz w:val="18"/>
                <w:szCs w:val="18"/>
              </w:rPr>
              <w:t>广东易教优培教育科技 有限公司</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扣除非经常性损益净利</w:t>
            </w:r>
          </w:p>
          <w:p>
            <w:pPr>
              <w:pStyle w:val="TableParagraph"/>
              <w:spacing w:line="240" w:lineRule="auto" w:before="76"/>
              <w:ind w:left="8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&gt;3,300.00</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扣除非经常性损益净利</w:t>
            </w:r>
          </w:p>
          <w:p>
            <w:pPr>
              <w:pStyle w:val="TableParagraph"/>
              <w:spacing w:line="240" w:lineRule="auto" w:before="76"/>
              <w:ind w:left="8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&gt;4,300.00</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扣除非经常性损益净利</w:t>
            </w:r>
          </w:p>
          <w:p>
            <w:pPr>
              <w:pStyle w:val="TableParagraph"/>
              <w:spacing w:line="240" w:lineRule="auto" w:before="76"/>
              <w:ind w:left="8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&gt;5,300.00</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扣除非经常性损益净利</w:t>
            </w:r>
          </w:p>
          <w:p>
            <w:pPr>
              <w:pStyle w:val="TableParagraph"/>
              <w:spacing w:line="240" w:lineRule="auto" w:before="76"/>
              <w:ind w:left="8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&gt;6,150.00</w:t>
            </w:r>
          </w:p>
        </w:tc>
      </w:tr>
    </w:tbl>
    <w:p>
      <w:pPr>
        <w:spacing w:line="240" w:lineRule="auto" w:before="13"/>
        <w:rPr>
          <w:rFonts w:ascii="宋体" w:hAnsi="宋体" w:cs="宋体" w:eastAsia="宋体" w:hint="default"/>
          <w:sz w:val="4"/>
          <w:szCs w:val="4"/>
        </w:rPr>
      </w:pPr>
    </w:p>
    <w:p>
      <w:pPr>
        <w:pStyle w:val="Heading4"/>
        <w:spacing w:line="240" w:lineRule="auto"/>
        <w:ind w:left="595" w:right="0"/>
        <w:jc w:val="left"/>
      </w:pPr>
      <w:r>
        <w:rPr/>
        <w:t>注：</w:t>
      </w:r>
    </w:p>
    <w:p>
      <w:pPr>
        <w:pStyle w:val="Heading4"/>
        <w:spacing w:line="252" w:lineRule="auto" w:before="144"/>
        <w:ind w:right="1128" w:firstLine="439"/>
        <w:jc w:val="both"/>
        <w:rPr>
          <w:rFonts w:ascii="Times New Roman" w:hAnsi="Times New Roman" w:cs="Times New Roman" w:eastAsia="Times New Roman" w:hint="default"/>
        </w:rPr>
      </w:pPr>
      <w:r>
        <w:rPr>
          <w:rFonts w:ascii="Times New Roman" w:hAnsi="Times New Roman" w:cs="Times New Roman" w:eastAsia="Times New Roman" w:hint="default"/>
        </w:rPr>
        <w:t>A</w:t>
      </w:r>
      <w:r>
        <w:rPr/>
        <w:t>、根据公司子公司北京汉华易美图片有限公司与湖北天福星科技有限公司、武汉鑫泰和商贸有</w:t>
      </w:r>
      <w:r>
        <w:rPr>
          <w:w w:val="99"/>
        </w:rPr>
        <w:t> </w:t>
      </w:r>
      <w:r>
        <w:rPr>
          <w:spacing w:val="-1"/>
        </w:rPr>
        <w:t>限公司、武汉菲林格装饰设计工程有限公司、自然人司马彦、李先娥、司马新星、天津飞远信商务信</w:t>
      </w:r>
      <w:r>
        <w:rPr>
          <w:w w:val="99"/>
        </w:rPr>
        <w:t> </w:t>
      </w:r>
      <w:r>
        <w:rPr>
          <w:spacing w:val="-1"/>
        </w:rPr>
        <w:t>息咨询有限公司签订的《关于湖北司马彦文化科技有限公司之股权转让协议》，北京汉华易美图片有</w:t>
      </w:r>
      <w:r>
        <w:rPr>
          <w:w w:val="99"/>
        </w:rPr>
        <w:t> </w:t>
      </w:r>
      <w:r>
        <w:rPr>
          <w:spacing w:val="-2"/>
        </w:rPr>
        <w:t>限公司受让湖北司马彦文化科技有限公司</w:t>
      </w:r>
      <w:r>
        <w:rPr>
          <w:rFonts w:ascii="Times New Roman" w:hAnsi="Times New Roman" w:cs="Times New Roman" w:eastAsia="Times New Roman" w:hint="default"/>
          <w:spacing w:val="-2"/>
        </w:rPr>
        <w:t>49%</w:t>
      </w:r>
      <w:r>
        <w:rPr>
          <w:spacing w:val="-2"/>
        </w:rPr>
        <w:t>需支付股权转让款</w:t>
      </w:r>
      <w:r>
        <w:rPr>
          <w:rFonts w:ascii="Times New Roman" w:hAnsi="Times New Roman" w:cs="Times New Roman" w:eastAsia="Times New Roman" w:hint="default"/>
          <w:spacing w:val="-2"/>
        </w:rPr>
        <w:t>300,000,000.00</w:t>
      </w:r>
      <w:r>
        <w:rPr>
          <w:spacing w:val="-2"/>
        </w:rPr>
        <w:t>元，截至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20"/>
        </w:rPr>
        <w:t> </w:t>
      </w:r>
      <w:r>
        <w:rPr/>
        <w:t>日累计已支付</w:t>
      </w:r>
      <w:r>
        <w:rPr>
          <w:rFonts w:ascii="Times New Roman" w:hAnsi="Times New Roman" w:cs="Times New Roman" w:eastAsia="Times New Roman" w:hint="default"/>
        </w:rPr>
        <w:t>214,290,000.00</w:t>
      </w:r>
      <w:r>
        <w:rPr/>
        <w:t>元，</w:t>
      </w:r>
      <w:r>
        <w:rPr>
          <w:rFonts w:ascii="Times New Roman" w:hAnsi="Times New Roman" w:cs="Times New Roman" w:eastAsia="Times New Roman" w:hint="default"/>
        </w:rPr>
        <w:t>2019</w:t>
      </w:r>
      <w:r>
        <w:rPr/>
        <w:t>年需支付</w:t>
      </w:r>
      <w:r>
        <w:rPr>
          <w:rFonts w:ascii="Times New Roman" w:hAnsi="Times New Roman" w:cs="Times New Roman" w:eastAsia="Times New Roman" w:hint="default"/>
        </w:rPr>
        <w:t>85,710,000.00</w:t>
      </w:r>
      <w:r>
        <w:rPr/>
        <w:t>元</w:t>
      </w:r>
      <w:r>
        <w:rPr>
          <w:rFonts w:ascii="Times New Roman" w:hAnsi="Times New Roman" w:cs="Times New Roman" w:eastAsia="Times New Roman" w:hint="default"/>
        </w:rPr>
        <w:t>.</w:t>
      </w:r>
    </w:p>
    <w:p>
      <w:pPr>
        <w:pStyle w:val="Heading4"/>
        <w:spacing w:line="256" w:lineRule="auto" w:before="115"/>
        <w:ind w:right="1131" w:firstLine="439"/>
        <w:jc w:val="both"/>
      </w:pPr>
      <w:r>
        <w:rPr>
          <w:rFonts w:ascii="Times New Roman" w:hAnsi="Times New Roman" w:cs="Times New Roman" w:eastAsia="Times New Roman" w:hint="default"/>
        </w:rPr>
        <w:t>B</w:t>
      </w:r>
      <w:r>
        <w:rPr/>
        <w:t>、根据公司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16</w:t>
      </w:r>
      <w:r>
        <w:rPr/>
        <w:t>日与富滇银行股份有限公司、广东网金控股股份有限公司、昆明顺城</w:t>
      </w:r>
      <w:r>
        <w:rPr>
          <w:w w:val="99"/>
        </w:rPr>
        <w:t> </w:t>
      </w:r>
      <w:r>
        <w:rPr/>
        <w:t>诺普商贸有限公司签订的《富银消费金融有限责任公司出资协议》，公司拟出资</w:t>
      </w:r>
      <w:r>
        <w:rPr>
          <w:rFonts w:ascii="宋体" w:hAnsi="宋体" w:cs="宋体" w:eastAsia="宋体" w:hint="default"/>
        </w:rPr>
        <w:t>8,100</w:t>
      </w:r>
      <w:r>
        <w:rPr/>
        <w:t>万元，认购拟</w:t>
      </w:r>
      <w:r>
        <w:rPr>
          <w:w w:val="99"/>
        </w:rPr>
        <w:t> </w:t>
      </w:r>
      <w:r>
        <w:rPr/>
        <w:t>设立的富银消费金融有限责任公司</w:t>
      </w:r>
      <w:r>
        <w:rPr>
          <w:rFonts w:ascii="宋体" w:hAnsi="宋体" w:cs="宋体" w:eastAsia="宋体" w:hint="default"/>
        </w:rPr>
        <w:t>3</w:t>
      </w:r>
      <w:r>
        <w:rPr/>
        <w:t>亿注册资本的</w:t>
      </w:r>
      <w:r>
        <w:rPr>
          <w:rFonts w:ascii="宋体" w:hAnsi="宋体" w:cs="宋体" w:eastAsia="宋体" w:hint="default"/>
        </w:rPr>
        <w:t>27%</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日已预付出资保证金</w:t>
      </w:r>
      <w:r>
        <w:rPr>
          <w:rFonts w:ascii="宋体" w:hAnsi="宋体" w:cs="宋体" w:eastAsia="宋体" w:hint="default"/>
        </w:rPr>
        <w:t>8,100</w:t>
      </w:r>
      <w:r>
        <w:rPr>
          <w:rFonts w:ascii="宋体" w:hAnsi="宋体" w:cs="宋体" w:eastAsia="宋体" w:hint="default"/>
          <w:w w:val="99"/>
        </w:rPr>
        <w:t> </w:t>
      </w:r>
      <w:r>
        <w:rPr>
          <w:spacing w:val="-1"/>
        </w:rPr>
        <w:t>万元，待该设立事项经银监会审核批准后转注册资本。于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日，经本公司第九届董事会第</w:t>
      </w:r>
      <w:r>
        <w:rPr>
          <w:w w:val="99"/>
        </w:rPr>
        <w:t> </w:t>
      </w:r>
      <w:r>
        <w:rPr>
          <w:w w:val="95"/>
        </w:rPr>
        <w:t>三次会议审议通过了《关于公司追加对云南富银消费金融有限责任公司投资的议案》 </w:t>
      </w:r>
      <w:r>
        <w:rPr>
          <w:spacing w:val="-5"/>
          <w:w w:val="95"/>
        </w:rPr>
        <w:t>，本公司与富滇</w:t>
      </w:r>
      <w:r>
        <w:rPr>
          <w:spacing w:val="44"/>
          <w:w w:val="95"/>
        </w:rPr>
        <w:t> </w:t>
      </w:r>
      <w:r>
        <w:rPr>
          <w:spacing w:val="44"/>
          <w:w w:val="95"/>
        </w:rPr>
      </w:r>
      <w:r>
        <w:rPr>
          <w:spacing w:val="-1"/>
          <w:w w:val="95"/>
        </w:rPr>
        <w:t>银行股份有限公司、广东网金控股股份有限公司及昆明顺城若普商贸有限公司协商一致，拟签署补充</w:t>
      </w:r>
      <w:r>
        <w:rPr>
          <w:spacing w:val="48"/>
          <w:w w:val="95"/>
        </w:rPr>
        <w:t> </w:t>
      </w:r>
      <w:r>
        <w:rPr>
          <w:spacing w:val="48"/>
          <w:w w:val="95"/>
        </w:rPr>
      </w:r>
      <w:r>
        <w:rPr>
          <w:spacing w:val="-2"/>
        </w:rPr>
        <w:t>协议对富银消费金融公司的持股比例进行调整，并相应追加认缴出资额，出资方式均为货币出资，其</w:t>
      </w:r>
    </w:p>
    <w:p>
      <w:pPr>
        <w:spacing w:after="0" w:line="256" w:lineRule="auto"/>
        <w:jc w:val="both"/>
        <w:sectPr>
          <w:pgSz w:w="11910" w:h="16840"/>
          <w:pgMar w:header="747" w:footer="979" w:top="1060" w:bottom="1160" w:left="980" w:right="0"/>
        </w:sectPr>
      </w:pPr>
    </w:p>
    <w:p>
      <w:pPr>
        <w:spacing w:line="240" w:lineRule="auto" w:before="4"/>
        <w:rPr>
          <w:rFonts w:ascii="宋体" w:hAnsi="宋体" w:cs="宋体" w:eastAsia="宋体" w:hint="default"/>
          <w:sz w:val="24"/>
          <w:szCs w:val="24"/>
        </w:rPr>
      </w:pPr>
    </w:p>
    <w:p>
      <w:pPr>
        <w:pStyle w:val="Heading4"/>
        <w:spacing w:line="240" w:lineRule="auto"/>
        <w:ind w:right="0"/>
        <w:jc w:val="left"/>
      </w:pPr>
      <w:r>
        <w:rPr/>
        <w:t>中公司拟追加出资额</w:t>
      </w:r>
      <w:r>
        <w:rPr>
          <w:rFonts w:ascii="宋体" w:hAnsi="宋体" w:cs="宋体" w:eastAsia="宋体" w:hint="default"/>
        </w:rPr>
        <w:t>2,100</w:t>
      </w:r>
      <w:r>
        <w:rPr/>
        <w:t>万元人民币，追加后本公司认缴出资额变更为</w:t>
      </w:r>
      <w:r>
        <w:rPr>
          <w:rFonts w:ascii="宋体" w:hAnsi="宋体" w:cs="宋体" w:eastAsia="宋体" w:hint="default"/>
        </w:rPr>
        <w:t>10,200</w:t>
      </w:r>
      <w:r>
        <w:rPr/>
        <w:t>万元</w:t>
      </w:r>
      <w:r>
        <w:rPr>
          <w:spacing w:val="-66"/>
        </w:rPr>
        <w:t> </w:t>
      </w:r>
      <w:r>
        <w:rPr/>
        <w:t>。</w:t>
      </w:r>
    </w:p>
    <w:p>
      <w:pPr>
        <w:pStyle w:val="Heading4"/>
        <w:spacing w:line="244" w:lineRule="auto" w:before="144"/>
        <w:ind w:right="1010" w:firstLine="439"/>
        <w:jc w:val="left"/>
      </w:pPr>
      <w:r>
        <w:rPr>
          <w:rFonts w:ascii="Times New Roman" w:hAnsi="Times New Roman" w:cs="Times New Roman" w:eastAsia="Times New Roman" w:hint="default"/>
          <w:spacing w:val="-2"/>
        </w:rPr>
        <w:t>C</w:t>
      </w:r>
      <w:r>
        <w:rPr>
          <w:spacing w:val="-2"/>
        </w:rPr>
        <w:t>、根据公司子公司常州远东文化产业有限公司与广州远程教育中心有限公司签订《投资协议》，</w:t>
      </w:r>
      <w:r>
        <w:rPr>
          <w:w w:val="99"/>
        </w:rPr>
        <w:t> </w:t>
      </w:r>
      <w:r>
        <w:rPr/>
        <w:t>远东文化以人民币</w:t>
      </w:r>
      <w:r>
        <w:rPr>
          <w:rFonts w:ascii="Times New Roman" w:hAnsi="Times New Roman" w:cs="Times New Roman" w:eastAsia="Times New Roman" w:hint="default"/>
        </w:rPr>
        <w:t>110,000,000.00</w:t>
      </w:r>
      <w:r>
        <w:rPr/>
        <w:t>元购买广州远程教育中心有限公司持有的广东易教优培教育科技有</w:t>
      </w:r>
      <w:r>
        <w:rPr>
          <w:w w:val="99"/>
        </w:rPr>
        <w:t> </w:t>
      </w:r>
      <w:r>
        <w:rPr/>
        <w:t>限公司</w:t>
      </w:r>
      <w:r>
        <w:rPr>
          <w:rFonts w:ascii="Times New Roman" w:hAnsi="Times New Roman" w:cs="Times New Roman" w:eastAsia="Times New Roman" w:hint="default"/>
        </w:rPr>
        <w:t>35%</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日累计已支付</w:t>
      </w:r>
      <w:r>
        <w:rPr>
          <w:rFonts w:ascii="Times New Roman" w:hAnsi="Times New Roman" w:cs="Times New Roman" w:eastAsia="Times New Roman" w:hint="default"/>
        </w:rPr>
        <w:t>66,000,000.00</w:t>
      </w:r>
      <w:r>
        <w:rPr/>
        <w:t>元，</w:t>
      </w:r>
      <w:r>
        <w:rPr>
          <w:rFonts w:ascii="Times New Roman" w:hAnsi="Times New Roman" w:cs="Times New Roman" w:eastAsia="Times New Roman" w:hint="default"/>
        </w:rPr>
        <w:t>2018</w:t>
      </w:r>
      <w:r>
        <w:rPr/>
        <w:t>年需支付</w:t>
      </w:r>
      <w:r>
        <w:rPr>
          <w:rFonts w:ascii="Times New Roman" w:hAnsi="Times New Roman" w:cs="Times New Roman" w:eastAsia="Times New Roman" w:hint="default"/>
        </w:rPr>
        <w:t>19,000,000.00</w:t>
      </w:r>
      <w:r>
        <w:rPr/>
        <w:t>元、</w:t>
      </w:r>
      <w:r>
        <w:rPr>
          <w:rFonts w:ascii="Times New Roman" w:hAnsi="Times New Roman" w:cs="Times New Roman" w:eastAsia="Times New Roman" w:hint="default"/>
        </w:rPr>
        <w:t>2019</w:t>
      </w:r>
      <w:r>
        <w:rPr>
          <w:rFonts w:ascii="Times New Roman" w:hAnsi="Times New Roman" w:cs="Times New Roman" w:eastAsia="Times New Roman" w:hint="default"/>
          <w:w w:val="99"/>
        </w:rPr>
        <w:t> </w:t>
      </w:r>
      <w:r>
        <w:rPr>
          <w:spacing w:val="-2"/>
        </w:rPr>
        <w:t>年需支付</w:t>
      </w:r>
      <w:r>
        <w:rPr>
          <w:rFonts w:ascii="Times New Roman" w:hAnsi="Times New Roman" w:cs="Times New Roman" w:eastAsia="Times New Roman" w:hint="default"/>
          <w:spacing w:val="-2"/>
        </w:rPr>
        <w:t>15,000,000.00</w:t>
      </w:r>
      <w:r>
        <w:rPr>
          <w:spacing w:val="-2"/>
        </w:rPr>
        <w:t>元、</w:t>
      </w:r>
      <w:r>
        <w:rPr>
          <w:rFonts w:ascii="Times New Roman" w:hAnsi="Times New Roman" w:cs="Times New Roman" w:eastAsia="Times New Roman" w:hint="default"/>
          <w:spacing w:val="-2"/>
        </w:rPr>
        <w:t>2020</w:t>
      </w:r>
      <w:r>
        <w:rPr>
          <w:spacing w:val="-2"/>
        </w:rPr>
        <w:t>年需支付</w:t>
      </w:r>
      <w:r>
        <w:rPr>
          <w:rFonts w:ascii="Times New Roman" w:hAnsi="Times New Roman" w:cs="Times New Roman" w:eastAsia="Times New Roman" w:hint="default"/>
          <w:spacing w:val="-2"/>
        </w:rPr>
        <w:t>5,000,000.00</w:t>
      </w:r>
      <w:r>
        <w:rPr>
          <w:spacing w:val="-2"/>
        </w:rPr>
        <w:t>元、</w:t>
      </w:r>
      <w:r>
        <w:rPr>
          <w:rFonts w:ascii="Times New Roman" w:hAnsi="Times New Roman" w:cs="Times New Roman" w:eastAsia="Times New Roman" w:hint="default"/>
          <w:spacing w:val="-2"/>
        </w:rPr>
        <w:t>2021</w:t>
      </w:r>
      <w:r>
        <w:rPr>
          <w:spacing w:val="-2"/>
        </w:rPr>
        <w:t>年需支付</w:t>
      </w:r>
      <w:r>
        <w:rPr>
          <w:rFonts w:ascii="Times New Roman" w:hAnsi="Times New Roman" w:cs="Times New Roman" w:eastAsia="Times New Roman" w:hint="default"/>
          <w:spacing w:val="-2"/>
        </w:rPr>
        <w:t>5,000,000.00</w:t>
      </w:r>
      <w:r>
        <w:rPr>
          <w:spacing w:val="-2"/>
        </w:rPr>
        <w:t>元。本年应出资额</w:t>
      </w:r>
      <w:r>
        <w:rPr>
          <w:spacing w:val="-92"/>
        </w:rPr>
        <w:t> </w:t>
      </w:r>
      <w:r>
        <w:rPr>
          <w:spacing w:val="-92"/>
        </w:rPr>
      </w:r>
      <w:r>
        <w:rPr>
          <w:rFonts w:ascii="Times New Roman" w:hAnsi="Times New Roman" w:cs="Times New Roman" w:eastAsia="Times New Roman" w:hint="default"/>
        </w:rPr>
        <w:t>19,000,000.00</w:t>
      </w:r>
      <w:r>
        <w:rPr/>
        <w:t>元已于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日支付。</w:t>
      </w:r>
    </w:p>
    <w:p>
      <w:pPr>
        <w:pStyle w:val="Heading4"/>
        <w:spacing w:line="340" w:lineRule="auto" w:before="122"/>
        <w:ind w:left="595" w:right="2652" w:hanging="44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经营租赁承诺</w:t>
      </w:r>
      <w:r>
        <w:rPr>
          <w:w w:val="99"/>
        </w:rPr>
        <w:t> </w:t>
      </w:r>
      <w:r>
        <w:rPr>
          <w:w w:val="95"/>
        </w:rPr>
        <w:t>至资产负债表日止，本公司对外签订的不可撤销的经营租赁合约情况如下：</w:t>
      </w:r>
      <w:r>
        <w:rPr/>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544"/>
        <w:gridCol w:w="2793"/>
        <w:gridCol w:w="2793"/>
      </w:tblGrid>
      <w:tr>
        <w:trPr>
          <w:trHeight w:val="355" w:hRule="exact"/>
        </w:trPr>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793" w:type="dxa"/>
            <w:tcBorders>
              <w:top w:val="single" w:sz="12" w:space="0" w:color="000000"/>
              <w:left w:val="single" w:sz="6" w:space="0" w:color="000000"/>
              <w:bottom w:val="single" w:sz="12" w:space="0" w:color="000000"/>
              <w:right w:val="single" w:sz="6" w:space="0" w:color="000000"/>
            </w:tcBorders>
          </w:tcPr>
          <w:p>
            <w:pPr/>
          </w:p>
        </w:tc>
        <w:tc>
          <w:tcPr>
            <w:tcW w:w="279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7,075,188.00</w:t>
            </w:r>
          </w:p>
        </w:tc>
        <w:tc>
          <w:tcPr>
            <w:tcW w:w="27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6,485,589.00</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7,198,546.80</w:t>
            </w:r>
          </w:p>
        </w:tc>
        <w:tc>
          <w:tcPr>
            <w:tcW w:w="27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7,075,188.00</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3</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7,815,340.80</w:t>
            </w:r>
          </w:p>
        </w:tc>
        <w:tc>
          <w:tcPr>
            <w:tcW w:w="27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7,198,546.80</w:t>
            </w:r>
          </w:p>
        </w:tc>
      </w:tr>
      <w:tr>
        <w:trPr>
          <w:trHeight w:val="353"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6,512,784.00</w:t>
            </w:r>
          </w:p>
        </w:tc>
        <w:tc>
          <w:tcPr>
            <w:tcW w:w="27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14,328,124.80</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28,601,859.60</w:t>
            </w:r>
          </w:p>
        </w:tc>
        <w:tc>
          <w:tcPr>
            <w:tcW w:w="27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35,087,448.60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both"/>
        <w:rPr>
          <w:b w:val="0"/>
          <w:bCs w:val="0"/>
        </w:rPr>
      </w:pPr>
      <w:bookmarkStart w:name="2、 或有事项" w:id="356"/>
      <w:bookmarkEnd w:id="356"/>
      <w:r>
        <w:rPr>
          <w:b w:val="0"/>
          <w:bCs w:val="0"/>
        </w:rPr>
      </w:r>
      <w:r>
        <w:rPr>
          <w:rFonts w:ascii="Times New Roman" w:hAnsi="Times New Roman" w:cs="Times New Roman" w:eastAsia="Times New Roman" w:hint="default"/>
        </w:rPr>
        <w:t>2</w:t>
      </w:r>
      <w:r>
        <w:rPr/>
        <w:t>、</w:t>
      </w:r>
      <w:r>
        <w:rPr>
          <w:spacing w:val="-4"/>
        </w:rPr>
        <w:t> </w:t>
      </w:r>
      <w:r>
        <w:rPr/>
        <w:t>或有事项</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before="0"/>
        <w:ind w:left="154" w:right="0"/>
        <w:jc w:val="both"/>
      </w:pPr>
      <w:r>
        <w:rPr>
          <w:rFonts w:ascii="宋体" w:hAnsi="宋体" w:cs="宋体" w:eastAsia="宋体" w:hint="default"/>
        </w:rPr>
        <w:t>1.</w:t>
      </w:r>
      <w:r>
        <w:rPr>
          <w:rFonts w:ascii="宋体" w:hAnsi="宋体" w:cs="宋体" w:eastAsia="宋体" w:hint="default"/>
          <w:spacing w:val="25"/>
        </w:rPr>
        <w:t> </w:t>
      </w:r>
      <w:r>
        <w:rPr/>
        <w:t>本集团内部担保</w:t>
      </w:r>
    </w:p>
    <w:p>
      <w:pPr>
        <w:pStyle w:val="Heading4"/>
        <w:spacing w:line="340" w:lineRule="auto" w:before="144"/>
        <w:ind w:left="154" w:right="3902" w:firstLine="800"/>
        <w:jc w:val="left"/>
      </w:pPr>
      <w:r>
        <w:rPr/>
        <w:t>本公司与子公司以及子公司之间的担保事项详见附注十二、</w:t>
      </w:r>
      <w:r>
        <w:rPr>
          <w:rFonts w:ascii="Times New Roman" w:hAnsi="Times New Roman" w:cs="Times New Roman" w:eastAsia="Times New Roman" w:hint="default"/>
        </w:rPr>
        <w:t>5</w:t>
      </w:r>
      <w:r>
        <w:rPr/>
        <w:t>。</w:t>
      </w:r>
      <w:r>
        <w:rPr>
          <w:w w:val="99"/>
        </w:rPr>
        <w:t> </w:t>
      </w:r>
      <w:r>
        <w:rPr>
          <w:rFonts w:ascii="宋体" w:hAnsi="宋体" w:cs="宋体" w:eastAsia="宋体" w:hint="default"/>
        </w:rPr>
        <w:t>1.</w:t>
      </w:r>
      <w:r>
        <w:rPr>
          <w:rFonts w:ascii="宋体" w:hAnsi="宋体" w:cs="宋体" w:eastAsia="宋体" w:hint="default"/>
          <w:spacing w:val="26"/>
        </w:rPr>
        <w:t> </w:t>
      </w:r>
      <w:r>
        <w:rPr/>
        <w:t>股权质押</w:t>
      </w:r>
    </w:p>
    <w:p>
      <w:pPr>
        <w:pStyle w:val="Heading4"/>
        <w:spacing w:line="244" w:lineRule="auto" w:before="51"/>
        <w:ind w:right="1118" w:firstLine="439"/>
        <w:jc w:val="left"/>
      </w:pPr>
      <w:r>
        <w:rPr>
          <w:spacing w:val="-1"/>
        </w:rPr>
        <w:t>截至资产负债表日，公司控制人中廖道训、吴玉瑞、吴春红、柴继军合计持有本公司</w:t>
      </w:r>
      <w:r>
        <w:rPr>
          <w:rFonts w:ascii="Times New Roman" w:hAnsi="Times New Roman" w:cs="Times New Roman" w:eastAsia="Times New Roman" w:hint="default"/>
          <w:spacing w:val="-1"/>
        </w:rPr>
        <w:t>25,166.10</w:t>
      </w:r>
      <w:r>
        <w:rPr>
          <w:spacing w:val="-1"/>
        </w:rPr>
        <w:t>万</w:t>
      </w:r>
      <w:r>
        <w:rPr>
          <w:w w:val="99"/>
        </w:rPr>
        <w:t> </w:t>
      </w:r>
      <w:r>
        <w:rPr/>
        <w:t>股已质押。</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bookmarkStart w:name="十四、资产负债表日后事项" w:id="357"/>
      <w:bookmarkEnd w:id="357"/>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 利润分配情况" w:id="358"/>
      <w:bookmarkEnd w:id="358"/>
      <w:r>
        <w:rPr>
          <w:b w:val="0"/>
          <w:bCs w:val="0"/>
        </w:rPr>
      </w:r>
      <w:r>
        <w:rPr>
          <w:rFonts w:ascii="Times New Roman" w:hAnsi="Times New Roman" w:cs="Times New Roman" w:eastAsia="Times New Roman" w:hint="default"/>
        </w:rPr>
        <w:t>1</w:t>
      </w:r>
      <w:r>
        <w:rPr/>
        <w:t>、</w:t>
      </w:r>
      <w:r>
        <w:rPr>
          <w:spacing w:val="-3"/>
        </w:rPr>
        <w:t> </w:t>
      </w:r>
      <w:r>
        <w:rPr/>
        <w:t>利润分配情况</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right="1213"/>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日，本公司第九届董事会召开第四次会议，批准</w:t>
      </w:r>
      <w:r>
        <w:rPr>
          <w:rFonts w:ascii="Times New Roman" w:hAnsi="Times New Roman" w:cs="Times New Roman" w:eastAsia="Times New Roman" w:hint="default"/>
        </w:rPr>
        <w:t>2018</w:t>
      </w:r>
      <w:r>
        <w:rPr/>
        <w:t>年度利润分配预案，按照每</w:t>
      </w:r>
      <w:r>
        <w:rPr>
          <w:rFonts w:ascii="Times New Roman" w:hAnsi="Times New Roman" w:cs="Times New Roman" w:eastAsia="Times New Roman" w:hint="default"/>
        </w:rPr>
        <w:t>10</w:t>
      </w:r>
      <w:r>
        <w:rPr/>
        <w:t>股派现 金</w:t>
      </w:r>
      <w:r>
        <w:rPr>
          <w:rFonts w:ascii="Times New Roman" w:hAnsi="Times New Roman" w:cs="Times New Roman" w:eastAsia="Times New Roman" w:hint="default"/>
        </w:rPr>
        <w:t>0.46</w:t>
      </w:r>
      <w:r>
        <w:rPr/>
        <w:t>元（含税）向全体股东实施利润分配，共计分配利润</w:t>
      </w:r>
      <w:r>
        <w:rPr>
          <w:rFonts w:ascii="Times New Roman" w:hAnsi="Times New Roman" w:cs="Times New Roman" w:eastAsia="Times New Roman" w:hint="default"/>
        </w:rPr>
        <w:t>32,226,562.06</w:t>
      </w:r>
      <w:r>
        <w:rPr/>
        <w:t>元。除此之外，不再进行送股或 资本公积金转增股本。本预案将经股东大会批准后实施。</w:t>
      </w:r>
    </w:p>
    <w:p>
      <w:pPr>
        <w:spacing w:line="240" w:lineRule="auto" w:before="10"/>
        <w:rPr>
          <w:rFonts w:ascii="宋体" w:hAnsi="宋体" w:cs="宋体" w:eastAsia="宋体" w:hint="default"/>
          <w:sz w:val="24"/>
          <w:szCs w:val="24"/>
        </w:rPr>
      </w:pPr>
    </w:p>
    <w:p>
      <w:pPr>
        <w:pStyle w:val="Heading5"/>
        <w:spacing w:line="240" w:lineRule="auto"/>
        <w:ind w:right="0"/>
        <w:jc w:val="both"/>
        <w:rPr>
          <w:b w:val="0"/>
          <w:bCs w:val="0"/>
        </w:rPr>
      </w:pPr>
      <w:bookmarkStart w:name="2、 处置子公司" w:id="359"/>
      <w:bookmarkEnd w:id="359"/>
      <w:r>
        <w:rPr>
          <w:b w:val="0"/>
          <w:bCs w:val="0"/>
        </w:rPr>
      </w:r>
      <w:r>
        <w:rPr>
          <w:rFonts w:ascii="Times New Roman" w:hAnsi="Times New Roman" w:cs="Times New Roman" w:eastAsia="Times New Roman" w:hint="default"/>
        </w:rPr>
        <w:t>2</w:t>
      </w:r>
      <w:r>
        <w:rPr/>
        <w:t>、</w:t>
      </w:r>
      <w:r>
        <w:rPr>
          <w:spacing w:val="-3"/>
        </w:rPr>
        <w:t> </w:t>
      </w:r>
      <w:r>
        <w:rPr/>
        <w:t>处置子公司</w:t>
      </w:r>
      <w:r>
        <w:rPr>
          <w:b w:val="0"/>
          <w:bCs w:val="0"/>
        </w:rPr>
      </w:r>
    </w:p>
    <w:p>
      <w:pPr>
        <w:spacing w:line="240" w:lineRule="auto" w:before="13"/>
        <w:rPr>
          <w:rFonts w:ascii="宋体" w:hAnsi="宋体" w:cs="宋体" w:eastAsia="宋体" w:hint="default"/>
          <w:b/>
          <w:bCs/>
          <w:sz w:val="23"/>
          <w:szCs w:val="23"/>
        </w:rPr>
      </w:pPr>
    </w:p>
    <w:p>
      <w:pPr>
        <w:pStyle w:val="Heading4"/>
        <w:spacing w:line="244" w:lineRule="auto" w:before="0"/>
        <w:ind w:right="0" w:firstLine="439"/>
        <w:jc w:val="left"/>
        <w:rPr>
          <w:rFonts w:ascii="Times New Roman" w:hAnsi="Times New Roman" w:cs="Times New Roman" w:eastAsia="Times New Roman" w:hint="default"/>
        </w:rPr>
      </w:pPr>
      <w:r>
        <w:rPr>
          <w:spacing w:val="-6"/>
          <w:w w:val="99"/>
        </w:rPr>
        <w:t>于</w:t>
      </w:r>
      <w:r>
        <w:rPr>
          <w:rFonts w:ascii="Times New Roman" w:hAnsi="Times New Roman" w:cs="Times New Roman" w:eastAsia="Times New Roman" w:hint="default"/>
          <w:spacing w:val="-6"/>
          <w:w w:val="99"/>
        </w:rPr>
        <w:t>2019</w:t>
      </w:r>
      <w:r>
        <w:rPr>
          <w:spacing w:val="-6"/>
          <w:w w:val="99"/>
        </w:rPr>
        <w:t>年</w:t>
      </w:r>
      <w:r>
        <w:rPr>
          <w:rFonts w:ascii="Times New Roman" w:hAnsi="Times New Roman" w:cs="Times New Roman" w:eastAsia="Times New Roman" w:hint="default"/>
          <w:spacing w:val="-6"/>
          <w:w w:val="99"/>
        </w:rPr>
        <w:t>3</w:t>
      </w:r>
      <w:r>
        <w:rPr>
          <w:spacing w:val="-6"/>
          <w:w w:val="99"/>
        </w:rPr>
        <w:t>月</w:t>
      </w:r>
      <w:r>
        <w:rPr>
          <w:rFonts w:ascii="Times New Roman" w:hAnsi="Times New Roman" w:cs="Times New Roman" w:eastAsia="Times New Roman" w:hint="default"/>
          <w:spacing w:val="-6"/>
          <w:w w:val="99"/>
        </w:rPr>
        <w:t>31</w:t>
      </w:r>
      <w:r>
        <w:rPr>
          <w:spacing w:val="-6"/>
          <w:w w:val="99"/>
        </w:rPr>
        <w:t>日，本公司之子公司汉华易美与天津奇卓文化发展有限公司签订《股权转让协议》，</w:t>
      </w:r>
      <w:r>
        <w:rPr>
          <w:w w:val="99"/>
        </w:rPr>
        <w:t> </w:t>
      </w:r>
      <w:r>
        <w:rPr/>
        <w:t>汉华易美将所持上海卓越形象广告传播有限公司</w:t>
      </w:r>
      <w:r>
        <w:rPr>
          <w:rFonts w:ascii="Times New Roman" w:hAnsi="Times New Roman" w:cs="Times New Roman" w:eastAsia="Times New Roman" w:hint="default"/>
        </w:rPr>
        <w:t>51%</w:t>
      </w:r>
      <w:r>
        <w:rPr/>
        <w:t>的股权作价人民币</w:t>
      </w:r>
      <w:r>
        <w:rPr>
          <w:rFonts w:ascii="Times New Roman" w:hAnsi="Times New Roman" w:cs="Times New Roman" w:eastAsia="Times New Roman" w:hint="default"/>
        </w:rPr>
        <w:t>9,200</w:t>
      </w:r>
      <w:r>
        <w:rPr/>
        <w:t>万元转让给天津奇卓文</w:t>
      </w:r>
      <w:r>
        <w:rPr>
          <w:w w:val="99"/>
        </w:rPr>
        <w:t> </w:t>
      </w:r>
      <w:r>
        <w:rPr>
          <w:spacing w:val="-6"/>
          <w:w w:val="99"/>
        </w:rPr>
        <w:t>化发展有限公司，汉华易美已于</w:t>
      </w:r>
      <w:r>
        <w:rPr>
          <w:rFonts w:ascii="Times New Roman" w:hAnsi="Times New Roman" w:cs="Times New Roman" w:eastAsia="Times New Roman" w:hint="default"/>
          <w:spacing w:val="-6"/>
          <w:w w:val="99"/>
        </w:rPr>
        <w:t>2019</w:t>
      </w:r>
      <w:r>
        <w:rPr>
          <w:spacing w:val="-6"/>
          <w:w w:val="99"/>
        </w:rPr>
        <w:t>年</w:t>
      </w:r>
      <w:r>
        <w:rPr>
          <w:rFonts w:ascii="Times New Roman" w:hAnsi="Times New Roman" w:cs="Times New Roman" w:eastAsia="Times New Roman" w:hint="default"/>
          <w:spacing w:val="-6"/>
          <w:w w:val="99"/>
        </w:rPr>
        <w:t>3</w:t>
      </w:r>
      <w:r>
        <w:rPr>
          <w:spacing w:val="-6"/>
          <w:w w:val="99"/>
        </w:rPr>
        <w:t>月</w:t>
      </w:r>
      <w:r>
        <w:rPr>
          <w:rFonts w:ascii="Times New Roman" w:hAnsi="Times New Roman" w:cs="Times New Roman" w:eastAsia="Times New Roman" w:hint="default"/>
          <w:spacing w:val="-6"/>
          <w:w w:val="99"/>
        </w:rPr>
        <w:t>28</w:t>
      </w:r>
      <w:r>
        <w:rPr>
          <w:spacing w:val="-6"/>
          <w:w w:val="99"/>
        </w:rPr>
        <w:t>日、</w:t>
      </w:r>
      <w:r>
        <w:rPr>
          <w:rFonts w:ascii="Times New Roman" w:hAnsi="Times New Roman" w:cs="Times New Roman" w:eastAsia="Times New Roman" w:hint="default"/>
          <w:spacing w:val="-6"/>
          <w:w w:val="99"/>
        </w:rPr>
        <w:t>3</w:t>
      </w:r>
      <w:r>
        <w:rPr>
          <w:spacing w:val="-6"/>
          <w:w w:val="99"/>
        </w:rPr>
        <w:t>月</w:t>
      </w:r>
      <w:r>
        <w:rPr>
          <w:rFonts w:ascii="Times New Roman" w:hAnsi="Times New Roman" w:cs="Times New Roman" w:eastAsia="Times New Roman" w:hint="default"/>
          <w:spacing w:val="-6"/>
          <w:w w:val="99"/>
        </w:rPr>
        <w:t>29</w:t>
      </w:r>
      <w:r>
        <w:rPr>
          <w:spacing w:val="-6"/>
          <w:w w:val="99"/>
        </w:rPr>
        <w:t>日收到股权转让款共计</w:t>
      </w:r>
      <w:r>
        <w:rPr>
          <w:rFonts w:ascii="Times New Roman" w:hAnsi="Times New Roman" w:cs="Times New Roman" w:eastAsia="Times New Roman" w:hint="default"/>
          <w:spacing w:val="-6"/>
          <w:w w:val="99"/>
        </w:rPr>
        <w:t>4,600</w:t>
      </w:r>
      <w:r>
        <w:rPr>
          <w:spacing w:val="-6"/>
          <w:w w:val="99"/>
        </w:rPr>
        <w:t>万元。该交易于</w:t>
      </w:r>
      <w:r>
        <w:rPr>
          <w:rFonts w:ascii="Times New Roman" w:hAnsi="Times New Roman" w:cs="Times New Roman" w:eastAsia="Times New Roman" w:hint="default"/>
          <w:spacing w:val="-6"/>
          <w:w w:val="99"/>
        </w:rPr>
        <w:t>2019</w:t>
      </w:r>
      <w:r>
        <w:rPr>
          <w:rFonts w:ascii="Times New Roman" w:hAnsi="Times New Roman" w:cs="Times New Roman" w:eastAsia="Times New Roman" w:hint="default"/>
          <w:spacing w:val="-6"/>
        </w:rPr>
      </w:r>
    </w:p>
    <w:p>
      <w:pPr>
        <w:spacing w:after="0" w:line="244"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8"/>
        <w:rPr>
          <w:rFonts w:ascii="Times New Roman" w:hAnsi="Times New Roman" w:cs="Times New Roman" w:eastAsia="Times New Roman" w:hint="default"/>
          <w:sz w:val="27"/>
          <w:szCs w:val="27"/>
        </w:rPr>
      </w:pPr>
    </w:p>
    <w:p>
      <w:pPr>
        <w:pStyle w:val="Heading4"/>
        <w:spacing w:line="240" w:lineRule="auto"/>
        <w:ind w:right="0"/>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日，经本公司总裁办公会</w:t>
      </w:r>
      <w:r>
        <w:rPr>
          <w:rFonts w:ascii="Times New Roman" w:hAnsi="Times New Roman" w:cs="Times New Roman" w:eastAsia="Times New Roman" w:hint="default"/>
        </w:rPr>
        <w:t>2019</w:t>
      </w:r>
      <w:r>
        <w:rPr/>
        <w:t>年第三次会议审议通过。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73"/>
        <w:ind w:right="0"/>
        <w:jc w:val="left"/>
        <w:rPr>
          <w:b w:val="0"/>
          <w:bCs w:val="0"/>
        </w:rPr>
      </w:pPr>
      <w:bookmarkStart w:name="3、 其他" w:id="360"/>
      <w:bookmarkEnd w:id="360"/>
      <w:r>
        <w:rPr>
          <w:b w:val="0"/>
          <w:bCs w:val="0"/>
        </w:rPr>
      </w:r>
      <w:r>
        <w:rPr>
          <w:rFonts w:ascii="Times New Roman" w:hAnsi="Times New Roman" w:cs="Times New Roman" w:eastAsia="Times New Roman" w:hint="default"/>
        </w:rPr>
        <w:t>3</w:t>
      </w:r>
      <w:r>
        <w:rPr/>
        <w:t>、</w:t>
      </w:r>
      <w:r>
        <w:rPr>
          <w:spacing w:val="-3"/>
        </w:rPr>
        <w:t> </w:t>
      </w:r>
      <w:r>
        <w:rPr/>
        <w:t>其他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before="0"/>
        <w:ind w:left="490" w:right="0"/>
        <w:jc w:val="left"/>
      </w:pPr>
      <w:r>
        <w:rPr/>
        <w:t>公司子公司收到天津市互联网信息办公室行政处罚。</w:t>
      </w:r>
    </w:p>
    <w:p>
      <w:pPr>
        <w:pStyle w:val="Heading6"/>
        <w:spacing w:line="264" w:lineRule="auto" w:before="37"/>
        <w:ind w:right="1131" w:firstLine="336"/>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日，经网友举报，公司发现网站（域名为</w:t>
      </w:r>
      <w:hyperlink r:id="rId8">
        <w:r>
          <w:rPr>
            <w:rFonts w:ascii="Times New Roman" w:hAnsi="Times New Roman" w:cs="Times New Roman" w:eastAsia="Times New Roman" w:hint="default"/>
            <w:spacing w:val="-1"/>
          </w:rPr>
          <w:t>www.vcg.com</w:t>
        </w:r>
      </w:hyperlink>
      <w:r>
        <w:rPr>
          <w:spacing w:val="-1"/>
        </w:rPr>
        <w:t>）上发布的多张图片包含敏感有害</w:t>
      </w:r>
      <w:r>
        <w:rPr/>
        <w:t> </w:t>
      </w:r>
      <w:r>
        <w:rPr>
          <w:spacing w:val="-1"/>
        </w:rPr>
        <w:t>信息标注。当天，天津市互联网信息办公室依法约谈公司网站负责人并开始对公司全资子公司汉华易美天</w:t>
      </w:r>
      <w:r>
        <w:rPr>
          <w:spacing w:val="-81"/>
        </w:rPr>
        <w:t> </w:t>
      </w:r>
      <w:r>
        <w:rPr>
          <w:spacing w:val="-81"/>
        </w:rPr>
      </w:r>
      <w:r>
        <w:rPr/>
        <w:t>津进行立案调查，责令公司网站全面彻底整改。公司立即开始整改工作，并主动暂时关闭了网站。</w:t>
      </w:r>
    </w:p>
    <w:p>
      <w:pPr>
        <w:pStyle w:val="Heading6"/>
        <w:spacing w:line="271" w:lineRule="auto" w:before="16"/>
        <w:ind w:right="0" w:firstLine="336"/>
        <w:jc w:val="left"/>
      </w:pPr>
      <w:r>
        <w:rPr/>
        <w:t>经查明，汉华易美天津在通过运营网站从事互联网信息服务过程中，对用户发布的信息未尽到安全管 </w:t>
      </w:r>
      <w:r>
        <w:rPr>
          <w:spacing w:val="-1"/>
        </w:rPr>
        <w:t>理义务，没有及时发现和处置用户发布的法律、行政法规禁止发布或者传输的内容，违反了相关法律法规</w:t>
      </w:r>
      <w:r>
        <w:rPr>
          <w:spacing w:val="-83"/>
        </w:rPr>
        <w:t> </w:t>
      </w:r>
      <w:r>
        <w:rPr>
          <w:spacing w:val="-83"/>
        </w:rPr>
      </w:r>
      <w:r>
        <w:rPr/>
        <w:t>的规定。天津市网信办于</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日决定给予汉华易美天津罚款三十万元的行政处罚。 </w:t>
      </w:r>
      <w:r>
        <w:rPr>
          <w:spacing w:val="-1"/>
        </w:rPr>
        <w:t>公司积极配合天津市网信办进行相关情况调查，接受处罚决定，按期缴纳了罚款并在收到处罚通知当日披</w:t>
      </w:r>
      <w:r>
        <w:rPr>
          <w:spacing w:val="-81"/>
        </w:rPr>
        <w:t> </w:t>
      </w:r>
      <w:r>
        <w:rPr>
          <w:spacing w:val="-81"/>
        </w:rPr>
      </w:r>
      <w:r>
        <w:rPr>
          <w:spacing w:val="-1"/>
        </w:rPr>
        <w:t>露了相关情况。公司正在根据相关法律法规的规定进行彻底整改，进一步加强管理制度建设，提升内容审</w:t>
      </w:r>
      <w:r>
        <w:rPr>
          <w:spacing w:val="-83"/>
        </w:rPr>
        <w:t> </w:t>
      </w:r>
      <w:r>
        <w:rPr>
          <w:spacing w:val="-83"/>
        </w:rPr>
      </w:r>
      <w:r>
        <w:rPr>
          <w:spacing w:val="-1"/>
        </w:rPr>
        <w:t>核的质量，坚决避免类似情况再次发生。目前公司网站仍处于暂时关闭状态，尚不能准确预计整改完成并</w:t>
      </w:r>
      <w:r>
        <w:rPr>
          <w:spacing w:val="-83"/>
        </w:rPr>
        <w:t> </w:t>
      </w:r>
      <w:r>
        <w:rPr>
          <w:spacing w:val="-83"/>
        </w:rPr>
      </w:r>
      <w:r>
        <w:rPr/>
        <w:t>恢复服务的时间，网站恢复服务的具体时间公司将另行公告。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2"/>
        <w:spacing w:line="240" w:lineRule="auto"/>
        <w:ind w:right="0"/>
        <w:jc w:val="left"/>
        <w:rPr>
          <w:b w:val="0"/>
          <w:bCs w:val="0"/>
        </w:rPr>
      </w:pPr>
      <w:bookmarkStart w:name="十五、其他重要事项" w:id="361"/>
      <w:bookmarkEnd w:id="361"/>
      <w:r>
        <w:rPr>
          <w:b w:val="0"/>
          <w:bCs w:val="0"/>
        </w:rPr>
      </w: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 前期差错更正" w:id="362"/>
      <w:bookmarkEnd w:id="362"/>
      <w:r>
        <w:rPr>
          <w:b w:val="0"/>
          <w:bCs w:val="0"/>
        </w:rPr>
      </w:r>
      <w:r>
        <w:rPr>
          <w:rFonts w:ascii="Times New Roman" w:hAnsi="Times New Roman" w:cs="Times New Roman" w:eastAsia="Times New Roman" w:hint="default"/>
        </w:rPr>
        <w:t>1</w:t>
      </w:r>
      <w:r>
        <w:rPr/>
        <w:t>、</w:t>
      </w:r>
      <w:r>
        <w:rPr>
          <w:spacing w:val="-3"/>
        </w:rPr>
        <w:t> </w:t>
      </w:r>
      <w:r>
        <w:rPr/>
        <w:t>前期差错更正</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before="0"/>
        <w:ind w:left="595" w:right="0"/>
        <w:jc w:val="left"/>
      </w:pPr>
      <w:r>
        <w:rPr/>
        <w:t>本报告期，本集团未发生前期会计差错更正事项。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89"/>
        <w:ind w:right="0"/>
        <w:jc w:val="left"/>
        <w:rPr>
          <w:b w:val="0"/>
          <w:bCs w:val="0"/>
        </w:rPr>
      </w:pPr>
      <w:bookmarkStart w:name="2、终止经营" w:id="363"/>
      <w:bookmarkEnd w:id="363"/>
      <w:r>
        <w:rPr>
          <w:b w:val="0"/>
          <w:bCs w:val="0"/>
        </w:rPr>
      </w:r>
      <w:r>
        <w:rPr>
          <w:rFonts w:ascii="Times New Roman" w:hAnsi="Times New Roman" w:cs="Times New Roman" w:eastAsia="Times New Roman" w:hint="default"/>
        </w:rPr>
        <w:t>2</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宝东信息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27,463,847.26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20,489,622.84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6,770,038.54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909,874.29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5,860,164.25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4,277,919.90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亿迅信息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110,640,348.67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79,038,568.34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34,754,192.42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4,381,005.99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30,373,186.43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22,172,426.09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w:t>
            </w:r>
            <w:r>
              <w:rPr>
                <w:rFonts w:ascii="Times New Roman"/>
                <w:spacing w:val="-1"/>
                <w:sz w:val="18"/>
              </w:rPr>
              <w:t> </w:t>
            </w:r>
            <w:r>
              <w:rPr>
                <w:rFonts w:ascii="Times New Roman"/>
                <w:sz w:val="18"/>
              </w:rPr>
              <w:t>China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8,522,241.39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11,652,353.54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-2,843,203.50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-2,843,203.50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-2,046,239.16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Datatool</w:t>
            </w:r>
            <w:r>
              <w:rPr>
                <w:rFonts w:ascii="Times New Roman"/>
                <w:spacing w:val="-3"/>
                <w:sz w:val="18"/>
              </w:rPr>
              <w:t> </w:t>
            </w:r>
            <w:r>
              <w:rPr>
                <w:rFonts w:ascii="Times New Roman"/>
                <w:sz w:val="18"/>
              </w:rPr>
              <w:t>China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851,306.63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1,394,582.82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-832,565.52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-832,565.52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-607,772.83</w:t>
            </w:r>
            <w:r>
              <w:rPr>
                <w:rFonts w:ascii="Times New Roman"/>
                <w:sz w:val="18"/>
              </w:rPr>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34"/>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HongKong</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1,886,289.04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4,247,921.36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-3,140,702.91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-49,069.23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-3,091,633.68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-2,256,892.59</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分部信息" w:id="364"/>
      <w:bookmarkEnd w:id="364"/>
      <w:r>
        <w:rPr>
          <w:b w:val="0"/>
          <w:bCs w:val="0"/>
        </w:rPr>
      </w:r>
      <w:r>
        <w:rPr>
          <w:rFonts w:ascii="Times New Roman" w:hAnsi="Times New Roman" w:cs="Times New Roman" w:eastAsia="Times New Roman" w:hint="default"/>
        </w:rPr>
        <w:t>3</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报告分部的确定依据与会计政策" w:id="365"/>
      <w:bookmarkEnd w:id="36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130" w:firstLine="434"/>
        <w:jc w:val="both"/>
      </w:pPr>
      <w:r>
        <w:rPr/>
        <w:t>本集团以内部组织结构、管理要求、内部报告制度为依据确定经营分部，以经营分部为基础确定报告分部并披露分部 信息。经营分部是指视觉中国内同时满足下列条件的组成部分：</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该组成部分能够在日常活动中产生收入、发生费用；</w:t>
      </w:r>
      <w:r>
        <w:rPr>
          <w:rFonts w:ascii="Times New Roman" w:hAnsi="Times New Roman" w:cs="Times New Roman" w:eastAsia="Times New Roman" w:hint="default"/>
        </w:rPr>
        <w:t>(2) </w:t>
      </w:r>
      <w:r>
        <w:rPr/>
        <w:t>本集团管理层能够定期评价该组成部分的经营成果，以决定向其配置资源、评价其业绩；</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本集团能够取得该组成部分的 </w:t>
      </w:r>
      <w:r>
        <w:rPr>
          <w:spacing w:val="-2"/>
        </w:rPr>
        <w:t>财务状况、经营成果和现金流量等有关会计信息。两个或多个经营分部具有相似的经济特征，并且满足一定条件的，则可合</w:t>
      </w:r>
      <w:r>
        <w:rPr>
          <w:spacing w:val="-66"/>
        </w:rPr>
        <w:t> </w:t>
      </w:r>
      <w:r>
        <w:rPr>
          <w:spacing w:val="-66"/>
        </w:rPr>
      </w:r>
      <w:r>
        <w:rPr/>
        <w:t>并为一个经营分部。</w:t>
      </w:r>
    </w:p>
    <w:p>
      <w:pPr>
        <w:pStyle w:val="BodyText"/>
        <w:spacing w:line="316" w:lineRule="auto" w:before="24"/>
        <w:ind w:right="1132" w:firstLine="506"/>
        <w:jc w:val="both"/>
      </w:pPr>
      <w:r>
        <w:rPr>
          <w:spacing w:val="-2"/>
        </w:rPr>
        <w:t>本集团考虑重要性原则，以经营分部为基础，确定报告分部。视觉中国的报告分部是提供不同产品或服务、或在不同</w:t>
      </w:r>
      <w:r>
        <w:rPr/>
        <w:t> </w:t>
      </w:r>
      <w:r>
        <w:rPr>
          <w:spacing w:val="-2"/>
        </w:rPr>
        <w:t>地区经营的业务单元。由于各种业务或地区需要不同的技术和市场战略，因此，视觉中国分别独立管理各个报告分部的生产</w:t>
      </w:r>
      <w:r>
        <w:rPr>
          <w:spacing w:val="-66"/>
        </w:rPr>
        <w:t> </w:t>
      </w:r>
      <w:r>
        <w:rPr>
          <w:spacing w:val="-66"/>
        </w:rPr>
      </w:r>
      <w:r>
        <w:rPr/>
        <w:t>经营活动，分别评价其经营成果，以决定向其配置资源并评价其业绩。</w:t>
      </w:r>
    </w:p>
    <w:p>
      <w:pPr>
        <w:pStyle w:val="BodyText"/>
        <w:spacing w:line="300" w:lineRule="auto" w:before="19"/>
        <w:ind w:left="516" w:right="1120" w:firstLine="216"/>
        <w:jc w:val="left"/>
      </w:pPr>
      <w:r>
        <w:rPr/>
        <w:t>本集团有</w:t>
      </w:r>
      <w:r>
        <w:rPr>
          <w:rFonts w:ascii="Times New Roman" w:hAnsi="Times New Roman" w:cs="Times New Roman" w:eastAsia="Times New Roman" w:hint="default"/>
        </w:rPr>
        <w:t>2</w:t>
      </w:r>
      <w:r>
        <w:rPr/>
        <w:t>个报告分部，分别为： 互联网传媒：主要经营图片（含版权）及广告创意策划业务。主要涉及公司：华夏视觉、汉华易美、上海卓越、</w:t>
      </w:r>
      <w:r>
        <w:rPr>
          <w:rFonts w:ascii="Times New Roman" w:hAnsi="Times New Roman" w:cs="Times New Roman" w:eastAsia="Times New Roman" w:hint="default"/>
        </w:rPr>
        <w:t>500px </w:t>
      </w:r>
      <w:r>
        <w:rPr/>
        <w:t>旅游及其他</w:t>
      </w:r>
      <w:r>
        <w:rPr>
          <w:rFonts w:ascii="Times New Roman" w:hAnsi="Times New Roman" w:cs="Times New Roman" w:eastAsia="Times New Roman" w:hint="default"/>
        </w:rPr>
        <w:t>:</w:t>
      </w:r>
      <w:r>
        <w:rPr/>
        <w:t>主要旅游项目集成服务及软件信息服务。主要涉及公司</w:t>
      </w:r>
      <w:r>
        <w:rPr>
          <w:rFonts w:ascii="Times New Roman" w:hAnsi="Times New Roman" w:cs="Times New Roman" w:eastAsia="Times New Roman" w:hint="default"/>
        </w:rPr>
        <w:t>:</w:t>
      </w:r>
      <w:r>
        <w:rPr/>
        <w:t>江苏视觉、亿迅资产组、本公司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9"/>
        <w:ind w:right="0"/>
        <w:jc w:val="left"/>
        <w:rPr>
          <w:b w:val="0"/>
          <w:bCs w:val="0"/>
        </w:rPr>
      </w:pPr>
      <w:bookmarkStart w:name="（2） 报告分部的财务信息" w:id="366"/>
      <w:bookmarkEnd w:id="366"/>
      <w:r>
        <w:rPr>
          <w:b w:val="0"/>
          <w:bCs w:val="0"/>
        </w:rPr>
      </w:r>
      <w:r>
        <w:rPr/>
        <w:t>（</w:t>
      </w:r>
      <w:r>
        <w:rPr>
          <w:rFonts w:ascii="Times New Roman" w:hAnsi="Times New Roman" w:cs="Times New Roman" w:eastAsia="Times New Roman" w:hint="default"/>
        </w:rPr>
        <w:t>2</w:t>
      </w:r>
      <w:r>
        <w:rPr/>
        <w:t>）</w:t>
      </w:r>
      <w:r>
        <w:rPr>
          <w:spacing w:val="-4"/>
        </w:rPr>
        <w:t> </w:t>
      </w:r>
      <w:r>
        <w:rPr/>
        <w:t>报告分部的财务信息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826"/>
        <w:gridCol w:w="1825"/>
        <w:gridCol w:w="1826"/>
        <w:gridCol w:w="1827"/>
        <w:gridCol w:w="1826"/>
      </w:tblGrid>
      <w:tr>
        <w:trPr>
          <w:trHeight w:val="355" w:hRule="exact"/>
        </w:trPr>
        <w:tc>
          <w:tcPr>
            <w:tcW w:w="1826" w:type="dxa"/>
            <w:vMerge w:val="restart"/>
            <w:tcBorders>
              <w:top w:val="single" w:sz="6" w:space="0" w:color="000000"/>
              <w:left w:val="single" w:sz="6" w:space="0" w:color="000000"/>
              <w:right w:val="single" w:sz="6" w:space="0" w:color="000000"/>
            </w:tcBorders>
          </w:tcPr>
          <w:p>
            <w:pPr>
              <w:pStyle w:val="TableParagraph"/>
              <w:spacing w:line="240" w:lineRule="auto" w:before="21"/>
              <w:ind w:left="545" w:right="0"/>
              <w:jc w:val="left"/>
              <w:rPr>
                <w:rFonts w:ascii="宋体" w:hAnsi="宋体" w:cs="宋体" w:eastAsia="宋体" w:hint="default"/>
                <w:sz w:val="18"/>
                <w:szCs w:val="18"/>
              </w:rPr>
            </w:pPr>
            <w:r>
              <w:rPr>
                <w:rFonts w:ascii="宋体" w:hAnsi="宋体" w:cs="宋体" w:eastAsia="宋体" w:hint="default"/>
                <w:sz w:val="18"/>
                <w:szCs w:val="18"/>
              </w:rPr>
              <w:t>分部名称</w:t>
            </w:r>
          </w:p>
        </w:tc>
        <w:tc>
          <w:tcPr>
            <w:tcW w:w="730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r>
      <w:tr>
        <w:trPr>
          <w:trHeight w:val="353" w:hRule="exact"/>
        </w:trPr>
        <w:tc>
          <w:tcPr>
            <w:tcW w:w="1826" w:type="dxa"/>
            <w:vMerge/>
            <w:tcBorders>
              <w:left w:val="single" w:sz="6" w:space="0" w:color="000000"/>
              <w:bottom w:val="single" w:sz="12" w:space="0" w:color="000000"/>
              <w:right w:val="single" w:sz="6" w:space="0" w:color="000000"/>
            </w:tcBorders>
          </w:tcPr>
          <w:p>
            <w:pP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2"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2,646,468,959.53</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50" w:right="0"/>
              <w:jc w:val="left"/>
              <w:rPr>
                <w:rFonts w:ascii="Times New Roman" w:hAnsi="Times New Roman" w:cs="Times New Roman" w:eastAsia="Times New Roman" w:hint="default"/>
                <w:sz w:val="18"/>
                <w:szCs w:val="18"/>
              </w:rPr>
            </w:pPr>
            <w:r>
              <w:rPr>
                <w:rFonts w:ascii="Times New Roman"/>
                <w:sz w:val="18"/>
              </w:rPr>
              <w:t>1,627,826,322.17</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820,881,431.10</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260,194,573.51</w:t>
            </w:r>
          </w:p>
        </w:tc>
      </w:tr>
      <w:tr>
        <w:trPr>
          <w:trHeight w:val="352"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75"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4,912,475,589.69</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50" w:right="0"/>
              <w:jc w:val="left"/>
              <w:rPr>
                <w:rFonts w:ascii="Times New Roman" w:hAnsi="Times New Roman" w:cs="Times New Roman" w:eastAsia="Times New Roman" w:hint="default"/>
                <w:sz w:val="18"/>
                <w:szCs w:val="18"/>
              </w:rPr>
            </w:pPr>
            <w:r>
              <w:rPr>
                <w:rFonts w:ascii="Times New Roman"/>
                <w:sz w:val="18"/>
              </w:rPr>
              <w:t>1,311,714,275.87</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166,956,086.33</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88,971,808.12</w:t>
            </w:r>
          </w:p>
        </w:tc>
      </w:tr>
      <w:tr>
        <w:trPr>
          <w:trHeight w:val="353"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88" w:right="0"/>
              <w:jc w:val="left"/>
              <w:rPr>
                <w:rFonts w:ascii="Times New Roman" w:hAnsi="Times New Roman" w:cs="Times New Roman" w:eastAsia="Times New Roman" w:hint="default"/>
                <w:sz w:val="18"/>
                <w:szCs w:val="18"/>
              </w:rPr>
            </w:pPr>
            <w:r>
              <w:rPr>
                <w:rFonts w:ascii="Times New Roman"/>
                <w:sz w:val="18"/>
              </w:rPr>
              <w:t>-3,328,919,865.46</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90" w:right="0"/>
              <w:jc w:val="left"/>
              <w:rPr>
                <w:rFonts w:ascii="Times New Roman" w:hAnsi="Times New Roman" w:cs="Times New Roman" w:eastAsia="Times New Roman" w:hint="default"/>
                <w:sz w:val="18"/>
                <w:szCs w:val="18"/>
              </w:rPr>
            </w:pPr>
            <w:r>
              <w:rPr>
                <w:rFonts w:ascii="Times New Roman"/>
                <w:sz w:val="18"/>
              </w:rPr>
              <w:t>-1,619,251,837.91</w:t>
            </w:r>
          </w:p>
        </w:tc>
        <w:tc>
          <w:tcPr>
            <w:tcW w:w="1827" w:type="dxa"/>
            <w:tcBorders>
              <w:top w:val="single" w:sz="12" w:space="0" w:color="000000"/>
              <w:left w:val="single" w:sz="6" w:space="0" w:color="000000"/>
              <w:bottom w:val="single" w:sz="12" w:space="0" w:color="000000"/>
              <w:right w:val="single" w:sz="6" w:space="0" w:color="000000"/>
            </w:tcBorders>
          </w:tcPr>
          <w:p>
            <w:pPr/>
          </w:p>
        </w:tc>
        <w:tc>
          <w:tcPr>
            <w:tcW w:w="182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4,230,024,683.76</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50" w:right="0"/>
              <w:jc w:val="left"/>
              <w:rPr>
                <w:rFonts w:ascii="Times New Roman" w:hAnsi="Times New Roman" w:cs="Times New Roman" w:eastAsia="Times New Roman" w:hint="default"/>
                <w:sz w:val="18"/>
                <w:szCs w:val="18"/>
              </w:rPr>
            </w:pPr>
            <w:r>
              <w:rPr>
                <w:rFonts w:ascii="Times New Roman"/>
                <w:sz w:val="18"/>
              </w:rPr>
              <w:t>1,320,288,760.13</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987,837,517.43</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349,166,381.63</w:t>
            </w:r>
          </w:p>
        </w:tc>
      </w:tr>
    </w:tbl>
    <w:p>
      <w:pPr>
        <w:spacing w:line="240" w:lineRule="auto" w:before="13"/>
        <w:rPr>
          <w:rFonts w:ascii="宋体" w:hAnsi="宋体" w:cs="宋体" w:eastAsia="宋体" w:hint="default"/>
          <w:b/>
          <w:bCs/>
          <w:sz w:val="4"/>
          <w:szCs w:val="4"/>
        </w:rPr>
      </w:pPr>
    </w:p>
    <w:p>
      <w:pPr>
        <w:pStyle w:val="Heading4"/>
        <w:spacing w:line="240" w:lineRule="auto"/>
        <w:ind w:left="595" w:right="0"/>
        <w:jc w:val="left"/>
      </w:pPr>
      <w:r>
        <w:rPr>
          <w:w w:val="99"/>
        </w:rPr>
        <w:t>续</w:t>
      </w:r>
      <w:r>
        <w:rPr/>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826"/>
        <w:gridCol w:w="1825"/>
        <w:gridCol w:w="1826"/>
        <w:gridCol w:w="1827"/>
        <w:gridCol w:w="1826"/>
      </w:tblGrid>
      <w:tr>
        <w:trPr>
          <w:trHeight w:val="355" w:hRule="exact"/>
        </w:trPr>
        <w:tc>
          <w:tcPr>
            <w:tcW w:w="1826" w:type="dxa"/>
            <w:vMerge w:val="restart"/>
            <w:tcBorders>
              <w:top w:val="single" w:sz="6" w:space="0" w:color="000000"/>
              <w:left w:val="single" w:sz="6" w:space="0" w:color="000000"/>
              <w:right w:val="single" w:sz="6" w:space="0" w:color="000000"/>
            </w:tcBorders>
          </w:tcPr>
          <w:p>
            <w:pPr>
              <w:pStyle w:val="TableParagraph"/>
              <w:spacing w:line="240" w:lineRule="auto" w:before="21"/>
              <w:ind w:left="545" w:right="0"/>
              <w:jc w:val="left"/>
              <w:rPr>
                <w:rFonts w:ascii="宋体" w:hAnsi="宋体" w:cs="宋体" w:eastAsia="宋体" w:hint="default"/>
                <w:sz w:val="18"/>
                <w:szCs w:val="18"/>
              </w:rPr>
            </w:pPr>
            <w:r>
              <w:rPr>
                <w:rFonts w:ascii="宋体" w:hAnsi="宋体" w:cs="宋体" w:eastAsia="宋体" w:hint="default"/>
                <w:sz w:val="18"/>
                <w:szCs w:val="18"/>
              </w:rPr>
              <w:t>分部名称</w:t>
            </w:r>
          </w:p>
        </w:tc>
        <w:tc>
          <w:tcPr>
            <w:tcW w:w="730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353" w:hRule="exact"/>
        </w:trPr>
        <w:tc>
          <w:tcPr>
            <w:tcW w:w="1826" w:type="dxa"/>
            <w:vMerge/>
            <w:tcBorders>
              <w:left w:val="single" w:sz="6" w:space="0" w:color="000000"/>
              <w:bottom w:val="single" w:sz="12" w:space="0" w:color="000000"/>
              <w:right w:val="single" w:sz="6" w:space="0" w:color="000000"/>
            </w:tcBorders>
          </w:tcPr>
          <w:p>
            <w:pP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2"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3,002,481,657.04</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2,230,572,065.98</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652,609,419.01</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202,822,602.63</w:t>
            </w:r>
          </w:p>
        </w:tc>
      </w:tr>
      <w:tr>
        <w:trPr>
          <w:trHeight w:val="352"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4,482,616,269.65</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867,083,299.80</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158,584,142.83</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72,236,676.64</w:t>
            </w:r>
          </w:p>
        </w:tc>
      </w:tr>
      <w:tr>
        <w:trPr>
          <w:trHeight w:val="353"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88" w:right="0"/>
              <w:jc w:val="left"/>
              <w:rPr>
                <w:rFonts w:ascii="Times New Roman" w:hAnsi="Times New Roman" w:cs="Times New Roman" w:eastAsia="Times New Roman" w:hint="default"/>
                <w:sz w:val="18"/>
                <w:szCs w:val="18"/>
              </w:rPr>
            </w:pPr>
            <w:r>
              <w:rPr>
                <w:rFonts w:ascii="Times New Roman"/>
                <w:sz w:val="18"/>
              </w:rPr>
              <w:t>-3,387,777,681.58</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-1,594,854,100.25</w:t>
            </w:r>
          </w:p>
        </w:tc>
        <w:tc>
          <w:tcPr>
            <w:tcW w:w="1827" w:type="dxa"/>
            <w:tcBorders>
              <w:top w:val="single" w:sz="12" w:space="0" w:color="000000"/>
              <w:left w:val="single" w:sz="6" w:space="0" w:color="000000"/>
              <w:bottom w:val="single" w:sz="12" w:space="0" w:color="000000"/>
              <w:right w:val="single" w:sz="6" w:space="0" w:color="000000"/>
            </w:tcBorders>
          </w:tcPr>
          <w:p>
            <w:pPr/>
          </w:p>
        </w:tc>
        <w:tc>
          <w:tcPr>
            <w:tcW w:w="182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4,097,320,245.11</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1,502,801,265.53</w:t>
            </w:r>
          </w:p>
        </w:tc>
        <w:tc>
          <w:tcPr>
            <w:tcW w:w="18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811,193,561.84</w:t>
            </w:r>
          </w:p>
        </w:tc>
        <w:tc>
          <w:tcPr>
            <w:tcW w:w="18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275,059,279.27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4、 政府补助" w:id="367"/>
      <w:bookmarkEnd w:id="367"/>
      <w:r>
        <w:rPr>
          <w:b w:val="0"/>
          <w:bCs w:val="0"/>
        </w:rPr>
      </w:r>
      <w:r>
        <w:rPr>
          <w:rFonts w:ascii="Times New Roman" w:hAnsi="Times New Roman" w:cs="Times New Roman" w:eastAsia="Times New Roman" w:hint="default"/>
        </w:rPr>
        <w:t>4</w:t>
      </w:r>
      <w:r>
        <w:rPr/>
        <w:t>、</w:t>
      </w:r>
      <w:r>
        <w:rPr>
          <w:spacing w:val="-4"/>
        </w:rPr>
        <w:t> </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w:t>
      </w:r>
      <w:r>
        <w:rPr>
          <w:rFonts w:ascii="Times New Roman" w:hAnsi="Times New Roman" w:cs="Times New Roman" w:eastAsia="Times New Roman" w:hint="default"/>
        </w:rPr>
        <w:t>1</w:t>
      </w:r>
      <w:r>
        <w:rPr/>
        <w:t>）与收益相关的政府补助</w:t>
      </w:r>
    </w:p>
    <w:p>
      <w:pPr>
        <w:pStyle w:val="Heading4"/>
        <w:spacing w:line="430" w:lineRule="atLeast" w:before="24"/>
        <w:ind w:left="456" w:right="1118"/>
        <w:jc w:val="left"/>
      </w:pPr>
      <w:r>
        <w:rPr>
          <w:rFonts w:ascii="Times New Roman" w:hAnsi="Times New Roman" w:cs="Times New Roman" w:eastAsia="Times New Roman" w:hint="default"/>
        </w:rPr>
        <w:t>A</w:t>
      </w:r>
      <w:r>
        <w:rPr/>
        <w:t>、用于补偿以后期间的相关成本费用或损失的政府补助详见附注七（四十一）。</w:t>
      </w:r>
      <w:r>
        <w:rPr>
          <w:w w:val="99"/>
        </w:rPr>
        <w:t> </w:t>
      </w:r>
      <w:r>
        <w:rPr>
          <w:rFonts w:ascii="Times New Roman" w:hAnsi="Times New Roman" w:cs="Times New Roman" w:eastAsia="Times New Roman" w:hint="default"/>
        </w:rPr>
        <w:t>B</w:t>
      </w:r>
      <w:r>
        <w:rPr/>
        <w:t>、用于补偿已发生的相关成本费用或损失的政府补助的本期发生额共计</w:t>
      </w:r>
      <w:r>
        <w:rPr>
          <w:rFonts w:ascii="Times New Roman" w:hAnsi="Times New Roman" w:cs="Times New Roman" w:eastAsia="Times New Roman" w:hint="default"/>
        </w:rPr>
        <w:t>10,715,974.42</w:t>
      </w:r>
      <w:r>
        <w:rPr/>
        <w:t>元（上年发</w:t>
      </w:r>
    </w:p>
    <w:p>
      <w:pPr>
        <w:pStyle w:val="Heading4"/>
        <w:spacing w:line="244" w:lineRule="auto" w:before="7"/>
        <w:ind w:right="0"/>
        <w:jc w:val="left"/>
      </w:pPr>
      <w:r>
        <w:rPr>
          <w:spacing w:val="-2"/>
        </w:rPr>
        <w:t>生额共计</w:t>
      </w:r>
      <w:r>
        <w:rPr>
          <w:rFonts w:ascii="Times New Roman" w:hAnsi="Times New Roman" w:cs="Times New Roman" w:eastAsia="Times New Roman" w:hint="default"/>
          <w:spacing w:val="-2"/>
        </w:rPr>
        <w:t>4,360,953.66</w:t>
      </w:r>
      <w:r>
        <w:rPr>
          <w:spacing w:val="-2"/>
        </w:rPr>
        <w:t>元），其中计入其他收益</w:t>
      </w:r>
      <w:r>
        <w:rPr>
          <w:rFonts w:ascii="Times New Roman" w:hAnsi="Times New Roman" w:cs="Times New Roman" w:eastAsia="Times New Roman" w:hint="default"/>
          <w:spacing w:val="-2"/>
        </w:rPr>
        <w:t>10,715,974.42</w:t>
      </w:r>
      <w:r>
        <w:rPr>
          <w:spacing w:val="-2"/>
        </w:rPr>
        <w:t>元（上年发生额共计</w:t>
      </w:r>
      <w:r>
        <w:rPr>
          <w:rFonts w:ascii="Times New Roman" w:hAnsi="Times New Roman" w:cs="Times New Roman" w:eastAsia="Times New Roman" w:hint="default"/>
          <w:spacing w:val="-2"/>
        </w:rPr>
        <w:t>4,360,953.66</w:t>
      </w:r>
      <w:r>
        <w:rPr>
          <w:spacing w:val="-2"/>
        </w:rPr>
        <w:t>元），详</w:t>
      </w:r>
      <w:r>
        <w:rPr>
          <w:spacing w:val="-98"/>
        </w:rPr>
        <w:t> </w:t>
      </w:r>
      <w:r>
        <w:rPr>
          <w:spacing w:val="-98"/>
        </w:rPr>
      </w:r>
      <w:r>
        <w:rPr/>
        <w:t>见附注七（四十一）；无冲减相关成本费用事项。</w:t>
      </w:r>
    </w:p>
    <w:p>
      <w:pPr>
        <w:spacing w:after="0" w:line="244" w:lineRule="auto"/>
        <w:jc w:val="left"/>
        <w:sectPr>
          <w:footerReference w:type="default" r:id="rId22"/>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w:t>
      </w:r>
      <w:r>
        <w:rPr>
          <w:rFonts w:ascii="Times New Roman" w:hAnsi="Times New Roman" w:cs="Times New Roman" w:eastAsia="Times New Roman" w:hint="default"/>
        </w:rPr>
        <w:t>2</w:t>
      </w:r>
      <w:r>
        <w:rPr/>
        <w:t>）与资产相关的政府补助</w:t>
      </w:r>
    </w:p>
    <w:p>
      <w:pPr>
        <w:pStyle w:val="Heading4"/>
        <w:spacing w:line="244" w:lineRule="auto" w:before="149"/>
        <w:ind w:right="1118" w:firstLine="439"/>
        <w:jc w:val="left"/>
      </w:pPr>
      <w:r>
        <w:rPr>
          <w:rFonts w:ascii="Times New Roman" w:hAnsi="Times New Roman" w:cs="Times New Roman" w:eastAsia="Times New Roman" w:hint="default"/>
          <w:w w:val="95"/>
        </w:rPr>
        <w:t>A</w:t>
      </w:r>
      <w:r>
        <w:rPr>
          <w:w w:val="95"/>
        </w:rPr>
        <w:t>、确认为递延收益，并在相关资产使用寿命内按照合理、系统的方法分期计入当期损益的金额</w:t>
      </w:r>
      <w:r>
        <w:rPr>
          <w:spacing w:val="-102"/>
          <w:w w:val="95"/>
        </w:rPr>
        <w:t> </w:t>
      </w:r>
      <w:r>
        <w:rPr/>
        <w:t>合计为</w:t>
      </w:r>
      <w:r>
        <w:rPr>
          <w:rFonts w:ascii="Times New Roman" w:hAnsi="Times New Roman" w:cs="Times New Roman" w:eastAsia="Times New Roman" w:hint="default"/>
        </w:rPr>
        <w:t>0</w:t>
      </w:r>
      <w:r>
        <w:rPr/>
        <w:t>元。</w:t>
      </w:r>
    </w:p>
    <w:p>
      <w:pPr>
        <w:pStyle w:val="Heading4"/>
        <w:spacing w:line="432" w:lineRule="exact" w:before="34"/>
        <w:ind w:left="595" w:right="1126"/>
        <w:jc w:val="left"/>
      </w:pPr>
      <w:r>
        <w:rPr>
          <w:rFonts w:ascii="Times New Roman" w:hAnsi="Times New Roman" w:cs="Times New Roman" w:eastAsia="Times New Roman" w:hint="default"/>
        </w:rPr>
        <w:t>B</w:t>
      </w:r>
      <w:r>
        <w:rPr/>
        <w:t>、冲减相关资产的账面价值的情况</w:t>
      </w:r>
      <w:r>
        <w:rPr>
          <w:w w:val="99"/>
        </w:rPr>
        <w:t> </w:t>
      </w:r>
      <w:r>
        <w:rPr/>
        <w:t>本期收到的与资产相关的政府补助并冲减相关资产账面价值的金额合计为</w:t>
      </w:r>
      <w:r>
        <w:rPr>
          <w:rFonts w:ascii="Times New Roman" w:hAnsi="Times New Roman" w:cs="Times New Roman" w:eastAsia="Times New Roman" w:hint="default"/>
        </w:rPr>
        <w:t>0.00</w:t>
      </w:r>
      <w:r>
        <w:rPr/>
        <w:t>元（上年合计金额</w:t>
      </w:r>
    </w:p>
    <w:p>
      <w:pPr>
        <w:pStyle w:val="Heading4"/>
        <w:spacing w:line="273" w:lineRule="exact" w:before="0"/>
        <w:ind w:right="0"/>
        <w:jc w:val="left"/>
      </w:pPr>
      <w:r>
        <w:rPr/>
        <w:t>为</w:t>
      </w:r>
      <w:r>
        <w:rPr>
          <w:rFonts w:ascii="Times New Roman" w:hAnsi="Times New Roman" w:cs="Times New Roman" w:eastAsia="Times New Roman" w:hint="default"/>
        </w:rPr>
        <w:t>0.00</w:t>
      </w:r>
      <w:r>
        <w:rPr/>
        <w:t>元）。</w:t>
      </w:r>
    </w:p>
    <w:p>
      <w:pPr>
        <w:pStyle w:val="BodyText"/>
        <w:spacing w:line="240" w:lineRule="auto" w:before="161"/>
        <w:ind w:right="0"/>
        <w:jc w:val="left"/>
      </w:pPr>
      <w:r>
        <w:rPr/>
        <w:t>（</w:t>
      </w:r>
      <w:r>
        <w:rPr>
          <w:rFonts w:ascii="Times New Roman" w:hAnsi="Times New Roman" w:cs="Times New Roman" w:eastAsia="Times New Roman" w:hint="default"/>
        </w:rPr>
        <w:t>3</w:t>
      </w:r>
      <w:r>
        <w:rPr/>
        <w:t>）计入当期损益的政府补助金额</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283"/>
        <w:gridCol w:w="2282"/>
        <w:gridCol w:w="2282"/>
        <w:gridCol w:w="2283"/>
      </w:tblGrid>
      <w:tr>
        <w:trPr>
          <w:trHeight w:val="355" w:hRule="exact"/>
        </w:trPr>
        <w:tc>
          <w:tcPr>
            <w:tcW w:w="2283" w:type="dxa"/>
            <w:vMerge w:val="restart"/>
            <w:tcBorders>
              <w:top w:val="single" w:sz="6" w:space="0" w:color="000000"/>
              <w:left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计入当期损益的方式</w:t>
            </w:r>
          </w:p>
        </w:tc>
        <w:tc>
          <w:tcPr>
            <w:tcW w:w="684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352" w:hRule="exact"/>
        </w:trPr>
        <w:tc>
          <w:tcPr>
            <w:tcW w:w="2283" w:type="dxa"/>
            <w:vMerge/>
            <w:tcBorders>
              <w:left w:val="single" w:sz="6" w:space="0" w:color="000000"/>
              <w:bottom w:val="single" w:sz="12" w:space="0" w:color="000000"/>
              <w:right w:val="single" w:sz="6" w:space="0" w:color="000000"/>
            </w:tcBorders>
          </w:tcPr>
          <w:p>
            <w:pPr/>
          </w:p>
        </w:tc>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2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22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计入其他收益</w:t>
            </w:r>
          </w:p>
        </w:tc>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10,715,974.42</w:t>
            </w:r>
          </w:p>
        </w:tc>
        <w:tc>
          <w:tcPr>
            <w:tcW w:w="2282" w:type="dxa"/>
            <w:tcBorders>
              <w:top w:val="single" w:sz="12" w:space="0" w:color="000000"/>
              <w:left w:val="single" w:sz="6" w:space="0" w:color="000000"/>
              <w:bottom w:val="single" w:sz="12" w:space="0" w:color="000000"/>
              <w:right w:val="single" w:sz="6" w:space="0" w:color="000000"/>
            </w:tcBorders>
          </w:tcPr>
          <w:p>
            <w:pPr/>
          </w:p>
        </w:tc>
        <w:tc>
          <w:tcPr>
            <w:tcW w:w="22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10,715,974.42</w:t>
            </w:r>
          </w:p>
        </w:tc>
      </w:tr>
      <w:tr>
        <w:trPr>
          <w:trHeight w:val="352" w:hRule="exact"/>
        </w:trPr>
        <w:tc>
          <w:tcPr>
            <w:tcW w:w="2283" w:type="dxa"/>
            <w:tcBorders>
              <w:top w:val="single" w:sz="12" w:space="0" w:color="000000"/>
              <w:left w:val="single" w:sz="6" w:space="0" w:color="000000"/>
              <w:bottom w:val="single" w:sz="12" w:space="0" w:color="000000"/>
              <w:right w:val="single" w:sz="6" w:space="0" w:color="000000"/>
            </w:tcBorders>
          </w:tcPr>
          <w:p>
            <w:pPr>
              <w:pStyle w:val="TableParagraph"/>
              <w:tabs>
                <w:tab w:pos="472" w:val="left" w:leader="none"/>
              </w:tabs>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10,715,974.42</w:t>
            </w:r>
          </w:p>
        </w:tc>
        <w:tc>
          <w:tcPr>
            <w:tcW w:w="2282" w:type="dxa"/>
            <w:tcBorders>
              <w:top w:val="single" w:sz="12" w:space="0" w:color="000000"/>
              <w:left w:val="single" w:sz="6" w:space="0" w:color="000000"/>
              <w:bottom w:val="single" w:sz="12" w:space="0" w:color="000000"/>
              <w:right w:val="single" w:sz="6" w:space="0" w:color="000000"/>
            </w:tcBorders>
          </w:tcPr>
          <w:p>
            <w:pPr/>
          </w:p>
        </w:tc>
        <w:tc>
          <w:tcPr>
            <w:tcW w:w="22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10,715,974.42</w:t>
            </w:r>
          </w:p>
        </w:tc>
      </w:tr>
    </w:tbl>
    <w:p>
      <w:pPr>
        <w:pStyle w:val="BodyText"/>
        <w:spacing w:line="240" w:lineRule="auto" w:before="10"/>
        <w:ind w:right="0"/>
        <w:jc w:val="left"/>
      </w:pPr>
      <w:r>
        <w:rPr/>
        <w:t>续</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83"/>
        <w:gridCol w:w="2282"/>
        <w:gridCol w:w="2282"/>
        <w:gridCol w:w="2283"/>
      </w:tblGrid>
      <w:tr>
        <w:trPr>
          <w:trHeight w:val="355" w:hRule="exact"/>
        </w:trPr>
        <w:tc>
          <w:tcPr>
            <w:tcW w:w="2283" w:type="dxa"/>
            <w:vMerge w:val="restart"/>
            <w:tcBorders>
              <w:top w:val="single" w:sz="6" w:space="0" w:color="000000"/>
              <w:left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计入当期损益的方式</w:t>
            </w:r>
          </w:p>
        </w:tc>
        <w:tc>
          <w:tcPr>
            <w:tcW w:w="684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2283" w:type="dxa"/>
            <w:vMerge/>
            <w:tcBorders>
              <w:left w:val="single" w:sz="6" w:space="0" w:color="000000"/>
              <w:bottom w:val="single" w:sz="12" w:space="0" w:color="000000"/>
              <w:right w:val="single" w:sz="6" w:space="0" w:color="000000"/>
            </w:tcBorders>
          </w:tcPr>
          <w:p>
            <w:pPr/>
          </w:p>
        </w:tc>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2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22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计入营业外收入</w:t>
            </w:r>
          </w:p>
        </w:tc>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4,360,953.66</w:t>
            </w:r>
          </w:p>
        </w:tc>
        <w:tc>
          <w:tcPr>
            <w:tcW w:w="2282" w:type="dxa"/>
            <w:tcBorders>
              <w:top w:val="single" w:sz="12" w:space="0" w:color="000000"/>
              <w:left w:val="single" w:sz="6" w:space="0" w:color="000000"/>
              <w:bottom w:val="single" w:sz="12" w:space="0" w:color="000000"/>
              <w:right w:val="single" w:sz="6" w:space="0" w:color="000000"/>
            </w:tcBorders>
          </w:tcPr>
          <w:p>
            <w:pPr/>
          </w:p>
        </w:tc>
        <w:tc>
          <w:tcPr>
            <w:tcW w:w="22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4,360,953.66</w:t>
            </w:r>
          </w:p>
        </w:tc>
      </w:tr>
      <w:tr>
        <w:trPr>
          <w:trHeight w:val="352" w:hRule="exact"/>
        </w:trPr>
        <w:tc>
          <w:tcPr>
            <w:tcW w:w="2283" w:type="dxa"/>
            <w:tcBorders>
              <w:top w:val="single" w:sz="12" w:space="0" w:color="000000"/>
              <w:left w:val="single" w:sz="6" w:space="0" w:color="000000"/>
              <w:bottom w:val="single" w:sz="12" w:space="0" w:color="000000"/>
              <w:right w:val="single" w:sz="6" w:space="0" w:color="000000"/>
            </w:tcBorders>
          </w:tcPr>
          <w:p>
            <w:pPr>
              <w:pStyle w:val="TableParagraph"/>
              <w:tabs>
                <w:tab w:pos="472" w:val="left" w:leader="none"/>
              </w:tabs>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4,360,953.66</w:t>
            </w:r>
          </w:p>
        </w:tc>
        <w:tc>
          <w:tcPr>
            <w:tcW w:w="2282" w:type="dxa"/>
            <w:tcBorders>
              <w:top w:val="single" w:sz="12" w:space="0" w:color="000000"/>
              <w:left w:val="single" w:sz="6" w:space="0" w:color="000000"/>
              <w:bottom w:val="single" w:sz="12" w:space="0" w:color="000000"/>
              <w:right w:val="single" w:sz="6" w:space="0" w:color="000000"/>
            </w:tcBorders>
          </w:tcPr>
          <w:p>
            <w:pPr/>
          </w:p>
        </w:tc>
        <w:tc>
          <w:tcPr>
            <w:tcW w:w="22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4,360,953.66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26"/>
        <w:ind w:right="0"/>
        <w:jc w:val="left"/>
        <w:rPr>
          <w:b w:val="0"/>
          <w:bCs w:val="0"/>
        </w:rPr>
      </w:pPr>
      <w:bookmarkStart w:name="十六、母公司财务报表主要项目注释" w:id="368"/>
      <w:bookmarkEnd w:id="368"/>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 w:id="369"/>
      <w:bookmarkEnd w:id="369"/>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8,009,257.39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443,625.00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208,967,807.83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137,460,819.41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550,177,065.22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436,104,444.41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利息" w:id="370"/>
      <w:bookmarkEnd w:id="37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5,425,875.00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443,625.00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2,583,382.39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8,009,257.39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443,625.00</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79" w:header="747" w:top="1060" w:bottom="1160" w:left="980" w:right="0"/>
          <w:pgNumType w:start="201"/>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应收股利" w:id="371"/>
      <w:bookmarkEnd w:id="37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华夏视觉（北京）文化发展有限公司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298,200,000.00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其他应收款" w:id="372"/>
      <w:bookmarkEnd w:id="37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210,917,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969.93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1,950,16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208,967,8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07.83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138,405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,863.04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945,043.6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137,460,81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9.41</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210,917,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969.93</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1,950,16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2.10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208,967,8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07.83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138,405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,863.04</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137,460,81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9.41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1,950,162.10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240" w:lineRule="auto" w:before="2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组合中，采用其他方法计提坏账准备的其他应收款：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305"/>
        <w:gridCol w:w="1303"/>
        <w:gridCol w:w="1305"/>
        <w:gridCol w:w="1306"/>
        <w:gridCol w:w="1302"/>
        <w:gridCol w:w="1304"/>
        <w:gridCol w:w="1306"/>
      </w:tblGrid>
      <w:tr>
        <w:trPr>
          <w:trHeight w:val="355" w:hRule="exact"/>
        </w:trPr>
        <w:tc>
          <w:tcPr>
            <w:tcW w:w="1305"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14"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11"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1305" w:type="dxa"/>
            <w:vMerge/>
            <w:tcBorders>
              <w:left w:val="single" w:sz="6" w:space="0" w:color="000000"/>
              <w:bottom w:val="single" w:sz="12" w:space="0" w:color="000000"/>
              <w:right w:val="single" w:sz="6" w:space="0" w:color="000000"/>
            </w:tcBorders>
          </w:tcPr>
          <w:p>
            <w:pP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3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664" w:hRule="exact"/>
        </w:trPr>
        <w:tc>
          <w:tcPr>
            <w:tcW w:w="130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7"/>
              <w:jc w:val="left"/>
              <w:rPr>
                <w:rFonts w:ascii="宋体" w:hAnsi="宋体" w:cs="宋体" w:eastAsia="宋体" w:hint="default"/>
                <w:sz w:val="18"/>
                <w:szCs w:val="18"/>
              </w:rPr>
            </w:pPr>
            <w:r>
              <w:rPr>
                <w:rFonts w:ascii="宋体" w:hAnsi="宋体" w:cs="宋体" w:eastAsia="宋体" w:hint="default"/>
                <w:sz w:val="18"/>
                <w:szCs w:val="18"/>
              </w:rPr>
              <w:t>关联方及备用金 组合</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198,885,549.93</w:t>
            </w:r>
          </w:p>
        </w:tc>
        <w:tc>
          <w:tcPr>
            <w:tcW w:w="1305"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single" w:sz="6" w:space="0" w:color="000000"/>
            </w:tcBorders>
          </w:tcPr>
          <w:p>
            <w:pPr/>
          </w:p>
        </w:tc>
        <w:tc>
          <w:tcPr>
            <w:tcW w:w="13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126,397,138.04</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198,885,549.93</w:t>
            </w:r>
          </w:p>
        </w:tc>
        <w:tc>
          <w:tcPr>
            <w:tcW w:w="1305"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single" w:sz="6" w:space="0" w:color="000000"/>
            </w:tcBorders>
          </w:tcPr>
          <w:p>
            <w:pPr/>
          </w:p>
        </w:tc>
        <w:tc>
          <w:tcPr>
            <w:tcW w:w="13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126,397,138.04</w:t>
            </w:r>
          </w:p>
        </w:tc>
        <w:tc>
          <w:tcPr>
            <w:tcW w:w="1304"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pStyle w:val="BodyText"/>
        <w:spacing w:line="240" w:lineRule="auto"/>
        <w:ind w:right="-12"/>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2"/>
        <w:jc w:val="left"/>
      </w:pPr>
      <w:r>
        <w:rPr/>
        <w:t>本期计提坏账准备金额</w:t>
      </w:r>
      <w:r>
        <w:rPr>
          <w:spacing w:val="-49"/>
        </w:rPr>
        <w:t> </w:t>
      </w:r>
      <w:r>
        <w:rPr>
          <w:rFonts w:ascii="Times New Roman" w:hAnsi="Times New Roman" w:cs="Times New Roman" w:eastAsia="Times New Roman" w:hint="default"/>
        </w:rPr>
        <w:t>1,005,118.47</w:t>
      </w:r>
      <w:r>
        <w:rPr>
          <w:rFonts w:ascii="Times New Roman" w:hAnsi="Times New Roman" w:cs="Times New Roman" w:eastAsia="Times New Roman" w:hint="default"/>
          <w:spacing w:val="-4"/>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447" w:space="2383"/>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348" w:lineRule="auto" w:before="51"/>
        <w:ind w:right="0"/>
        <w:jc w:val="left"/>
      </w:pPr>
      <w:r>
        <w:rPr/>
        <w:t>其他应收款核销说明： </w:t>
      </w:r>
      <w:r>
        <w:rPr>
          <w:spacing w:val="-1"/>
        </w:rPr>
        <w:t>本报告期实际核销的其他应收账款金额为</w:t>
      </w:r>
      <w:r>
        <w:rPr>
          <w:rFonts w:ascii="Times New Roman" w:hAnsi="Times New Roman" w:cs="Times New Roman" w:eastAsia="Times New Roman" w:hint="default"/>
          <w:spacing w:val="-1"/>
        </w:rPr>
        <w:t>0.00</w:t>
      </w:r>
      <w:r>
        <w:rPr>
          <w:spacing w:val="-1"/>
        </w:rPr>
        <w:t>元</w:t>
      </w:r>
      <w:r>
        <w:rPr>
          <w:spacing w:val="-69"/>
        </w:rPr>
        <w:t>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3889" w:space="494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197,217,319.77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120,927,171.60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1,668,230.16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611,269.57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4,867,421.87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210,917,969.93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138,405,863.04</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华盖创意（天津）视 讯科技有限公司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100,000,000.00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47.41%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常州远东文化产业有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97,214,319.77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洛克互娱智能科技有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常州市新世纪房地产 开发有限公司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拆迁款项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北京英赫世纪置业有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1,414,157.40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210,628,477.17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长期股权投资" w:id="373"/>
      <w:bookmarkEnd w:id="373"/>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2,681,130,000.00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2,681,130,000.00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2,681,130,000.00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2,681,130,000.00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131,735,716.21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131,735,716.21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126,990,125.95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126,990,125.95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2,812,865,716.21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2,812,865,716.21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2,808,120,125.95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2,808,120,125.95</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374"/>
      <w:bookmarkEnd w:id="37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
              <w:jc w:val="left"/>
              <w:rPr>
                <w:rFonts w:ascii="宋体" w:hAnsi="宋体" w:cs="宋体" w:eastAsia="宋体" w:hint="default"/>
                <w:sz w:val="18"/>
                <w:szCs w:val="18"/>
              </w:rPr>
            </w:pPr>
            <w:r>
              <w:rPr>
                <w:rFonts w:ascii="宋体" w:hAnsi="宋体" w:cs="宋体" w:eastAsia="宋体" w:hint="default"/>
                <w:sz w:val="18"/>
                <w:szCs w:val="18"/>
              </w:rPr>
              <w:t>华夏视觉（北京） 文化发展有限公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1,205,560,000.00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1,205,560,000.00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北京汉华易美图 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1,325,570,000.00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1,325,570,000.00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常州远东文化发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2,681,130,000.00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2,681,130,000.00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375"/>
      <w:bookmarkEnd w:id="37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3"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北京华盖 映月影视 文化投资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12,914,13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411,557.3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13,325,68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华融创新 投资股份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114,075,9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8,953,524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-5,875,38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117,154,1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37.26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广东南方 视觉文化 传媒有限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55,891.20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1,255,891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126,990,1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25.95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9,420,973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-5,875,38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131,735,7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126,990,1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25.95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9,420,973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-5,875,38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131,735,7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16.21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营业收入和营业成本" w:id="376"/>
      <w:bookmarkEnd w:id="376"/>
      <w:r>
        <w:rPr>
          <w:b w:val="0"/>
          <w:bCs w:val="0"/>
        </w:rPr>
      </w:r>
      <w:r>
        <w:rPr>
          <w:rFonts w:ascii="Times New Roman" w:hAnsi="Times New Roman" w:cs="Times New Roman" w:eastAsia="Times New Roman" w:hint="default"/>
        </w:rPr>
        <w:t>3</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68,268.32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10,830,416.00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148,207.54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5,364,266.35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1,159,097.58</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10,898,684.32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183,957.54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5,364,266.35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1,159,097.58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投资收益" w:id="377"/>
      <w:bookmarkEnd w:id="377"/>
      <w:r>
        <w:rPr>
          <w:b w:val="0"/>
          <w:bCs w:val="0"/>
        </w:rPr>
      </w:r>
      <w:r>
        <w:rPr>
          <w:rFonts w:ascii="Times New Roman" w:hAnsi="Times New Roman" w:cs="Times New Roman" w:eastAsia="Times New Roman" w:hint="default"/>
        </w:rPr>
        <w:t>4</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298,200,000.00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9,420,973.38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16,248,445.82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675,220.71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-102,691.92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-179,484.50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3,646,900.79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74,138,796.96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318,770,567.32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补充资料" w:id="378"/>
      <w:bookmarkEnd w:id="378"/>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379"/>
      <w:bookmarkEnd w:id="37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1"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36" w:right="0"/>
              <w:jc w:val="left"/>
              <w:rPr>
                <w:rFonts w:ascii="Times New Roman" w:hAnsi="Times New Roman" w:cs="Times New Roman" w:eastAsia="Times New Roman" w:hint="default"/>
                <w:sz w:val="18"/>
                <w:szCs w:val="18"/>
              </w:rPr>
            </w:pPr>
            <w:r>
              <w:rPr>
                <w:rFonts w:ascii="Times New Roman"/>
                <w:sz w:val="18"/>
              </w:rPr>
              <w:t>-16,035,402.13</w:t>
            </w:r>
          </w:p>
        </w:tc>
        <w:tc>
          <w:tcPr>
            <w:tcW w:w="3186"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主要系本期以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日作为处 置亿迅资产组的财务分割日及评估基准 日，确定了该股权处置的交易对价，股 权交割完成日为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日。基</w:t>
            </w:r>
            <w:r>
              <w:rPr>
                <w:rFonts w:ascii="宋体" w:hAnsi="宋体" w:cs="宋体" w:eastAsia="宋体" w:hint="default"/>
                <w:sz w:val="18"/>
                <w:szCs w:val="18"/>
              </w:rPr>
              <w:t> 准日至交割日期间亿迅资产组所实现的 归属于本公司净利润形成了该项投资损 失的主要组成部分。</w:t>
            </w:r>
          </w:p>
        </w:tc>
      </w:tr>
      <w:tr>
        <w:trPr>
          <w:trHeight w:val="392"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941"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675,471.03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-194,575.84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1,023,329.48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139,235.77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-11,957,072.19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0" w:right="1139"/>
        <w:jc w:val="right"/>
      </w:pPr>
      <w:r>
        <w:rPr/>
        <w:pict>
          <v:shape style="position:absolute;margin-left:56.459999pt;margin-top:-20.998325pt;width:479.25pt;height:92.0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6,315,974.42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根据《关于软件产品增值税政策的通知</w:t>
                        </w:r>
                      </w:p>
                      <w:p>
                        <w:pPr>
                          <w:pStyle w:val="TableParagraph"/>
                          <w:spacing w:line="302" w:lineRule="auto" w:before="75"/>
                          <w:ind w:left="22" w:right="22"/>
                          <w:jc w:val="left"/>
                          <w:rPr>
                            <w:rFonts w:ascii="宋体" w:hAnsi="宋体" w:cs="宋体" w:eastAsia="宋体" w:hint="default"/>
                            <w:sz w:val="18"/>
                            <w:szCs w:val="18"/>
                          </w:rPr>
                        </w:pPr>
                        <w:r>
                          <w:rPr>
                            <w:rFonts w:ascii="宋体" w:hAnsi="宋体" w:cs="宋体" w:eastAsia="宋体" w:hint="default"/>
                            <w:spacing w:val="-1"/>
                            <w:sz w:val="18"/>
                            <w:szCs w:val="18"/>
                          </w:rPr>
                          <w:t>（财税</w:t>
                        </w:r>
                        <w:r>
                          <w:rPr>
                            <w:rFonts w:ascii="Times New Roman" w:hAnsi="Times New Roman" w:cs="Times New Roman" w:eastAsia="Times New Roman" w:hint="default"/>
                            <w:spacing w:val="-1"/>
                            <w:sz w:val="18"/>
                            <w:szCs w:val="18"/>
                          </w:rPr>
                          <w:t>[2011]100</w:t>
                        </w:r>
                        <w:r>
                          <w:rPr>
                            <w:rFonts w:ascii="Times New Roman" w:hAnsi="Times New Roman" w:cs="Times New Roman" w:eastAsia="Times New Roman" w:hint="default"/>
                            <w:spacing w:val="7"/>
                            <w:sz w:val="18"/>
                            <w:szCs w:val="18"/>
                          </w:rPr>
                          <w:t> </w:t>
                        </w:r>
                        <w:r>
                          <w:rPr>
                            <w:rFonts w:ascii="宋体" w:hAnsi="宋体" w:cs="宋体" w:eastAsia="宋体" w:hint="default"/>
                            <w:spacing w:val="-17"/>
                            <w:sz w:val="18"/>
                            <w:szCs w:val="18"/>
                          </w:rPr>
                          <w:t>号），对增值税实际税负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6,315,974.42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474" w:right="1122"/>
        <w:jc w:val="left"/>
        <w:rPr>
          <w:b w:val="0"/>
          <w:bCs w:val="0"/>
        </w:rPr>
      </w:pPr>
      <w:bookmarkStart w:name="2、 净资产收益率及每股收益" w:id="380"/>
      <w:bookmarkEnd w:id="380"/>
      <w:r>
        <w:rPr>
          <w:b w:val="0"/>
          <w:bCs w:val="0"/>
        </w:rPr>
      </w:r>
      <w:r>
        <w:rPr>
          <w:rFonts w:ascii="Times New Roman" w:hAnsi="Times New Roman" w:cs="Times New Roman" w:eastAsia="Times New Roman" w:hint="default"/>
        </w:rPr>
        <w:t>2</w:t>
      </w:r>
      <w:r>
        <w:rPr/>
        <w:t>、</w:t>
      </w:r>
      <w:r>
        <w:rPr>
          <w:spacing w:val="-4"/>
        </w:rPr>
        <w:t> </w:t>
      </w:r>
      <w:r>
        <w:rPr/>
        <w:t>净资产收益率及每股收益</w:t>
      </w:r>
      <w:r>
        <w:rPr>
          <w:b w:val="0"/>
          <w:bCs w:val="0"/>
        </w:rPr>
      </w:r>
    </w:p>
    <w:p>
      <w:pPr>
        <w:spacing w:line="240" w:lineRule="auto" w:before="12"/>
        <w:rPr>
          <w:rFonts w:ascii="宋体" w:hAnsi="宋体" w:cs="宋体" w:eastAsia="宋体" w:hint="default"/>
          <w:b/>
          <w:bCs/>
          <w:sz w:val="23"/>
          <w:szCs w:val="23"/>
        </w:rPr>
      </w:pPr>
    </w:p>
    <w:p>
      <w:pPr>
        <w:pStyle w:val="Heading4"/>
        <w:spacing w:line="244" w:lineRule="auto" w:before="0"/>
        <w:ind w:left="476" w:right="1122" w:firstLine="439"/>
        <w:jc w:val="left"/>
      </w:pPr>
      <w:r>
        <w:rPr>
          <w:spacing w:val="-2"/>
        </w:rPr>
        <w:t>根据中国证监会《公开发行证券的公司信息披露编报规则第</w:t>
      </w:r>
      <w:r>
        <w:rPr>
          <w:rFonts w:ascii="Times New Roman" w:hAnsi="Times New Roman" w:cs="Times New Roman" w:eastAsia="Times New Roman" w:hint="default"/>
          <w:spacing w:val="-2"/>
        </w:rPr>
        <w:t>9</w:t>
      </w:r>
      <w:r>
        <w:rPr>
          <w:spacing w:val="-2"/>
        </w:rPr>
        <w:t>号</w:t>
      </w:r>
      <w:r>
        <w:rPr>
          <w:rFonts w:ascii="Times New Roman" w:hAnsi="Times New Roman" w:cs="Times New Roman" w:eastAsia="Times New Roman" w:hint="default"/>
          <w:spacing w:val="-2"/>
        </w:rPr>
        <w:t>--</w:t>
      </w:r>
      <w:r>
        <w:rPr>
          <w:spacing w:val="-2"/>
        </w:rPr>
        <w:t>净资产收益率和每股收益的计算</w:t>
      </w:r>
      <w:r>
        <w:rPr>
          <w:w w:val="99"/>
        </w:rPr>
        <w:t> </w:t>
      </w:r>
      <w:r>
        <w:rPr/>
        <w:t>及披露》（</w:t>
      </w:r>
      <w:r>
        <w:rPr>
          <w:rFonts w:ascii="Times New Roman" w:hAnsi="Times New Roman" w:cs="Times New Roman" w:eastAsia="Times New Roman" w:hint="default"/>
        </w:rPr>
        <w:t>2010</w:t>
      </w:r>
      <w:r>
        <w:rPr/>
        <w:t>年修订）的要求计算净资产收益率、每股收益：</w:t>
      </w:r>
    </w:p>
    <w:p>
      <w:pPr>
        <w:spacing w:line="240" w:lineRule="auto" w:before="2"/>
        <w:rPr>
          <w:rFonts w:ascii="宋体" w:hAnsi="宋体" w:cs="宋体" w:eastAsia="宋体" w:hint="default"/>
          <w:sz w:val="11"/>
          <w:szCs w:val="11"/>
        </w:rPr>
      </w:pPr>
    </w:p>
    <w:tbl>
      <w:tblPr>
        <w:tblW w:w="0" w:type="auto"/>
        <w:jc w:val="left"/>
        <w:tblInd w:w="466" w:type="dxa"/>
        <w:tblLayout w:type="fixed"/>
        <w:tblCellMar>
          <w:top w:w="0" w:type="dxa"/>
          <w:left w:w="0" w:type="dxa"/>
          <w:bottom w:w="0" w:type="dxa"/>
          <w:right w:w="0" w:type="dxa"/>
        </w:tblCellMar>
        <w:tblLook w:val="01E0"/>
      </w:tblPr>
      <w:tblGrid>
        <w:gridCol w:w="3113"/>
        <w:gridCol w:w="2015"/>
        <w:gridCol w:w="2016"/>
        <w:gridCol w:w="2015"/>
      </w:tblGrid>
      <w:tr>
        <w:trPr>
          <w:trHeight w:val="355" w:hRule="exact"/>
        </w:trPr>
        <w:tc>
          <w:tcPr>
            <w:tcW w:w="3113"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15"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403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3" w:hRule="exact"/>
        </w:trPr>
        <w:tc>
          <w:tcPr>
            <w:tcW w:w="3113" w:type="dxa"/>
            <w:vMerge/>
            <w:tcBorders>
              <w:left w:val="single" w:sz="6" w:space="0" w:color="000000"/>
              <w:bottom w:val="single" w:sz="12" w:space="0" w:color="000000"/>
              <w:right w:val="single" w:sz="6" w:space="0" w:color="000000"/>
            </w:tcBorders>
          </w:tcPr>
          <w:p>
            <w:pPr/>
          </w:p>
        </w:tc>
        <w:tc>
          <w:tcPr>
            <w:tcW w:w="2015" w:type="dxa"/>
            <w:vMerge/>
            <w:tcBorders>
              <w:left w:val="single" w:sz="6" w:space="0" w:color="000000"/>
              <w:bottom w:val="single" w:sz="12" w:space="0" w:color="000000"/>
              <w:right w:val="single" w:sz="6" w:space="0" w:color="000000"/>
            </w:tcBorders>
          </w:tcPr>
          <w:p>
            <w:pP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59"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2" w:hRule="exact"/>
        </w:trPr>
        <w:tc>
          <w:tcPr>
            <w:tcW w:w="31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11.80</w:t>
            </w: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0.4585</w:t>
            </w:r>
          </w:p>
        </w:tc>
        <w:tc>
          <w:tcPr>
            <w:tcW w:w="2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0.4585</w:t>
            </w:r>
          </w:p>
        </w:tc>
      </w:tr>
      <w:tr>
        <w:trPr>
          <w:trHeight w:val="664" w:hRule="exact"/>
        </w:trPr>
        <w:tc>
          <w:tcPr>
            <w:tcW w:w="311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0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12.24</w:t>
            </w:r>
          </w:p>
        </w:tc>
        <w:tc>
          <w:tcPr>
            <w:tcW w:w="2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0.4756</w:t>
            </w:r>
          </w:p>
        </w:tc>
        <w:tc>
          <w:tcPr>
            <w:tcW w:w="2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0.4756</w:t>
            </w:r>
          </w:p>
        </w:tc>
      </w:tr>
    </w:tbl>
    <w:p>
      <w:pPr>
        <w:spacing w:line="240" w:lineRule="auto" w:before="13"/>
        <w:rPr>
          <w:rFonts w:ascii="宋体" w:hAnsi="宋体" w:cs="宋体" w:eastAsia="宋体" w:hint="default"/>
          <w:sz w:val="4"/>
          <w:szCs w:val="4"/>
        </w:rPr>
      </w:pPr>
    </w:p>
    <w:p>
      <w:pPr>
        <w:pStyle w:val="Heading4"/>
        <w:spacing w:line="240" w:lineRule="auto"/>
        <w:ind w:left="474" w:right="1122"/>
        <w:jc w:val="left"/>
      </w:pPr>
      <w:r>
        <w:rPr>
          <w:rFonts w:ascii="宋体" w:hAnsi="宋体" w:cs="宋体" w:eastAsia="宋体" w:hint="default"/>
        </w:rPr>
        <w:t>1.</w:t>
      </w:r>
      <w:r>
        <w:rPr>
          <w:rFonts w:ascii="宋体" w:hAnsi="宋体" w:cs="宋体" w:eastAsia="宋体" w:hint="default"/>
          <w:spacing w:val="24"/>
        </w:rPr>
        <w:t> </w:t>
      </w:r>
      <w:r>
        <w:rPr/>
        <w:t>加权平均净资产收益率</w:t>
      </w:r>
    </w:p>
    <w:p>
      <w:pPr>
        <w:spacing w:line="240" w:lineRule="auto" w:before="10"/>
        <w:rPr>
          <w:rFonts w:ascii="宋体" w:hAnsi="宋体" w:cs="宋体" w:eastAsia="宋体" w:hint="default"/>
          <w:sz w:val="12"/>
          <w:szCs w:val="12"/>
        </w:rPr>
      </w:pPr>
    </w:p>
    <w:tbl>
      <w:tblPr>
        <w:tblW w:w="0" w:type="auto"/>
        <w:jc w:val="left"/>
        <w:tblInd w:w="466" w:type="dxa"/>
        <w:tblLayout w:type="fixed"/>
        <w:tblCellMar>
          <w:top w:w="0" w:type="dxa"/>
          <w:left w:w="0" w:type="dxa"/>
          <w:bottom w:w="0" w:type="dxa"/>
          <w:right w:w="0" w:type="dxa"/>
        </w:tblCellMar>
        <w:tblLook w:val="01E0"/>
      </w:tblPr>
      <w:tblGrid>
        <w:gridCol w:w="5136"/>
        <w:gridCol w:w="1460"/>
        <w:gridCol w:w="2590"/>
      </w:tblGrid>
      <w:tr>
        <w:trPr>
          <w:trHeight w:val="355" w:hRule="exact"/>
        </w:trPr>
        <w:tc>
          <w:tcPr>
            <w:tcW w:w="5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5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53"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392,204,373.80</w:t>
            </w:r>
          </w:p>
        </w:tc>
      </w:tr>
      <w:tr>
        <w:trPr>
          <w:trHeight w:val="352"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2(P)</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321,211,367.56</w:t>
            </w:r>
          </w:p>
        </w:tc>
      </w:tr>
      <w:tr>
        <w:trPr>
          <w:trHeight w:val="352"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-11,957,072.19</w:t>
            </w:r>
          </w:p>
        </w:tc>
      </w:tr>
      <w:tr>
        <w:trPr>
          <w:trHeight w:val="353"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4=2-3(P)</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333,168,439.75</w:t>
            </w:r>
          </w:p>
        </w:tc>
      </w:tr>
      <w:tr>
        <w:trPr>
          <w:trHeight w:val="352"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归属于公司普通股股东的期末净资产</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5(E)</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2,890,114,062.64</w:t>
            </w:r>
          </w:p>
        </w:tc>
      </w:tr>
      <w:tr>
        <w:trPr>
          <w:trHeight w:val="352"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Eo</w:t>
            </w:r>
            <w:r>
              <w:rPr>
                <w:rFonts w:ascii="宋体" w:hAnsi="宋体" w:cs="宋体" w:eastAsia="宋体" w:hint="default"/>
                <w:sz w:val="18"/>
                <w:szCs w:val="18"/>
              </w:rPr>
              <w:t>）</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2,566,412,776.53</w:t>
            </w:r>
          </w:p>
        </w:tc>
      </w:tr>
      <w:tr>
        <w:trPr>
          <w:trHeight w:val="665"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76"/>
              <w:jc w:val="left"/>
              <w:rPr>
                <w:rFonts w:ascii="宋体" w:hAnsi="宋体" w:cs="宋体" w:eastAsia="宋体" w:hint="default"/>
                <w:sz w:val="18"/>
                <w:szCs w:val="18"/>
              </w:rPr>
            </w:pPr>
            <w:r>
              <w:rPr>
                <w:rFonts w:ascii="宋体" w:hAnsi="宋体" w:cs="宋体" w:eastAsia="宋体" w:hint="default"/>
                <w:sz w:val="18"/>
                <w:szCs w:val="18"/>
              </w:rPr>
              <w:t>报告期发行新股或债转股等新增的、归属于公司普通股股东的净 资产</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7(Ei)</w:t>
            </w:r>
          </w:p>
        </w:tc>
        <w:tc>
          <w:tcPr>
            <w:tcW w:w="2590"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 w:right="77"/>
              <w:jc w:val="left"/>
              <w:rPr>
                <w:rFonts w:ascii="宋体" w:hAnsi="宋体" w:cs="宋体" w:eastAsia="宋体" w:hint="default"/>
                <w:sz w:val="18"/>
                <w:szCs w:val="18"/>
              </w:rPr>
            </w:pPr>
            <w:r>
              <w:rPr>
                <w:rFonts w:ascii="宋体" w:hAnsi="宋体" w:cs="宋体" w:eastAsia="宋体" w:hint="default"/>
                <w:sz w:val="18"/>
                <w:szCs w:val="18"/>
              </w:rPr>
              <w:t>报告期回购或现金分红等减少的、归属于公司普通股股东的净资 产</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8(Ej)</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29,424,252.30</w:t>
            </w:r>
          </w:p>
        </w:tc>
      </w:tr>
      <w:tr>
        <w:trPr>
          <w:trHeight w:val="352"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9(Mo)</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12</w:t>
            </w:r>
          </w:p>
        </w:tc>
      </w:tr>
      <w:tr>
        <w:trPr>
          <w:trHeight w:val="665"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76"/>
              <w:jc w:val="left"/>
              <w:rPr>
                <w:rFonts w:ascii="宋体" w:hAnsi="宋体" w:cs="宋体" w:eastAsia="宋体" w:hint="default"/>
                <w:sz w:val="18"/>
                <w:szCs w:val="18"/>
              </w:rPr>
            </w:pPr>
            <w:r>
              <w:rPr>
                <w:rFonts w:ascii="宋体" w:hAnsi="宋体" w:cs="宋体" w:eastAsia="宋体" w:hint="default"/>
                <w:sz w:val="18"/>
                <w:szCs w:val="18"/>
              </w:rPr>
              <w:t>归属于公司普通股股东的、新增净资产下一月份起至报告期期末 的月份数</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10(Mi)</w:t>
            </w:r>
          </w:p>
        </w:tc>
        <w:tc>
          <w:tcPr>
            <w:tcW w:w="2590"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76"/>
              <w:jc w:val="left"/>
              <w:rPr>
                <w:rFonts w:ascii="宋体" w:hAnsi="宋体" w:cs="宋体" w:eastAsia="宋体" w:hint="default"/>
                <w:sz w:val="18"/>
                <w:szCs w:val="18"/>
              </w:rPr>
            </w:pPr>
            <w:r>
              <w:rPr>
                <w:rFonts w:ascii="宋体" w:hAnsi="宋体" w:cs="宋体" w:eastAsia="宋体" w:hint="default"/>
                <w:sz w:val="18"/>
                <w:szCs w:val="18"/>
              </w:rPr>
              <w:t>归属于公司普通股股东的、减少净资产下一月份起至报告期期末 的月份数</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11(Mj)</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7</w:t>
            </w:r>
          </w:p>
        </w:tc>
      </w:tr>
      <w:tr>
        <w:trPr>
          <w:trHeight w:val="352" w:hRule="exact"/>
        </w:trPr>
        <w:tc>
          <w:tcPr>
            <w:tcW w:w="5136"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其他交易或事项引起的净资产增减变动</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Ek1</w:t>
            </w:r>
            <w:r>
              <w:rPr>
                <w:rFonts w:ascii="宋体" w:hAnsi="宋体" w:cs="宋体" w:eastAsia="宋体" w:hint="default"/>
                <w:sz w:val="18"/>
                <w:szCs w:val="18"/>
              </w:rPr>
              <w:t>）</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18,722,792.37</w:t>
            </w:r>
          </w:p>
        </w:tc>
      </w:tr>
      <w:tr>
        <w:trPr>
          <w:trHeight w:val="353" w:hRule="exact"/>
        </w:trPr>
        <w:tc>
          <w:tcPr>
            <w:tcW w:w="5136" w:type="dxa"/>
            <w:vMerge/>
            <w:tcBorders>
              <w:left w:val="single" w:sz="6" w:space="0" w:color="000000"/>
              <w:bottom w:val="single" w:sz="12" w:space="0" w:color="000000"/>
              <w:right w:val="single" w:sz="6" w:space="0" w:color="000000"/>
            </w:tcBorders>
          </w:tcPr>
          <w:p>
            <w:pP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Ek2</w:t>
            </w:r>
            <w:r>
              <w:rPr>
                <w:rFonts w:ascii="宋体" w:hAnsi="宋体" w:cs="宋体" w:eastAsia="宋体" w:hint="default"/>
                <w:sz w:val="18"/>
                <w:szCs w:val="18"/>
              </w:rPr>
              <w:t>）</w:t>
            </w:r>
          </w:p>
        </w:tc>
        <w:tc>
          <w:tcPr>
            <w:tcW w:w="259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136"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发生其他净资产增减变动下一月份起至报告期期末的月份数</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Mk1</w:t>
            </w:r>
            <w:r>
              <w:rPr>
                <w:rFonts w:ascii="宋体" w:hAnsi="宋体" w:cs="宋体" w:eastAsia="宋体" w:hint="default"/>
                <w:sz w:val="18"/>
                <w:szCs w:val="18"/>
              </w:rPr>
              <w:t>）</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7</w:t>
            </w:r>
          </w:p>
        </w:tc>
      </w:tr>
      <w:tr>
        <w:trPr>
          <w:trHeight w:val="352" w:hRule="exact"/>
        </w:trPr>
        <w:tc>
          <w:tcPr>
            <w:tcW w:w="5136" w:type="dxa"/>
            <w:vMerge/>
            <w:tcBorders>
              <w:left w:val="single" w:sz="6" w:space="0" w:color="000000"/>
              <w:bottom w:val="single" w:sz="12" w:space="0" w:color="000000"/>
              <w:right w:val="single" w:sz="6" w:space="0" w:color="000000"/>
            </w:tcBorders>
          </w:tcPr>
          <w:p>
            <w:pP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Mk2</w:t>
            </w:r>
            <w:r>
              <w:rPr>
                <w:rFonts w:ascii="宋体" w:hAnsi="宋体" w:cs="宋体" w:eastAsia="宋体" w:hint="default"/>
                <w:sz w:val="18"/>
                <w:szCs w:val="18"/>
              </w:rPr>
              <w:t>）</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w:t>
            </w:r>
          </w:p>
        </w:tc>
      </w:tr>
      <w:tr>
        <w:trPr>
          <w:trHeight w:val="1289"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归属于公司普通股股东的净资产加权平均数</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Eo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P÷2+</w:t>
            </w:r>
          </w:p>
          <w:p>
            <w:pPr>
              <w:pStyle w:val="TableParagraph"/>
              <w:spacing w:line="350" w:lineRule="auto" w:before="65"/>
              <w:ind w:left="32" w:right="31" w:hanging="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Ei×Mi÷Mo</w:t>
            </w:r>
            <w:r>
              <w:rPr>
                <w:rFonts w:ascii="宋体" w:hAnsi="宋体" w:cs="宋体" w:eastAsia="宋体" w:hint="default"/>
                <w:sz w:val="18"/>
                <w:szCs w:val="18"/>
              </w:rPr>
              <w:t>－ </w:t>
            </w:r>
            <w:r>
              <w:rPr>
                <w:rFonts w:ascii="Times New Roman" w:hAnsi="Times New Roman" w:cs="Times New Roman" w:eastAsia="Times New Roman" w:hint="default"/>
                <w:sz w:val="18"/>
                <w:szCs w:val="18"/>
              </w:rPr>
              <w:t>Ej×Mj÷Mo±Ek×M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k÷Mo</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2,722,513,553.94</w:t>
            </w:r>
          </w:p>
        </w:tc>
      </w:tr>
      <w:tr>
        <w:trPr>
          <w:trHeight w:val="352"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加权平均净资产收益率（Ⅰ）</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15=2÷14</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11.80%</w:t>
            </w:r>
          </w:p>
        </w:tc>
      </w:tr>
      <w:tr>
        <w:trPr>
          <w:trHeight w:val="352" w:hRule="exact"/>
        </w:trPr>
        <w:tc>
          <w:tcPr>
            <w:tcW w:w="5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加权平均净资产收益率（Ⅱ）</w:t>
            </w:r>
          </w:p>
        </w:tc>
        <w:tc>
          <w:tcPr>
            <w:tcW w:w="1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16=4÷14</w:t>
            </w:r>
          </w:p>
        </w:tc>
        <w:tc>
          <w:tcPr>
            <w:tcW w:w="2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12.24%</w:t>
            </w:r>
          </w:p>
        </w:tc>
      </w:tr>
    </w:tbl>
    <w:p>
      <w:pPr>
        <w:spacing w:line="240" w:lineRule="auto" w:before="0"/>
        <w:rPr>
          <w:rFonts w:ascii="宋体" w:hAnsi="宋体" w:cs="宋体" w:eastAsia="宋体" w:hint="default"/>
          <w:sz w:val="5"/>
          <w:szCs w:val="5"/>
        </w:rPr>
      </w:pPr>
    </w:p>
    <w:p>
      <w:pPr>
        <w:pStyle w:val="Heading4"/>
        <w:spacing w:line="240" w:lineRule="auto"/>
        <w:ind w:left="915" w:right="1122"/>
        <w:jc w:val="left"/>
      </w:pPr>
      <w:r>
        <w:rPr/>
        <w:t>注：</w:t>
      </w:r>
      <w:r>
        <w:rPr>
          <w:rFonts w:ascii="Times New Roman" w:hAnsi="Times New Roman" w:cs="Times New Roman" w:eastAsia="Times New Roman" w:hint="default"/>
        </w:rPr>
        <w:t>12</w:t>
      </w:r>
      <w:r>
        <w:rPr/>
        <w:t>（</w:t>
      </w:r>
      <w:r>
        <w:rPr>
          <w:rFonts w:ascii="Times New Roman" w:hAnsi="Times New Roman" w:cs="Times New Roman" w:eastAsia="Times New Roman" w:hint="default"/>
        </w:rPr>
        <w:t>Ek1</w:t>
      </w:r>
      <w:r>
        <w:rPr/>
        <w:t>）为其他综合收益、</w:t>
      </w:r>
      <w:r>
        <w:rPr>
          <w:rFonts w:ascii="Times New Roman" w:hAnsi="Times New Roman" w:cs="Times New Roman" w:eastAsia="Times New Roman" w:hint="default"/>
        </w:rPr>
        <w:t>12</w:t>
      </w:r>
      <w:r>
        <w:rPr/>
        <w:t>（</w:t>
      </w:r>
      <w:r>
        <w:rPr>
          <w:rFonts w:ascii="Times New Roman" w:hAnsi="Times New Roman" w:cs="Times New Roman" w:eastAsia="Times New Roman" w:hint="default"/>
        </w:rPr>
        <w:t>Ek2</w:t>
      </w:r>
      <w:r>
        <w:rPr/>
        <w:t>）为联营企业权益变动对本集团的影响。</w:t>
      </w:r>
    </w:p>
    <w:p>
      <w:pPr>
        <w:pStyle w:val="Heading4"/>
        <w:spacing w:line="240" w:lineRule="auto" w:before="127"/>
        <w:ind w:left="474" w:right="11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基本每股收益和稀释每股收益的计算过程</w:t>
      </w:r>
    </w:p>
    <w:p>
      <w:pPr>
        <w:pStyle w:val="Heading4"/>
        <w:spacing w:line="240" w:lineRule="auto" w:before="127"/>
        <w:ind w:left="114" w:right="1122"/>
        <w:jc w:val="left"/>
      </w:pPr>
      <w:r>
        <w:rPr>
          <w:rFonts w:ascii="宋体" w:hAnsi="宋体" w:cs="宋体" w:eastAsia="宋体" w:hint="default"/>
        </w:rPr>
        <w:t>1.</w:t>
      </w:r>
      <w:r>
        <w:rPr>
          <w:rFonts w:ascii="宋体" w:hAnsi="宋体" w:cs="宋体" w:eastAsia="宋体" w:hint="default"/>
          <w:spacing w:val="25"/>
        </w:rPr>
        <w:t> </w:t>
      </w:r>
      <w:r>
        <w:rPr/>
        <w:t>（</w:t>
      </w:r>
      <w:r>
        <w:rPr>
          <w:rFonts w:ascii="Times New Roman" w:hAnsi="Times New Roman" w:cs="Times New Roman" w:eastAsia="Times New Roman" w:hint="default"/>
        </w:rPr>
        <w:t>1</w:t>
      </w:r>
      <w:r>
        <w:rPr/>
        <w:t>）基本每股收益</w:t>
      </w:r>
    </w:p>
    <w:p>
      <w:pPr>
        <w:spacing w:after="0" w:line="240" w:lineRule="auto"/>
        <w:jc w:val="left"/>
        <w:sectPr>
          <w:pgSz w:w="11910" w:h="16840"/>
          <w:pgMar w:header="747" w:footer="979" w:top="1060" w:bottom="1160" w:left="66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93"/>
        <w:gridCol w:w="2582"/>
        <w:gridCol w:w="2584"/>
      </w:tblGrid>
      <w:tr>
        <w:trPr>
          <w:trHeight w:val="355" w:hRule="exact"/>
        </w:trPr>
        <w:tc>
          <w:tcPr>
            <w:tcW w:w="3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83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5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83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2" w:hRule="exact"/>
        </w:trPr>
        <w:tc>
          <w:tcPr>
            <w:tcW w:w="3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归属于母公司普通股股东的净利润</w:t>
            </w:r>
          </w:p>
        </w:tc>
        <w:tc>
          <w:tcPr>
            <w:tcW w:w="2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321,211,367.56</w:t>
            </w:r>
          </w:p>
        </w:tc>
        <w:tc>
          <w:tcPr>
            <w:tcW w:w="25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290,820,917.16</w:t>
            </w:r>
          </w:p>
        </w:tc>
      </w:tr>
      <w:tr>
        <w:trPr>
          <w:trHeight w:val="353" w:hRule="exact"/>
        </w:trPr>
        <w:tc>
          <w:tcPr>
            <w:tcW w:w="3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发行在外普通股的加权平均数</w:t>
            </w:r>
          </w:p>
        </w:tc>
        <w:tc>
          <w:tcPr>
            <w:tcW w:w="2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700,577,436.00</w:t>
            </w:r>
          </w:p>
        </w:tc>
        <w:tc>
          <w:tcPr>
            <w:tcW w:w="25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700,577,436.00</w:t>
            </w:r>
          </w:p>
        </w:tc>
      </w:tr>
      <w:tr>
        <w:trPr>
          <w:trHeight w:val="352" w:hRule="exact"/>
        </w:trPr>
        <w:tc>
          <w:tcPr>
            <w:tcW w:w="3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0.4585</w:t>
            </w:r>
          </w:p>
        </w:tc>
        <w:tc>
          <w:tcPr>
            <w:tcW w:w="25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0.4151</w:t>
            </w:r>
          </w:p>
        </w:tc>
      </w:tr>
    </w:tbl>
    <w:p>
      <w:pPr>
        <w:spacing w:line="240" w:lineRule="auto" w:before="13"/>
        <w:rPr>
          <w:rFonts w:ascii="宋体" w:hAnsi="宋体" w:cs="宋体" w:eastAsia="宋体" w:hint="default"/>
          <w:sz w:val="4"/>
          <w:szCs w:val="4"/>
        </w:rPr>
      </w:pPr>
    </w:p>
    <w:p>
      <w:pPr>
        <w:pStyle w:val="Heading4"/>
        <w:spacing w:line="259" w:lineRule="auto"/>
        <w:ind w:right="1118" w:firstLine="439"/>
        <w:jc w:val="left"/>
      </w:pPr>
      <w:r>
        <w:rPr>
          <w:spacing w:val="-2"/>
        </w:rPr>
        <w:t>基本每股收益按照归属于本公司普通股股东的当期净利润，除以发行在外普通股的加权平均数计</w:t>
      </w:r>
      <w:r>
        <w:rPr>
          <w:w w:val="99"/>
        </w:rPr>
        <w:t> </w:t>
      </w:r>
      <w:r>
        <w:rPr/>
        <w:t>算。</w:t>
      </w:r>
    </w:p>
    <w:p>
      <w:pPr>
        <w:pStyle w:val="Heading4"/>
        <w:spacing w:line="240" w:lineRule="auto" w:before="126"/>
        <w:ind w:left="595" w:right="0"/>
        <w:jc w:val="left"/>
      </w:pPr>
      <w:r>
        <w:rPr/>
        <w:t>发行在外普通股的加权平均数的计算过程如下：</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93"/>
        <w:gridCol w:w="2582"/>
        <w:gridCol w:w="2584"/>
      </w:tblGrid>
      <w:tr>
        <w:trPr>
          <w:trHeight w:val="355" w:hRule="exact"/>
        </w:trPr>
        <w:tc>
          <w:tcPr>
            <w:tcW w:w="3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83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5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83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700,577,436.00</w:t>
            </w:r>
          </w:p>
        </w:tc>
        <w:tc>
          <w:tcPr>
            <w:tcW w:w="25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700,577,436.00</w:t>
            </w:r>
          </w:p>
        </w:tc>
      </w:tr>
      <w:tr>
        <w:trPr>
          <w:trHeight w:val="352" w:hRule="exact"/>
        </w:trPr>
        <w:tc>
          <w:tcPr>
            <w:tcW w:w="3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2582" w:type="dxa"/>
            <w:tcBorders>
              <w:top w:val="single" w:sz="12" w:space="0" w:color="000000"/>
              <w:left w:val="single" w:sz="6" w:space="0" w:color="000000"/>
              <w:bottom w:val="single" w:sz="12" w:space="0" w:color="000000"/>
              <w:right w:val="single" w:sz="6" w:space="0" w:color="000000"/>
            </w:tcBorders>
          </w:tcPr>
          <w:p>
            <w:pPr/>
          </w:p>
        </w:tc>
        <w:tc>
          <w:tcPr>
            <w:tcW w:w="258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2582" w:type="dxa"/>
            <w:tcBorders>
              <w:top w:val="single" w:sz="12" w:space="0" w:color="000000"/>
              <w:left w:val="single" w:sz="6" w:space="0" w:color="000000"/>
              <w:bottom w:val="single" w:sz="12" w:space="0" w:color="000000"/>
              <w:right w:val="single" w:sz="6" w:space="0" w:color="000000"/>
            </w:tcBorders>
          </w:tcPr>
          <w:p>
            <w:pPr/>
          </w:p>
        </w:tc>
        <w:tc>
          <w:tcPr>
            <w:tcW w:w="258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发行在外普通股的加权平均数</w:t>
            </w:r>
          </w:p>
        </w:tc>
        <w:tc>
          <w:tcPr>
            <w:tcW w:w="2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700,577,436.00</w:t>
            </w:r>
          </w:p>
        </w:tc>
        <w:tc>
          <w:tcPr>
            <w:tcW w:w="25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700,577,436.00</w:t>
            </w:r>
          </w:p>
        </w:tc>
      </w:tr>
    </w:tbl>
    <w:p>
      <w:pPr>
        <w:spacing w:line="240" w:lineRule="auto" w:before="13"/>
        <w:rPr>
          <w:rFonts w:ascii="宋体" w:hAnsi="宋体" w:cs="宋体" w:eastAsia="宋体" w:hint="default"/>
          <w:sz w:val="4"/>
          <w:szCs w:val="4"/>
        </w:rPr>
      </w:pPr>
    </w:p>
    <w:p>
      <w:pPr>
        <w:pStyle w:val="Heading4"/>
        <w:spacing w:line="340" w:lineRule="auto"/>
        <w:ind w:left="595" w:right="7451" w:hanging="442"/>
        <w:jc w:val="left"/>
      </w:pPr>
      <w:r>
        <w:rPr/>
        <w:t>（</w:t>
      </w:r>
      <w:r>
        <w:rPr>
          <w:rFonts w:ascii="Times New Roman" w:hAnsi="Times New Roman" w:cs="Times New Roman" w:eastAsia="Times New Roman" w:hint="default"/>
        </w:rPr>
        <w:t>2</w:t>
      </w:r>
      <w:r>
        <w:rPr/>
        <w:t>）稀释每股收益</w:t>
      </w:r>
      <w:r>
        <w:rPr>
          <w:w w:val="99"/>
        </w:rPr>
        <w:t> </w:t>
      </w:r>
      <w:r>
        <w:rPr/>
        <w:t>本公司无稀释性潜在普通股。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0" w:id="381"/>
      <w:bookmarkStart w:name="第十二节 备查文件目录" w:id="382"/>
      <w:r>
        <w:rPr>
          <w:b w:val="0"/>
          <w:bCs w:val="0"/>
        </w:rPr>
      </w:r>
      <w:r>
        <w:rPr/>
        <w:t>第十二节</w:t>
      </w:r>
      <w:r>
        <w:rPr>
          <w:spacing w:val="-8"/>
        </w:rPr>
        <w:t> </w:t>
      </w:r>
      <w:r>
        <w:rPr/>
        <w:t>备查文件目录</w:t>
      </w:r>
      <w:bookmarkEnd w:id="381"/>
      <w:r>
        <w:rPr>
          <w:b w:val="0"/>
          <w:bCs w:val="0"/>
        </w:rPr>
      </w:r>
    </w:p>
    <w:p>
      <w:pPr>
        <w:spacing w:line="240" w:lineRule="auto" w:before="7"/>
        <w:rPr>
          <w:rFonts w:ascii="宋体" w:hAnsi="宋体" w:cs="宋体" w:eastAsia="宋体" w:hint="default"/>
          <w:b/>
          <w:bCs/>
          <w:sz w:val="42"/>
          <w:szCs w:val="42"/>
        </w:rPr>
      </w:pPr>
    </w:p>
    <w:p>
      <w:pPr>
        <w:pStyle w:val="BodyText"/>
        <w:spacing w:line="240" w:lineRule="auto" w:before="0"/>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载有公司负责人、主管会计工作负责人、会计机构负责人（会计主管人员）签名并盖章的财务报表。</w:t>
      </w:r>
    </w:p>
    <w:p>
      <w:pPr>
        <w:pStyle w:val="BodyText"/>
        <w:spacing w:line="240" w:lineRule="auto" w:before="6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报告期内在中国证监会指定网站上公开披露过的所有公司文件的正本及公告的原稿。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7248" type="#_x0000_t75" stroked="false">
          <v:imagedata r:id="rId1" o:title=""/>
        </v:shape>
      </w:pict>
    </w:r>
    <w:r>
      <w:rPr/>
      <w:pict>
        <v:shape style="position:absolute;margin-left:533.179993pt;margin-top:795.517944pt;width:6.5pt;height:11pt;mso-position-horizontal-relative:page;mso-position-vertical-relative:page;z-index:-12472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7200" type="#_x0000_t75" stroked="false">
          <v:imagedata r:id="rId1" o:title=""/>
        </v:shape>
      </w:pict>
    </w:r>
    <w:r>
      <w:rPr/>
      <w:pict>
        <v:shape style="position:absolute;margin-left:527.679993pt;margin-top:781.957947pt;width:13pt;height:11pt;mso-position-horizontal-relative:page;mso-position-vertical-relative:page;z-index:-12471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7152" type="#_x0000_t75" stroked="false">
          <v:imagedata r:id="rId1" o:title=""/>
        </v:shape>
      </w:pict>
    </w:r>
    <w:r>
      <w:rPr/>
      <w:pict>
        <v:shape style="position:absolute;margin-left:524.179993pt;margin-top:781.957947pt;width:15.5pt;height:11pt;mso-position-horizontal-relative:page;mso-position-vertical-relative:page;z-index:-124712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7104" type="#_x0000_t75" stroked="false">
          <v:imagedata r:id="rId1" o:title=""/>
        </v:shape>
      </w:pict>
    </w:r>
    <w:r>
      <w:rPr/>
      <w:pict>
        <v:shape style="position:absolute;margin-left:523.179993pt;margin-top:781.957947pt;width:17.5pt;height:11pt;mso-position-horizontal-relative:page;mso-position-vertical-relative:page;z-index:-12470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7056" type="#_x0000_t75" stroked="false">
          <v:imagedata r:id="rId1" o:title=""/>
        </v:shape>
      </w:pict>
    </w:r>
    <w:r>
      <w:rPr/>
      <w:pict>
        <v:shape style="position:absolute;margin-left:524.179993pt;margin-top:781.957947pt;width:15.5pt;height:11pt;mso-position-horizontal-relative:page;mso-position-vertical-relative:page;z-index:-124703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7008" type="#_x0000_t75" stroked="false">
          <v:imagedata r:id="rId1" o:title=""/>
        </v:shape>
      </w:pict>
    </w:r>
    <w:r>
      <w:rPr/>
      <w:pict>
        <v:shape style="position:absolute;margin-left:523.179993pt;margin-top:781.957947pt;width:17.5pt;height:11pt;mso-position-horizontal-relative:page;mso-position-vertical-relative:page;z-index:-12469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247272" type="#_x0000_t202" filled="false" stroked="false">
          <v:textbox inset="0,0,0,0">
            <w:txbxContent>
              <w:p>
                <w:pPr>
                  <w:pStyle w:val="BodyText"/>
                  <w:spacing w:line="214" w:lineRule="exact" w:before="0"/>
                  <w:ind w:left="20" w:right="0"/>
                  <w:jc w:val="left"/>
                </w:pPr>
                <w:r>
                  <w:rPr/>
                  <w:t>视觉（中国）文化发展股份有限公司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206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2"/>
      <w:szCs w:val="22"/>
    </w:rPr>
  </w:style>
  <w:style w:styleId="Heading4" w:type="paragraph">
    <w:name w:val="Heading 4"/>
    <w:basedOn w:val="Normal"/>
    <w:uiPriority w:val="1"/>
    <w:qFormat/>
    <w:pPr>
      <w:spacing w:before="31"/>
      <w:ind w:left="156"/>
      <w:outlineLvl w:val="4"/>
    </w:pPr>
    <w:rPr>
      <w:rFonts w:ascii="宋体" w:hAnsi="宋体" w:eastAsia="宋体"/>
      <w:sz w:val="22"/>
      <w:szCs w:val="22"/>
    </w:rPr>
  </w:style>
  <w:style w:styleId="Heading5" w:type="paragraph">
    <w:name w:val="Heading 5"/>
    <w:basedOn w:val="Normal"/>
    <w:uiPriority w:val="1"/>
    <w:qFormat/>
    <w:pPr>
      <w:ind w:left="154"/>
      <w:outlineLvl w:val="5"/>
    </w:pPr>
    <w:rPr>
      <w:rFonts w:ascii="宋体" w:hAnsi="宋体" w:eastAsia="宋体"/>
      <w:b/>
      <w:bCs/>
      <w:sz w:val="21"/>
      <w:szCs w:val="21"/>
    </w:rPr>
  </w:style>
  <w:style w:styleId="Heading6" w:type="paragraph">
    <w:name w:val="Heading 6"/>
    <w:basedOn w:val="Normal"/>
    <w:uiPriority w:val="1"/>
    <w:qFormat/>
    <w:pPr>
      <w:spacing w:before="7"/>
      <w:ind w:left="154"/>
      <w:outlineLvl w:val="6"/>
    </w:pPr>
    <w:rPr>
      <w:rFonts w:ascii="宋体" w:hAnsi="宋体" w:eastAsia="宋体"/>
      <w:sz w:val="21"/>
      <w:szCs w:val="21"/>
    </w:rPr>
  </w:style>
  <w:style w:styleId="Heading7" w:type="paragraph">
    <w:name w:val="Heading 7"/>
    <w:basedOn w:val="Normal"/>
    <w:uiPriority w:val="1"/>
    <w:qFormat/>
    <w:pPr>
      <w:ind w:left="515"/>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vcg.com/" TargetMode="External"/><Relationship Id="rId9" Type="http://schemas.openxmlformats.org/officeDocument/2006/relationships/hyperlink" Target="mailto:000681@vcg.com"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yperlink" Target="http://www.veer.com/"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image" Target="media/image9.png"/><Relationship Id="rId22" Type="http://schemas.openxmlformats.org/officeDocument/2006/relationships/footer" Target="footer5.xml"/><Relationship Id="rId23"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视觉（中国）文化发展股份有限公司</dc:creator>
  <dc:title>视觉（中国）文化发展股份有限公司2018年年度报告全文</dc:title>
  <dcterms:created xsi:type="dcterms:W3CDTF">2020-05-05T03:19:47Z</dcterms:created>
  <dcterms:modified xsi:type="dcterms:W3CDTF">2020-05-05T03:19:47Z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