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23999pt;margin-top:49.09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1530" w:lineRule="exact"/>
        <w:ind w:left="385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0"/>
          <w:sz w:val="20"/>
          <w:szCs w:val="20"/>
        </w:rPr>
        <w:drawing>
          <wp:inline distT="0" distB="0" distL="0" distR="0">
            <wp:extent cx="1410682" cy="97155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10682" cy="971550"/>
                    </a:xfrm>
                    <a:prstGeom prst="rect">
                      <a:avLst/>
                    </a:prstGeom>
                  </pic:spPr>
                </pic:pic>
              </a:graphicData>
            </a:graphic>
          </wp:inline>
        </w:drawing>
      </w:r>
      <w:r>
        <w:rPr>
          <w:rFonts w:ascii="Times New Roman" w:hAnsi="Times New Roman" w:cs="Times New Roman" w:eastAsia="Times New Roman" w:hint="default"/>
          <w:position w:val="-30"/>
          <w:sz w:val="20"/>
          <w:szCs w:val="20"/>
        </w:rPr>
      </w:r>
    </w:p>
    <w:p>
      <w:pPr>
        <w:spacing w:line="240" w:lineRule="auto" w:before="6"/>
        <w:rPr>
          <w:rFonts w:ascii="Times New Roman" w:hAnsi="Times New Roman" w:cs="Times New Roman" w:eastAsia="Times New Roman" w:hint="default"/>
          <w:sz w:val="13"/>
          <w:szCs w:val="13"/>
        </w:rPr>
      </w:pPr>
    </w:p>
    <w:p>
      <w:pPr>
        <w:spacing w:line="460" w:lineRule="exact" w:before="0"/>
        <w:ind w:left="135" w:right="1118" w:firstLine="0"/>
        <w:jc w:val="center"/>
        <w:rPr>
          <w:rFonts w:ascii="宋体" w:hAnsi="宋体" w:cs="宋体" w:eastAsia="宋体" w:hint="default"/>
          <w:sz w:val="36"/>
          <w:szCs w:val="36"/>
        </w:rPr>
      </w:pPr>
      <w:r>
        <w:rPr>
          <w:rFonts w:ascii="宋体" w:hAnsi="宋体" w:cs="宋体" w:eastAsia="宋体" w:hint="default"/>
          <w:b/>
          <w:bCs/>
          <w:sz w:val="36"/>
          <w:szCs w:val="36"/>
        </w:rPr>
        <w:t>视觉（中国）文化发展股份有限公司</w:t>
      </w:r>
      <w:r>
        <w:rPr>
          <w:rFonts w:ascii="宋体" w:hAnsi="宋体" w:cs="宋体" w:eastAsia="宋体" w:hint="default"/>
          <w:sz w:val="36"/>
          <w:szCs w:val="36"/>
        </w:rPr>
      </w:r>
    </w:p>
    <w:p>
      <w:pPr>
        <w:spacing w:line="240" w:lineRule="auto" w:before="0"/>
        <w:rPr>
          <w:rFonts w:ascii="宋体" w:hAnsi="宋体" w:cs="宋体" w:eastAsia="宋体" w:hint="default"/>
          <w:b/>
          <w:bCs/>
          <w:sz w:val="31"/>
          <w:szCs w:val="31"/>
        </w:rPr>
      </w:pPr>
    </w:p>
    <w:p>
      <w:pPr>
        <w:spacing w:before="0"/>
        <w:ind w:left="135" w:right="111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135" w:right="110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1" w:footer="979" w:top="1060" w:bottom="1160" w:left="980" w:right="0"/>
        </w:sectPr>
      </w:pPr>
    </w:p>
    <w:p>
      <w:pPr>
        <w:spacing w:line="240" w:lineRule="auto" w:before="2"/>
        <w:rPr>
          <w:rFonts w:ascii="宋体" w:hAnsi="宋体" w:cs="宋体" w:eastAsia="宋体" w:hint="default"/>
          <w:b/>
          <w:bCs/>
          <w:sz w:val="3"/>
          <w:szCs w:val="3"/>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75pt;height:.75pt;mso-position-horizontal-relative:char;mso-position-vertical-relative:line" coordorigin="0,0" coordsize="9715,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Heading1"/>
        <w:spacing w:line="240" w:lineRule="auto"/>
        <w:ind w:left="2885" w:right="0"/>
        <w:jc w:val="left"/>
        <w:rPr>
          <w:b w:val="0"/>
          <w:bCs w:val="0"/>
        </w:rPr>
      </w:pPr>
      <w:bookmarkStart w:name="第一节重要提示、目录和释义" w:id="1"/>
      <w:bookmarkEnd w:id="1"/>
      <w:r>
        <w:rPr>
          <w:b w:val="0"/>
          <w:bCs w:val="0"/>
        </w:rPr>
      </w:r>
      <w:bookmarkStart w:name="_bookmark0" w:id="2"/>
      <w:bookmarkEnd w:id="2"/>
      <w:r>
        <w:rPr>
          <w:b w:val="0"/>
          <w:bCs w:val="0"/>
        </w:rPr>
      </w:r>
      <w:r>
        <w:rPr/>
        <w:t>第一节重要提示、目录和释义</w:t>
      </w:r>
      <w:r>
        <w:rPr>
          <w:b w:val="0"/>
          <w:bCs w:val="0"/>
        </w:rPr>
      </w:r>
    </w:p>
    <w:p>
      <w:pPr>
        <w:spacing w:line="240" w:lineRule="auto" w:before="12"/>
        <w:rPr>
          <w:rFonts w:ascii="宋体" w:hAnsi="宋体" w:cs="宋体" w:eastAsia="宋体" w:hint="default"/>
          <w:b/>
          <w:bCs/>
          <w:sz w:val="47"/>
          <w:szCs w:val="47"/>
        </w:rPr>
      </w:pPr>
    </w:p>
    <w:p>
      <w:pPr>
        <w:spacing w:line="408" w:lineRule="auto" w:before="0"/>
        <w:ind w:left="153" w:right="1141"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实、准确、完整，不存在虚假记载、误导性陈述或重大遗漏，并承担个别和连</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2"/>
          <w:sz w:val="28"/>
          <w:szCs w:val="28"/>
        </w:rPr>
        <w:t>带的法律责任。</w:t>
      </w:r>
      <w:r>
        <w:rPr>
          <w:rFonts w:ascii="宋体" w:hAnsi="宋体" w:cs="宋体" w:eastAsia="宋体" w:hint="default"/>
          <w:spacing w:val="2"/>
          <w:sz w:val="28"/>
          <w:szCs w:val="28"/>
        </w:rPr>
      </w:r>
    </w:p>
    <w:p>
      <w:pPr>
        <w:spacing w:line="386" w:lineRule="auto" w:before="162"/>
        <w:ind w:left="153" w:right="1128"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公司负责人廖杰、主管会计工作负责人梁军及会计机构负责人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会计主管人</w:t>
      </w:r>
      <w:r>
        <w:rPr>
          <w:rFonts w:ascii="宋体" w:hAnsi="宋体" w:cs="宋体" w:eastAsia="宋体" w:hint="default"/>
          <w:b/>
          <w:bCs/>
          <w:w w:val="99"/>
          <w:sz w:val="28"/>
          <w:szCs w:val="28"/>
        </w:rPr>
        <w:t> </w:t>
      </w:r>
      <w:r>
        <w:rPr>
          <w:rFonts w:ascii="宋体" w:hAnsi="宋体" w:cs="宋体" w:eastAsia="宋体" w:hint="default"/>
          <w:b/>
          <w:bCs/>
          <w:spacing w:val="2"/>
          <w:sz w:val="28"/>
          <w:szCs w:val="28"/>
        </w:rPr>
        <w:t>员</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卢文菁声明：保证年度报告中财务报告的真实、准确、完整。</w:t>
      </w:r>
      <w:r>
        <w:rPr>
          <w:rFonts w:ascii="宋体" w:hAnsi="宋体" w:cs="宋体" w:eastAsia="宋体" w:hint="default"/>
          <w:spacing w:val="2"/>
          <w:sz w:val="28"/>
          <w:szCs w:val="28"/>
        </w:rPr>
      </w:r>
    </w:p>
    <w:p>
      <w:pPr>
        <w:spacing w:line="475" w:lineRule="auto" w:before="148"/>
        <w:ind w:left="714" w:right="0" w:firstLine="0"/>
        <w:jc w:val="left"/>
        <w:rPr>
          <w:rFonts w:ascii="宋体" w:hAnsi="宋体" w:cs="宋体" w:eastAsia="宋体" w:hint="default"/>
          <w:sz w:val="28"/>
          <w:szCs w:val="28"/>
        </w:rPr>
      </w:pPr>
      <w:r>
        <w:rPr>
          <w:rFonts w:ascii="宋体" w:hAnsi="宋体" w:cs="宋体" w:eastAsia="宋体" w:hint="default"/>
          <w:b/>
          <w:bCs/>
          <w:spacing w:val="2"/>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w w:val="95"/>
          <w:sz w:val="28"/>
          <w:szCs w:val="28"/>
        </w:rPr>
        <w:t>本报告中涉及的未来计划等前瞻性陈述，不构成公司对投资者的实质承诺，</w:t>
      </w:r>
      <w:r>
        <w:rPr>
          <w:rFonts w:ascii="宋体" w:hAnsi="宋体" w:cs="宋体" w:eastAsia="宋体" w:hint="default"/>
          <w:sz w:val="28"/>
          <w:szCs w:val="28"/>
        </w:rPr>
      </w:r>
    </w:p>
    <w:p>
      <w:pPr>
        <w:spacing w:line="350" w:lineRule="exact" w:before="0"/>
        <w:ind w:left="153" w:right="0" w:firstLine="0"/>
        <w:jc w:val="left"/>
        <w:rPr>
          <w:rFonts w:ascii="宋体" w:hAnsi="宋体" w:cs="宋体" w:eastAsia="宋体" w:hint="default"/>
          <w:sz w:val="28"/>
          <w:szCs w:val="28"/>
        </w:rPr>
      </w:pPr>
      <w:r>
        <w:rPr>
          <w:rFonts w:ascii="宋体" w:hAnsi="宋体" w:cs="宋体" w:eastAsia="宋体" w:hint="default"/>
          <w:b/>
          <w:bCs/>
          <w:spacing w:val="4"/>
          <w:sz w:val="28"/>
          <w:szCs w:val="28"/>
        </w:rPr>
        <w:t>投资者及相关人士均应当对此保持足够的风险认识，并且应当理解计划、预测</w:t>
      </w:r>
      <w:r>
        <w:rPr>
          <w:rFonts w:ascii="宋体" w:hAnsi="宋体" w:cs="宋体" w:eastAsia="宋体" w:hint="default"/>
          <w:spacing w:val="4"/>
          <w:sz w:val="28"/>
          <w:szCs w:val="28"/>
        </w:rPr>
      </w:r>
    </w:p>
    <w:p>
      <w:pPr>
        <w:spacing w:line="240" w:lineRule="auto" w:before="9"/>
        <w:rPr>
          <w:rFonts w:ascii="宋体" w:hAnsi="宋体" w:cs="宋体" w:eastAsia="宋体" w:hint="default"/>
          <w:b/>
          <w:bCs/>
          <w:sz w:val="19"/>
          <w:szCs w:val="19"/>
        </w:rPr>
      </w:pPr>
    </w:p>
    <w:p>
      <w:pPr>
        <w:spacing w:line="472" w:lineRule="auto" w:before="0"/>
        <w:ind w:left="714" w:right="0" w:hanging="562"/>
        <w:jc w:val="left"/>
        <w:rPr>
          <w:rFonts w:ascii="Times New Roman" w:hAnsi="Times New Roman" w:cs="Times New Roman" w:eastAsia="Times New Roman" w:hint="default"/>
          <w:sz w:val="28"/>
          <w:szCs w:val="28"/>
        </w:rPr>
      </w:pPr>
      <w:r>
        <w:rPr>
          <w:rFonts w:ascii="宋体" w:hAnsi="宋体" w:cs="宋体" w:eastAsia="宋体" w:hint="default"/>
          <w:b/>
          <w:bCs/>
          <w:spacing w:val="2"/>
          <w:sz w:val="28"/>
          <w:szCs w:val="28"/>
        </w:rPr>
        <w:t>与承诺之间的差异，请投资者注意投资风险。</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公司在本报告第四节</w:t>
      </w:r>
      <w:r>
        <w:rPr>
          <w:rFonts w:ascii="Times New Roman" w:hAnsi="Times New Roman" w:cs="Times New Roman" w:eastAsia="Times New Roman" w:hint="default"/>
          <w:b/>
          <w:bCs/>
          <w:spacing w:val="4"/>
          <w:w w:val="95"/>
          <w:sz w:val="28"/>
          <w:szCs w:val="28"/>
        </w:rPr>
        <w:t>“</w:t>
      </w:r>
      <w:r>
        <w:rPr>
          <w:rFonts w:ascii="宋体" w:hAnsi="宋体" w:cs="宋体" w:eastAsia="宋体" w:hint="default"/>
          <w:b/>
          <w:bCs/>
          <w:spacing w:val="4"/>
          <w:w w:val="95"/>
          <w:sz w:val="28"/>
          <w:szCs w:val="28"/>
        </w:rPr>
        <w:t>经营情况讨论与分析</w:t>
      </w:r>
      <w:r>
        <w:rPr>
          <w:rFonts w:ascii="Times New Roman" w:hAnsi="Times New Roman" w:cs="Times New Roman" w:eastAsia="Times New Roman" w:hint="default"/>
          <w:b/>
          <w:bCs/>
          <w:spacing w:val="4"/>
          <w:w w:val="95"/>
          <w:sz w:val="28"/>
          <w:szCs w:val="28"/>
        </w:rPr>
        <w:t>”</w:t>
      </w:r>
      <w:r>
        <w:rPr>
          <w:rFonts w:ascii="宋体" w:hAnsi="宋体" w:cs="宋体" w:eastAsia="宋体" w:hint="default"/>
          <w:b/>
          <w:bCs/>
          <w:spacing w:val="4"/>
          <w:w w:val="95"/>
          <w:sz w:val="28"/>
          <w:szCs w:val="28"/>
        </w:rPr>
        <w:t>中</w:t>
      </w:r>
      <w:r>
        <w:rPr>
          <w:rFonts w:ascii="Times New Roman" w:hAnsi="Times New Roman" w:cs="Times New Roman" w:eastAsia="Times New Roman" w:hint="default"/>
          <w:b/>
          <w:bCs/>
          <w:spacing w:val="4"/>
          <w:w w:val="95"/>
          <w:sz w:val="28"/>
          <w:szCs w:val="28"/>
        </w:rPr>
        <w:t>“</w:t>
      </w:r>
      <w:r>
        <w:rPr>
          <w:rFonts w:ascii="宋体" w:hAnsi="宋体" w:cs="宋体" w:eastAsia="宋体" w:hint="default"/>
          <w:b/>
          <w:bCs/>
          <w:spacing w:val="4"/>
          <w:w w:val="95"/>
          <w:sz w:val="28"/>
          <w:szCs w:val="28"/>
        </w:rPr>
        <w:t>九、公司未来发展的展望</w:t>
      </w:r>
      <w:r>
        <w:rPr>
          <w:rFonts w:ascii="Times New Roman" w:hAnsi="Times New Roman" w:cs="Times New Roman" w:eastAsia="Times New Roman" w:hint="default"/>
          <w:b/>
          <w:bCs/>
          <w:spacing w:val="4"/>
          <w:w w:val="95"/>
          <w:sz w:val="28"/>
          <w:szCs w:val="28"/>
        </w:rPr>
        <w:t>”</w:t>
      </w:r>
      <w:r>
        <w:rPr>
          <w:rFonts w:ascii="Times New Roman" w:hAnsi="Times New Roman" w:cs="Times New Roman" w:eastAsia="Times New Roman" w:hint="default"/>
          <w:spacing w:val="4"/>
          <w:sz w:val="28"/>
          <w:szCs w:val="28"/>
        </w:rPr>
      </w:r>
    </w:p>
    <w:p>
      <w:pPr>
        <w:spacing w:line="302" w:lineRule="exact" w:before="0"/>
        <w:ind w:left="153" w:right="0" w:firstLine="0"/>
        <w:jc w:val="left"/>
        <w:rPr>
          <w:rFonts w:ascii="宋体" w:hAnsi="宋体" w:cs="宋体" w:eastAsia="宋体" w:hint="default"/>
          <w:sz w:val="28"/>
          <w:szCs w:val="28"/>
        </w:rPr>
      </w:pPr>
      <w:r>
        <w:rPr>
          <w:rFonts w:ascii="宋体" w:hAnsi="宋体" w:cs="宋体" w:eastAsia="宋体" w:hint="default"/>
          <w:b/>
          <w:bCs/>
          <w:spacing w:val="4"/>
          <w:sz w:val="28"/>
          <w:szCs w:val="28"/>
        </w:rPr>
        <w:t>部分，详细描述了公司经营中可能存在的风险及应对措施，敬请投资者关注相</w:t>
      </w:r>
      <w:r>
        <w:rPr>
          <w:rFonts w:ascii="宋体" w:hAnsi="宋体" w:cs="宋体" w:eastAsia="宋体" w:hint="default"/>
          <w:spacing w:val="4"/>
          <w:sz w:val="28"/>
          <w:szCs w:val="28"/>
        </w:rPr>
      </w:r>
    </w:p>
    <w:p>
      <w:pPr>
        <w:spacing w:line="240" w:lineRule="auto" w:before="9"/>
        <w:rPr>
          <w:rFonts w:ascii="宋体" w:hAnsi="宋体" w:cs="宋体" w:eastAsia="宋体" w:hint="default"/>
          <w:b/>
          <w:bCs/>
          <w:sz w:val="19"/>
          <w:szCs w:val="19"/>
        </w:rPr>
      </w:pPr>
    </w:p>
    <w:p>
      <w:pPr>
        <w:spacing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关内容。</w:t>
      </w:r>
      <w:r>
        <w:rPr>
          <w:rFonts w:ascii="宋体" w:hAnsi="宋体" w:cs="宋体" w:eastAsia="宋体" w:hint="default"/>
          <w:sz w:val="28"/>
          <w:szCs w:val="28"/>
        </w:rPr>
      </w:r>
    </w:p>
    <w:p>
      <w:pPr>
        <w:spacing w:line="240" w:lineRule="auto" w:before="6"/>
        <w:rPr>
          <w:rFonts w:ascii="宋体" w:hAnsi="宋体" w:cs="宋体" w:eastAsia="宋体" w:hint="default"/>
          <w:b/>
          <w:bCs/>
          <w:sz w:val="27"/>
          <w:szCs w:val="27"/>
        </w:rPr>
      </w:pPr>
    </w:p>
    <w:p>
      <w:pPr>
        <w:spacing w:before="0"/>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7"/>
          <w:sz w:val="28"/>
          <w:szCs w:val="28"/>
        </w:rPr>
        <w:t> </w:t>
      </w:r>
      <w:r>
        <w:rPr>
          <w:rFonts w:ascii="Times New Roman" w:hAnsi="Times New Roman" w:cs="Times New Roman" w:eastAsia="Times New Roman" w:hint="default"/>
          <w:b/>
          <w:bCs/>
          <w:sz w:val="28"/>
          <w:szCs w:val="28"/>
        </w:rPr>
        <w:t>700,577,436</w:t>
      </w:r>
      <w:r>
        <w:rPr>
          <w:rFonts w:ascii="Times New Roman" w:hAnsi="Times New Roman" w:cs="Times New Roman" w:eastAsia="Times New Roman" w:hint="default"/>
          <w:b/>
          <w:bCs/>
          <w:spacing w:val="-24"/>
          <w:sz w:val="28"/>
          <w:szCs w:val="28"/>
        </w:rPr>
        <w:t> </w:t>
      </w:r>
      <w:r>
        <w:rPr>
          <w:rFonts w:ascii="宋体" w:hAnsi="宋体" w:cs="宋体" w:eastAsia="宋体" w:hint="default"/>
          <w:b/>
          <w:bCs/>
          <w:spacing w:val="-5"/>
          <w:sz w:val="28"/>
          <w:szCs w:val="28"/>
        </w:rPr>
        <w:t>为基数，向</w:t>
      </w:r>
      <w:r>
        <w:rPr>
          <w:rFonts w:ascii="宋体" w:hAnsi="宋体" w:cs="宋体" w:eastAsia="宋体" w:hint="default"/>
          <w:spacing w:val="-5"/>
          <w:sz w:val="28"/>
          <w:szCs w:val="28"/>
        </w:rPr>
      </w:r>
    </w:p>
    <w:p>
      <w:pPr>
        <w:spacing w:line="386" w:lineRule="auto" w:before="236"/>
        <w:ind w:left="153" w:right="1127" w:firstLine="0"/>
        <w:jc w:val="left"/>
        <w:rPr>
          <w:rFonts w:ascii="宋体" w:hAnsi="宋体" w:cs="宋体" w:eastAsia="宋体" w:hint="default"/>
          <w:sz w:val="28"/>
          <w:szCs w:val="28"/>
        </w:rPr>
      </w:pPr>
      <w:r>
        <w:rPr>
          <w:rFonts w:ascii="宋体" w:hAnsi="宋体" w:cs="宋体" w:eastAsia="宋体" w:hint="default"/>
          <w:b/>
          <w:bCs/>
          <w:spacing w:val="1"/>
          <w:w w:val="99"/>
          <w:sz w:val="28"/>
          <w:szCs w:val="28"/>
        </w:rPr>
        <w:t>全体股东每</w:t>
      </w:r>
      <w:r>
        <w:rPr>
          <w:rFonts w:ascii="宋体" w:hAnsi="宋体" w:cs="宋体" w:eastAsia="宋体" w:hint="default"/>
          <w:b/>
          <w:bCs/>
          <w:spacing w:val="-60"/>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5"/>
          <w:w w:val="99"/>
          <w:sz w:val="28"/>
          <w:szCs w:val="28"/>
        </w:rPr>
        <w:t> </w:t>
      </w:r>
      <w:r>
        <w:rPr>
          <w:rFonts w:ascii="宋体" w:hAnsi="宋体" w:cs="宋体" w:eastAsia="宋体" w:hint="default"/>
          <w:b/>
          <w:bCs/>
          <w:spacing w:val="1"/>
          <w:w w:val="99"/>
          <w:sz w:val="28"/>
          <w:szCs w:val="28"/>
        </w:rPr>
        <w:t>股派发现金红利</w:t>
      </w:r>
      <w:r>
        <w:rPr>
          <w:rFonts w:ascii="宋体" w:hAnsi="宋体" w:cs="宋体" w:eastAsia="宋体" w:hint="default"/>
          <w:b/>
          <w:bCs/>
          <w:spacing w:val="-59"/>
          <w:w w:val="99"/>
          <w:sz w:val="28"/>
          <w:szCs w:val="28"/>
        </w:rPr>
        <w:t> </w:t>
      </w:r>
      <w:r>
        <w:rPr>
          <w:rFonts w:ascii="Times New Roman" w:hAnsi="Times New Roman" w:cs="Times New Roman" w:eastAsia="Times New Roman" w:hint="default"/>
          <w:b/>
          <w:bCs/>
          <w:w w:val="99"/>
          <w:sz w:val="28"/>
          <w:szCs w:val="28"/>
        </w:rPr>
        <w:t>0.32 </w:t>
      </w:r>
      <w:r>
        <w:rPr>
          <w:rFonts w:ascii="宋体" w:hAnsi="宋体" w:cs="宋体" w:eastAsia="宋体" w:hint="default"/>
          <w:b/>
          <w:bCs/>
          <w:spacing w:val="-21"/>
          <w:w w:val="99"/>
          <w:sz w:val="28"/>
          <w:szCs w:val="28"/>
        </w:rPr>
        <w:t>元（含税），送红股</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5"/>
          <w:w w:val="99"/>
          <w:sz w:val="28"/>
          <w:szCs w:val="28"/>
        </w:rPr>
        <w:t> </w:t>
      </w:r>
      <w:r>
        <w:rPr>
          <w:rFonts w:ascii="宋体" w:hAnsi="宋体" w:cs="宋体" w:eastAsia="宋体" w:hint="default"/>
          <w:b/>
          <w:bCs/>
          <w:spacing w:val="-19"/>
          <w:w w:val="99"/>
          <w:sz w:val="28"/>
          <w:szCs w:val="28"/>
        </w:rPr>
        <w:t>股（含税），不以公积</w:t>
      </w:r>
      <w:r>
        <w:rPr>
          <w:rFonts w:ascii="宋体" w:hAnsi="宋体" w:cs="宋体" w:eastAsia="宋体" w:hint="default"/>
          <w:b/>
          <w:bCs/>
          <w:w w:val="99"/>
          <w:sz w:val="28"/>
          <w:szCs w:val="28"/>
        </w:rPr>
        <w:t> </w:t>
      </w:r>
      <w:r>
        <w:rPr>
          <w:rFonts w:ascii="宋体" w:hAnsi="宋体" w:cs="宋体" w:eastAsia="宋体" w:hint="default"/>
          <w:b/>
          <w:bCs/>
          <w:spacing w:val="2"/>
          <w:sz w:val="28"/>
          <w:szCs w:val="28"/>
        </w:rPr>
        <w:t>金转增股本。</w:t>
      </w:r>
      <w:r>
        <w:rPr>
          <w:rFonts w:ascii="宋体" w:hAnsi="宋体" w:cs="宋体" w:eastAsia="宋体" w:hint="default"/>
          <w:spacing w:val="2"/>
          <w:sz w:val="28"/>
          <w:szCs w:val="28"/>
        </w:rPr>
      </w:r>
    </w:p>
    <w:p>
      <w:pPr>
        <w:spacing w:after="0" w:line="386" w:lineRule="auto"/>
        <w:jc w:val="left"/>
        <w:rPr>
          <w:rFonts w:ascii="宋体" w:hAnsi="宋体" w:cs="宋体" w:eastAsia="宋体" w:hint="default"/>
          <w:sz w:val="28"/>
          <w:szCs w:val="28"/>
        </w:rPr>
        <w:sectPr>
          <w:footerReference w:type="default" r:id="rId8"/>
          <w:pgSz w:w="11910" w:h="16840"/>
          <w:pgMar w:footer="979" w:header="741" w:top="1060" w:bottom="1160" w:left="980" w:right="0"/>
          <w:pgNumType w:start="2"/>
        </w:sectPr>
      </w:pPr>
    </w:p>
    <w:p>
      <w:pPr>
        <w:spacing w:line="240" w:lineRule="auto" w:before="2"/>
        <w:rPr>
          <w:rFonts w:ascii="宋体" w:hAnsi="宋体" w:cs="宋体" w:eastAsia="宋体" w:hint="default"/>
          <w:b/>
          <w:bCs/>
          <w:sz w:val="3"/>
          <w:szCs w:val="3"/>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75pt;height:.75pt;mso-position-horizontal-relative:char;mso-position-vertical-relative:line" coordorigin="0,0" coordsize="9715,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5"/>
          <w:szCs w:val="25"/>
        </w:rPr>
      </w:pPr>
    </w:p>
    <w:p>
      <w:pPr>
        <w:spacing w:line="460" w:lineRule="exact" w:before="0"/>
        <w:ind w:left="135" w:right="1109" w:firstLine="0"/>
        <w:jc w:val="center"/>
        <w:rPr>
          <w:rFonts w:ascii="宋体" w:hAnsi="宋体" w:cs="宋体" w:eastAsia="宋体" w:hint="default"/>
          <w:sz w:val="36"/>
          <w:szCs w:val="36"/>
        </w:rPr>
      </w:pPr>
      <w:r>
        <w:rPr>
          <w:rFonts w:ascii="宋体" w:hAnsi="宋体" w:cs="宋体" w:eastAsia="宋体" w:hint="default"/>
          <w:b/>
          <w:bCs/>
          <w:spacing w:val="4"/>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5"/>
        <w:rPr>
          <w:rFonts w:ascii="宋体" w:hAnsi="宋体" w:cs="宋体" w:eastAsia="宋体" w:hint="default"/>
          <w:b/>
          <w:bCs/>
          <w:sz w:val="46"/>
          <w:szCs w:val="46"/>
        </w:rPr>
      </w:pPr>
    </w:p>
    <w:sdt>
      <w:sdtPr>
        <w:docPartObj>
          <w:docPartGallery w:val="Table of Contents"/>
          <w:docPartUnique/>
        </w:docPartObj>
      </w:sdtPr>
      <w:sdtEndPr/>
      <w:sdtContent>
        <w:p>
          <w:pPr>
            <w:pStyle w:val="TOC1"/>
            <w:tabs>
              <w:tab w:pos="9785"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spacing w:val="-3"/>
              </w:rPr>
              <w:t>第一节重要提示、目录和释义</w:t>
            </w:r>
            <w:r>
              <w:rPr>
                <w:rFonts w:ascii="Times New Roman" w:hAnsi="Times New Roman" w:cs="Times New Roman" w:eastAsia="Times New Roman" w:hint="default"/>
                <w:spacing w:val="-3"/>
              </w:rPr>
              <w:tab/>
            </w:r>
            <w:r>
              <w:rPr>
                <w:rFonts w:ascii="Times New Roman" w:hAnsi="Times New Roman" w:cs="Times New Roman" w:eastAsia="Times New Roman" w:hint="default"/>
              </w:rPr>
              <w:t>2</w:t>
            </w:r>
          </w:hyperlink>
        </w:p>
        <w:p>
          <w:pPr>
            <w:pStyle w:val="TOC1"/>
            <w:tabs>
              <w:tab w:pos="9785" w:val="right" w:leader="dot"/>
            </w:tabs>
            <w:spacing w:line="240" w:lineRule="auto" w:before="106"/>
            <w:ind w:right="0"/>
            <w:jc w:val="left"/>
            <w:rPr>
              <w:rFonts w:ascii="Times New Roman" w:hAnsi="Times New Roman" w:cs="Times New Roman" w:eastAsia="Times New Roman" w:hint="default"/>
            </w:rPr>
          </w:pPr>
          <w:hyperlink w:history="true" w:anchor="_bookmark1">
            <w:r>
              <w:rPr>
                <w:spacing w:val="-3"/>
              </w:rPr>
              <w:t>第二节公司简介和主要财务指标</w:t>
            </w:r>
            <w:r>
              <w:rPr>
                <w:rFonts w:ascii="Times New Roman" w:hAnsi="Times New Roman" w:cs="Times New Roman" w:eastAsia="Times New Roman" w:hint="default"/>
                <w:spacing w:val="-3"/>
              </w:rPr>
              <w:tab/>
            </w:r>
            <w:r>
              <w:rPr>
                <w:rFonts w:ascii="Times New Roman" w:hAnsi="Times New Roman" w:cs="Times New Roman" w:eastAsia="Times New Roman" w:hint="default"/>
              </w:rPr>
              <w:t>5</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2">
            <w:r>
              <w:rPr>
                <w:spacing w:val="-3"/>
              </w:rPr>
              <w:t>第三节公司业务概要</w:t>
            </w:r>
            <w:r>
              <w:rPr>
                <w:rFonts w:ascii="Times New Roman" w:hAnsi="Times New Roman" w:cs="Times New Roman" w:eastAsia="Times New Roman" w:hint="default"/>
                <w:spacing w:val="-3"/>
              </w:rPr>
              <w:tab/>
            </w:r>
            <w:r>
              <w:rPr>
                <w:rFonts w:ascii="Times New Roman" w:hAnsi="Times New Roman" w:cs="Times New Roman" w:eastAsia="Times New Roman" w:hint="default"/>
              </w:rPr>
              <w:t>9</w:t>
            </w:r>
          </w:hyperlink>
        </w:p>
        <w:p>
          <w:pPr>
            <w:pStyle w:val="TOC1"/>
            <w:tabs>
              <w:tab w:pos="9790" w:val="right" w:leader="dot"/>
            </w:tabs>
            <w:spacing w:line="240" w:lineRule="auto" w:before="102"/>
            <w:ind w:right="0"/>
            <w:jc w:val="left"/>
            <w:rPr>
              <w:rFonts w:ascii="Times New Roman" w:hAnsi="Times New Roman" w:cs="Times New Roman" w:eastAsia="Times New Roman" w:hint="default"/>
            </w:rPr>
          </w:pPr>
          <w:hyperlink w:history="true" w:anchor="_bookmark3">
            <w:r>
              <w:rPr>
                <w:spacing w:val="-3"/>
              </w:rPr>
              <w:t>第四节经营情况讨论与分析</w:t>
            </w:r>
            <w:r>
              <w:rPr>
                <w:rFonts w:ascii="Times New Roman" w:hAnsi="Times New Roman" w:cs="Times New Roman" w:eastAsia="Times New Roman" w:hint="default"/>
                <w:spacing w:val="-3"/>
              </w:rPr>
              <w:tab/>
            </w:r>
            <w:r>
              <w:rPr>
                <w:rFonts w:ascii="Times New Roman" w:hAnsi="Times New Roman" w:cs="Times New Roman" w:eastAsia="Times New Roman" w:hint="default"/>
              </w:rPr>
              <w:t>15</w:t>
            </w:r>
          </w:hyperlink>
        </w:p>
        <w:p>
          <w:pPr>
            <w:pStyle w:val="TOC1"/>
            <w:tabs>
              <w:tab w:pos="9790" w:val="right" w:leader="dot"/>
            </w:tabs>
            <w:spacing w:line="240" w:lineRule="auto" w:before="106"/>
            <w:ind w:right="0"/>
            <w:jc w:val="left"/>
            <w:rPr>
              <w:rFonts w:ascii="Times New Roman" w:hAnsi="Times New Roman" w:cs="Times New Roman" w:eastAsia="Times New Roman" w:hint="default"/>
            </w:rPr>
          </w:pPr>
          <w:hyperlink w:history="true" w:anchor="_bookmark4">
            <w:r>
              <w:rPr>
                <w:spacing w:val="-3"/>
              </w:rPr>
              <w:t>第五节重要事项</w:t>
            </w:r>
            <w:r>
              <w:rPr>
                <w:rFonts w:ascii="Times New Roman" w:hAnsi="Times New Roman" w:cs="Times New Roman" w:eastAsia="Times New Roman" w:hint="default"/>
                <w:spacing w:val="-3"/>
              </w:rPr>
              <w:tab/>
            </w:r>
            <w:r>
              <w:rPr>
                <w:rFonts w:ascii="Times New Roman" w:hAnsi="Times New Roman" w:cs="Times New Roman" w:eastAsia="Times New Roman" w:hint="default"/>
              </w:rPr>
              <w:t>34</w:t>
            </w:r>
          </w:hyperlink>
        </w:p>
        <w:p>
          <w:pPr>
            <w:pStyle w:val="TOC1"/>
            <w:tabs>
              <w:tab w:pos="9790" w:val="right" w:leader="dot"/>
            </w:tabs>
            <w:spacing w:line="240" w:lineRule="auto"/>
            <w:ind w:right="0"/>
            <w:jc w:val="left"/>
            <w:rPr>
              <w:rFonts w:ascii="Times New Roman" w:hAnsi="Times New Roman" w:cs="Times New Roman" w:eastAsia="Times New Roman" w:hint="default"/>
            </w:rPr>
          </w:pPr>
          <w:hyperlink w:history="true" w:anchor="_bookmark5">
            <w:r>
              <w:rPr>
                <w:spacing w:val="-3"/>
              </w:rPr>
              <w:t>第六节股份变动及股东情况</w:t>
            </w:r>
            <w:r>
              <w:rPr>
                <w:rFonts w:ascii="Times New Roman" w:hAnsi="Times New Roman" w:cs="Times New Roman" w:eastAsia="Times New Roman" w:hint="default"/>
                <w:spacing w:val="-3"/>
              </w:rPr>
              <w:tab/>
            </w:r>
            <w:r>
              <w:rPr>
                <w:rFonts w:ascii="Times New Roman" w:hAnsi="Times New Roman" w:cs="Times New Roman" w:eastAsia="Times New Roman" w:hint="default"/>
              </w:rPr>
              <w:t>56</w:t>
            </w:r>
          </w:hyperlink>
        </w:p>
        <w:p>
          <w:pPr>
            <w:pStyle w:val="TOC1"/>
            <w:tabs>
              <w:tab w:pos="9790" w:val="right" w:leader="dot"/>
            </w:tabs>
            <w:spacing w:line="240" w:lineRule="auto"/>
            <w:ind w:right="0"/>
            <w:jc w:val="left"/>
            <w:rPr>
              <w:rFonts w:ascii="Times New Roman" w:hAnsi="Times New Roman" w:cs="Times New Roman" w:eastAsia="Times New Roman" w:hint="default"/>
            </w:rPr>
          </w:pPr>
          <w:hyperlink w:history="true" w:anchor="_bookmark6">
            <w:r>
              <w:rPr/>
              <w:t>第七节优先股相关情况</w:t>
            </w:r>
            <w:r>
              <w:rPr>
                <w:rFonts w:ascii="Times New Roman" w:hAnsi="Times New Roman" w:cs="Times New Roman" w:eastAsia="Times New Roman" w:hint="default"/>
              </w:rPr>
              <w:tab/>
              <w:t>62</w:t>
            </w:r>
          </w:hyperlink>
        </w:p>
        <w:p>
          <w:pPr>
            <w:pStyle w:val="TOC1"/>
            <w:tabs>
              <w:tab w:pos="9790" w:val="right" w:leader="dot"/>
            </w:tabs>
            <w:spacing w:line="240" w:lineRule="auto" w:before="106"/>
            <w:ind w:right="0"/>
            <w:jc w:val="left"/>
            <w:rPr>
              <w:rFonts w:ascii="Times New Roman" w:hAnsi="Times New Roman" w:cs="Times New Roman" w:eastAsia="Times New Roman" w:hint="default"/>
            </w:rPr>
          </w:pPr>
          <w:hyperlink w:history="true" w:anchor="_bookmark7">
            <w:r>
              <w:rPr>
                <w:spacing w:val="-3"/>
              </w:rPr>
              <w:t>第八节可转换公司债券相关情况</w:t>
            </w:r>
            <w:r>
              <w:rPr>
                <w:rFonts w:ascii="Times New Roman" w:hAnsi="Times New Roman" w:cs="Times New Roman" w:eastAsia="Times New Roman" w:hint="default"/>
                <w:spacing w:val="-3"/>
              </w:rPr>
              <w:tab/>
            </w:r>
            <w:r>
              <w:rPr>
                <w:rFonts w:ascii="Times New Roman" w:hAnsi="Times New Roman" w:cs="Times New Roman" w:eastAsia="Times New Roman" w:hint="default"/>
              </w:rPr>
              <w:t>63</w:t>
            </w:r>
          </w:hyperlink>
        </w:p>
        <w:p>
          <w:pPr>
            <w:pStyle w:val="TOC1"/>
            <w:tabs>
              <w:tab w:pos="9790" w:val="right" w:leader="dot"/>
            </w:tabs>
            <w:spacing w:line="240" w:lineRule="auto"/>
            <w:ind w:right="0"/>
            <w:jc w:val="left"/>
            <w:rPr>
              <w:rFonts w:ascii="Times New Roman" w:hAnsi="Times New Roman" w:cs="Times New Roman" w:eastAsia="Times New Roman" w:hint="default"/>
            </w:rPr>
          </w:pPr>
          <w:hyperlink w:history="true" w:anchor="_bookmark8">
            <w:r>
              <w:rPr>
                <w:spacing w:val="-3"/>
              </w:rPr>
              <w:t>第九节董事、监事、高级管理人员和员工情况</w:t>
            </w:r>
            <w:r>
              <w:rPr>
                <w:rFonts w:ascii="Times New Roman" w:hAnsi="Times New Roman" w:cs="Times New Roman" w:eastAsia="Times New Roman" w:hint="default"/>
                <w:spacing w:val="-3"/>
              </w:rPr>
              <w:tab/>
            </w:r>
            <w:r>
              <w:rPr>
                <w:rFonts w:ascii="Times New Roman" w:hAnsi="Times New Roman" w:cs="Times New Roman" w:eastAsia="Times New Roman" w:hint="default"/>
              </w:rPr>
              <w:t>64</w:t>
            </w:r>
          </w:hyperlink>
        </w:p>
        <w:p>
          <w:pPr>
            <w:pStyle w:val="TOC1"/>
            <w:tabs>
              <w:tab w:pos="9790" w:val="right" w:leader="dot"/>
            </w:tabs>
            <w:spacing w:line="240" w:lineRule="auto"/>
            <w:ind w:right="0"/>
            <w:jc w:val="left"/>
            <w:rPr>
              <w:rFonts w:ascii="Times New Roman" w:hAnsi="Times New Roman" w:cs="Times New Roman" w:eastAsia="Times New Roman" w:hint="default"/>
            </w:rPr>
          </w:pPr>
          <w:hyperlink w:history="true" w:anchor="_bookmark9">
            <w:r>
              <w:rPr>
                <w:spacing w:val="-3"/>
              </w:rPr>
              <w:t>第十节公司治理</w:t>
            </w:r>
            <w:r>
              <w:rPr>
                <w:rFonts w:ascii="Times New Roman" w:hAnsi="Times New Roman" w:cs="Times New Roman" w:eastAsia="Times New Roman" w:hint="default"/>
                <w:spacing w:val="-3"/>
              </w:rPr>
              <w:tab/>
            </w:r>
            <w:r>
              <w:rPr>
                <w:rFonts w:ascii="Times New Roman" w:hAnsi="Times New Roman" w:cs="Times New Roman" w:eastAsia="Times New Roman" w:hint="default"/>
              </w:rPr>
              <w:t>75</w:t>
            </w:r>
          </w:hyperlink>
        </w:p>
        <w:p>
          <w:pPr>
            <w:pStyle w:val="TOC1"/>
            <w:tabs>
              <w:tab w:pos="9790" w:val="right" w:leader="dot"/>
            </w:tabs>
            <w:spacing w:line="240" w:lineRule="auto" w:before="106"/>
            <w:ind w:right="0"/>
            <w:jc w:val="left"/>
            <w:rPr>
              <w:rFonts w:ascii="Times New Roman" w:hAnsi="Times New Roman" w:cs="Times New Roman" w:eastAsia="Times New Roman" w:hint="default"/>
            </w:rPr>
          </w:pPr>
          <w:hyperlink w:history="true" w:anchor="_bookmark10">
            <w:r>
              <w:rPr>
                <w:spacing w:val="-3"/>
              </w:rPr>
              <w:t>第十一节公司债券相关情况</w:t>
            </w:r>
            <w:r>
              <w:rPr>
                <w:rFonts w:ascii="Times New Roman" w:hAnsi="Times New Roman" w:cs="Times New Roman" w:eastAsia="Times New Roman" w:hint="default"/>
                <w:spacing w:val="-3"/>
              </w:rPr>
              <w:tab/>
            </w:r>
            <w:r>
              <w:rPr>
                <w:rFonts w:ascii="Times New Roman" w:hAnsi="Times New Roman" w:cs="Times New Roman" w:eastAsia="Times New Roman" w:hint="default"/>
              </w:rPr>
              <w:t>80</w:t>
            </w:r>
          </w:hyperlink>
        </w:p>
        <w:p>
          <w:pPr>
            <w:pStyle w:val="TOC1"/>
            <w:tabs>
              <w:tab w:pos="9790" w:val="right" w:leader="dot"/>
            </w:tabs>
            <w:spacing w:line="240" w:lineRule="auto"/>
            <w:ind w:right="0"/>
            <w:jc w:val="left"/>
            <w:rPr>
              <w:rFonts w:ascii="Times New Roman" w:hAnsi="Times New Roman" w:cs="Times New Roman" w:eastAsia="Times New Roman" w:hint="default"/>
            </w:rPr>
          </w:pPr>
          <w:hyperlink w:history="true" w:anchor="_bookmark11">
            <w:r>
              <w:rPr/>
              <w:t>第十二节</w:t>
            </w:r>
            <w:r>
              <w:rPr>
                <w:spacing w:val="-4"/>
              </w:rPr>
              <w:t> </w:t>
            </w:r>
            <w:r>
              <w:rPr/>
              <w:t>财务报告</w:t>
            </w:r>
            <w:r>
              <w:rPr>
                <w:rFonts w:ascii="Times New Roman" w:hAnsi="Times New Roman" w:cs="Times New Roman" w:eastAsia="Times New Roman" w:hint="default"/>
              </w:rPr>
              <w:tab/>
              <w:t>81</w:t>
            </w:r>
          </w:hyperlink>
        </w:p>
        <w:p>
          <w:pPr>
            <w:pStyle w:val="TOC1"/>
            <w:tabs>
              <w:tab w:pos="9790" w:val="right" w:leader="dot"/>
            </w:tabs>
            <w:spacing w:line="240" w:lineRule="auto"/>
            <w:ind w:right="0"/>
            <w:jc w:val="left"/>
            <w:rPr>
              <w:rFonts w:ascii="Times New Roman" w:hAnsi="Times New Roman" w:cs="Times New Roman" w:eastAsia="Times New Roman" w:hint="default"/>
            </w:rPr>
          </w:pPr>
          <w:hyperlink w:history="true" w:anchor="_bookmark12">
            <w:r>
              <w:rPr/>
              <w:t>第十三节</w:t>
            </w:r>
            <w:r>
              <w:rPr>
                <w:spacing w:val="-4"/>
              </w:rPr>
              <w:t> </w:t>
            </w:r>
            <w:r>
              <w:rPr/>
              <w:t>备查文件目录</w:t>
            </w:r>
            <w:r>
              <w:rPr>
                <w:rFonts w:ascii="Times New Roman" w:hAnsi="Times New Roman" w:cs="Times New Roman" w:eastAsia="Times New Roman" w:hint="default"/>
              </w:rPr>
              <w:tab/>
              <w:t>200</w:t>
            </w:r>
          </w:hyperlink>
        </w:p>
        <w:p>
          <w:pPr/>
          <w:r>
            <w:fldChar w:fldCharType="end"/>
          </w:r>
        </w:p>
      </w:sdtContent>
    </w:sdt>
    <w:p>
      <w:pPr>
        <w:spacing w:after="0"/>
        <w:sectPr>
          <w:pgSz w:w="11910" w:h="16840"/>
          <w:pgMar w:header="741" w:footer="979" w:top="1060" w:bottom="1160" w:left="980" w:right="0"/>
        </w:sectPr>
      </w:pPr>
    </w:p>
    <w:p>
      <w:pPr>
        <w:spacing w:before="954"/>
        <w:ind w:left="135" w:right="1109"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12"/>
          <w:szCs w:val="12"/>
        </w:rPr>
      </w:pPr>
    </w:p>
    <w:p>
      <w:pPr>
        <w:spacing w:before="0"/>
        <w:ind w:left="0" w:right="1128" w:firstLine="0"/>
        <w:jc w:val="right"/>
        <w:rPr>
          <w:rFonts w:ascii="宋体" w:hAnsi="宋体" w:cs="宋体" w:eastAsia="宋体" w:hint="default"/>
          <w:sz w:val="18"/>
          <w:szCs w:val="18"/>
        </w:rPr>
      </w:pPr>
      <w:r>
        <w:rPr/>
        <w:pict>
          <v:shape style="position:absolute;margin-left:56.424pt;margin-top:-83.588295pt;width:479.5pt;height:474.1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37"/>
                    <w:gridCol w:w="612"/>
                    <w:gridCol w:w="5426"/>
                  </w:tblGrid>
                  <w:tr>
                    <w:trPr>
                      <w:trHeight w:val="403" w:hRule="exact"/>
                    </w:trPr>
                    <w:tc>
                      <w:tcPr>
                        <w:tcW w:w="3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1"/>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公司、本公司、上市公司、视觉中国</w:t>
                        </w: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1"/>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视觉（中国）文化发展股份有限公司</w:t>
                        </w:r>
                      </w:p>
                    </w:tc>
                  </w:tr>
                  <w:tr>
                    <w:trPr>
                      <w:trHeight w:val="399"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1"/>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中国证券监督管理委员会</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1"/>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深圳证券交易所</w:t>
                        </w:r>
                      </w:p>
                    </w:tc>
                  </w:tr>
                  <w:tr>
                    <w:trPr>
                      <w:trHeight w:val="163" w:hRule="exact"/>
                    </w:trPr>
                    <w:tc>
                      <w:tcPr>
                        <w:tcW w:w="3537" w:type="dxa"/>
                        <w:vMerge w:val="restart"/>
                        <w:tcBorders>
                          <w:top w:val="single" w:sz="4" w:space="0" w:color="000000"/>
                          <w:left w:val="single" w:sz="4" w:space="0" w:color="000000"/>
                          <w:right w:val="single" w:sz="10" w:space="0" w:color="D2D2D2"/>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名一致行动人</w:t>
                        </w:r>
                      </w:p>
                    </w:tc>
                    <w:tc>
                      <w:tcPr>
                        <w:tcW w:w="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6" w:type="dxa"/>
                        <w:vMerge w:val="restart"/>
                        <w:tcBorders>
                          <w:top w:val="single" w:sz="4" w:space="0" w:color="000000"/>
                          <w:left w:val="single" w:sz="10" w:space="0" w:color="D2D2D2"/>
                          <w:right w:val="single" w:sz="4" w:space="0" w:color="000000"/>
                        </w:tcBorders>
                      </w:tcPr>
                      <w:p>
                        <w:pPr>
                          <w:pStyle w:val="TableParagraph"/>
                          <w:spacing w:line="321" w:lineRule="auto" w:before="53"/>
                          <w:ind w:left="16" w:right="109"/>
                          <w:jc w:val="left"/>
                          <w:rPr>
                            <w:rFonts w:ascii="宋体" w:hAnsi="宋体" w:cs="宋体" w:eastAsia="宋体" w:hint="default"/>
                            <w:sz w:val="18"/>
                            <w:szCs w:val="18"/>
                          </w:rPr>
                        </w:pPr>
                        <w:r>
                          <w:rPr>
                            <w:rFonts w:ascii="宋体" w:hAnsi="宋体" w:cs="宋体" w:eastAsia="宋体" w:hint="default"/>
                            <w:spacing w:val="-7"/>
                            <w:sz w:val="18"/>
                            <w:szCs w:val="18"/>
                          </w:rPr>
                          <w:t>廖道训、吴玉瑞、吴春红、柴继军、姜海林、陈智华、袁闯、李学凌</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z w:val="18"/>
                            <w:szCs w:val="18"/>
                          </w:rPr>
                          <w:t>高玮、梁世平</w:t>
                        </w:r>
                      </w:p>
                    </w:tc>
                  </w:tr>
                  <w:tr>
                    <w:trPr>
                      <w:trHeight w:val="389" w:hRule="exact"/>
                    </w:trPr>
                    <w:tc>
                      <w:tcPr>
                        <w:tcW w:w="3537" w:type="dxa"/>
                        <w:vMerge/>
                        <w:tcBorders>
                          <w:left w:val="single" w:sz="4" w:space="0" w:color="000000"/>
                          <w:right w:val="single" w:sz="10" w:space="0" w:color="D2D2D2"/>
                        </w:tcBorders>
                      </w:tcPr>
                      <w:p>
                        <w:pPr/>
                      </w:p>
                    </w:tc>
                    <w:tc>
                      <w:tcPr>
                        <w:tcW w:w="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11"/>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vMerge/>
                        <w:tcBorders>
                          <w:left w:val="single" w:sz="10" w:space="0" w:color="D2D2D2"/>
                          <w:right w:val="single" w:sz="4" w:space="0" w:color="000000"/>
                        </w:tcBorders>
                      </w:tcPr>
                      <w:p>
                        <w:pPr/>
                      </w:p>
                    </w:tc>
                  </w:tr>
                  <w:tr>
                    <w:trPr>
                      <w:trHeight w:val="163" w:hRule="exact"/>
                    </w:trPr>
                    <w:tc>
                      <w:tcPr>
                        <w:tcW w:w="3537" w:type="dxa"/>
                        <w:vMerge/>
                        <w:tcBorders>
                          <w:left w:val="single" w:sz="4" w:space="0" w:color="000000"/>
                          <w:bottom w:val="single" w:sz="4" w:space="0" w:color="000000"/>
                          <w:right w:val="single" w:sz="10" w:space="0" w:color="D2D2D2"/>
                        </w:tcBorders>
                      </w:tcPr>
                      <w:p>
                        <w:pPr/>
                      </w:p>
                    </w:tc>
                    <w:tc>
                      <w:tcPr>
                        <w:tcW w:w="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6" w:type="dxa"/>
                        <w:vMerge/>
                        <w:tcBorders>
                          <w:left w:val="single" w:sz="10" w:space="0" w:color="D2D2D2"/>
                          <w:bottom w:val="single" w:sz="4" w:space="0" w:color="000000"/>
                          <w:right w:val="single" w:sz="4" w:space="0" w:color="000000"/>
                        </w:tcBorders>
                      </w:tcPr>
                      <w:p>
                        <w:pPr/>
                      </w:p>
                    </w:tc>
                  </w:tr>
                  <w:tr>
                    <w:trPr>
                      <w:trHeight w:val="404"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9"/>
                            <w:sz w:val="18"/>
                            <w:szCs w:val="18"/>
                          </w:rPr>
                          <w:t> </w:t>
                        </w:r>
                        <w:r>
                          <w:rPr>
                            <w:rFonts w:ascii="宋体" w:hAnsi="宋体" w:cs="宋体" w:eastAsia="宋体" w:hint="default"/>
                            <w:spacing w:val="-3"/>
                            <w:sz w:val="18"/>
                            <w:szCs w:val="18"/>
                          </w:rPr>
                          <w:t>名一致行动人、实际控制人</w:t>
                        </w: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1"/>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廖道训、吴玉瑞、吴春红、柴继军、梁世平</w:t>
                        </w:r>
                      </w:p>
                    </w:tc>
                  </w:tr>
                  <w:tr>
                    <w:trPr>
                      <w:trHeight w:val="398"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华夏视觉</w:t>
                        </w: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1"/>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华夏视觉（北京）图像技术有限公司，公司全资子公司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汉华易美</w:t>
                        </w: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1"/>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北京汉华易美图片有限公司，公司全资子公司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远东文化</w:t>
                        </w: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1"/>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常州远东文化产业有限公司，公司全资子公司</w:t>
                        </w:r>
                      </w:p>
                    </w:tc>
                  </w:tr>
                  <w:tr>
                    <w:trPr>
                      <w:trHeight w:val="158" w:hRule="exact"/>
                    </w:trPr>
                    <w:tc>
                      <w:tcPr>
                        <w:tcW w:w="3537" w:type="dxa"/>
                        <w:vMerge w:val="restart"/>
                        <w:tcBorders>
                          <w:top w:val="single" w:sz="4" w:space="0" w:color="000000"/>
                          <w:left w:val="single" w:sz="4" w:space="0" w:color="000000"/>
                          <w:right w:val="single" w:sz="10"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亿迅资产组</w:t>
                        </w:r>
                      </w:p>
                    </w:tc>
                    <w:tc>
                      <w:tcPr>
                        <w:tcW w:w="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6" w:type="dxa"/>
                        <w:vMerge w:val="restart"/>
                        <w:tcBorders>
                          <w:top w:val="single" w:sz="4" w:space="0" w:color="000000"/>
                          <w:left w:val="single" w:sz="10" w:space="0" w:color="D2D2D2"/>
                          <w:right w:val="single" w:sz="4" w:space="0" w:color="000000"/>
                        </w:tcBorders>
                      </w:tcPr>
                      <w:p>
                        <w:pPr>
                          <w:pStyle w:val="TableParagraph"/>
                          <w:spacing w:line="300" w:lineRule="auto" w:before="53"/>
                          <w:ind w:left="16" w:right="192"/>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亿迅信息技术有限公司、宝东信息技术有限公司、</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DataTool</w:t>
                        </w:r>
                        <w:r>
                          <w:rPr>
                            <w:rFonts w:ascii="Times New Roman" w:hAnsi="Times New Roman" w:cs="Times New Roman" w:eastAsia="Times New Roman" w:hint="default"/>
                            <w:spacing w:val="29"/>
                            <w:sz w:val="18"/>
                            <w:szCs w:val="18"/>
                          </w:rPr>
                          <w:t> </w:t>
                        </w:r>
                        <w:r>
                          <w:rPr>
                            <w:rFonts w:ascii="Times New Roman" w:hAnsi="Times New Roman" w:cs="Times New Roman" w:eastAsia="Times New Roman" w:hint="default"/>
                            <w:sz w:val="18"/>
                            <w:szCs w:val="18"/>
                          </w:rPr>
                          <w:t>China</w:t>
                        </w:r>
                        <w:r>
                          <w:rPr>
                            <w:rFonts w:ascii="Times New Roman" w:hAnsi="Times New Roman" w:cs="Times New Roman" w:eastAsia="Times New Roman" w:hint="default"/>
                            <w:spacing w:val="-32"/>
                            <w:sz w:val="18"/>
                            <w:szCs w:val="18"/>
                          </w:rPr>
                          <w:t> </w:t>
                        </w:r>
                        <w:r>
                          <w:rPr>
                            <w:rFonts w:ascii="Times New Roman" w:hAnsi="Times New Roman" w:cs="Times New Roman" w:eastAsia="Times New Roman" w:hint="default"/>
                            <w:spacing w:val="-32"/>
                            <w:sz w:val="18"/>
                            <w:szCs w:val="18"/>
                          </w:rPr>
                        </w:r>
                        <w:r>
                          <w:rPr>
                            <w:rFonts w:ascii="Times New Roman" w:hAnsi="Times New Roman" w:cs="Times New Roman" w:eastAsia="Times New Roman" w:hint="default"/>
                            <w:sz w:val="18"/>
                            <w:szCs w:val="18"/>
                          </w:rPr>
                          <w:t>Limited</w:t>
                        </w:r>
                        <w:r>
                          <w:rPr>
                            <w:rFonts w:ascii="宋体" w:hAnsi="宋体" w:cs="宋体" w:eastAsia="宋体" w:hint="default"/>
                            <w:sz w:val="18"/>
                            <w:szCs w:val="18"/>
                          </w:rPr>
                          <w:t>、</w:t>
                        </w:r>
                        <w:r>
                          <w:rPr>
                            <w:rFonts w:ascii="Times New Roman" w:hAnsi="Times New Roman" w:cs="Times New Roman" w:eastAsia="Times New Roman" w:hint="default"/>
                            <w:sz w:val="18"/>
                            <w:szCs w:val="18"/>
                          </w:rPr>
                          <w:t>eSOON China </w:t>
                        </w:r>
                        <w:r>
                          <w:rPr>
                            <w:rFonts w:ascii="Times New Roman" w:hAnsi="Times New Roman" w:cs="Times New Roman" w:eastAsia="Times New Roman" w:hint="default"/>
                            <w:spacing w:val="-3"/>
                            <w:sz w:val="18"/>
                            <w:szCs w:val="18"/>
                          </w:rPr>
                          <w:t>Limited</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DataTool </w:t>
                        </w:r>
                        <w:r>
                          <w:rPr>
                            <w:rFonts w:ascii="Times New Roman" w:hAnsi="Times New Roman" w:cs="Times New Roman" w:eastAsia="Times New Roman" w:hint="default"/>
                            <w:sz w:val="18"/>
                            <w:szCs w:val="18"/>
                          </w:rPr>
                          <w:t>Hong Kong</w:t>
                        </w:r>
                        <w:r>
                          <w:rPr>
                            <w:rFonts w:ascii="Times New Roman" w:hAnsi="Times New Roman" w:cs="Times New Roman" w:eastAsia="Times New Roman" w:hint="default"/>
                            <w:spacing w:val="23"/>
                            <w:sz w:val="18"/>
                            <w:szCs w:val="18"/>
                          </w:rPr>
                          <w:t> </w:t>
                        </w:r>
                        <w:r>
                          <w:rPr>
                            <w:rFonts w:ascii="Times New Roman" w:hAnsi="Times New Roman" w:cs="Times New Roman" w:eastAsia="Times New Roman" w:hint="default"/>
                            <w:sz w:val="18"/>
                            <w:szCs w:val="18"/>
                          </w:rPr>
                          <w:t>Limited</w:t>
                        </w:r>
                      </w:p>
                    </w:tc>
                  </w:tr>
                  <w:tr>
                    <w:trPr>
                      <w:trHeight w:val="394" w:hRule="exact"/>
                    </w:trPr>
                    <w:tc>
                      <w:tcPr>
                        <w:tcW w:w="3537" w:type="dxa"/>
                        <w:vMerge/>
                        <w:tcBorders>
                          <w:left w:val="single" w:sz="4" w:space="0" w:color="000000"/>
                          <w:right w:val="single" w:sz="10" w:space="0" w:color="D2D2D2"/>
                        </w:tcBorders>
                      </w:tcPr>
                      <w:p>
                        <w:pPr/>
                      </w:p>
                    </w:tc>
                    <w:tc>
                      <w:tcPr>
                        <w:tcW w:w="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right="11"/>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vMerge/>
                        <w:tcBorders>
                          <w:left w:val="single" w:sz="10" w:space="0" w:color="D2D2D2"/>
                          <w:right w:val="single" w:sz="4" w:space="0" w:color="000000"/>
                        </w:tcBorders>
                      </w:tcPr>
                      <w:p>
                        <w:pPr/>
                      </w:p>
                    </w:tc>
                  </w:tr>
                  <w:tr>
                    <w:trPr>
                      <w:trHeight w:val="163" w:hRule="exact"/>
                    </w:trPr>
                    <w:tc>
                      <w:tcPr>
                        <w:tcW w:w="3537" w:type="dxa"/>
                        <w:vMerge/>
                        <w:tcBorders>
                          <w:left w:val="single" w:sz="4" w:space="0" w:color="000000"/>
                          <w:bottom w:val="single" w:sz="4" w:space="0" w:color="000000"/>
                          <w:right w:val="single" w:sz="10" w:space="0" w:color="D2D2D2"/>
                        </w:tcBorders>
                      </w:tcPr>
                      <w:p>
                        <w:pPr/>
                      </w:p>
                    </w:tc>
                    <w:tc>
                      <w:tcPr>
                        <w:tcW w:w="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6" w:type="dxa"/>
                        <w:vMerge/>
                        <w:tcBorders>
                          <w:left w:val="single" w:sz="10" w:space="0" w:color="D2D2D2"/>
                          <w:bottom w:val="single" w:sz="4" w:space="0" w:color="000000"/>
                          <w:right w:val="single" w:sz="4" w:space="0" w:color="000000"/>
                        </w:tcBorders>
                      </w:tcPr>
                      <w:p>
                        <w:pPr/>
                      </w:p>
                    </w:tc>
                  </w:tr>
                  <w:tr>
                    <w:trPr>
                      <w:trHeight w:val="398"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湖北司马彦</w:t>
                        </w: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1"/>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1"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湖北司马彦文化科技有限公司，公司通过汉华易美持股</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49%</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上海卓越</w:t>
                        </w: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1"/>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上海卓越形象广告传播有限公司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合一基金</w:t>
                        </w: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1"/>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常州合一科文投资合伙企业（有限合伙）</w:t>
                        </w:r>
                      </w:p>
                    </w:tc>
                  </w:tr>
                  <w:tr>
                    <w:trPr>
                      <w:trHeight w:val="404"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映月基金</w:t>
                        </w: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1"/>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北京华盖映月影视文化投资合伙企业（有限合伙）</w:t>
                        </w:r>
                      </w:p>
                    </w:tc>
                  </w:tr>
                  <w:tr>
                    <w:trPr>
                      <w:trHeight w:val="398"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辽宁基金</w:t>
                        </w: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1"/>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辽宁新兴文化创业投资基金合伙企业（有限合伙）</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安鹭基金</w:t>
                        </w: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1"/>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华盖安鹭（厦门）文化产业投资合伙企业（有限合伙）</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唱游公司</w:t>
                        </w: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1"/>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1"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唱游信息技术有限公司，公司通过远东文化持股</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45%</w:t>
                        </w:r>
                      </w:p>
                    </w:tc>
                  </w:tr>
                  <w:tr>
                    <w:trPr>
                      <w:trHeight w:val="404"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易教优培</w:t>
                        </w: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1"/>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11"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广东易教优培教育科技有限公司，公司通过远东文化持股</w:t>
                        </w:r>
                        <w:r>
                          <w:rPr>
                            <w:rFonts w:ascii="宋体" w:hAnsi="宋体" w:cs="宋体" w:eastAsia="宋体" w:hint="default"/>
                            <w:spacing w:val="76"/>
                            <w:sz w:val="18"/>
                            <w:szCs w:val="18"/>
                          </w:rPr>
                          <w:t> </w:t>
                        </w:r>
                        <w:r>
                          <w:rPr>
                            <w:rFonts w:ascii="Times New Roman" w:hAnsi="Times New Roman" w:cs="Times New Roman" w:eastAsia="Times New Roman" w:hint="default"/>
                            <w:sz w:val="18"/>
                            <w:szCs w:val="18"/>
                          </w:rPr>
                          <w:t>35%</w:t>
                        </w:r>
                      </w:p>
                    </w:tc>
                  </w:tr>
                  <w:tr>
                    <w:trPr>
                      <w:trHeight w:val="398"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Getty</w:t>
                        </w:r>
                        <w:r>
                          <w:rPr>
                            <w:rFonts w:ascii="Times New Roman"/>
                            <w:spacing w:val="-1"/>
                            <w:sz w:val="18"/>
                          </w:rPr>
                          <w:t> </w:t>
                        </w:r>
                        <w:r>
                          <w:rPr>
                            <w:rFonts w:ascii="Times New Roman"/>
                            <w:sz w:val="18"/>
                          </w:rPr>
                          <w:t>SEA</w:t>
                        </w: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1"/>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Getty </w:t>
                        </w:r>
                        <w:r>
                          <w:rPr>
                            <w:rFonts w:ascii="Times New Roman" w:hAnsi="Times New Roman" w:cs="Times New Roman" w:eastAsia="Times New Roman" w:hint="default"/>
                            <w:spacing w:val="-3"/>
                            <w:sz w:val="18"/>
                            <w:szCs w:val="18"/>
                          </w:rPr>
                          <w:t>Images </w:t>
                        </w:r>
                        <w:r>
                          <w:rPr>
                            <w:rFonts w:ascii="Times New Roman" w:hAnsi="Times New Roman" w:cs="Times New Roman" w:eastAsia="Times New Roman" w:hint="default"/>
                            <w:sz w:val="18"/>
                            <w:szCs w:val="18"/>
                          </w:rPr>
                          <w:t>SEA Holdings Co.,Limited</w:t>
                        </w:r>
                        <w:r>
                          <w:rPr>
                            <w:rFonts w:ascii="宋体" w:hAnsi="宋体" w:cs="宋体" w:eastAsia="宋体" w:hint="default"/>
                            <w:sz w:val="18"/>
                            <w:szCs w:val="18"/>
                          </w:rPr>
                          <w:t>，公司间接参股</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50%</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500px</w:t>
                        </w: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1"/>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500px, </w:t>
                        </w:r>
                        <w:r>
                          <w:rPr>
                            <w:rFonts w:ascii="Times New Roman" w:hAnsi="Times New Roman" w:cs="Times New Roman" w:eastAsia="Times New Roman" w:hint="default"/>
                            <w:spacing w:val="-4"/>
                            <w:sz w:val="18"/>
                            <w:szCs w:val="18"/>
                          </w:rPr>
                          <w:t>Inc. </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公司全资孙公司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华融创新</w:t>
                        </w: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1"/>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华融创新投资股份有限公司</w:t>
                        </w:r>
                      </w:p>
                    </w:tc>
                  </w:tr>
                  <w:tr>
                    <w:trPr>
                      <w:trHeight w:val="404"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1"/>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after="0"/>
        <w:jc w:val="righ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r>
        <w:rPr/>
        <w:pict>
          <v:group style="position:absolute;margin-left:171.190002pt;margin-top:272.109985pt;width:362.8pt;height:20.9pt;mso-position-horizontal-relative:page;mso-position-vertical-relative:page;z-index:-1168240" coordorigin="3424,5442" coordsize="7256,418">
            <v:group style="position:absolute;left:3436;top:5454;width:2;height:394" coordorigin="3436,5454" coordsize="2,394">
              <v:shape style="position:absolute;left:3436;top:5454;width:2;height:394" coordorigin="3436,5454" coordsize="0,394" path="m3436,5454l3436,5848e" filled="false" stroked="true" strokeweight="1.2pt" strokecolor="#ffffff">
                <v:path arrowok="t"/>
              </v:shape>
            </v:group>
            <v:group style="position:absolute;left:3448;top:5454;width:7232;height:394" coordorigin="3448,5454" coordsize="7232,394">
              <v:shape style="position:absolute;left:3448;top:5454;width:7232;height:394" coordorigin="3448,5454" coordsize="7232,394" path="m3448,5848l10679,5848,10679,5454,3448,5454,3448,5848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2722" w:right="0"/>
        <w:jc w:val="left"/>
        <w:rPr>
          <w:b w:val="0"/>
          <w:bCs w:val="0"/>
        </w:rPr>
      </w:pPr>
      <w:bookmarkStart w:name="第二节公司简介和主要财务指标" w:id="3"/>
      <w:bookmarkEnd w:id="3"/>
      <w:r>
        <w:rPr>
          <w:b w:val="0"/>
          <w:bCs w:val="0"/>
        </w:rPr>
      </w:r>
      <w:bookmarkStart w:name="_bookmark1" w:id="4"/>
      <w:bookmarkEnd w:id="4"/>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2286"/>
        <w:gridCol w:w="2965"/>
        <w:gridCol w:w="2144"/>
        <w:gridCol w:w="2180"/>
      </w:tblGrid>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视觉中国</w:t>
            </w:r>
          </w:p>
        </w:tc>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000681</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股票上市证券交易所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深圳证券交易所</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公司的中文名称</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视觉（中国）文化发展股份有限公司</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公司的中文简称</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视觉中国</w:t>
            </w:r>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公司的外文名称（如有）</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pacing w:val="-3"/>
                <w:sz w:val="18"/>
              </w:rPr>
              <w:t>VISUAL </w:t>
            </w:r>
            <w:r>
              <w:rPr>
                <w:rFonts w:ascii="Times New Roman"/>
                <w:sz w:val="18"/>
              </w:rPr>
              <w:t>CHINA GROUP</w:t>
            </w:r>
            <w:r>
              <w:rPr>
                <w:rFonts w:ascii="Times New Roman"/>
                <w:spacing w:val="4"/>
                <w:sz w:val="18"/>
              </w:rPr>
              <w:t> </w:t>
            </w:r>
            <w:r>
              <w:rPr>
                <w:rFonts w:ascii="Times New Roman"/>
                <w:spacing w:val="-4"/>
                <w:sz w:val="18"/>
              </w:rPr>
              <w:t>CO.,LTD.</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34"/>
              <w:jc w:val="left"/>
              <w:rPr>
                <w:rFonts w:ascii="宋体" w:hAnsi="宋体" w:cs="宋体" w:eastAsia="宋体" w:hint="default"/>
                <w:sz w:val="18"/>
                <w:szCs w:val="18"/>
              </w:rPr>
            </w:pPr>
            <w:r>
              <w:rPr>
                <w:rFonts w:ascii="宋体" w:hAnsi="宋体" w:cs="宋体" w:eastAsia="宋体" w:hint="default"/>
                <w:spacing w:val="-7"/>
                <w:sz w:val="18"/>
                <w:szCs w:val="18"/>
              </w:rPr>
              <w:t>公司的外文名称缩写（如有）</w:t>
            </w:r>
            <w:r>
              <w:rPr>
                <w:rFonts w:ascii="宋体" w:hAnsi="宋体" w:cs="宋体" w:eastAsia="宋体" w:hint="default"/>
                <w:sz w:val="18"/>
                <w:szCs w:val="18"/>
              </w:rPr>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VCG</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廖杰</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常州市武进区西太湖科技产业园禾香路 </w:t>
            </w:r>
            <w:r>
              <w:rPr>
                <w:rFonts w:ascii="Times New Roman" w:hAnsi="Times New Roman" w:cs="Times New Roman" w:eastAsia="Times New Roman" w:hint="default"/>
                <w:sz w:val="18"/>
                <w:szCs w:val="18"/>
              </w:rPr>
              <w:t>123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号</w:t>
            </w:r>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注册地址的邮政编码</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213161</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北京市朝阳区酒仙桥路 </w:t>
            </w:r>
            <w:r>
              <w:rPr>
                <w:rFonts w:ascii="Times New Roman" w:hAnsi="Times New Roman" w:cs="Times New Roman" w:eastAsia="Times New Roman" w:hint="default"/>
                <w:sz w:val="18"/>
                <w:szCs w:val="18"/>
              </w:rPr>
              <w:t>10  </w:t>
            </w:r>
            <w:r>
              <w:rPr>
                <w:rFonts w:ascii="宋体" w:hAnsi="宋体" w:cs="宋体" w:eastAsia="宋体" w:hint="default"/>
                <w:sz w:val="18"/>
                <w:szCs w:val="18"/>
              </w:rPr>
              <w:t>号院恒通国际商务园，</w:t>
            </w:r>
            <w:r>
              <w:rPr>
                <w:rFonts w:ascii="Times New Roman" w:hAnsi="Times New Roman" w:cs="Times New Roman" w:eastAsia="Times New Roman" w:hint="default"/>
                <w:sz w:val="18"/>
                <w:szCs w:val="18"/>
              </w:rPr>
              <w:t>B5/B8</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办公地址的邮政编码</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100015</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9">
              <w:r>
                <w:rPr>
                  <w:rFonts w:ascii="Times New Roman"/>
                  <w:spacing w:val="-4"/>
                  <w:sz w:val="18"/>
                </w:rPr>
                <w:t>www.vcg.com</w:t>
              </w:r>
            </w:hyperlink>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0">
              <w:r>
                <w:rPr>
                  <w:rFonts w:ascii="Times New Roman"/>
                  <w:sz w:val="18"/>
                </w:rPr>
                <w:t>000681@vcg.com</w:t>
              </w:r>
            </w:hyperlink>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6"/>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3176"/>
        <w:gridCol w:w="3193"/>
        <w:gridCol w:w="3193"/>
      </w:tblGrid>
      <w:tr>
        <w:trPr>
          <w:trHeight w:val="398"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z w:val="18"/>
                <w:szCs w:val="18"/>
              </w:rPr>
              <w:t>刘楠</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317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3" w:type="dxa"/>
            <w:vMerge w:val="restart"/>
            <w:tcBorders>
              <w:top w:val="single" w:sz="4" w:space="0" w:color="000000"/>
              <w:left w:val="single" w:sz="10" w:space="0" w:color="D2D2D2"/>
              <w:right w:val="single" w:sz="4" w:space="0" w:color="000000"/>
            </w:tcBorders>
          </w:tcPr>
          <w:p>
            <w:pPr>
              <w:pStyle w:val="TableParagraph"/>
              <w:spacing w:line="304" w:lineRule="auto" w:before="53"/>
              <w:ind w:left="16" w:right="94"/>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北京市朝阳区酒仙桥路 </w:t>
            </w:r>
            <w:r>
              <w:rPr>
                <w:rFonts w:ascii="Times New Roman" w:hAnsi="Times New Roman" w:cs="Times New Roman" w:eastAsia="Times New Roman" w:hint="default"/>
                <w:sz w:val="18"/>
                <w:szCs w:val="18"/>
              </w:rPr>
              <w:t>10 </w:t>
            </w:r>
            <w:r>
              <w:rPr>
                <w:rFonts w:ascii="宋体" w:hAnsi="宋体" w:cs="宋体" w:eastAsia="宋体" w:hint="default"/>
                <w:sz w:val="18"/>
                <w:szCs w:val="18"/>
              </w:rPr>
              <w:t>号院恒通国</w:t>
            </w:r>
            <w:r>
              <w:rPr>
                <w:rFonts w:ascii="宋体" w:hAnsi="宋体" w:cs="宋体" w:eastAsia="宋体" w:hint="default"/>
                <w:w w:val="101"/>
                <w:sz w:val="18"/>
                <w:szCs w:val="18"/>
              </w:rPr>
              <w:t> </w:t>
            </w:r>
            <w:r>
              <w:rPr>
                <w:rFonts w:ascii="宋体" w:hAnsi="宋体" w:cs="宋体" w:eastAsia="宋体" w:hint="default"/>
                <w:sz w:val="18"/>
                <w:szCs w:val="18"/>
              </w:rPr>
              <w:t>际商务园，</w:t>
            </w:r>
            <w:r>
              <w:rPr>
                <w:rFonts w:ascii="Times New Roman" w:hAnsi="Times New Roman" w:cs="Times New Roman" w:eastAsia="Times New Roman" w:hint="default"/>
                <w:sz w:val="18"/>
                <w:szCs w:val="18"/>
              </w:rPr>
              <w:t>B5/B8</w:t>
            </w:r>
          </w:p>
        </w:tc>
        <w:tc>
          <w:tcPr>
            <w:tcW w:w="3193" w:type="dxa"/>
            <w:vMerge w:val="restart"/>
            <w:tcBorders>
              <w:top w:val="single" w:sz="4" w:space="0" w:color="000000"/>
              <w:left w:val="single" w:sz="4" w:space="0" w:color="000000"/>
              <w:right w:val="single" w:sz="4" w:space="0" w:color="000000"/>
            </w:tcBorders>
          </w:tcPr>
          <w:p>
            <w:pPr/>
          </w:p>
        </w:tc>
      </w:tr>
      <w:tr>
        <w:trPr>
          <w:trHeight w:val="389" w:hRule="exact"/>
        </w:trPr>
        <w:tc>
          <w:tcPr>
            <w:tcW w:w="31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3" w:type="dxa"/>
            <w:vMerge/>
            <w:tcBorders>
              <w:left w:val="single" w:sz="10" w:space="0" w:color="D2D2D2"/>
              <w:right w:val="single" w:sz="4" w:space="0" w:color="000000"/>
            </w:tcBorders>
          </w:tcPr>
          <w:p>
            <w:pPr/>
          </w:p>
        </w:tc>
        <w:tc>
          <w:tcPr>
            <w:tcW w:w="3193" w:type="dxa"/>
            <w:vMerge/>
            <w:tcBorders>
              <w:left w:val="single" w:sz="4" w:space="0" w:color="000000"/>
              <w:right w:val="single" w:sz="4" w:space="0" w:color="000000"/>
            </w:tcBorders>
          </w:tcPr>
          <w:p>
            <w:pPr/>
          </w:p>
        </w:tc>
      </w:tr>
      <w:tr>
        <w:trPr>
          <w:trHeight w:val="163" w:hRule="exact"/>
        </w:trPr>
        <w:tc>
          <w:tcPr>
            <w:tcW w:w="3176"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3" w:type="dxa"/>
            <w:vMerge/>
            <w:tcBorders>
              <w:left w:val="single" w:sz="10" w:space="0" w:color="D2D2D2"/>
              <w:bottom w:val="single" w:sz="4" w:space="0" w:color="000000"/>
              <w:right w:val="single" w:sz="4" w:space="0" w:color="000000"/>
            </w:tcBorders>
          </w:tcPr>
          <w:p>
            <w:pPr/>
          </w:p>
        </w:tc>
        <w:tc>
          <w:tcPr>
            <w:tcW w:w="3193" w:type="dxa"/>
            <w:vMerge/>
            <w:tcBorders>
              <w:left w:val="single" w:sz="4" w:space="0" w:color="000000"/>
              <w:bottom w:val="single" w:sz="4" w:space="0" w:color="000000"/>
              <w:right w:val="single" w:sz="4" w:space="0" w:color="000000"/>
            </w:tcBorders>
          </w:tcPr>
          <w:p>
            <w:pP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16" w:right="0"/>
              <w:jc w:val="left"/>
              <w:rPr>
                <w:rFonts w:ascii="Times New Roman" w:hAnsi="Times New Roman" w:cs="Times New Roman" w:eastAsia="Times New Roman" w:hint="default"/>
                <w:sz w:val="18"/>
                <w:szCs w:val="18"/>
              </w:rPr>
            </w:pPr>
            <w:r>
              <w:rPr>
                <w:rFonts w:ascii="Times New Roman"/>
                <w:sz w:val="18"/>
              </w:rPr>
              <w:t>010-64376780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16" w:right="0"/>
              <w:jc w:val="left"/>
              <w:rPr>
                <w:rFonts w:ascii="Times New Roman" w:hAnsi="Times New Roman" w:cs="Times New Roman" w:eastAsia="Times New Roman" w:hint="default"/>
                <w:sz w:val="18"/>
                <w:szCs w:val="18"/>
              </w:rPr>
            </w:pPr>
            <w:r>
              <w:rPr>
                <w:rFonts w:ascii="Times New Roman"/>
                <w:sz w:val="18"/>
              </w:rPr>
              <w:t>010-57950213</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16" w:right="0"/>
              <w:jc w:val="left"/>
              <w:rPr>
                <w:rFonts w:ascii="Times New Roman" w:hAnsi="Times New Roman" w:cs="Times New Roman" w:eastAsia="Times New Roman" w:hint="default"/>
                <w:sz w:val="18"/>
                <w:szCs w:val="18"/>
              </w:rPr>
            </w:pPr>
            <w:hyperlink r:id="rId10">
              <w:r>
                <w:rPr>
                  <w:rFonts w:ascii="Times New Roman"/>
                  <w:sz w:val="18"/>
                </w:rPr>
                <w:t>000681@vcg.com</w:t>
              </w:r>
            </w:hyperlink>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983"/>
        <w:gridCol w:w="5587"/>
      </w:tblGrid>
      <w:tr>
        <w:trPr>
          <w:trHeight w:val="398" w:hRule="exact"/>
        </w:trPr>
        <w:tc>
          <w:tcPr>
            <w:tcW w:w="3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公司选定的信息披露媒体的名称</w:t>
            </w:r>
          </w:p>
        </w:tc>
        <w:tc>
          <w:tcPr>
            <w:tcW w:w="55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中</w:t>
            </w:r>
            <w:r>
              <w:rPr>
                <w:rFonts w:ascii="宋体" w:hAnsi="宋体" w:cs="宋体" w:eastAsia="宋体" w:hint="default"/>
                <w:w w:val="101"/>
                <w:sz w:val="18"/>
                <w:szCs w:val="18"/>
              </w:rPr>
              <w:t>国</w:t>
            </w:r>
            <w:r>
              <w:rPr>
                <w:rFonts w:ascii="宋体" w:hAnsi="宋体" w:cs="宋体" w:eastAsia="宋体" w:hint="default"/>
                <w:spacing w:val="-5"/>
                <w:w w:val="101"/>
                <w:sz w:val="18"/>
                <w:szCs w:val="18"/>
              </w:rPr>
              <w:t>证</w:t>
            </w:r>
            <w:r>
              <w:rPr>
                <w:rFonts w:ascii="宋体" w:hAnsi="宋体" w:cs="宋体" w:eastAsia="宋体" w:hint="default"/>
                <w:w w:val="101"/>
                <w:sz w:val="18"/>
                <w:szCs w:val="18"/>
              </w:rPr>
              <w:t>券报</w:t>
            </w:r>
            <w:r>
              <w:rPr>
                <w:rFonts w:ascii="宋体" w:hAnsi="宋体" w:cs="宋体" w:eastAsia="宋体" w:hint="default"/>
                <w:spacing w:val="-96"/>
                <w:w w:val="101"/>
                <w:sz w:val="18"/>
                <w:szCs w:val="18"/>
              </w:rPr>
              <w:t>》</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日报</w:t>
            </w:r>
            <w:r>
              <w:rPr>
                <w:rFonts w:ascii="宋体" w:hAnsi="宋体" w:cs="宋体" w:eastAsia="宋体" w:hint="default"/>
                <w:spacing w:val="-96"/>
                <w:w w:val="101"/>
                <w:sz w:val="18"/>
                <w:szCs w:val="18"/>
              </w:rPr>
              <w:t>》</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上</w:t>
            </w:r>
            <w:r>
              <w:rPr>
                <w:rFonts w:ascii="宋体" w:hAnsi="宋体" w:cs="宋体" w:eastAsia="宋体" w:hint="default"/>
                <w:spacing w:val="-5"/>
                <w:w w:val="101"/>
                <w:sz w:val="18"/>
                <w:szCs w:val="18"/>
              </w:rPr>
              <w:t>海</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巨</w:t>
            </w:r>
            <w:r>
              <w:rPr>
                <w:rFonts w:ascii="宋体" w:hAnsi="宋体" w:cs="宋体" w:eastAsia="宋体" w:hint="default"/>
                <w:spacing w:val="-5"/>
                <w:w w:val="101"/>
                <w:sz w:val="18"/>
                <w:szCs w:val="18"/>
              </w:rPr>
              <w:t>潮</w:t>
            </w:r>
            <w:r>
              <w:rPr>
                <w:rFonts w:ascii="宋体" w:hAnsi="宋体" w:cs="宋体" w:eastAsia="宋体" w:hint="default"/>
                <w:w w:val="101"/>
                <w:sz w:val="18"/>
                <w:szCs w:val="18"/>
              </w:rPr>
              <w:t>资</w:t>
            </w:r>
            <w:r>
              <w:rPr>
                <w:rFonts w:ascii="宋体" w:hAnsi="宋体" w:cs="宋体" w:eastAsia="宋体" w:hint="default"/>
                <w:spacing w:val="-5"/>
                <w:w w:val="101"/>
                <w:sz w:val="18"/>
                <w:szCs w:val="18"/>
              </w:rPr>
              <w:t>讯</w:t>
            </w:r>
            <w:r>
              <w:rPr>
                <w:rFonts w:ascii="宋体" w:hAnsi="宋体" w:cs="宋体" w:eastAsia="宋体" w:hint="default"/>
                <w:w w:val="101"/>
                <w:sz w:val="18"/>
                <w:szCs w:val="18"/>
              </w:rPr>
              <w:t>网</w:t>
            </w:r>
            <w:r>
              <w:rPr>
                <w:rFonts w:ascii="宋体" w:hAnsi="宋体" w:cs="宋体" w:eastAsia="宋体" w:hint="default"/>
                <w:sz w:val="18"/>
                <w:szCs w:val="18"/>
              </w:rPr>
            </w:r>
          </w:p>
        </w:tc>
      </w:tr>
      <w:tr>
        <w:trPr>
          <w:trHeight w:val="403" w:hRule="exact"/>
        </w:trPr>
        <w:tc>
          <w:tcPr>
            <w:tcW w:w="3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登载年度报告的中国证监会指定网站的网址</w:t>
            </w:r>
          </w:p>
        </w:tc>
        <w:tc>
          <w:tcPr>
            <w:tcW w:w="55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hyperlink r:id="rId11">
              <w:r>
                <w:rPr>
                  <w:rFonts w:ascii="Times New Roman"/>
                  <w:spacing w:val="-3"/>
                  <w:sz w:val="18"/>
                </w:rPr>
                <w:t>http://www.cninfo.com.cn</w:t>
              </w:r>
            </w:hyperlink>
          </w:p>
        </w:tc>
      </w:tr>
      <w:tr>
        <w:trPr>
          <w:trHeight w:val="404" w:hRule="exact"/>
        </w:trPr>
        <w:tc>
          <w:tcPr>
            <w:tcW w:w="3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北京市朝阳区酒仙桥路 </w:t>
            </w:r>
            <w:r>
              <w:rPr>
                <w:rFonts w:ascii="Times New Roman" w:hAnsi="Times New Roman" w:cs="Times New Roman" w:eastAsia="Times New Roman" w:hint="default"/>
                <w:sz w:val="18"/>
                <w:szCs w:val="18"/>
              </w:rPr>
              <w:t>10  </w:t>
            </w:r>
            <w:r>
              <w:rPr>
                <w:rFonts w:ascii="宋体" w:hAnsi="宋体" w:cs="宋体" w:eastAsia="宋体" w:hint="default"/>
                <w:spacing w:val="-3"/>
                <w:sz w:val="18"/>
                <w:szCs w:val="18"/>
              </w:rPr>
              <w:t>号院恒通国际商务园 </w:t>
            </w:r>
            <w:r>
              <w:rPr>
                <w:rFonts w:ascii="Times New Roman" w:hAnsi="Times New Roman" w:cs="Times New Roman" w:eastAsia="Times New Roman" w:hint="default"/>
                <w:sz w:val="18"/>
                <w:szCs w:val="18"/>
              </w:rPr>
              <w:t>B5 </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董事会办公室</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0"/>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0"/>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193"/>
        <w:gridCol w:w="6377"/>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91320400608117856C</w:t>
            </w:r>
          </w:p>
        </w:tc>
      </w:tr>
      <w:tr>
        <w:trPr>
          <w:trHeight w:val="71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94"/>
              <w:jc w:val="left"/>
              <w:rPr>
                <w:rFonts w:ascii="宋体" w:hAnsi="宋体" w:cs="宋体" w:eastAsia="宋体" w:hint="default"/>
                <w:sz w:val="18"/>
                <w:szCs w:val="18"/>
              </w:rPr>
            </w:pPr>
            <w:r>
              <w:rPr>
                <w:rFonts w:ascii="宋体" w:hAnsi="宋体" w:cs="宋体" w:eastAsia="宋体" w:hint="default"/>
                <w:spacing w:val="-3"/>
                <w:sz w:val="18"/>
                <w:szCs w:val="18"/>
              </w:rPr>
              <w:t>公司上市以来主营业务的变化情况（如</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有）</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报告期内无变更</w:t>
            </w:r>
          </w:p>
        </w:tc>
      </w:tr>
      <w:tr>
        <w:trPr>
          <w:trHeight w:val="1652"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历次控股股东的变更情况（如有）</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12"/>
              <w:jc w:val="both"/>
              <w:rPr>
                <w:rFonts w:ascii="宋体" w:hAnsi="宋体" w:cs="宋体" w:eastAsia="宋体" w:hint="default"/>
                <w:sz w:val="18"/>
                <w:szCs w:val="18"/>
              </w:rPr>
            </w:pPr>
            <w:r>
              <w:rPr>
                <w:rFonts w:ascii="宋体" w:hAnsi="宋体" w:cs="宋体" w:eastAsia="宋体" w:hint="default"/>
                <w:spacing w:val="-3"/>
                <w:sz w:val="18"/>
                <w:szCs w:val="18"/>
              </w:rPr>
              <w:t>本报告期内，公司控股股东由廖道训、吴玉瑞、吴春红、柴继军、姜海林、陈智</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pacing w:val="-3"/>
                <w:sz w:val="18"/>
                <w:szCs w:val="18"/>
              </w:rPr>
              <w:t>华、袁闯、李学凌、 </w:t>
            </w:r>
            <w:r>
              <w:rPr>
                <w:rFonts w:ascii="宋体" w:hAnsi="宋体" w:cs="宋体" w:eastAsia="宋体" w:hint="default"/>
                <w:sz w:val="18"/>
                <w:szCs w:val="18"/>
              </w:rPr>
              <w:t>高玮、梁世平 </w:t>
            </w:r>
            <w:r>
              <w:rPr>
                <w:rFonts w:ascii="Times New Roman" w:hAnsi="Times New Roman" w:cs="Times New Roman" w:eastAsia="Times New Roman" w:hint="default"/>
                <w:sz w:val="18"/>
                <w:szCs w:val="18"/>
              </w:rPr>
              <w:t>10 </w:t>
            </w:r>
            <w:r>
              <w:rPr>
                <w:rFonts w:ascii="宋体" w:hAnsi="宋体" w:cs="宋体" w:eastAsia="宋体" w:hint="default"/>
                <w:spacing w:val="-3"/>
                <w:sz w:val="18"/>
                <w:szCs w:val="18"/>
              </w:rPr>
              <w:t>名一致行动人变更为廖道训、吴玉瑞、吴</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10"/>
                <w:sz w:val="18"/>
                <w:szCs w:val="18"/>
              </w:rPr>
              <w:t>春红、柴继军、梁世平</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名一致行动人。详见公司于</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9"/>
                <w:sz w:val="18"/>
                <w:szCs w:val="18"/>
              </w:rPr>
              <w:t> </w:t>
            </w:r>
            <w:r>
              <w:rPr>
                <w:rFonts w:ascii="宋体" w:hAnsi="宋体" w:cs="宋体" w:eastAsia="宋体" w:hint="default"/>
                <w:spacing w:val="-9"/>
                <w:sz w:val="18"/>
                <w:szCs w:val="18"/>
              </w:rPr>
              <w:t>日披露的《视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觉中国：关于控股股东、实际控制人一致行动关系部分解除暨控股股东、实际控</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pacing w:val="-2"/>
                <w:w w:val="101"/>
                <w:sz w:val="18"/>
                <w:szCs w:val="18"/>
              </w:rPr>
              <w:t>制人变更的提示性公告</w:t>
            </w:r>
            <w:r>
              <w:rPr>
                <w:rFonts w:ascii="宋体" w:hAnsi="宋体" w:cs="宋体" w:eastAsia="宋体" w:hint="default"/>
                <w:spacing w:val="-8"/>
                <w:w w:val="101"/>
                <w:sz w:val="18"/>
                <w:szCs w:val="18"/>
              </w:rPr>
              <w:t> </w:t>
            </w:r>
            <w:r>
              <w:rPr>
                <w:rFonts w:ascii="宋体" w:hAnsi="宋体" w:cs="宋体" w:eastAsia="宋体" w:hint="default"/>
                <w:spacing w:val="-18"/>
                <w:w w:val="101"/>
                <w:sz w:val="18"/>
                <w:szCs w:val="18"/>
              </w:rPr>
              <w:t>》（公告编号：</w:t>
            </w:r>
            <w:r>
              <w:rPr>
                <w:rFonts w:ascii="Times New Roman" w:hAnsi="Times New Roman" w:cs="Times New Roman" w:eastAsia="Times New Roman" w:hint="default"/>
                <w:spacing w:val="-18"/>
                <w:w w:val="101"/>
                <w:sz w:val="18"/>
                <w:szCs w:val="18"/>
              </w:rPr>
              <w:t>2019-062</w:t>
            </w:r>
            <w:r>
              <w:rPr>
                <w:rFonts w:ascii="宋体" w:hAnsi="宋体" w:cs="宋体" w:eastAsia="宋体" w:hint="default"/>
                <w:spacing w:val="-18"/>
                <w:w w:val="101"/>
                <w:sz w:val="18"/>
                <w:szCs w:val="18"/>
              </w:rPr>
              <w:t>）。</w:t>
            </w:r>
            <w:r>
              <w:rPr>
                <w:rFonts w:ascii="宋体" w:hAnsi="宋体" w:cs="宋体" w:eastAsia="宋体" w:hint="default"/>
                <w:sz w:val="18"/>
                <w:szCs w:val="18"/>
              </w:rPr>
            </w:r>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3"/>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公司聘请的会计师事务所</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65"/>
        <w:gridCol w:w="6905"/>
      </w:tblGrid>
      <w:tr>
        <w:trPr>
          <w:trHeight w:val="398"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中审众环会计师事务所（特殊普通合伙）</w:t>
            </w: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武汉市武昌东湖路</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号众环大厦</w:t>
            </w: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签字会计师姓名</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黄丽琼</w:t>
            </w:r>
            <w:r>
              <w:rPr>
                <w:rFonts w:ascii="宋体" w:hAnsi="宋体" w:cs="宋体" w:eastAsia="宋体" w:hint="default"/>
                <w:spacing w:val="5"/>
                <w:sz w:val="18"/>
                <w:szCs w:val="18"/>
              </w:rPr>
              <w:t> </w:t>
            </w:r>
            <w:r>
              <w:rPr>
                <w:rFonts w:ascii="宋体" w:hAnsi="宋体" w:cs="宋体" w:eastAsia="宋体" w:hint="default"/>
                <w:sz w:val="18"/>
                <w:szCs w:val="18"/>
              </w:rPr>
              <w:t>安素强</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公司聘请的报告期内履行持续督导职责的保荐机构</w:t>
      </w:r>
    </w:p>
    <w:p>
      <w:pPr>
        <w:spacing w:line="338" w:lineRule="auto" w:before="119"/>
        <w:ind w:left="153" w:right="628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公司聘请的报告期内履行持续督导职责的财务顾问</w:t>
      </w:r>
    </w:p>
    <w:p>
      <w:pPr>
        <w:spacing w:before="4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8"/>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公司是否需追溯调整或重述以前年度会计数据</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7"/>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0"/>
        <w:gridCol w:w="1738"/>
        <w:gridCol w:w="1738"/>
        <w:gridCol w:w="1738"/>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pacing w:val="-3"/>
                <w:sz w:val="18"/>
                <w:szCs w:val="18"/>
              </w:rPr>
              <w:t>本年比上年增减</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营业收入（元）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722,107,028.63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987,837,517.43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-26.90%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814,550,615.82</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219,048,159.38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321,211,367.56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290,820,917.16</w:t>
            </w:r>
          </w:p>
        </w:tc>
      </w:tr>
      <w:tr>
        <w:trPr>
          <w:trHeight w:val="710"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48"/>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归属于上市公司股东的扣除非经</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常性损益的净利润（元）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201,293,794.74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333,168,439.75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288,244,783.14</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p>
            <w:pPr>
              <w:pStyle w:val="TableParagraph"/>
              <w:spacing w:line="240" w:lineRule="auto" w:before="81"/>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92,621,459.41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291,049,483.11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250,127,629.88</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0.3127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0.4585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0.4151</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稀释每股收益（元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0.3127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0.4585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0.4151</w:t>
            </w:r>
          </w:p>
        </w:tc>
      </w:tr>
      <w:tr>
        <w:trPr>
          <w:trHeight w:val="399"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3"/>
                <w:sz w:val="18"/>
              </w:rPr>
              <w:t>11.80%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-4.44%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3"/>
                <w:sz w:val="18"/>
              </w:rPr>
              <w:t>11.96%</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pacing w:val="-3"/>
                <w:sz w:val="18"/>
                <w:szCs w:val="18"/>
              </w:rPr>
              <w:t>本年末比上年末增减</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4,117,179,172.16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4,230,024,683.76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-2.67%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4,093,379,032.36</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22"/>
        <w:gridCol w:w="1738"/>
        <w:gridCol w:w="1738"/>
        <w:gridCol w:w="1738"/>
        <w:gridCol w:w="1738"/>
      </w:tblGrid>
      <w:tr>
        <w:trPr>
          <w:trHeight w:val="715"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归属于上市公司股东的净资产</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3,073,699,436.25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pacing w:val="-2"/>
                <w:sz w:val="18"/>
              </w:rPr>
              <w:t>2,890,114,062.64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2,566,412,776.53</w:t>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1"/>
        <w:rPr>
          <w:rFonts w:ascii="宋体" w:hAnsi="宋体" w:cs="宋体" w:eastAsia="宋体" w:hint="default"/>
          <w:b/>
          <w:bCs/>
          <w:sz w:val="27"/>
          <w:szCs w:val="27"/>
        </w:rPr>
      </w:pPr>
    </w:p>
    <w:p>
      <w:pPr>
        <w:spacing w:line="338" w:lineRule="auto" w:before="0"/>
        <w:ind w:left="153" w:right="211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公司报告期不存在按照国际会计准则与按照中国会计准则披露的财务报告中净利润和净资产差异情况。</w:t>
      </w:r>
    </w:p>
    <w:p>
      <w:pPr>
        <w:spacing w:line="240" w:lineRule="auto" w:before="0"/>
        <w:rPr>
          <w:rFonts w:ascii="宋体" w:hAnsi="宋体" w:cs="宋体" w:eastAsia="宋体" w:hint="default"/>
          <w:sz w:val="21"/>
          <w:szCs w:val="21"/>
        </w:rPr>
      </w:pPr>
    </w:p>
    <w:p>
      <w:pPr>
        <w:pStyle w:val="Heading4"/>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line="343" w:lineRule="auto" w:before="0"/>
        <w:ind w:left="153" w:right="211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公司报告期不存在按照境外会计准则与按照中国会计准则披露的财务报告中净利润和净资产差异情况。</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5"/>
        <w:gridCol w:w="1738"/>
        <w:gridCol w:w="1738"/>
        <w:gridCol w:w="1733"/>
      </w:tblGrid>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163,895,222.11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238,247,284.52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183,406,490.01</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136,558,031.99</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tc>
        <w:tc>
          <w:tcPr>
            <w:tcW w:w="1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57,557,184.51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75,005,161.87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82,216,519.14</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4,269,293.86</w:t>
            </w:r>
          </w:p>
        </w:tc>
      </w:tr>
      <w:tr>
        <w:trPr>
          <w:trHeight w:val="710"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48"/>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归属于上市公司股东的扣除非经</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常性损益的净利润</w:t>
            </w:r>
          </w:p>
        </w:tc>
        <w:tc>
          <w:tcPr>
            <w:tcW w:w="1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56,343,521.76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74,549,844.39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82,216,519.14</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-11,816,090.55</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1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32,958,806.74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10,115,383.75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44,394,609.87</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5,152,659.05</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上述财务指标或其加总数是否与公司已披露季度报告、半年度报告相关财务指标存在重大差异</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1"/>
        <w:rPr>
          <w:rFonts w:ascii="宋体" w:hAnsi="宋体" w:cs="宋体" w:eastAsia="宋体" w:hint="default"/>
          <w:b/>
          <w:bCs/>
          <w:sz w:val="24"/>
          <w:szCs w:val="24"/>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5"/>
        <w:gridCol w:w="1530"/>
        <w:gridCol w:w="1522"/>
        <w:gridCol w:w="1522"/>
        <w:gridCol w:w="1709"/>
      </w:tblGrid>
      <w:tr>
        <w:trPr>
          <w:trHeight w:val="403"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1"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5"/>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非流动资产处置损益（包括已计提资产减</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值准备的冲销部分）</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1,534,868.28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-16,035,402.13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1,264,123.38</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5"/>
              <w:jc w:val="both"/>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切相关，按照国家统一标准定额或定量享</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受的政府补助除外）</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1,151,500.00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4,400,000.00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2,015,066.46</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1301"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5"/>
              <w:jc w:val="both"/>
              <w:rPr>
                <w:rFonts w:ascii="宋体" w:hAnsi="宋体" w:cs="宋体" w:eastAsia="宋体" w:hint="default"/>
                <w:sz w:val="18"/>
                <w:szCs w:val="18"/>
              </w:rPr>
            </w:pPr>
            <w:r>
              <w:rPr>
                <w:rFonts w:ascii="宋体" w:hAnsi="宋体" w:cs="宋体" w:eastAsia="宋体" w:hint="default"/>
                <w:spacing w:val="-3"/>
                <w:sz w:val="18"/>
                <w:szCs w:val="18"/>
              </w:rPr>
              <w:t>除同公司正常经营业务相关的有效套期保</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值业务外，持有交易性金融资产、衍生金</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融资产、交易性金融负债、衍生金融负债</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产生的公允价值变动损益，以及处置交易</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21,253,266.28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675,471.03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-628,740.00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300" w:lineRule="auto"/>
              <w:ind w:left="23" w:right="98"/>
              <w:jc w:val="left"/>
              <w:rPr>
                <w:rFonts w:ascii="宋体" w:hAnsi="宋体" w:cs="宋体" w:eastAsia="宋体" w:hint="default"/>
                <w:sz w:val="18"/>
                <w:szCs w:val="18"/>
              </w:rPr>
            </w:pPr>
            <w:r>
              <w:rPr>
                <w:rFonts w:ascii="宋体" w:hAnsi="宋体" w:cs="宋体" w:eastAsia="宋体" w:hint="default"/>
                <w:sz w:val="18"/>
                <w:szCs w:val="18"/>
              </w:rPr>
              <w:t>详见附注七、</w:t>
            </w:r>
            <w:r>
              <w:rPr>
                <w:rFonts w:ascii="Times New Roman" w:hAnsi="Times New Roman" w:cs="Times New Roman" w:eastAsia="Times New Roman" w:hint="default"/>
                <w:sz w:val="18"/>
                <w:szCs w:val="18"/>
              </w:rPr>
              <w:t>2 </w:t>
            </w:r>
            <w:r>
              <w:rPr>
                <w:rFonts w:ascii="宋体" w:hAnsi="宋体" w:cs="宋体" w:eastAsia="宋体" w:hint="default"/>
                <w:spacing w:val="-5"/>
                <w:sz w:val="18"/>
                <w:szCs w:val="18"/>
              </w:rPr>
              <w:t>交易</w:t>
            </w:r>
            <w:r>
              <w:rPr>
                <w:rFonts w:ascii="宋体" w:hAnsi="宋体" w:cs="宋体" w:eastAsia="宋体" w:hint="default"/>
                <w:spacing w:val="-82"/>
                <w:sz w:val="18"/>
                <w:szCs w:val="18"/>
              </w:rPr>
              <w:t> </w:t>
            </w:r>
            <w:r>
              <w:rPr>
                <w:rFonts w:ascii="宋体" w:hAnsi="宋体" w:cs="宋体" w:eastAsia="宋体" w:hint="default"/>
                <w:sz w:val="18"/>
                <w:szCs w:val="18"/>
              </w:rPr>
              <w:t>性金融资产</w:t>
            </w:r>
          </w:p>
        </w:tc>
      </w:tr>
    </w:tbl>
    <w:p>
      <w:pPr>
        <w:spacing w:after="0" w:line="30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299"/>
        <w:gridCol w:w="1517"/>
        <w:gridCol w:w="1522"/>
        <w:gridCol w:w="1522"/>
        <w:gridCol w:w="1709"/>
      </w:tblGrid>
      <w:tr>
        <w:trPr>
          <w:trHeight w:val="984"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4" w:right="18"/>
              <w:jc w:val="both"/>
              <w:rPr>
                <w:rFonts w:ascii="宋体" w:hAnsi="宋体" w:cs="宋体" w:eastAsia="宋体" w:hint="default"/>
                <w:sz w:val="18"/>
                <w:szCs w:val="18"/>
              </w:rPr>
            </w:pPr>
            <w:r>
              <w:rPr>
                <w:rFonts w:ascii="宋体" w:hAnsi="宋体" w:cs="宋体" w:eastAsia="宋体" w:hint="default"/>
                <w:spacing w:val="-3"/>
                <w:sz w:val="18"/>
                <w:szCs w:val="18"/>
              </w:rPr>
              <w:t>性金融资产、衍生金融资产、交易性金融</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负债、衍生金融负债和其他债权投资取得</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的投资收益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4" w:right="18"/>
              <w:jc w:val="left"/>
              <w:rPr>
                <w:rFonts w:ascii="宋体" w:hAnsi="宋体" w:cs="宋体" w:eastAsia="宋体" w:hint="default"/>
                <w:sz w:val="18"/>
                <w:szCs w:val="18"/>
              </w:rPr>
            </w:pPr>
            <w:r>
              <w:rPr>
                <w:rFonts w:ascii="宋体" w:hAnsi="宋体" w:cs="宋体" w:eastAsia="宋体" w:hint="default"/>
                <w:spacing w:val="-3"/>
                <w:sz w:val="18"/>
                <w:szCs w:val="18"/>
              </w:rPr>
              <w:t>单独进行减值测试的应收款项、合同资产</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减值准备转回</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59,980.00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360,000.00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-457,380.41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-194,575.84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-275,145.18</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其他符合非经常性损益定义的损益项目</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1,673,866.57</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5,807,383.29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1,023,329.48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932,965.44</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少数股东权益影响额（税后）</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-19,513.78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139,235.77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540,071.77</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17,754,364.64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-11,957,072.19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2,576,134.02</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w w:val="101"/>
          <w:sz w:val="18"/>
          <w:szCs w:val="18"/>
        </w:rPr>
        <w:t>对</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根</w:t>
      </w:r>
      <w:r>
        <w:rPr>
          <w:rFonts w:ascii="宋体" w:hAnsi="宋体" w:cs="宋体" w:eastAsia="宋体" w:hint="default"/>
          <w:spacing w:val="-68"/>
          <w:w w:val="101"/>
          <w:sz w:val="18"/>
          <w:szCs w:val="18"/>
        </w:rPr>
        <w:t>据</w:t>
      </w: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开</w:t>
      </w:r>
      <w:r>
        <w:rPr>
          <w:rFonts w:ascii="宋体" w:hAnsi="宋体" w:cs="宋体" w:eastAsia="宋体" w:hint="default"/>
          <w:spacing w:val="-5"/>
          <w:w w:val="101"/>
          <w:sz w:val="18"/>
          <w:szCs w:val="18"/>
        </w:rPr>
        <w:t>发</w:t>
      </w:r>
      <w:r>
        <w:rPr>
          <w:rFonts w:ascii="宋体" w:hAnsi="宋体" w:cs="宋体" w:eastAsia="宋体" w:hint="default"/>
          <w:w w:val="101"/>
          <w:sz w:val="18"/>
          <w:szCs w:val="18"/>
        </w:rPr>
        <w:t>行</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的</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信</w:t>
      </w:r>
      <w:r>
        <w:rPr>
          <w:rFonts w:ascii="宋体" w:hAnsi="宋体" w:cs="宋体" w:eastAsia="宋体" w:hint="default"/>
          <w:spacing w:val="-5"/>
          <w:w w:val="101"/>
          <w:sz w:val="18"/>
          <w:szCs w:val="18"/>
        </w:rPr>
        <w:t>息</w:t>
      </w:r>
      <w:r>
        <w:rPr>
          <w:rFonts w:ascii="宋体" w:hAnsi="宋体" w:cs="宋体" w:eastAsia="宋体" w:hint="default"/>
          <w:w w:val="101"/>
          <w:sz w:val="18"/>
          <w:szCs w:val="18"/>
        </w:rPr>
        <w:t>披</w:t>
      </w:r>
      <w:r>
        <w:rPr>
          <w:rFonts w:ascii="宋体" w:hAnsi="宋体" w:cs="宋体" w:eastAsia="宋体" w:hint="default"/>
          <w:spacing w:val="-5"/>
          <w:w w:val="101"/>
          <w:sz w:val="18"/>
          <w:szCs w:val="18"/>
        </w:rPr>
        <w:t>露</w:t>
      </w:r>
      <w:r>
        <w:rPr>
          <w:rFonts w:ascii="宋体" w:hAnsi="宋体" w:cs="宋体" w:eastAsia="宋体" w:hint="default"/>
          <w:w w:val="101"/>
          <w:sz w:val="18"/>
          <w:szCs w:val="18"/>
        </w:rPr>
        <w:t>解</w:t>
      </w:r>
      <w:r>
        <w:rPr>
          <w:rFonts w:ascii="宋体" w:hAnsi="宋体" w:cs="宋体" w:eastAsia="宋体" w:hint="default"/>
          <w:spacing w:val="-5"/>
          <w:w w:val="101"/>
          <w:sz w:val="18"/>
          <w:szCs w:val="18"/>
        </w:rPr>
        <w:t>释</w:t>
      </w:r>
      <w:r>
        <w:rPr>
          <w:rFonts w:ascii="宋体" w:hAnsi="宋体" w:cs="宋体" w:eastAsia="宋体" w:hint="default"/>
          <w:w w:val="101"/>
          <w:sz w:val="18"/>
          <w:szCs w:val="18"/>
        </w:rPr>
        <w:t>性</w:t>
      </w:r>
      <w:r>
        <w:rPr>
          <w:rFonts w:ascii="宋体" w:hAnsi="宋体" w:cs="宋体" w:eastAsia="宋体" w:hint="default"/>
          <w:spacing w:val="-5"/>
          <w:w w:val="101"/>
          <w:sz w:val="18"/>
          <w:szCs w:val="18"/>
        </w:rPr>
        <w:t>公</w:t>
      </w:r>
      <w:r>
        <w:rPr>
          <w:rFonts w:ascii="宋体" w:hAnsi="宋体" w:cs="宋体" w:eastAsia="宋体" w:hint="default"/>
          <w:w w:val="101"/>
          <w:sz w:val="18"/>
          <w:szCs w:val="18"/>
        </w:rPr>
        <w:t>告第</w:t>
      </w:r>
      <w:r>
        <w:rPr>
          <w:rFonts w:ascii="宋体" w:hAnsi="宋体" w:cs="宋体" w:eastAsia="宋体" w:hint="default"/>
          <w:spacing w:val="-46"/>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号</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非</w:t>
      </w:r>
      <w:r>
        <w:rPr>
          <w:rFonts w:ascii="宋体" w:hAnsi="宋体" w:cs="宋体" w:eastAsia="宋体" w:hint="default"/>
          <w:spacing w:val="-5"/>
          <w:w w:val="101"/>
          <w:sz w:val="18"/>
          <w:szCs w:val="18"/>
        </w:rPr>
        <w:t>经</w:t>
      </w:r>
      <w:r>
        <w:rPr>
          <w:rFonts w:ascii="宋体" w:hAnsi="宋体" w:cs="宋体" w:eastAsia="宋体" w:hint="default"/>
          <w:w w:val="101"/>
          <w:sz w:val="18"/>
          <w:szCs w:val="18"/>
        </w:rPr>
        <w:t>常</w:t>
      </w:r>
      <w:r>
        <w:rPr>
          <w:rFonts w:ascii="宋体" w:hAnsi="宋体" w:cs="宋体" w:eastAsia="宋体" w:hint="default"/>
          <w:spacing w:val="-5"/>
          <w:w w:val="101"/>
          <w:sz w:val="18"/>
          <w:szCs w:val="18"/>
        </w:rPr>
        <w:t>性</w:t>
      </w:r>
      <w:r>
        <w:rPr>
          <w:rFonts w:ascii="宋体" w:hAnsi="宋体" w:cs="宋体" w:eastAsia="宋体" w:hint="default"/>
          <w:w w:val="101"/>
          <w:sz w:val="18"/>
          <w:szCs w:val="18"/>
        </w:rPr>
        <w:t>损益</w:t>
      </w:r>
      <w:r>
        <w:rPr>
          <w:rFonts w:ascii="宋体" w:hAnsi="宋体" w:cs="宋体" w:eastAsia="宋体" w:hint="default"/>
          <w:spacing w:val="-73"/>
          <w:w w:val="101"/>
          <w:sz w:val="18"/>
          <w:szCs w:val="18"/>
        </w:rPr>
        <w:t>》</w:t>
      </w:r>
      <w:r>
        <w:rPr>
          <w:rFonts w:ascii="宋体" w:hAnsi="宋体" w:cs="宋体" w:eastAsia="宋体" w:hint="default"/>
          <w:w w:val="101"/>
          <w:sz w:val="18"/>
          <w:szCs w:val="18"/>
        </w:rPr>
        <w:t>定</w:t>
      </w:r>
      <w:r>
        <w:rPr>
          <w:rFonts w:ascii="宋体" w:hAnsi="宋体" w:cs="宋体" w:eastAsia="宋体" w:hint="default"/>
          <w:spacing w:val="-5"/>
          <w:w w:val="101"/>
          <w:sz w:val="18"/>
          <w:szCs w:val="18"/>
        </w:rPr>
        <w:t>义</w:t>
      </w:r>
      <w:r>
        <w:rPr>
          <w:rFonts w:ascii="宋体" w:hAnsi="宋体" w:cs="宋体" w:eastAsia="宋体" w:hint="default"/>
          <w:w w:val="101"/>
          <w:sz w:val="18"/>
          <w:szCs w:val="18"/>
        </w:rPr>
        <w:t>界</w:t>
      </w:r>
      <w:r>
        <w:rPr>
          <w:rFonts w:ascii="宋体" w:hAnsi="宋体" w:cs="宋体" w:eastAsia="宋体" w:hint="default"/>
          <w:spacing w:val="-5"/>
          <w:w w:val="101"/>
          <w:sz w:val="18"/>
          <w:szCs w:val="18"/>
        </w:rPr>
        <w:t>定</w:t>
      </w:r>
      <w:r>
        <w:rPr>
          <w:rFonts w:ascii="宋体" w:hAnsi="宋体" w:cs="宋体" w:eastAsia="宋体" w:hint="default"/>
          <w:w w:val="101"/>
          <w:sz w:val="18"/>
          <w:szCs w:val="18"/>
        </w:rPr>
        <w:t>的</w:t>
      </w:r>
      <w:r>
        <w:rPr>
          <w:rFonts w:ascii="宋体" w:hAnsi="宋体" w:cs="宋体" w:eastAsia="宋体" w:hint="default"/>
          <w:spacing w:val="-5"/>
          <w:w w:val="101"/>
          <w:sz w:val="18"/>
          <w:szCs w:val="18"/>
        </w:rPr>
        <w:t>非</w:t>
      </w:r>
      <w:r>
        <w:rPr>
          <w:rFonts w:ascii="宋体" w:hAnsi="宋体" w:cs="宋体" w:eastAsia="宋体" w:hint="default"/>
          <w:w w:val="101"/>
          <w:sz w:val="18"/>
          <w:szCs w:val="18"/>
        </w:rPr>
        <w:t>经</w:t>
      </w:r>
      <w:r>
        <w:rPr>
          <w:rFonts w:ascii="宋体" w:hAnsi="宋体" w:cs="宋体" w:eastAsia="宋体" w:hint="default"/>
          <w:spacing w:val="-5"/>
          <w:w w:val="101"/>
          <w:sz w:val="18"/>
          <w:szCs w:val="18"/>
        </w:rPr>
        <w:t>常</w:t>
      </w:r>
      <w:r>
        <w:rPr>
          <w:rFonts w:ascii="宋体" w:hAnsi="宋体" w:cs="宋体" w:eastAsia="宋体" w:hint="default"/>
          <w:w w:val="101"/>
          <w:sz w:val="18"/>
          <w:szCs w:val="18"/>
        </w:rPr>
        <w:t>性</w:t>
      </w:r>
      <w:r>
        <w:rPr>
          <w:rFonts w:ascii="宋体" w:hAnsi="宋体" w:cs="宋体" w:eastAsia="宋体" w:hint="default"/>
          <w:spacing w:val="-5"/>
          <w:w w:val="101"/>
          <w:sz w:val="18"/>
          <w:szCs w:val="18"/>
        </w:rPr>
        <w:t>损</w:t>
      </w:r>
      <w:r>
        <w:rPr>
          <w:rFonts w:ascii="宋体" w:hAnsi="宋体" w:cs="宋体" w:eastAsia="宋体" w:hint="default"/>
          <w:w w:val="101"/>
          <w:sz w:val="18"/>
          <w:szCs w:val="18"/>
        </w:rPr>
        <w:t>益</w:t>
      </w:r>
      <w:r>
        <w:rPr>
          <w:rFonts w:ascii="宋体" w:hAnsi="宋体" w:cs="宋体" w:eastAsia="宋体" w:hint="default"/>
          <w:spacing w:val="-5"/>
          <w:w w:val="101"/>
          <w:sz w:val="18"/>
          <w:szCs w:val="18"/>
        </w:rPr>
        <w:t>项</w:t>
      </w:r>
      <w:r>
        <w:rPr>
          <w:rFonts w:ascii="宋体" w:hAnsi="宋体" w:cs="宋体" w:eastAsia="宋体" w:hint="default"/>
          <w:w w:val="101"/>
          <w:sz w:val="18"/>
          <w:szCs w:val="18"/>
        </w:rPr>
        <w:t>目</w:t>
      </w:r>
      <w:r>
        <w:rPr>
          <w:rFonts w:ascii="宋体" w:hAnsi="宋体" w:cs="宋体" w:eastAsia="宋体" w:hint="default"/>
          <w:spacing w:val="-68"/>
          <w:w w:val="101"/>
          <w:sz w:val="18"/>
          <w:szCs w:val="18"/>
        </w:rPr>
        <w:t>，</w:t>
      </w:r>
      <w:r>
        <w:rPr>
          <w:rFonts w:ascii="宋体" w:hAnsi="宋体" w:cs="宋体" w:eastAsia="宋体" w:hint="default"/>
          <w:spacing w:val="-5"/>
          <w:w w:val="101"/>
          <w:sz w:val="18"/>
          <w:szCs w:val="18"/>
        </w:rPr>
        <w:t>以</w:t>
      </w:r>
      <w:r>
        <w:rPr>
          <w:rFonts w:ascii="宋体" w:hAnsi="宋体" w:cs="宋体" w:eastAsia="宋体" w:hint="default"/>
          <w:w w:val="101"/>
          <w:sz w:val="18"/>
          <w:szCs w:val="18"/>
        </w:rPr>
        <w:t>及</w:t>
      </w:r>
      <w:r>
        <w:rPr>
          <w:rFonts w:ascii="宋体" w:hAnsi="宋体" w:cs="宋体" w:eastAsia="宋体" w:hint="default"/>
          <w:spacing w:val="-73"/>
          <w:w w:val="101"/>
          <w:sz w:val="18"/>
          <w:szCs w:val="18"/>
        </w:rPr>
        <w:t>把</w:t>
      </w:r>
      <w:r>
        <w:rPr>
          <w:rFonts w:ascii="宋体" w:hAnsi="宋体" w:cs="宋体" w:eastAsia="宋体" w:hint="default"/>
          <w:w w:val="101"/>
          <w:sz w:val="18"/>
          <w:szCs w:val="18"/>
        </w:rPr>
        <w:t>《公</w:t>
      </w:r>
      <w:r>
        <w:rPr>
          <w:rFonts w:ascii="宋体" w:hAnsi="宋体" w:cs="宋体" w:eastAsia="宋体" w:hint="default"/>
          <w:sz w:val="18"/>
          <w:szCs w:val="18"/>
        </w:rPr>
      </w:r>
    </w:p>
    <w:p>
      <w:pPr>
        <w:spacing w:line="304" w:lineRule="auto" w:before="58"/>
        <w:ind w:left="153" w:right="1127" w:firstLine="0"/>
        <w:jc w:val="left"/>
        <w:rPr>
          <w:rFonts w:ascii="宋体" w:hAnsi="宋体" w:cs="宋体" w:eastAsia="宋体" w:hint="default"/>
          <w:sz w:val="18"/>
          <w:szCs w:val="18"/>
        </w:rPr>
      </w:pPr>
      <w:r>
        <w:rPr>
          <w:rFonts w:ascii="宋体" w:hAnsi="宋体" w:cs="宋体" w:eastAsia="宋体" w:hint="default"/>
          <w:spacing w:val="-3"/>
          <w:sz w:val="18"/>
          <w:szCs w:val="18"/>
        </w:rPr>
        <w:t>开发行证券的公司信息披露解释性公告第 </w:t>
      </w:r>
      <w:r>
        <w:rPr>
          <w:rFonts w:ascii="Times New Roman" w:hAnsi="Times New Roman" w:cs="Times New Roman" w:eastAsia="Times New Roman" w:hint="default"/>
          <w:sz w:val="18"/>
          <w:szCs w:val="18"/>
        </w:rPr>
        <w:t>1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非经常性损益》中列举的非经常性损益项目界定为经常性损益的项目，应</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说明原因</w:t>
      </w:r>
    </w:p>
    <w:p>
      <w:pPr>
        <w:spacing w:before="7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304" w:lineRule="auto" w:before="96"/>
        <w:ind w:left="153" w:right="0" w:firstLine="0"/>
        <w:jc w:val="left"/>
        <w:rPr>
          <w:rFonts w:ascii="宋体" w:hAnsi="宋体" w:cs="宋体" w:eastAsia="宋体" w:hint="default"/>
          <w:sz w:val="18"/>
          <w:szCs w:val="18"/>
        </w:rPr>
      </w:pPr>
      <w:r>
        <w:rPr>
          <w:rFonts w:ascii="宋体" w:hAnsi="宋体" w:cs="宋体" w:eastAsia="宋体" w:hint="default"/>
          <w:spacing w:val="-4"/>
          <w:sz w:val="18"/>
          <w:szCs w:val="18"/>
        </w:rPr>
        <w:t>公司报告期不存在将根据《公开发行证券的公司信息披露解释性公告第 </w:t>
      </w:r>
      <w:r>
        <w:rPr>
          <w:rFonts w:ascii="Times New Roman" w:hAnsi="Times New Roman" w:cs="Times New Roman" w:eastAsia="Times New Roman" w:hint="default"/>
          <w:sz w:val="18"/>
          <w:szCs w:val="18"/>
        </w:rPr>
        <w:t>1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非经常性损益》定义、列举的非经常性损益</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pacing w:val="-3"/>
          <w:sz w:val="18"/>
          <w:szCs w:val="18"/>
        </w:rPr>
        <w:t>项目界定为经常性损益的项目的情形。</w:t>
      </w:r>
    </w:p>
    <w:p>
      <w:pPr>
        <w:spacing w:after="0" w:line="304"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529" w:right="0"/>
        <w:jc w:val="left"/>
        <w:rPr>
          <w:b w:val="0"/>
          <w:bCs w:val="0"/>
        </w:rPr>
      </w:pPr>
      <w:bookmarkStart w:name="第三节公司业务概要" w:id="16"/>
      <w:bookmarkEnd w:id="16"/>
      <w:r>
        <w:rPr>
          <w:b w:val="0"/>
          <w:bCs w:val="0"/>
        </w:rPr>
      </w:r>
      <w:bookmarkStart w:name="_bookmark2" w:id="17"/>
      <w:bookmarkEnd w:id="17"/>
      <w:r>
        <w:rPr>
          <w:b w:val="0"/>
          <w:bCs w:val="0"/>
        </w:rPr>
      </w:r>
      <w:r>
        <w:rPr/>
        <w:t>第三节公司业务概要</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1"/>
        <w:rPr>
          <w:rFonts w:ascii="宋体" w:hAnsi="宋体" w:cs="宋体" w:eastAsia="宋体" w:hint="default"/>
          <w:b/>
          <w:bCs/>
          <w:sz w:val="27"/>
          <w:szCs w:val="27"/>
        </w:rPr>
      </w:pPr>
    </w:p>
    <w:p>
      <w:pPr>
        <w:pStyle w:val="Heading4"/>
        <w:spacing w:line="309" w:lineRule="auto"/>
        <w:ind w:left="575" w:right="7272" w:hanging="106"/>
        <w:jc w:val="left"/>
        <w:rPr>
          <w:b w:val="0"/>
          <w:bCs w:val="0"/>
        </w:rPr>
      </w:pPr>
      <w:r>
        <w:rPr/>
        <w:t>（一）主要产品、业务及经营模式</w:t>
      </w:r>
      <w:r>
        <w:rPr>
          <w:spacing w:val="-101"/>
        </w:rPr>
        <w:t> </w:t>
      </w:r>
      <w:r>
        <w:rPr/>
        <w:t>基本业务介绍</w:t>
      </w:r>
      <w:r>
        <w:rPr>
          <w:b w:val="0"/>
          <w:bCs w:val="0"/>
        </w:rPr>
      </w:r>
    </w:p>
    <w:p>
      <w:pPr>
        <w:pStyle w:val="BodyText"/>
        <w:spacing w:line="307" w:lineRule="auto" w:before="24"/>
        <w:ind w:right="1125" w:firstLine="369"/>
        <w:jc w:val="both"/>
      </w:pPr>
      <w:r>
        <w:rPr>
          <w:spacing w:val="-3"/>
        </w:rPr>
        <w:t>视觉中国成立于</w:t>
      </w:r>
      <w:r>
        <w:rPr>
          <w:rFonts w:ascii="Times New Roman" w:hAnsi="Times New Roman" w:cs="Times New Roman" w:eastAsia="Times New Roman" w:hint="default"/>
          <w:spacing w:val="-3"/>
        </w:rPr>
        <w:t>2000</w:t>
      </w:r>
      <w:r>
        <w:rPr>
          <w:spacing w:val="-3"/>
        </w:rPr>
        <w:t>年</w:t>
      </w:r>
      <w:r>
        <w:rPr>
          <w:rFonts w:ascii="Times New Roman" w:hAnsi="Times New Roman" w:cs="Times New Roman" w:eastAsia="Times New Roman" w:hint="default"/>
          <w:spacing w:val="-3"/>
        </w:rPr>
        <w:t>6</w:t>
      </w:r>
      <w:r>
        <w:rPr>
          <w:spacing w:val="-3"/>
        </w:rPr>
        <w:t>月，是国内最早将互联网技术应用于版权视觉内容服务的平台型技术企业。公</w:t>
      </w:r>
      <w:r>
        <w:rPr>
          <w:w w:val="100"/>
        </w:rPr>
        <w:t> </w:t>
      </w:r>
      <w:r>
        <w:rPr>
          <w:spacing w:val="-2"/>
        </w:rPr>
        <w:t>司的核心商业模式为：整合全球及本土海量优质全面的图片、视频、音乐、矢量、插画、字体等版权素材</w:t>
      </w:r>
      <w:r>
        <w:rPr>
          <w:spacing w:val="-38"/>
        </w:rPr>
        <w:t> </w:t>
      </w:r>
      <w:r>
        <w:rPr>
          <w:spacing w:val="-38"/>
        </w:rPr>
      </w:r>
      <w:r>
        <w:rPr>
          <w:spacing w:val="-2"/>
        </w:rPr>
        <w:t>内容，通过业内领先的大数据与人工智能、搜索与图像识别等技术为支撑的互联网智能服务平台，为上下</w:t>
      </w:r>
      <w:r>
        <w:rPr>
          <w:spacing w:val="-33"/>
        </w:rPr>
        <w:t> </w:t>
      </w:r>
      <w:r>
        <w:rPr>
          <w:spacing w:val="-33"/>
        </w:rPr>
      </w:r>
      <w:r>
        <w:rPr/>
        <w:t>游海量的供稿方与使用方提供基于</w:t>
      </w:r>
      <w:r>
        <w:rPr>
          <w:rFonts w:ascii="Times New Roman" w:hAnsi="Times New Roman" w:cs="Times New Roman" w:eastAsia="Times New Roman" w:hint="default"/>
        </w:rPr>
        <w:t>“</w:t>
      </w:r>
      <w:r>
        <w:rPr/>
        <w:t>优质内容</w:t>
      </w:r>
      <w:r>
        <w:rPr>
          <w:rFonts w:ascii="Times New Roman" w:hAnsi="Times New Roman" w:cs="Times New Roman" w:eastAsia="Times New Roman" w:hint="default"/>
        </w:rPr>
        <w:t>+</w:t>
      </w:r>
      <w:r>
        <w:rPr/>
        <w:t>智能技术</w:t>
      </w:r>
      <w:r>
        <w:rPr>
          <w:rFonts w:ascii="Times New Roman" w:hAnsi="Times New Roman" w:cs="Times New Roman" w:eastAsia="Times New Roman" w:hint="default"/>
        </w:rPr>
        <w:t>”</w:t>
      </w:r>
      <w:r>
        <w:rPr/>
        <w:t>的高效交易服务。（详见附图一）。</w:t>
      </w:r>
    </w:p>
    <w:p>
      <w:pPr>
        <w:spacing w:before="29"/>
        <w:ind w:left="522" w:right="0" w:firstLine="0"/>
        <w:jc w:val="left"/>
        <w:rPr>
          <w:rFonts w:ascii="宋体" w:hAnsi="宋体" w:cs="宋体" w:eastAsia="宋体" w:hint="default"/>
          <w:sz w:val="18"/>
          <w:szCs w:val="18"/>
        </w:rPr>
      </w:pPr>
      <w:r>
        <w:rPr>
          <w:rFonts w:ascii="宋体" w:hAnsi="宋体" w:cs="宋体" w:eastAsia="宋体" w:hint="default"/>
          <w:b/>
          <w:bCs/>
          <w:sz w:val="18"/>
          <w:szCs w:val="18"/>
        </w:rPr>
        <w:t>附图一</w:t>
      </w:r>
      <w:r>
        <w:rPr>
          <w:rFonts w:ascii="宋体" w:hAnsi="宋体" w:cs="宋体" w:eastAsia="宋体" w:hint="default"/>
          <w:sz w:val="18"/>
          <w:szCs w:val="18"/>
        </w:rPr>
      </w:r>
    </w:p>
    <w:p>
      <w:pPr>
        <w:spacing w:line="240" w:lineRule="auto" w:before="10"/>
        <w:rPr>
          <w:rFonts w:ascii="宋体" w:hAnsi="宋体" w:cs="宋体" w:eastAsia="宋体" w:hint="default"/>
          <w:b/>
          <w:bCs/>
          <w:sz w:val="13"/>
          <w:szCs w:val="13"/>
        </w:rPr>
      </w:pPr>
    </w:p>
    <w:p>
      <w:pPr>
        <w:spacing w:line="3868" w:lineRule="exact"/>
        <w:ind w:left="226" w:right="0" w:firstLine="0"/>
        <w:rPr>
          <w:rFonts w:ascii="宋体" w:hAnsi="宋体" w:cs="宋体" w:eastAsia="宋体" w:hint="default"/>
          <w:sz w:val="20"/>
          <w:szCs w:val="20"/>
        </w:rPr>
      </w:pPr>
      <w:r>
        <w:rPr>
          <w:rFonts w:ascii="宋体" w:hAnsi="宋体" w:cs="宋体" w:eastAsia="宋体" w:hint="default"/>
          <w:position w:val="-76"/>
          <w:sz w:val="20"/>
          <w:szCs w:val="20"/>
        </w:rPr>
        <w:drawing>
          <wp:inline distT="0" distB="0" distL="0" distR="0">
            <wp:extent cx="5218160" cy="2456688"/>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5218160" cy="2456688"/>
                    </a:xfrm>
                    <a:prstGeom prst="rect">
                      <a:avLst/>
                    </a:prstGeom>
                  </pic:spPr>
                </pic:pic>
              </a:graphicData>
            </a:graphic>
          </wp:inline>
        </w:drawing>
      </w:r>
      <w:r>
        <w:rPr>
          <w:rFonts w:ascii="宋体" w:hAnsi="宋体" w:cs="宋体" w:eastAsia="宋体" w:hint="default"/>
          <w:position w:val="-76"/>
          <w:sz w:val="20"/>
          <w:szCs w:val="20"/>
        </w:rPr>
      </w:r>
    </w:p>
    <w:p>
      <w:pPr>
        <w:pStyle w:val="BodyText"/>
        <w:spacing w:line="304" w:lineRule="auto" w:before="108"/>
        <w:ind w:right="0" w:firstLine="417"/>
        <w:jc w:val="left"/>
      </w:pPr>
      <w:r>
        <w:rPr>
          <w:spacing w:val="-4"/>
        </w:rPr>
        <w:t>公司上游供稿方包括：签约供应商、签约供稿人以及公司自有版权内容；公司下游则包括所有需将</w:t>
      </w:r>
      <w:r>
        <w:rPr>
          <w:rFonts w:ascii="Times New Roman" w:hAnsi="Times New Roman" w:cs="Times New Roman" w:eastAsia="Times New Roman" w:hint="default"/>
          <w:spacing w:val="-4"/>
        </w:rPr>
        <w:t>“</w:t>
      </w:r>
      <w:r>
        <w:rPr>
          <w:spacing w:val="-4"/>
        </w:rPr>
        <w:t>视</w:t>
      </w:r>
      <w:r>
        <w:rPr>
          <w:w w:val="100"/>
        </w:rPr>
        <w:t> </w:t>
      </w:r>
      <w:r>
        <w:rPr/>
        <w:t>觉内容</w:t>
      </w:r>
      <w:r>
        <w:rPr>
          <w:rFonts w:ascii="Times New Roman" w:hAnsi="Times New Roman" w:cs="Times New Roman" w:eastAsia="Times New Roman" w:hint="default"/>
        </w:rPr>
        <w:t>”</w:t>
      </w:r>
      <w:r>
        <w:rPr/>
        <w:t>用于公开媒介发布或用于设计、展示及推广的最终材料的客户，包括广告营销服务公司、传媒、</w:t>
      </w:r>
      <w:r>
        <w:rPr>
          <w:w w:val="100"/>
        </w:rPr>
        <w:t> </w:t>
      </w:r>
      <w:r>
        <w:rPr>
          <w:spacing w:val="-2"/>
        </w:rPr>
        <w:t>企业等；也包括阿里巴巴、腾讯、百度等互联网平台，通过与互联网平台的对接，为平台上不同应用场景</w:t>
      </w:r>
      <w:r>
        <w:rPr>
          <w:spacing w:val="-38"/>
        </w:rPr>
        <w:t> </w:t>
      </w:r>
      <w:r>
        <w:rPr>
          <w:spacing w:val="-38"/>
        </w:rPr>
      </w:r>
      <w:r>
        <w:rPr>
          <w:spacing w:val="-2"/>
        </w:rPr>
        <w:t>下的海量长尾用户提供优质的内容与服务。获得公司内容授权的客户可将内容用于广告及营销推广、影视</w:t>
      </w:r>
      <w:r>
        <w:rPr>
          <w:spacing w:val="-33"/>
        </w:rPr>
        <w:t> </w:t>
      </w:r>
      <w:r>
        <w:rPr>
          <w:spacing w:val="-33"/>
        </w:rPr>
      </w:r>
      <w:r>
        <w:rPr>
          <w:spacing w:val="-2"/>
        </w:rPr>
        <w:t>制作、媒体出版、产品设计、网站及</w:t>
      </w:r>
      <w:r>
        <w:rPr>
          <w:rFonts w:ascii="Times New Roman" w:hAnsi="Times New Roman" w:cs="Times New Roman" w:eastAsia="Times New Roman" w:hint="default"/>
          <w:spacing w:val="-2"/>
        </w:rPr>
        <w:t>APP</w:t>
      </w:r>
      <w:r>
        <w:rPr>
          <w:spacing w:val="-2"/>
        </w:rPr>
        <w:t>及装饰展示等用途。除内容素材服务，公司还为客户提供数字内</w:t>
      </w:r>
      <w:r>
        <w:rPr>
          <w:spacing w:val="-10"/>
        </w:rPr>
        <w:t> </w:t>
      </w:r>
      <w:r>
        <w:rPr>
          <w:spacing w:val="-10"/>
        </w:rPr>
      </w:r>
      <w:r>
        <w:rPr>
          <w:spacing w:val="-2"/>
        </w:rPr>
        <w:t>容资产管理、版权风控、行业图库等一系列依托大数据、人工智能技术的智能服务，以促进客户更多的使</w:t>
      </w:r>
      <w:r>
        <w:rPr>
          <w:spacing w:val="-33"/>
        </w:rPr>
        <w:t> </w:t>
      </w:r>
      <w:r>
        <w:rPr>
          <w:spacing w:val="-33"/>
        </w:rPr>
      </w:r>
      <w:r>
        <w:rPr/>
        <w:t>用内容，帮助客户提升工作效率，增加客户黏性和服务体验。</w:t>
      </w:r>
    </w:p>
    <w:p>
      <w:pPr>
        <w:pStyle w:val="BodyText"/>
        <w:spacing w:line="297" w:lineRule="auto" w:before="29"/>
        <w:ind w:right="1146" w:firstLine="384"/>
        <w:jc w:val="both"/>
      </w:pPr>
      <w:r>
        <w:rPr>
          <w:spacing w:val="-2"/>
        </w:rPr>
        <w:t>公司还基于其整合全球优质视觉内容及发展全球战略伙伴的全球化策略，</w:t>
      </w:r>
      <w:r>
        <w:rPr>
          <w:rFonts w:ascii="Times New Roman" w:hAnsi="Times New Roman" w:cs="Times New Roman" w:eastAsia="Times New Roman" w:hint="default"/>
          <w:spacing w:val="-2"/>
        </w:rPr>
        <w:t>2016</w:t>
      </w:r>
      <w:r>
        <w:rPr>
          <w:spacing w:val="-2"/>
        </w:rPr>
        <w:t>年公司收购全球知名图</w:t>
      </w:r>
      <w:r>
        <w:rPr>
          <w:w w:val="100"/>
        </w:rPr>
        <w:t> </w:t>
      </w:r>
      <w:r>
        <w:rPr/>
        <w:t>片品牌</w:t>
      </w:r>
      <w:r>
        <w:rPr>
          <w:rFonts w:ascii="Times New Roman" w:hAnsi="Times New Roman" w:cs="Times New Roman" w:eastAsia="Times New Roman" w:hint="default"/>
        </w:rPr>
        <w:t>Corbis</w:t>
      </w:r>
      <w:r>
        <w:rPr/>
        <w:t>，</w:t>
      </w:r>
      <w:r>
        <w:rPr>
          <w:rFonts w:ascii="Times New Roman" w:hAnsi="Times New Roman" w:cs="Times New Roman" w:eastAsia="Times New Roman" w:hint="default"/>
        </w:rPr>
        <w:t>2018</w:t>
      </w:r>
      <w:r>
        <w:rPr/>
        <w:t>年收购并经营全球领先的摄影师社区</w:t>
      </w:r>
      <w:r>
        <w:rPr>
          <w:rFonts w:ascii="Times New Roman" w:hAnsi="Times New Roman" w:cs="Times New Roman" w:eastAsia="Times New Roman" w:hint="default"/>
        </w:rPr>
        <w:t>500px</w:t>
      </w:r>
      <w:r>
        <w:rPr/>
        <w:t>，并与</w:t>
      </w:r>
      <w:r>
        <w:rPr>
          <w:rFonts w:ascii="Times New Roman" w:hAnsi="Times New Roman" w:cs="Times New Roman" w:eastAsia="Times New Roman" w:hint="default"/>
        </w:rPr>
        <w:t>Getty</w:t>
      </w:r>
      <w:r>
        <w:rPr>
          <w:rFonts w:ascii="Times New Roman" w:hAnsi="Times New Roman" w:cs="Times New Roman" w:eastAsia="Times New Roman" w:hint="default"/>
          <w:spacing w:val="-4"/>
        </w:rPr>
        <w:t> </w:t>
      </w:r>
      <w:r>
        <w:rPr>
          <w:rFonts w:ascii="Times New Roman" w:hAnsi="Times New Roman" w:cs="Times New Roman" w:eastAsia="Times New Roman" w:hint="default"/>
        </w:rPr>
        <w:t>Images</w:t>
      </w:r>
      <w:r>
        <w:rPr/>
        <w:t>等海外合作伙伴建立双</w:t>
      </w:r>
      <w:r>
        <w:rPr>
          <w:w w:val="100"/>
        </w:rPr>
        <w:t> </w:t>
      </w:r>
      <w:r>
        <w:rPr/>
        <w:t>向紧密合作，巩固公司核心竞争力，实现公司自有内容的全球化变现。</w:t>
      </w:r>
    </w:p>
    <w:p>
      <w:pPr>
        <w:pStyle w:val="BodyText"/>
        <w:spacing w:line="300" w:lineRule="auto" w:before="30"/>
        <w:ind w:right="0" w:firstLine="422"/>
        <w:jc w:val="left"/>
      </w:pPr>
      <w:r>
        <w:rPr/>
        <w:t>内容视觉化、服务智能化、用户大众化、生产社会化等趋势正在推动整个视觉行业高速发展，特别是</w:t>
      </w:r>
      <w:r>
        <w:rPr>
          <w:w w:val="100"/>
        </w:rPr>
        <w:t> </w:t>
      </w:r>
      <w:r>
        <w:rPr/>
        <w:t>在版权规范化的有利形势下，行业增长空间巨大。公司一方面不断加强对全球优质的</w:t>
      </w:r>
      <w:r>
        <w:rPr>
          <w:rFonts w:ascii="Times New Roman" w:hAnsi="Times New Roman" w:cs="Times New Roman" w:eastAsia="Times New Roman" w:hint="default"/>
        </w:rPr>
        <w:t>PGC</w:t>
      </w:r>
      <w:r>
        <w:rPr/>
        <w:t>视觉内容的资源</w:t>
      </w:r>
      <w:r>
        <w:rPr>
          <w:w w:val="100"/>
        </w:rPr>
        <w:t> </w:t>
      </w:r>
      <w:r>
        <w:rPr/>
        <w:t>整合，另一方面紧跟趋势，持续创新，加强对新内容、新场景以及新技术等的全方位研究，从</w:t>
      </w:r>
      <w:r>
        <w:rPr>
          <w:rFonts w:ascii="Times New Roman" w:hAnsi="Times New Roman" w:cs="Times New Roman" w:eastAsia="Times New Roman" w:hint="default"/>
        </w:rPr>
        <w:t>“</w:t>
      </w:r>
      <w:r>
        <w:rPr/>
        <w:t>版权内容</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6"/>
        </w:rPr>
        <w:t>延展至</w:t>
      </w:r>
      <w:r>
        <w:rPr>
          <w:rFonts w:ascii="Times New Roman" w:hAnsi="Times New Roman" w:cs="Times New Roman" w:eastAsia="Times New Roman" w:hint="default"/>
          <w:spacing w:val="-6"/>
        </w:rPr>
        <w:t>“</w:t>
      </w:r>
      <w:r>
        <w:rPr>
          <w:spacing w:val="-6"/>
        </w:rPr>
        <w:t>智能服务</w:t>
      </w:r>
      <w:r>
        <w:rPr>
          <w:rFonts w:ascii="Times New Roman" w:hAnsi="Times New Roman" w:cs="Times New Roman" w:eastAsia="Times New Roman" w:hint="default"/>
          <w:spacing w:val="-6"/>
        </w:rPr>
        <w:t>”</w:t>
      </w:r>
      <w:r>
        <w:rPr>
          <w:spacing w:val="-6"/>
        </w:rPr>
        <w:t>。依托</w:t>
      </w:r>
      <w:r>
        <w:rPr>
          <w:rFonts w:ascii="Times New Roman" w:hAnsi="Times New Roman" w:cs="Times New Roman" w:eastAsia="Times New Roman" w:hint="default"/>
          <w:spacing w:val="-6"/>
        </w:rPr>
        <w:t>“</w:t>
      </w:r>
      <w:r>
        <w:rPr>
          <w:spacing w:val="-6"/>
        </w:rPr>
        <w:t>内容</w:t>
      </w:r>
      <w:r>
        <w:rPr>
          <w:rFonts w:ascii="Times New Roman" w:hAnsi="Times New Roman" w:cs="Times New Roman" w:eastAsia="Times New Roman" w:hint="default"/>
          <w:spacing w:val="-6"/>
        </w:rPr>
        <w:t>+</w:t>
      </w:r>
      <w:r>
        <w:rPr>
          <w:spacing w:val="-6"/>
        </w:rPr>
        <w:t>技术</w:t>
      </w:r>
      <w:r>
        <w:rPr>
          <w:rFonts w:ascii="Times New Roman" w:hAnsi="Times New Roman" w:cs="Times New Roman" w:eastAsia="Times New Roman" w:hint="default"/>
          <w:spacing w:val="-6"/>
        </w:rPr>
        <w:t>”</w:t>
      </w:r>
      <w:r>
        <w:rPr>
          <w:spacing w:val="-6"/>
        </w:rPr>
        <w:t>双轮驱动，公司不断优化业务策略、组织结构、市场销售及运营体系，</w:t>
      </w:r>
      <w:r>
        <w:rPr>
          <w:spacing w:val="-7"/>
        </w:rPr>
        <w:t> </w:t>
      </w:r>
      <w:r>
        <w:rPr>
          <w:spacing w:val="-7"/>
        </w:rPr>
      </w:r>
      <w:r>
        <w:rPr/>
        <w:t>通过丰富多样的</w:t>
      </w:r>
      <w:r>
        <w:rPr>
          <w:rFonts w:ascii="Times New Roman" w:hAnsi="Times New Roman" w:cs="Times New Roman" w:eastAsia="Times New Roman" w:hint="default"/>
        </w:rPr>
        <w:t>“</w:t>
      </w:r>
      <w:r>
        <w:rPr/>
        <w:t>一站式</w:t>
      </w:r>
      <w:r>
        <w:rPr>
          <w:rFonts w:ascii="Times New Roman" w:hAnsi="Times New Roman" w:cs="Times New Roman" w:eastAsia="Times New Roman" w:hint="default"/>
        </w:rPr>
        <w:t>”</w:t>
      </w:r>
      <w:r>
        <w:rPr/>
        <w:t>产品与服务组合、智能高效交付以及持续增强的获客能力，推动主营业务快速增</w:t>
      </w:r>
    </w:p>
    <w:p>
      <w:pPr>
        <w:spacing w:after="0" w:line="300" w:lineRule="auto"/>
        <w:jc w:val="left"/>
        <w:sectPr>
          <w:pgSz w:w="11910" w:h="16840"/>
          <w:pgMar w:header="741" w:footer="979" w:top="1060" w:bottom="1160" w:left="980" w:right="0"/>
        </w:sectPr>
      </w:pPr>
    </w:p>
    <w:p>
      <w:pPr>
        <w:spacing w:line="240" w:lineRule="auto" w:before="10"/>
        <w:rPr>
          <w:rFonts w:ascii="宋体" w:hAnsi="宋体" w:cs="宋体" w:eastAsia="宋体" w:hint="default"/>
          <w:sz w:val="26"/>
          <w:szCs w:val="26"/>
        </w:rPr>
      </w:pPr>
    </w:p>
    <w:p>
      <w:pPr>
        <w:pStyle w:val="BodyText"/>
        <w:spacing w:line="297" w:lineRule="auto" w:before="36"/>
        <w:ind w:left="537" w:right="0" w:hanging="384"/>
        <w:jc w:val="left"/>
      </w:pPr>
      <w:r>
        <w:rPr/>
        <w:t>长，同时完成从</w:t>
      </w:r>
      <w:r>
        <w:rPr>
          <w:rFonts w:ascii="Times New Roman" w:hAnsi="Times New Roman" w:cs="Times New Roman" w:eastAsia="Times New Roman" w:hint="default"/>
        </w:rPr>
        <w:t>“</w:t>
      </w:r>
      <w:r>
        <w:rPr/>
        <w:t>平台</w:t>
      </w:r>
      <w:r>
        <w:rPr>
          <w:rFonts w:ascii="Times New Roman" w:hAnsi="Times New Roman" w:cs="Times New Roman" w:eastAsia="Times New Roman" w:hint="default"/>
        </w:rPr>
        <w:t>”</w:t>
      </w:r>
      <w:r>
        <w:rPr/>
        <w:t>到</w:t>
      </w:r>
      <w:r>
        <w:rPr>
          <w:rFonts w:ascii="Times New Roman" w:hAnsi="Times New Roman" w:cs="Times New Roman" w:eastAsia="Times New Roman" w:hint="default"/>
        </w:rPr>
        <w:t>“</w:t>
      </w:r>
      <w:r>
        <w:rPr/>
        <w:t>生态</w:t>
      </w:r>
      <w:r>
        <w:rPr>
          <w:rFonts w:ascii="Times New Roman" w:hAnsi="Times New Roman" w:cs="Times New Roman" w:eastAsia="Times New Roman" w:hint="default"/>
        </w:rPr>
        <w:t>”</w:t>
      </w:r>
      <w:r>
        <w:rPr/>
        <w:t>的跨越，打造成为服务于内容生态的</w:t>
      </w:r>
      <w:r>
        <w:rPr>
          <w:rFonts w:ascii="Times New Roman" w:hAnsi="Times New Roman" w:cs="Times New Roman" w:eastAsia="Times New Roman" w:hint="default"/>
        </w:rPr>
        <w:t>“</w:t>
      </w:r>
      <w:r>
        <w:rPr/>
        <w:t>基础设施</w:t>
      </w:r>
      <w:r>
        <w:rPr>
          <w:rFonts w:ascii="Times New Roman" w:hAnsi="Times New Roman" w:cs="Times New Roman" w:eastAsia="Times New Roman" w:hint="default"/>
        </w:rPr>
        <w:t>”</w:t>
      </w:r>
      <w:r>
        <w:rPr/>
        <w:t>。</w:t>
      </w:r>
      <w:r>
        <w:rPr>
          <w:w w:val="100"/>
        </w:rPr>
        <w:t> </w:t>
      </w:r>
      <w:r>
        <w:rPr>
          <w:spacing w:val="-3"/>
        </w:rPr>
        <w:t>公司本着</w:t>
      </w:r>
      <w:r>
        <w:rPr>
          <w:rFonts w:ascii="Times New Roman" w:hAnsi="Times New Roman" w:cs="Times New Roman" w:eastAsia="Times New Roman" w:hint="default"/>
          <w:spacing w:val="-3"/>
        </w:rPr>
        <w:t>“</w:t>
      </w:r>
      <w:r>
        <w:rPr>
          <w:spacing w:val="-3"/>
        </w:rPr>
        <w:t>以客户为中心，为客户创造价值</w:t>
      </w:r>
      <w:r>
        <w:rPr>
          <w:rFonts w:ascii="Times New Roman" w:hAnsi="Times New Roman" w:cs="Times New Roman" w:eastAsia="Times New Roman" w:hint="default"/>
          <w:spacing w:val="-3"/>
        </w:rPr>
        <w:t>”</w:t>
      </w:r>
      <w:r>
        <w:rPr>
          <w:spacing w:val="-3"/>
        </w:rPr>
        <w:t>的经营宗旨，紧跟互联网技术发展及内容生态的演进变化，</w:t>
      </w:r>
    </w:p>
    <w:p>
      <w:pPr>
        <w:pStyle w:val="BodyText"/>
        <w:spacing w:line="314" w:lineRule="auto" w:before="8"/>
        <w:ind w:right="0"/>
        <w:jc w:val="left"/>
      </w:pPr>
      <w:r>
        <w:rPr>
          <w:spacing w:val="-2"/>
        </w:rPr>
        <w:t>遵循国家相关法律法规，确保内容合法合规，以服务赢得用户，以价值赢得市场。公司将全球视野与中国</w:t>
      </w:r>
      <w:r>
        <w:rPr>
          <w:spacing w:val="-30"/>
        </w:rPr>
        <w:t> </w:t>
      </w:r>
      <w:r>
        <w:rPr>
          <w:spacing w:val="-30"/>
        </w:rPr>
      </w:r>
      <w:r>
        <w:rPr/>
        <w:t>本土市场的发展与实践相结合，努力打造以科技创新为核心竞争力的新型传媒科技企业。</w:t>
      </w:r>
    </w:p>
    <w:p>
      <w:pPr>
        <w:pStyle w:val="BodyText"/>
        <w:spacing w:line="312" w:lineRule="auto" w:before="20"/>
        <w:ind w:left="537" w:right="1118" w:firstLine="38"/>
        <w:jc w:val="left"/>
      </w:pPr>
      <w:r>
        <w:rPr>
          <w:rFonts w:ascii="宋体" w:hAnsi="宋体" w:cs="宋体" w:eastAsia="宋体" w:hint="default"/>
          <w:b/>
          <w:bCs/>
        </w:rPr>
        <w:t>优质内容</w:t>
      </w:r>
      <w:r>
        <w:rPr>
          <w:rFonts w:ascii="宋体" w:hAnsi="宋体" w:cs="宋体" w:eastAsia="宋体" w:hint="default"/>
          <w:b/>
          <w:bCs/>
          <w:w w:val="100"/>
        </w:rPr>
        <w:t> </w:t>
      </w:r>
      <w:r>
        <w:rPr/>
        <w:t>视觉内容的数量、质量、丰富度、全面性以及独家性是公司核心业务增长的关键驱动因素之一。</w:t>
      </w:r>
      <w:r>
        <w:rPr>
          <w:w w:val="100"/>
        </w:rPr>
        <w:t> </w:t>
      </w:r>
      <w:r>
        <w:rPr>
          <w:spacing w:val="-3"/>
        </w:rPr>
        <w:t>公司多年来通过收购</w:t>
      </w:r>
      <w:r>
        <w:rPr>
          <w:rFonts w:ascii="Times New Roman" w:hAnsi="Times New Roman" w:cs="Times New Roman" w:eastAsia="Times New Roman" w:hint="default"/>
          <w:spacing w:val="-3"/>
        </w:rPr>
        <w:t>Corbis</w:t>
      </w:r>
      <w:r>
        <w:rPr>
          <w:spacing w:val="-3"/>
        </w:rPr>
        <w:t>与</w:t>
      </w:r>
      <w:r>
        <w:rPr>
          <w:rFonts w:ascii="Times New Roman" w:hAnsi="Times New Roman" w:cs="Times New Roman" w:eastAsia="Times New Roman" w:hint="default"/>
          <w:spacing w:val="-3"/>
        </w:rPr>
        <w:t>500px</w:t>
      </w:r>
      <w:r>
        <w:rPr>
          <w:spacing w:val="-3"/>
        </w:rPr>
        <w:t>，及与</w:t>
      </w:r>
      <w:r>
        <w:rPr>
          <w:rFonts w:ascii="Times New Roman" w:hAnsi="Times New Roman" w:cs="Times New Roman" w:eastAsia="Times New Roman" w:hint="default"/>
          <w:spacing w:val="-3"/>
        </w:rPr>
        <w:t>Getty </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3"/>
        </w:rPr>
        <w:t>Images</w:t>
      </w:r>
      <w:r>
        <w:rPr>
          <w:spacing w:val="-3"/>
        </w:rPr>
        <w:t>独家双向战略合作等方式，持续整合全球优质的</w:t>
      </w:r>
    </w:p>
    <w:p>
      <w:pPr>
        <w:pStyle w:val="BodyText"/>
        <w:spacing w:line="300" w:lineRule="auto" w:before="0"/>
        <w:ind w:right="0"/>
        <w:jc w:val="left"/>
      </w:pPr>
      <w:r>
        <w:rPr>
          <w:rFonts w:ascii="Times New Roman" w:hAnsi="Times New Roman" w:cs="Times New Roman" w:eastAsia="Times New Roman" w:hint="default"/>
        </w:rPr>
        <w:t>PGC</w:t>
      </w:r>
      <w:r>
        <w:rPr/>
        <w:t>视觉内容资源。公司目前拥有的视觉内容包括代理内容与自有内容，其中以代理内容为主；同时不断</w:t>
      </w:r>
      <w:r>
        <w:rPr>
          <w:w w:val="100"/>
        </w:rPr>
        <w:t> </w:t>
      </w:r>
      <w:r>
        <w:rPr>
          <w:spacing w:val="-2"/>
        </w:rPr>
        <w:t>加强</w:t>
      </w:r>
      <w:r>
        <w:rPr>
          <w:rFonts w:ascii="Times New Roman" w:hAnsi="Times New Roman" w:cs="Times New Roman" w:eastAsia="Times New Roman" w:hint="default"/>
          <w:spacing w:val="-2"/>
        </w:rPr>
        <w:t>Corbis</w:t>
      </w:r>
      <w:r>
        <w:rPr>
          <w:spacing w:val="-2"/>
        </w:rPr>
        <w:t>、</w:t>
      </w:r>
      <w:r>
        <w:rPr>
          <w:rFonts w:ascii="Times New Roman" w:hAnsi="Times New Roman" w:cs="Times New Roman" w:eastAsia="Times New Roman" w:hint="default"/>
          <w:spacing w:val="-2"/>
        </w:rPr>
        <w:t>500px</w:t>
      </w:r>
      <w:r>
        <w:rPr>
          <w:spacing w:val="-2"/>
        </w:rPr>
        <w:t>等自有内容的品牌建设，超过</w:t>
      </w:r>
      <w:r>
        <w:rPr>
          <w:rFonts w:ascii="Times New Roman" w:hAnsi="Times New Roman" w:cs="Times New Roman" w:eastAsia="Times New Roman" w:hint="default"/>
          <w:spacing w:val="-2"/>
        </w:rPr>
        <w:t>2/3</w:t>
      </w:r>
      <w:r>
        <w:rPr>
          <w:spacing w:val="-2"/>
        </w:rPr>
        <w:t>为高水准的自有或独家内容；无论在编辑类与创意类、</w:t>
      </w:r>
      <w:r>
        <w:rPr>
          <w:spacing w:val="-16"/>
        </w:rPr>
        <w:t> </w:t>
      </w:r>
      <w:r>
        <w:rPr>
          <w:spacing w:val="-16"/>
        </w:rPr>
      </w:r>
      <w:r>
        <w:rPr>
          <w:spacing w:val="-5"/>
        </w:rPr>
        <w:t>图片、视频与音乐、国际与本土、高端与微利等各个方面，拥有较大的内容竞争优势。随着</w:t>
      </w:r>
      <w:r>
        <w:rPr>
          <w:rFonts w:ascii="Times New Roman" w:hAnsi="Times New Roman" w:cs="Times New Roman" w:eastAsia="Times New Roman" w:hint="default"/>
          <w:spacing w:val="-5"/>
        </w:rPr>
        <w:t>5G</w:t>
      </w:r>
      <w:r>
        <w:rPr>
          <w:spacing w:val="-5"/>
        </w:rPr>
        <w:t>时代的到来，</w:t>
      </w:r>
      <w:r>
        <w:rPr>
          <w:spacing w:val="-40"/>
        </w:rPr>
        <w:t> </w:t>
      </w:r>
      <w:r>
        <w:rPr>
          <w:spacing w:val="-40"/>
        </w:rPr>
      </w:r>
      <w:r>
        <w:rPr/>
        <w:t>公司顺应市场发展趋势大力拓展视频、音乐的素材的优质内容，满足不断增长的市场需求。目前，公司与</w:t>
      </w:r>
      <w:r>
        <w:rPr>
          <w:w w:val="100"/>
        </w:rPr>
        <w:t> </w:t>
      </w:r>
      <w:r>
        <w:rPr/>
        <w:t>超过</w:t>
      </w:r>
      <w:r>
        <w:rPr>
          <w:rFonts w:ascii="Times New Roman" w:hAnsi="Times New Roman" w:cs="Times New Roman" w:eastAsia="Times New Roman" w:hint="default"/>
        </w:rPr>
        <w:t>50</w:t>
      </w:r>
      <w:r>
        <w:rPr/>
        <w:t>万名全球签约供稿人以及</w:t>
      </w:r>
      <w:r>
        <w:rPr>
          <w:rFonts w:ascii="Times New Roman" w:hAnsi="Times New Roman" w:cs="Times New Roman" w:eastAsia="Times New Roman" w:hint="default"/>
        </w:rPr>
        <w:t>280</w:t>
      </w:r>
      <w:r>
        <w:rPr/>
        <w:t>家专业版权内容机构合作，公司的互联网内容交易平台在线提供并每</w:t>
      </w:r>
      <w:r>
        <w:rPr>
          <w:w w:val="100"/>
        </w:rPr>
        <w:t> </w:t>
      </w:r>
      <w:r>
        <w:rPr/>
        <w:t>日更新超过</w:t>
      </w:r>
      <w:r>
        <w:rPr>
          <w:rFonts w:ascii="Times New Roman" w:hAnsi="Times New Roman" w:cs="Times New Roman" w:eastAsia="Times New Roman" w:hint="default"/>
        </w:rPr>
        <w:t>2</w:t>
      </w:r>
      <w:r>
        <w:rPr/>
        <w:t>亿张图片、</w:t>
      </w:r>
      <w:r>
        <w:rPr>
          <w:rFonts w:ascii="Times New Roman" w:hAnsi="Times New Roman" w:cs="Times New Roman" w:eastAsia="Times New Roman" w:hint="default"/>
        </w:rPr>
        <w:t>1,500</w:t>
      </w:r>
      <w:r>
        <w:rPr/>
        <w:t>万条视频素材和</w:t>
      </w:r>
      <w:r>
        <w:rPr>
          <w:rFonts w:ascii="Times New Roman" w:hAnsi="Times New Roman" w:cs="Times New Roman" w:eastAsia="Times New Roman" w:hint="default"/>
        </w:rPr>
        <w:t>35</w:t>
      </w:r>
      <w:r>
        <w:rPr/>
        <w:t>万首音乐素材，是全球最大的同类数字内容平台之一。</w:t>
      </w:r>
    </w:p>
    <w:p>
      <w:pPr>
        <w:pStyle w:val="BodyText"/>
        <w:spacing w:line="312" w:lineRule="auto" w:before="11"/>
        <w:ind w:right="1106" w:firstLine="384"/>
        <w:jc w:val="both"/>
      </w:pPr>
      <w:r>
        <w:rPr>
          <w:spacing w:val="-2"/>
        </w:rPr>
        <w:t>公司与供稿方采取分成的合作模式，与供稿方签署代理协议后获得内容的分销权；内容使用方在签署</w:t>
      </w:r>
      <w:r>
        <w:rPr>
          <w:w w:val="100"/>
        </w:rPr>
        <w:t> </w:t>
      </w:r>
      <w:r>
        <w:rPr>
          <w:spacing w:val="-2"/>
        </w:rPr>
        <w:t>服务协议后付费获得内容服务，公司将收取的授权和服务费按代理协议约定的分成比例支付给相应的内容</w:t>
      </w:r>
      <w:r>
        <w:rPr>
          <w:spacing w:val="-33"/>
        </w:rPr>
        <w:t> </w:t>
      </w:r>
      <w:r>
        <w:rPr>
          <w:spacing w:val="-33"/>
        </w:rPr>
      </w:r>
      <w:r>
        <w:rPr>
          <w:spacing w:val="-2"/>
        </w:rPr>
        <w:t>供稿方；如果是公司的自有版权内容，则公司无需支付分成。为保证内容的权属清晰，协议在权利义务、</w:t>
      </w:r>
      <w:r>
        <w:rPr>
          <w:spacing w:val="-13"/>
        </w:rPr>
        <w:t> </w:t>
      </w:r>
      <w:r>
        <w:rPr>
          <w:spacing w:val="-13"/>
        </w:rPr>
      </w:r>
      <w:r>
        <w:rPr/>
        <w:t>权利归属、授权内容、涉及的第三方权利、分成等方面进行明确约定，保证网站内容均获得合法授权。</w:t>
      </w:r>
    </w:p>
    <w:p>
      <w:pPr>
        <w:pStyle w:val="BodyText"/>
        <w:spacing w:line="314" w:lineRule="auto" w:before="22"/>
        <w:ind w:right="0" w:firstLine="384"/>
        <w:jc w:val="left"/>
      </w:pPr>
      <w:r>
        <w:rPr>
          <w:spacing w:val="-4"/>
        </w:rPr>
        <w:t>公司通过社区为签约供稿人提供完善的内容上传、自动标签、存储管理、收入查询等互联网在线服务。</w:t>
      </w:r>
      <w:r>
        <w:rPr>
          <w:w w:val="100"/>
        </w:rPr>
        <w:t> </w:t>
      </w:r>
      <w:r>
        <w:rPr/>
        <w:t>还为内容创作者提供市场信息、创意趋势、创作基金以及工作坊等服务，激励他们不断创作出更多的优秀</w:t>
      </w:r>
      <w:r>
        <w:rPr>
          <w:w w:val="100"/>
        </w:rPr>
        <w:t> </w:t>
      </w:r>
      <w:r>
        <w:rPr/>
        <w:t>作品；同时，为保护内容创作者的合法权益，推动内容生态的正版化，公司还建立及不断探索完善基于国</w:t>
      </w:r>
      <w:r>
        <w:rPr>
          <w:w w:val="100"/>
        </w:rPr>
        <w:t> </w:t>
      </w:r>
      <w:r>
        <w:rPr/>
        <w:t>际实践与本土市场相结合的版权保护体系，包括发现未经授权使用客户，推进正版化转化，并将获得的收</w:t>
      </w:r>
      <w:r>
        <w:rPr>
          <w:w w:val="100"/>
        </w:rPr>
        <w:t> </w:t>
      </w:r>
      <w:r>
        <w:rPr/>
        <w:t>益按协议与供稿方分成，保护供稿方的创作成果及利益。</w:t>
      </w:r>
    </w:p>
    <w:p>
      <w:pPr>
        <w:pStyle w:val="BodyText"/>
        <w:spacing w:line="304" w:lineRule="auto" w:before="15"/>
        <w:ind w:right="1127" w:firstLine="384"/>
        <w:jc w:val="both"/>
      </w:pPr>
      <w:r>
        <w:rPr>
          <w:spacing w:val="-2"/>
        </w:rPr>
        <w:t>公司建立独立的内容安全审核团队与审核流程，加强与人民网等权威主流媒体与机构建立战略合作关</w:t>
      </w:r>
      <w:r>
        <w:rPr>
          <w:w w:val="100"/>
        </w:rPr>
        <w:t> </w:t>
      </w:r>
      <w:r>
        <w:rPr>
          <w:spacing w:val="-2"/>
        </w:rPr>
        <w:t>系，以保证供稿方内容合法合规。公司依托内容优势，为客户提供可信赖的</w:t>
      </w:r>
      <w:r>
        <w:rPr>
          <w:rFonts w:ascii="Times New Roman" w:hAnsi="Times New Roman" w:cs="Times New Roman" w:eastAsia="Times New Roman" w:hint="default"/>
          <w:spacing w:val="-2"/>
        </w:rPr>
        <w:t>“</w:t>
      </w:r>
      <w:r>
        <w:rPr>
          <w:spacing w:val="-2"/>
        </w:rPr>
        <w:t>一站式</w:t>
      </w:r>
      <w:r>
        <w:rPr>
          <w:rFonts w:ascii="Times New Roman" w:hAnsi="Times New Roman" w:cs="Times New Roman" w:eastAsia="Times New Roman" w:hint="default"/>
          <w:spacing w:val="-2"/>
        </w:rPr>
        <w:t>”</w:t>
      </w:r>
      <w:r>
        <w:rPr>
          <w:spacing w:val="-2"/>
        </w:rPr>
        <w:t>的服务，提高客户使</w:t>
      </w:r>
      <w:r>
        <w:rPr>
          <w:spacing w:val="-9"/>
        </w:rPr>
        <w:t> </w:t>
      </w:r>
      <w:r>
        <w:rPr>
          <w:spacing w:val="-9"/>
        </w:rPr>
      </w:r>
      <w:r>
        <w:rPr/>
        <w:t>用内容的效率及效果，并帮客户规避内容使用中的版权与内容安全风险。</w:t>
      </w:r>
    </w:p>
    <w:p>
      <w:pPr>
        <w:pStyle w:val="BodyText"/>
        <w:spacing w:line="309" w:lineRule="auto" w:before="28"/>
        <w:ind w:left="537" w:right="0" w:firstLine="38"/>
        <w:jc w:val="left"/>
      </w:pPr>
      <w:r>
        <w:rPr>
          <w:rFonts w:ascii="宋体" w:hAnsi="宋体" w:cs="宋体" w:eastAsia="宋体" w:hint="default"/>
          <w:b/>
          <w:bCs/>
        </w:rPr>
        <w:t>人工智能与技术能力</w:t>
      </w:r>
      <w:r>
        <w:rPr>
          <w:rFonts w:ascii="宋体" w:hAnsi="宋体" w:cs="宋体" w:eastAsia="宋体" w:hint="default"/>
          <w:b/>
          <w:bCs/>
          <w:w w:val="100"/>
        </w:rPr>
        <w:t> </w:t>
      </w:r>
      <w:r>
        <w:rPr>
          <w:spacing w:val="-2"/>
        </w:rPr>
        <w:t>公司依托大数据、人工智能、云计算、区块链等互联网技术，打造以</w:t>
      </w:r>
      <w:r>
        <w:rPr>
          <w:rFonts w:ascii="Times New Roman" w:hAnsi="Times New Roman" w:cs="Times New Roman" w:eastAsia="Times New Roman" w:hint="default"/>
          <w:spacing w:val="-2"/>
        </w:rPr>
        <w:t>“</w:t>
      </w:r>
      <w:r>
        <w:rPr>
          <w:spacing w:val="-2"/>
        </w:rPr>
        <w:t>视觉内容</w:t>
      </w:r>
      <w:r>
        <w:rPr>
          <w:rFonts w:ascii="Times New Roman" w:hAnsi="Times New Roman" w:cs="Times New Roman" w:eastAsia="Times New Roman" w:hint="default"/>
          <w:spacing w:val="-2"/>
        </w:rPr>
        <w:t>”</w:t>
      </w:r>
      <w:r>
        <w:rPr>
          <w:spacing w:val="-2"/>
        </w:rPr>
        <w:t>为核心的智能服务能</w:t>
      </w:r>
    </w:p>
    <w:p>
      <w:pPr>
        <w:pStyle w:val="BodyText"/>
        <w:spacing w:line="314" w:lineRule="auto" w:before="2"/>
        <w:ind w:right="0"/>
        <w:jc w:val="left"/>
      </w:pPr>
      <w:r>
        <w:rPr>
          <w:spacing w:val="-2"/>
        </w:rPr>
        <w:t>力，智能服务能力覆盖内容生产、服务交付、高效获客等公司全业务流程，提升企业数字化能力，提高企</w:t>
      </w:r>
      <w:r>
        <w:rPr>
          <w:spacing w:val="-38"/>
        </w:rPr>
        <w:t> </w:t>
      </w:r>
      <w:r>
        <w:rPr>
          <w:spacing w:val="-38"/>
        </w:rPr>
      </w:r>
      <w:r>
        <w:rPr/>
        <w:t>业经营管理效率。</w:t>
      </w:r>
    </w:p>
    <w:p>
      <w:pPr>
        <w:pStyle w:val="BodyText"/>
        <w:spacing w:line="304" w:lineRule="auto" w:before="20"/>
        <w:ind w:right="1125" w:firstLine="384"/>
        <w:jc w:val="both"/>
      </w:pPr>
      <w:r>
        <w:rPr>
          <w:spacing w:val="-2"/>
        </w:rPr>
        <w:t>公司的主营业务</w:t>
      </w:r>
      <w:r>
        <w:rPr>
          <w:rFonts w:ascii="Times New Roman" w:hAnsi="Times New Roman" w:cs="Times New Roman" w:eastAsia="Times New Roman" w:hint="default"/>
          <w:spacing w:val="-2"/>
        </w:rPr>
        <w:t>—</w:t>
      </w:r>
      <w:r>
        <w:rPr>
          <w:spacing w:val="-2"/>
        </w:rPr>
        <w:t>内容交易是通过网站、</w:t>
      </w:r>
      <w:r>
        <w:rPr>
          <w:rFonts w:ascii="Times New Roman" w:hAnsi="Times New Roman" w:cs="Times New Roman" w:eastAsia="Times New Roman" w:hint="default"/>
          <w:spacing w:val="-2"/>
        </w:rPr>
        <w:t>API</w:t>
      </w:r>
      <w:r>
        <w:rPr>
          <w:spacing w:val="-2"/>
        </w:rPr>
        <w:t>以及智能图搜、个性推荐、图片</w:t>
      </w:r>
      <w:r>
        <w:rPr>
          <w:rFonts w:ascii="Times New Roman" w:hAnsi="Times New Roman" w:cs="Times New Roman" w:eastAsia="Times New Roman" w:hint="default"/>
          <w:spacing w:val="-2"/>
        </w:rPr>
        <w:t>/</w:t>
      </w:r>
      <w:r>
        <w:rPr>
          <w:spacing w:val="-2"/>
        </w:rPr>
        <w:t>视频识别、智能标签、</w:t>
      </w:r>
      <w:r>
        <w:rPr>
          <w:w w:val="100"/>
        </w:rPr>
        <w:t> </w:t>
      </w:r>
      <w:r>
        <w:rPr>
          <w:spacing w:val="-2"/>
        </w:rPr>
        <w:t>智能文配图、行业图库、版权风控等高效智能交付手段，方便客户高效获取所需内容，应用在其所需的应</w:t>
      </w:r>
      <w:r>
        <w:rPr>
          <w:spacing w:val="-34"/>
        </w:rPr>
        <w:t> </w:t>
      </w:r>
      <w:r>
        <w:rPr>
          <w:spacing w:val="-34"/>
        </w:rPr>
      </w:r>
      <w:r>
        <w:rPr>
          <w:spacing w:val="-2"/>
        </w:rPr>
        <w:t>用场景。基于客户的内容需求及应用场景，大数据、人工智能等互联网技术强化了对平台两端海量用户的</w:t>
      </w:r>
      <w:r>
        <w:rPr>
          <w:spacing w:val="-34"/>
        </w:rPr>
        <w:t> </w:t>
      </w:r>
      <w:r>
        <w:rPr>
          <w:spacing w:val="-34"/>
        </w:rPr>
      </w:r>
      <w:r>
        <w:rPr>
          <w:spacing w:val="-2"/>
        </w:rPr>
        <w:t>服务能力，平台的供需两端碎片化程度越高、数量越大、市场覆盖范围越广，平台的</w:t>
      </w:r>
      <w:r>
        <w:rPr>
          <w:rFonts w:ascii="Times New Roman" w:hAnsi="Times New Roman" w:cs="Times New Roman" w:eastAsia="Times New Roman" w:hint="default"/>
          <w:spacing w:val="-2"/>
        </w:rPr>
        <w:t>“</w:t>
      </w:r>
      <w:r>
        <w:rPr>
          <w:spacing w:val="-2"/>
        </w:rPr>
        <w:t>数据化、智能化</w:t>
      </w:r>
      <w:r>
        <w:rPr>
          <w:rFonts w:ascii="Times New Roman" w:hAnsi="Times New Roman" w:cs="Times New Roman" w:eastAsia="Times New Roman" w:hint="default"/>
          <w:spacing w:val="-2"/>
        </w:rPr>
        <w:t>”</w:t>
      </w:r>
      <w:r>
        <w:rPr>
          <w:spacing w:val="-2"/>
        </w:rPr>
        <w:t>的</w:t>
      </w:r>
      <w:r>
        <w:rPr>
          <w:spacing w:val="-10"/>
        </w:rPr>
        <w:t> </w:t>
      </w:r>
      <w:r>
        <w:rPr/>
        <w:t>服务能力也越强，形成自我加强的平台效应。</w:t>
      </w:r>
    </w:p>
    <w:p>
      <w:pPr>
        <w:pStyle w:val="BodyText"/>
        <w:spacing w:line="300" w:lineRule="auto" w:before="23"/>
        <w:ind w:right="0" w:firstLine="369"/>
        <w:jc w:val="left"/>
      </w:pPr>
      <w:r>
        <w:rPr>
          <w:spacing w:val="-3"/>
        </w:rPr>
        <w:t>一方面，公司集聚了海量的数据，包括：</w:t>
      </w:r>
      <w:r>
        <w:rPr>
          <w:rFonts w:ascii="Times New Roman" w:hAnsi="Times New Roman" w:cs="Times New Roman" w:eastAsia="Times New Roman" w:hint="default"/>
          <w:spacing w:val="-3"/>
        </w:rPr>
        <w:t>1</w:t>
      </w:r>
      <w:r>
        <w:rPr>
          <w:spacing w:val="-3"/>
        </w:rPr>
        <w:t>）超过</w:t>
      </w:r>
      <w:r>
        <w:rPr>
          <w:rFonts w:ascii="Times New Roman" w:hAnsi="Times New Roman" w:cs="Times New Roman" w:eastAsia="Times New Roman" w:hint="default"/>
          <w:spacing w:val="-3"/>
        </w:rPr>
        <w:t>2</w:t>
      </w:r>
      <w:r>
        <w:rPr>
          <w:spacing w:val="-3"/>
        </w:rPr>
        <w:t>亿的图片、视频、音乐内容数据，</w:t>
      </w:r>
      <w:r>
        <w:rPr>
          <w:rFonts w:ascii="Times New Roman" w:hAnsi="Times New Roman" w:cs="Times New Roman" w:eastAsia="Times New Roman" w:hint="default"/>
          <w:spacing w:val="-3"/>
        </w:rPr>
        <w:t>300</w:t>
      </w:r>
      <w:r>
        <w:rPr>
          <w:spacing w:val="-3"/>
        </w:rPr>
        <w:t>万的结构化标</w:t>
      </w:r>
      <w:r>
        <w:rPr>
          <w:w w:val="100"/>
        </w:rPr>
        <w:t> </w:t>
      </w:r>
      <w:r>
        <w:rPr/>
        <w:t>签库及知识图谱，内容应用标签超过</w:t>
      </w:r>
      <w:r>
        <w:rPr>
          <w:rFonts w:ascii="Times New Roman" w:hAnsi="Times New Roman" w:cs="Times New Roman" w:eastAsia="Times New Roman" w:hint="default"/>
        </w:rPr>
        <w:t>60</w:t>
      </w:r>
      <w:r>
        <w:rPr/>
        <w:t>亿；</w:t>
      </w:r>
      <w:r>
        <w:rPr>
          <w:rFonts w:ascii="Times New Roman" w:hAnsi="Times New Roman" w:cs="Times New Roman" w:eastAsia="Times New Roman" w:hint="default"/>
        </w:rPr>
        <w:t>2</w:t>
      </w:r>
      <w:r>
        <w:rPr/>
        <w:t>）超过</w:t>
      </w:r>
      <w:r>
        <w:rPr>
          <w:rFonts w:ascii="Times New Roman" w:hAnsi="Times New Roman" w:cs="Times New Roman" w:eastAsia="Times New Roman" w:hint="default"/>
        </w:rPr>
        <w:t>2,000</w:t>
      </w:r>
      <w:r>
        <w:rPr/>
        <w:t>万的用户（内容供稿方与使用方）持续产生的每</w:t>
      </w:r>
      <w:r>
        <w:rPr>
          <w:w w:val="100"/>
        </w:rPr>
        <w:t> </w:t>
      </w:r>
      <w:r>
        <w:rPr>
          <w:spacing w:val="-5"/>
        </w:rPr>
        <w:t>天</w:t>
      </w:r>
      <w:r>
        <w:rPr>
          <w:rFonts w:ascii="Times New Roman" w:hAnsi="Times New Roman" w:cs="Times New Roman" w:eastAsia="Times New Roman" w:hint="default"/>
          <w:spacing w:val="-5"/>
        </w:rPr>
        <w:t>7,500</w:t>
      </w:r>
      <w:r>
        <w:rPr>
          <w:spacing w:val="-5"/>
        </w:rPr>
        <w:t>万的搜索、上传、下载、收藏、分享等用户行为数据；</w:t>
      </w:r>
      <w:r>
        <w:rPr>
          <w:rFonts w:ascii="Times New Roman" w:hAnsi="Times New Roman" w:cs="Times New Roman" w:eastAsia="Times New Roman" w:hint="default"/>
          <w:spacing w:val="-5"/>
        </w:rPr>
        <w:t>3</w:t>
      </w:r>
      <w:r>
        <w:rPr>
          <w:spacing w:val="-5"/>
        </w:rPr>
        <w:t>）内容使用场景数据</w:t>
      </w:r>
      <w:r>
        <w:rPr>
          <w:rFonts w:ascii="Times New Roman" w:hAnsi="Times New Roman" w:cs="Times New Roman" w:eastAsia="Times New Roman" w:hint="default"/>
          <w:spacing w:val="-5"/>
        </w:rPr>
        <w:t>3,000</w:t>
      </w:r>
      <w:r>
        <w:rPr>
          <w:spacing w:val="-5"/>
        </w:rPr>
        <w:t>万</w:t>
      </w:r>
      <w:r>
        <w:rPr>
          <w:rFonts w:ascii="Times New Roman" w:hAnsi="Times New Roman" w:cs="Times New Roman" w:eastAsia="Times New Roman" w:hint="default"/>
          <w:spacing w:val="-5"/>
        </w:rPr>
        <w:t>/</w:t>
      </w:r>
      <w:r>
        <w:rPr>
          <w:spacing w:val="-5"/>
        </w:rPr>
        <w:t>年。另一方面，</w:t>
      </w:r>
      <w:r>
        <w:rPr>
          <w:spacing w:val="-16"/>
        </w:rPr>
        <w:t> </w:t>
      </w:r>
      <w:r>
        <w:rPr>
          <w:spacing w:val="-16"/>
        </w:rPr>
      </w:r>
      <w:r>
        <w:rPr/>
        <w:t>公司以技术手段应用于提升内容生产效率、用户获取内容、使用内容的效率、客户的留存与转化等的所有</w:t>
      </w:r>
      <w:r>
        <w:rPr>
          <w:w w:val="100"/>
        </w:rPr>
        <w:t> </w:t>
      </w:r>
      <w:r>
        <w:rPr>
          <w:spacing w:val="-3"/>
        </w:rPr>
        <w:t>业务流程环节，形成了</w:t>
      </w:r>
      <w:r>
        <w:rPr>
          <w:rFonts w:ascii="Times New Roman" w:hAnsi="Times New Roman" w:cs="Times New Roman" w:eastAsia="Times New Roman" w:hint="default"/>
          <w:spacing w:val="-3"/>
        </w:rPr>
        <w:t>“</w:t>
      </w:r>
      <w:r>
        <w:rPr>
          <w:spacing w:val="-3"/>
        </w:rPr>
        <w:t>数据提升技术</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技术驱动服务</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服务回馈数据</w:t>
      </w:r>
      <w:r>
        <w:rPr>
          <w:rFonts w:ascii="Times New Roman" w:hAnsi="Times New Roman" w:cs="Times New Roman" w:eastAsia="Times New Roman" w:hint="default"/>
          <w:spacing w:val="-3"/>
        </w:rPr>
        <w:t>”</w:t>
      </w:r>
      <w:r>
        <w:rPr>
          <w:spacing w:val="-3"/>
        </w:rPr>
        <w:t>闭环运行模式（详见附图二），</w:t>
      </w:r>
    </w:p>
    <w:p>
      <w:pPr>
        <w:spacing w:after="0" w:line="300" w:lineRule="auto"/>
        <w:jc w:val="left"/>
        <w:sectPr>
          <w:pgSz w:w="11910" w:h="16840"/>
          <w:pgMar w:header="741" w:footer="979" w:top="1060" w:bottom="1160" w:left="980" w:right="0"/>
        </w:sectPr>
      </w:pPr>
    </w:p>
    <w:p>
      <w:pPr>
        <w:spacing w:line="240" w:lineRule="auto" w:before="10"/>
        <w:rPr>
          <w:rFonts w:ascii="宋体" w:hAnsi="宋体" w:cs="宋体" w:eastAsia="宋体" w:hint="default"/>
          <w:sz w:val="26"/>
          <w:szCs w:val="26"/>
        </w:rPr>
      </w:pPr>
    </w:p>
    <w:p>
      <w:pPr>
        <w:pStyle w:val="BodyText"/>
        <w:spacing w:line="297" w:lineRule="auto" w:before="36"/>
        <w:ind w:right="1147"/>
        <w:jc w:val="both"/>
      </w:pPr>
      <w:r>
        <w:rPr>
          <w:spacing w:val="-2"/>
        </w:rPr>
        <w:t>公司的</w:t>
      </w:r>
      <w:r>
        <w:rPr>
          <w:rFonts w:ascii="Times New Roman" w:hAnsi="Times New Roman" w:cs="Times New Roman" w:eastAsia="Times New Roman" w:hint="default"/>
          <w:spacing w:val="-2"/>
        </w:rPr>
        <w:t>“</w:t>
      </w:r>
      <w:r>
        <w:rPr>
          <w:spacing w:val="-2"/>
        </w:rPr>
        <w:t>视觉数据</w:t>
      </w:r>
      <w:r>
        <w:rPr>
          <w:rFonts w:ascii="Times New Roman" w:hAnsi="Times New Roman" w:cs="Times New Roman" w:eastAsia="Times New Roman" w:hint="default"/>
          <w:spacing w:val="-2"/>
        </w:rPr>
        <w:t>”</w:t>
      </w:r>
      <w:r>
        <w:rPr>
          <w:spacing w:val="-2"/>
        </w:rPr>
        <w:t>持续增加和优化、</w:t>
      </w:r>
      <w:r>
        <w:rPr>
          <w:rFonts w:ascii="Times New Roman" w:hAnsi="Times New Roman" w:cs="Times New Roman" w:eastAsia="Times New Roman" w:hint="default"/>
          <w:spacing w:val="-2"/>
        </w:rPr>
        <w:t>“</w:t>
      </w:r>
      <w:r>
        <w:rPr>
          <w:spacing w:val="-2"/>
        </w:rPr>
        <w:t>越服务，越懂服务</w:t>
      </w:r>
      <w:r>
        <w:rPr>
          <w:rFonts w:ascii="Times New Roman" w:hAnsi="Times New Roman" w:cs="Times New Roman" w:eastAsia="Times New Roman" w:hint="default"/>
          <w:spacing w:val="-2"/>
        </w:rPr>
        <w:t>”</w:t>
      </w:r>
      <w:r>
        <w:rPr>
          <w:spacing w:val="-2"/>
        </w:rPr>
        <w:t>，不断提升产品体验、服务交付和管理效率，驱</w:t>
      </w:r>
      <w:r>
        <w:rPr>
          <w:spacing w:val="-5"/>
        </w:rPr>
        <w:t> </w:t>
      </w:r>
      <w:r>
        <w:rPr>
          <w:spacing w:val="-5"/>
        </w:rPr>
      </w:r>
      <w:r>
        <w:rPr/>
        <w:t>动业务快速增长，帮助公司在行业内建立更强的竞争能力。</w:t>
      </w:r>
    </w:p>
    <w:p>
      <w:pPr>
        <w:spacing w:before="55"/>
        <w:ind w:left="522" w:right="0" w:firstLine="0"/>
        <w:jc w:val="left"/>
        <w:rPr>
          <w:rFonts w:ascii="宋体" w:hAnsi="宋体" w:cs="宋体" w:eastAsia="宋体" w:hint="default"/>
          <w:sz w:val="18"/>
          <w:szCs w:val="18"/>
        </w:rPr>
      </w:pPr>
      <w:r>
        <w:rPr>
          <w:rFonts w:ascii="宋体" w:hAnsi="宋体" w:cs="宋体" w:eastAsia="宋体" w:hint="default"/>
          <w:b/>
          <w:bCs/>
          <w:sz w:val="18"/>
          <w:szCs w:val="18"/>
        </w:rPr>
        <w:t>附图二</w:t>
      </w:r>
      <w:r>
        <w:rPr>
          <w:rFonts w:ascii="宋体" w:hAnsi="宋体" w:cs="宋体" w:eastAsia="宋体" w:hint="default"/>
          <w:sz w:val="18"/>
          <w:szCs w:val="18"/>
        </w:rPr>
      </w:r>
    </w:p>
    <w:p>
      <w:pPr>
        <w:spacing w:line="240" w:lineRule="auto" w:before="4"/>
        <w:rPr>
          <w:rFonts w:ascii="宋体" w:hAnsi="宋体" w:cs="宋体" w:eastAsia="宋体" w:hint="default"/>
          <w:b/>
          <w:bCs/>
          <w:sz w:val="15"/>
          <w:szCs w:val="15"/>
        </w:rPr>
      </w:pPr>
    </w:p>
    <w:p>
      <w:pPr>
        <w:spacing w:line="3235" w:lineRule="exact"/>
        <w:ind w:left="522" w:right="0" w:firstLine="0"/>
        <w:rPr>
          <w:rFonts w:ascii="宋体" w:hAnsi="宋体" w:cs="宋体" w:eastAsia="宋体" w:hint="default"/>
          <w:sz w:val="20"/>
          <w:szCs w:val="20"/>
        </w:rPr>
      </w:pPr>
      <w:r>
        <w:rPr>
          <w:rFonts w:ascii="宋体" w:hAnsi="宋体" w:cs="宋体" w:eastAsia="宋体" w:hint="default"/>
          <w:position w:val="-64"/>
          <w:sz w:val="20"/>
          <w:szCs w:val="20"/>
        </w:rPr>
        <w:drawing>
          <wp:inline distT="0" distB="0" distL="0" distR="0">
            <wp:extent cx="3495959" cy="2054828"/>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3" cstate="print"/>
                    <a:stretch>
                      <a:fillRect/>
                    </a:stretch>
                  </pic:blipFill>
                  <pic:spPr>
                    <a:xfrm>
                      <a:off x="0" y="0"/>
                      <a:ext cx="3495959" cy="2054828"/>
                    </a:xfrm>
                    <a:prstGeom prst="rect">
                      <a:avLst/>
                    </a:prstGeom>
                  </pic:spPr>
                </pic:pic>
              </a:graphicData>
            </a:graphic>
          </wp:inline>
        </w:drawing>
      </w:r>
      <w:r>
        <w:rPr>
          <w:rFonts w:ascii="宋体" w:hAnsi="宋体" w:cs="宋体" w:eastAsia="宋体" w:hint="default"/>
          <w:position w:val="-64"/>
          <w:sz w:val="20"/>
          <w:szCs w:val="20"/>
        </w:rPr>
      </w:r>
    </w:p>
    <w:p>
      <w:pPr>
        <w:pStyle w:val="BodyText"/>
        <w:spacing w:line="314" w:lineRule="auto" w:before="97"/>
        <w:ind w:left="537" w:right="0" w:firstLine="38"/>
        <w:jc w:val="left"/>
      </w:pPr>
      <w:r>
        <w:rPr>
          <w:rFonts w:ascii="宋体" w:hAnsi="宋体" w:cs="宋体" w:eastAsia="宋体" w:hint="default"/>
          <w:b/>
          <w:bCs/>
        </w:rPr>
        <w:t>客户获取与市场覆盖</w:t>
      </w:r>
      <w:r>
        <w:rPr>
          <w:rFonts w:ascii="宋体" w:hAnsi="宋体" w:cs="宋体" w:eastAsia="宋体" w:hint="default"/>
          <w:b/>
          <w:bCs/>
          <w:w w:val="100"/>
        </w:rPr>
        <w:t> </w:t>
      </w:r>
      <w:r>
        <w:rPr>
          <w:spacing w:val="-2"/>
        </w:rPr>
        <w:t>公司核心主业增长的来源是客户数量的增长与内容使用数量的增加。近年来，随着移动互联网和新技</w:t>
      </w:r>
    </w:p>
    <w:p>
      <w:pPr>
        <w:pStyle w:val="BodyText"/>
        <w:spacing w:line="309" w:lineRule="auto" w:before="20"/>
        <w:ind w:right="1125"/>
        <w:jc w:val="both"/>
      </w:pPr>
      <w:r>
        <w:rPr>
          <w:spacing w:val="-2"/>
        </w:rPr>
        <w:t>术的发展，公司的目标市场已从原先的小众专业市场变成了大众的海量市场，目标客户的数量、客户对优</w:t>
      </w:r>
      <w:r>
        <w:rPr>
          <w:spacing w:val="-33"/>
        </w:rPr>
        <w:t> </w:t>
      </w:r>
      <w:r>
        <w:rPr>
          <w:spacing w:val="-33"/>
        </w:rPr>
      </w:r>
      <w:r>
        <w:rPr/>
        <w:t>质内容的应用场景和数量都大大增加，给公司主营业务带来巨大发展空间。</w:t>
      </w:r>
    </w:p>
    <w:p>
      <w:pPr>
        <w:pStyle w:val="BodyText"/>
        <w:spacing w:line="314" w:lineRule="auto" w:before="24"/>
        <w:ind w:right="1150" w:firstLine="384"/>
        <w:jc w:val="both"/>
      </w:pPr>
      <w:r>
        <w:rPr>
          <w:spacing w:val="-2"/>
        </w:rPr>
        <w:t>针对大客户群体，公司依托多年积累的用户行为数据分析，加强对各细分领域的行业研究，洞察用户</w:t>
      </w:r>
      <w:r>
        <w:rPr>
          <w:w w:val="100"/>
        </w:rPr>
        <w:t> </w:t>
      </w:r>
      <w:r>
        <w:rPr/>
        <w:t>全应用场景、用户行为及内容需求的差异化，开展各种战略合作、品牌市场、活动营销，</w:t>
      </w:r>
      <w:r>
        <w:rPr>
          <w:spacing w:val="-17"/>
        </w:rPr>
        <w:t> </w:t>
      </w:r>
      <w:r>
        <w:rPr/>
        <w:t>通过</w:t>
      </w:r>
    </w:p>
    <w:p>
      <w:pPr>
        <w:pStyle w:val="BodyText"/>
        <w:spacing w:line="312" w:lineRule="auto" w:before="20"/>
        <w:ind w:right="1126" w:firstLine="384"/>
        <w:jc w:val="both"/>
      </w:pPr>
      <w:r>
        <w:rPr>
          <w:spacing w:val="-2"/>
        </w:rPr>
        <w:t>针对中小企业，通过行业协会为各类垂直行业提供定制服务；通过在线数字营销，包括搜索营销、内</w:t>
      </w:r>
      <w:r>
        <w:rPr>
          <w:w w:val="100"/>
        </w:rPr>
        <w:t> </w:t>
      </w:r>
      <w:r>
        <w:rPr>
          <w:spacing w:val="-2"/>
        </w:rPr>
        <w:t>容营销以及社交媒体等方式高性价比的方式定向高效开发客户。并通过针对性满足其需求及预算的内容产</w:t>
      </w:r>
      <w:r>
        <w:rPr>
          <w:spacing w:val="-33"/>
        </w:rPr>
        <w:t> </w:t>
      </w:r>
      <w:r>
        <w:rPr>
          <w:spacing w:val="-33"/>
        </w:rPr>
      </w:r>
      <w:r>
        <w:rPr/>
        <w:t>品，提供高效简单的自助化程度高的交易服务。</w:t>
      </w:r>
    </w:p>
    <w:p>
      <w:pPr>
        <w:pStyle w:val="BodyText"/>
        <w:spacing w:line="302" w:lineRule="auto" w:before="22"/>
        <w:ind w:right="0" w:firstLine="384"/>
        <w:jc w:val="left"/>
      </w:pPr>
      <w:r>
        <w:rPr/>
        <w:t>针对长尾用户群，公司强化同互联网平台的开战略合作，针对不同的平台应用场景，例如搜索引擎、</w:t>
      </w:r>
      <w:r>
        <w:rPr>
          <w:w w:val="100"/>
        </w:rPr>
        <w:t> </w:t>
      </w:r>
      <w:r>
        <w:rPr/>
        <w:t>自媒体、广告、办公文档、创意设计、智能终端、旅游出行等，通过平台的连接及赋能，提升了优质正版</w:t>
      </w:r>
      <w:r>
        <w:rPr>
          <w:w w:val="100"/>
        </w:rPr>
        <w:t> </w:t>
      </w:r>
      <w:r>
        <w:rPr>
          <w:spacing w:val="-4"/>
          <w:w w:val="100"/>
        </w:rPr>
        <w:t>内容触达客户的深度和广度，持续提升公司作为内容生态的</w:t>
      </w:r>
      <w:r>
        <w:rPr>
          <w:rFonts w:ascii="Times New Roman" w:hAnsi="Times New Roman" w:cs="Times New Roman" w:eastAsia="Times New Roman" w:hint="default"/>
          <w:spacing w:val="-4"/>
          <w:w w:val="100"/>
        </w:rPr>
        <w:t>“</w:t>
      </w:r>
      <w:r>
        <w:rPr>
          <w:spacing w:val="-4"/>
          <w:w w:val="100"/>
        </w:rPr>
        <w:t>基础设施</w:t>
      </w:r>
      <w:r>
        <w:rPr>
          <w:rFonts w:ascii="Times New Roman" w:hAnsi="Times New Roman" w:cs="Times New Roman" w:eastAsia="Times New Roman" w:hint="default"/>
          <w:spacing w:val="-4"/>
          <w:w w:val="100"/>
        </w:rPr>
        <w:t>”</w:t>
      </w:r>
      <w:r>
        <w:rPr>
          <w:spacing w:val="-4"/>
          <w:w w:val="100"/>
        </w:rPr>
        <w:t>的地位和全面深度覆盖市场的能力。</w:t>
      </w:r>
      <w:r>
        <w:rPr>
          <w:spacing w:val="-69"/>
          <w:w w:val="100"/>
        </w:rPr>
        <w:t> </w:t>
      </w:r>
      <w:r>
        <w:rPr>
          <w:spacing w:val="-69"/>
          <w:w w:val="100"/>
        </w:rPr>
      </w:r>
      <w:r>
        <w:rPr/>
        <w:t>公司先后与阿里巴巴、腾讯、百度、微博、搜狗、</w:t>
      </w:r>
      <w:r>
        <w:rPr>
          <w:rFonts w:ascii="Times New Roman" w:hAnsi="Times New Roman" w:cs="Times New Roman" w:eastAsia="Times New Roman" w:hint="default"/>
        </w:rPr>
        <w:t>360</w:t>
      </w:r>
      <w:r>
        <w:rPr/>
        <w:t>、京东、一点资讯、金山办公等互联网平台结成战</w:t>
      </w:r>
      <w:r>
        <w:rPr>
          <w:w w:val="100"/>
        </w:rPr>
        <w:t> </w:t>
      </w:r>
      <w:r>
        <w:rPr>
          <w:spacing w:val="-2"/>
        </w:rPr>
        <w:t>略合作伙伴，通过</w:t>
      </w:r>
      <w:r>
        <w:rPr>
          <w:rFonts w:ascii="Times New Roman" w:hAnsi="Times New Roman" w:cs="Times New Roman" w:eastAsia="Times New Roman" w:hint="default"/>
          <w:spacing w:val="-2"/>
        </w:rPr>
        <w:t>“</w:t>
      </w:r>
      <w:r>
        <w:rPr>
          <w:spacing w:val="-2"/>
        </w:rPr>
        <w:t>内容</w:t>
      </w:r>
      <w:r>
        <w:rPr>
          <w:rFonts w:ascii="Times New Roman" w:hAnsi="Times New Roman" w:cs="Times New Roman" w:eastAsia="Times New Roman" w:hint="default"/>
          <w:spacing w:val="-2"/>
        </w:rPr>
        <w:t>+</w:t>
      </w:r>
      <w:r>
        <w:rPr>
          <w:spacing w:val="-2"/>
        </w:rPr>
        <w:t>技术</w:t>
      </w:r>
      <w:r>
        <w:rPr>
          <w:rFonts w:ascii="Times New Roman" w:hAnsi="Times New Roman" w:cs="Times New Roman" w:eastAsia="Times New Roman" w:hint="default"/>
          <w:spacing w:val="-2"/>
        </w:rPr>
        <w:t>”</w:t>
      </w:r>
      <w:r>
        <w:rPr>
          <w:spacing w:val="-2"/>
        </w:rPr>
        <w:t>平台对接，使得公司内容和服务能覆盖到互联网平台所聚集的海量的个人、</w:t>
      </w:r>
      <w:r>
        <w:rPr>
          <w:spacing w:val="-25"/>
        </w:rPr>
        <w:t> </w:t>
      </w:r>
      <w:r>
        <w:rPr>
          <w:spacing w:val="-25"/>
        </w:rPr>
      </w:r>
      <w:r>
        <w:rPr/>
        <w:t>小微企业等长尾用户。</w:t>
      </w:r>
    </w:p>
    <w:p>
      <w:pPr>
        <w:pStyle w:val="BodyText"/>
        <w:spacing w:line="314" w:lineRule="auto" w:before="25"/>
        <w:ind w:right="1146" w:firstLine="384"/>
        <w:jc w:val="both"/>
      </w:pPr>
      <w:r>
        <w:rPr>
          <w:spacing w:val="-2"/>
        </w:rPr>
        <w:t>公司通过技术创新、战略合作、市场营销等各种方式全方位地提升触达大客户、中小客户、长尾用户</w:t>
      </w:r>
      <w:r>
        <w:rPr>
          <w:w w:val="100"/>
        </w:rPr>
        <w:t> </w:t>
      </w:r>
      <w:r>
        <w:rPr/>
        <w:t>的能力和范围，提升客户的服务体验。</w:t>
      </w:r>
    </w:p>
    <w:p>
      <w:pPr>
        <w:pStyle w:val="BodyText"/>
        <w:spacing w:line="314" w:lineRule="auto" w:before="20"/>
        <w:ind w:left="537" w:right="1127" w:firstLine="38"/>
        <w:jc w:val="left"/>
      </w:pPr>
      <w:r>
        <w:rPr>
          <w:rFonts w:ascii="宋体" w:hAnsi="宋体" w:cs="宋体" w:eastAsia="宋体" w:hint="default"/>
          <w:b/>
          <w:bCs/>
        </w:rPr>
        <w:t>产品与服务</w:t>
      </w:r>
      <w:r>
        <w:rPr>
          <w:rFonts w:ascii="宋体" w:hAnsi="宋体" w:cs="宋体" w:eastAsia="宋体" w:hint="default"/>
          <w:b/>
          <w:bCs/>
          <w:w w:val="100"/>
        </w:rPr>
        <w:t> </w:t>
      </w:r>
      <w:r>
        <w:rPr>
          <w:spacing w:val="-2"/>
        </w:rPr>
        <w:t>基于全面海量的优质内容，公司提供丰富多样的产品组合、价格体系以及各类增值服务，以满足各类</w:t>
      </w:r>
    </w:p>
    <w:p>
      <w:pPr>
        <w:pStyle w:val="BodyText"/>
        <w:spacing w:line="304" w:lineRule="auto" w:before="15"/>
        <w:ind w:right="1124"/>
        <w:jc w:val="both"/>
      </w:pPr>
      <w:r>
        <w:rPr>
          <w:spacing w:val="-2"/>
        </w:rPr>
        <w:t>客户的需求。公司借鉴采纳国际主流的图片授权价格体系（定价因素包括不同的内容质量，应用场景、尺</w:t>
      </w:r>
      <w:r>
        <w:rPr>
          <w:spacing w:val="-32"/>
        </w:rPr>
        <w:t> </w:t>
      </w:r>
      <w:r>
        <w:rPr>
          <w:spacing w:val="-32"/>
        </w:rPr>
      </w:r>
      <w:r>
        <w:rPr>
          <w:spacing w:val="-3"/>
        </w:rPr>
        <w:t>寸、时长、使用范围、购买方式等）</w:t>
      </w:r>
      <w:r>
        <w:rPr>
          <w:rFonts w:ascii="Times New Roman" w:hAnsi="Times New Roman" w:cs="Times New Roman" w:eastAsia="Times New Roman" w:hint="default"/>
          <w:spacing w:val="-3"/>
        </w:rPr>
        <w:t>,</w:t>
      </w:r>
      <w:r>
        <w:rPr>
          <w:spacing w:val="-3"/>
        </w:rPr>
        <w:t>基于中国市场不同客户群的用图特点及需求，不断优化价格体系，以</w:t>
      </w:r>
      <w:r>
        <w:rPr>
          <w:spacing w:val="-37"/>
        </w:rPr>
        <w:t> </w:t>
      </w:r>
      <w:r>
        <w:rPr>
          <w:spacing w:val="-37"/>
        </w:rPr>
      </w:r>
      <w:r>
        <w:rPr/>
        <w:t>适应行业的发展趋势、市场及客户行为的变化。</w:t>
      </w:r>
    </w:p>
    <w:p>
      <w:pPr>
        <w:pStyle w:val="BodyText"/>
        <w:spacing w:line="307" w:lineRule="auto" w:before="28"/>
        <w:ind w:right="1125" w:firstLine="384"/>
        <w:jc w:val="both"/>
      </w:pPr>
      <w:r>
        <w:rPr/>
        <w:t>公司提供的</w:t>
      </w:r>
      <w:r>
        <w:rPr>
          <w:spacing w:val="42"/>
        </w:rPr>
        <w:t> </w:t>
      </w:r>
      <w:r>
        <w:rPr>
          <w:rFonts w:ascii="Times New Roman" w:hAnsi="Times New Roman" w:cs="Times New Roman" w:eastAsia="Times New Roman" w:hint="default"/>
          <w:spacing w:val="-3"/>
        </w:rPr>
        <w:t>“</w:t>
      </w:r>
      <w:r>
        <w:rPr>
          <w:spacing w:val="-3"/>
        </w:rPr>
        <w:t>视觉内容</w:t>
      </w:r>
      <w:r>
        <w:rPr>
          <w:rFonts w:ascii="Times New Roman" w:hAnsi="Times New Roman" w:cs="Times New Roman" w:eastAsia="Times New Roman" w:hint="default"/>
          <w:spacing w:val="-3"/>
        </w:rPr>
        <w:t>”</w:t>
      </w:r>
      <w:r>
        <w:rPr>
          <w:spacing w:val="-3"/>
        </w:rPr>
        <w:t>素材服务，客户既可以采取零售的购买方式获得授权与服务，满足项目型的工</w:t>
      </w:r>
      <w:r>
        <w:rPr>
          <w:w w:val="100"/>
        </w:rPr>
        <w:t> </w:t>
      </w:r>
      <w:r>
        <w:rPr>
          <w:spacing w:val="-2"/>
        </w:rPr>
        <w:t>作需要；也可以通过年度长期合作协议的方式获得授权与服务，以满足持续稳定的内容需求。为满足企业</w:t>
      </w:r>
      <w:r>
        <w:rPr>
          <w:spacing w:val="-33"/>
        </w:rPr>
        <w:t> </w:t>
      </w:r>
      <w:r>
        <w:rPr>
          <w:spacing w:val="-33"/>
        </w:rPr>
      </w:r>
      <w:r>
        <w:rPr>
          <w:spacing w:val="-2"/>
        </w:rPr>
        <w:t>级大客户的个性化需求，公司也提供定制化的增值服务，包括权利咨询、拍摄服务、设计服务以及创意众</w:t>
      </w:r>
      <w:r>
        <w:rPr>
          <w:spacing w:val="-33"/>
        </w:rPr>
        <w:t> </w:t>
      </w:r>
      <w:r>
        <w:rPr>
          <w:spacing w:val="-33"/>
        </w:rPr>
      </w:r>
      <w:r>
        <w:rPr>
          <w:spacing w:val="-2"/>
        </w:rPr>
        <w:t>包、媒体宣推、广告创意等整合营销服务还，为客户提供全面的</w:t>
      </w:r>
      <w:r>
        <w:rPr>
          <w:rFonts w:ascii="Times New Roman" w:hAnsi="Times New Roman" w:cs="Times New Roman" w:eastAsia="Times New Roman" w:hint="default"/>
          <w:spacing w:val="-2"/>
        </w:rPr>
        <w:t>“</w:t>
      </w:r>
      <w:r>
        <w:rPr>
          <w:spacing w:val="-2"/>
        </w:rPr>
        <w:t>一站式</w:t>
      </w:r>
      <w:r>
        <w:rPr>
          <w:rFonts w:ascii="Times New Roman" w:hAnsi="Times New Roman" w:cs="Times New Roman" w:eastAsia="Times New Roman" w:hint="default"/>
          <w:spacing w:val="-2"/>
        </w:rPr>
        <w:t>”</w:t>
      </w:r>
      <w:r>
        <w:rPr>
          <w:spacing w:val="-2"/>
        </w:rPr>
        <w:t>产品与服务，增加客户的黏性和</w:t>
      </w:r>
    </w:p>
    <w:p>
      <w:pPr>
        <w:spacing w:after="0" w:line="307" w:lineRule="auto"/>
        <w:jc w:val="both"/>
        <w:sectPr>
          <w:pgSz w:w="11910" w:h="16840"/>
          <w:pgMar w:header="741" w:footer="979" w:top="1060" w:bottom="1160" w:left="980" w:right="0"/>
        </w:sectPr>
      </w:pPr>
    </w:p>
    <w:p>
      <w:pPr>
        <w:spacing w:line="240" w:lineRule="auto" w:before="10"/>
        <w:rPr>
          <w:rFonts w:ascii="宋体" w:hAnsi="宋体" w:cs="宋体" w:eastAsia="宋体" w:hint="default"/>
          <w:sz w:val="26"/>
          <w:szCs w:val="26"/>
        </w:rPr>
      </w:pPr>
    </w:p>
    <w:p>
      <w:pPr>
        <w:pStyle w:val="BodyText"/>
        <w:spacing w:line="240" w:lineRule="auto" w:before="36"/>
        <w:ind w:right="0"/>
        <w:jc w:val="left"/>
      </w:pPr>
      <w:r>
        <w:rPr/>
        <w:t>满意度。</w:t>
      </w:r>
    </w:p>
    <w:p>
      <w:pPr>
        <w:pStyle w:val="BodyText"/>
        <w:spacing w:line="312" w:lineRule="auto" w:before="85"/>
        <w:ind w:right="1125" w:firstLine="384"/>
        <w:jc w:val="both"/>
      </w:pPr>
      <w:r>
        <w:rPr>
          <w:spacing w:val="-2"/>
        </w:rPr>
        <w:t>公司针对大客户和中小客户，采取不同的服务策略。公司充分挖掘企业大客户的全产品线（图片、视</w:t>
      </w:r>
      <w:r>
        <w:rPr>
          <w:w w:val="100"/>
        </w:rPr>
        <w:t> </w:t>
      </w:r>
      <w:r>
        <w:rPr>
          <w:spacing w:val="-2"/>
        </w:rPr>
        <w:t>频、设计、音乐以及增值服务）和全应用场景的需求，分布在北上广深的专业人员提供本地化的客户接触</w:t>
      </w:r>
      <w:r>
        <w:rPr>
          <w:spacing w:val="-33"/>
        </w:rPr>
        <w:t> </w:t>
      </w:r>
      <w:r>
        <w:rPr>
          <w:spacing w:val="-33"/>
        </w:rPr>
      </w:r>
      <w:r>
        <w:rPr>
          <w:spacing w:val="-2"/>
        </w:rPr>
        <w:t>与顾问服务，满足客户特定的内容、工作流程需求。对于中小客户推出针对性满足其需求及预算的内容产</w:t>
      </w:r>
      <w:r>
        <w:rPr>
          <w:spacing w:val="-33"/>
        </w:rPr>
        <w:t> </w:t>
      </w:r>
      <w:r>
        <w:rPr>
          <w:spacing w:val="-33"/>
        </w:rPr>
      </w:r>
      <w:r>
        <w:rPr/>
        <w:t>品，提供高效简单的自助化程度高的交易服务。</w:t>
      </w:r>
    </w:p>
    <w:p>
      <w:pPr>
        <w:pStyle w:val="BodyText"/>
        <w:spacing w:line="292" w:lineRule="auto" w:before="22"/>
        <w:ind w:right="0" w:firstLine="384"/>
        <w:jc w:val="left"/>
      </w:pPr>
      <w:r>
        <w:rPr>
          <w:spacing w:val="-2"/>
        </w:rPr>
        <w:t>公司还为客户提供</w:t>
      </w:r>
      <w:r>
        <w:rPr>
          <w:rFonts w:ascii="Times New Roman" w:hAnsi="Times New Roman" w:cs="Times New Roman" w:eastAsia="Times New Roman" w:hint="default"/>
          <w:spacing w:val="-2"/>
        </w:rPr>
        <w:t>API</w:t>
      </w:r>
      <w:r>
        <w:rPr>
          <w:spacing w:val="-2"/>
        </w:rPr>
        <w:t>、数字内容资产管理、版权风控、行业图库等一系列依托大数据、人工智能技</w:t>
      </w:r>
      <w:r>
        <w:rPr>
          <w:w w:val="100"/>
        </w:rPr>
        <w:t> </w:t>
      </w:r>
      <w:r>
        <w:rPr/>
        <w:t>术的智能服务，以促进客户更多的使用内容，帮助客户提升工作效率，增加客户黏性和服务体验。</w:t>
      </w:r>
    </w:p>
    <w:p>
      <w:pPr>
        <w:pStyle w:val="BodyText"/>
        <w:spacing w:line="314" w:lineRule="auto" w:before="39"/>
        <w:ind w:left="599" w:right="0" w:hanging="24"/>
        <w:jc w:val="left"/>
      </w:pPr>
      <w:r>
        <w:rPr>
          <w:rFonts w:ascii="宋体" w:hAnsi="宋体" w:cs="宋体" w:eastAsia="宋体" w:hint="default"/>
          <w:b/>
          <w:bCs/>
        </w:rPr>
        <w:t>视觉生态的打造</w:t>
      </w:r>
      <w:r>
        <w:rPr>
          <w:rFonts w:ascii="宋体" w:hAnsi="宋体" w:cs="宋体" w:eastAsia="宋体" w:hint="default"/>
          <w:b/>
          <w:bCs/>
          <w:spacing w:val="-104"/>
        </w:rPr>
        <w:t> </w:t>
      </w:r>
      <w:r>
        <w:rPr>
          <w:spacing w:val="-4"/>
        </w:rPr>
        <w:t>基于从</w:t>
      </w:r>
      <w:r>
        <w:rPr>
          <w:rFonts w:ascii="Times New Roman" w:hAnsi="Times New Roman" w:cs="Times New Roman" w:eastAsia="Times New Roman" w:hint="default"/>
          <w:spacing w:val="-4"/>
        </w:rPr>
        <w:t>“</w:t>
      </w:r>
      <w:r>
        <w:rPr>
          <w:spacing w:val="-4"/>
        </w:rPr>
        <w:t>平台</w:t>
      </w:r>
      <w:r>
        <w:rPr>
          <w:rFonts w:ascii="Times New Roman" w:hAnsi="Times New Roman" w:cs="Times New Roman" w:eastAsia="Times New Roman" w:hint="default"/>
          <w:spacing w:val="-4"/>
        </w:rPr>
        <w:t>”</w:t>
      </w:r>
      <w:r>
        <w:rPr>
          <w:spacing w:val="-4"/>
        </w:rPr>
        <w:t>到</w:t>
      </w:r>
      <w:r>
        <w:rPr>
          <w:rFonts w:ascii="Times New Roman" w:hAnsi="Times New Roman" w:cs="Times New Roman" w:eastAsia="Times New Roman" w:hint="default"/>
          <w:spacing w:val="-4"/>
        </w:rPr>
        <w:t>“</w:t>
      </w:r>
      <w:r>
        <w:rPr>
          <w:spacing w:val="-4"/>
        </w:rPr>
        <w:t>生态</w:t>
      </w:r>
      <w:r>
        <w:rPr>
          <w:rFonts w:ascii="Times New Roman" w:hAnsi="Times New Roman" w:cs="Times New Roman" w:eastAsia="Times New Roman" w:hint="default"/>
          <w:spacing w:val="-4"/>
        </w:rPr>
        <w:t>”</w:t>
      </w:r>
      <w:r>
        <w:rPr>
          <w:spacing w:val="-4"/>
        </w:rPr>
        <w:t>的发展战略，公司</w:t>
      </w:r>
      <w:r>
        <w:rPr>
          <w:rFonts w:ascii="Times New Roman" w:hAnsi="Times New Roman" w:cs="Times New Roman" w:eastAsia="Times New Roman" w:hint="default"/>
          <w:spacing w:val="-4"/>
        </w:rPr>
        <w:t>2018</w:t>
      </w:r>
      <w:r>
        <w:rPr>
          <w:spacing w:val="-4"/>
        </w:rPr>
        <w:t>年收购了全球性摄影创作社交网络平台</w:t>
      </w:r>
      <w:r>
        <w:rPr>
          <w:rFonts w:ascii="Times New Roman" w:hAnsi="Times New Roman" w:cs="Times New Roman" w:eastAsia="Times New Roman" w:hint="default"/>
          <w:spacing w:val="-4"/>
        </w:rPr>
        <w:t>500px</w:t>
      </w:r>
      <w:r>
        <w:rPr>
          <w:spacing w:val="-4"/>
        </w:rPr>
        <w:t>。依托人工</w:t>
      </w:r>
    </w:p>
    <w:p>
      <w:pPr>
        <w:pStyle w:val="BodyText"/>
        <w:spacing w:line="304" w:lineRule="auto" w:before="0"/>
        <w:ind w:right="0"/>
        <w:jc w:val="left"/>
      </w:pPr>
      <w:r>
        <w:rPr/>
        <w:t>智能、大数据和区块链等技术手段和社区运营，吸引全球摄影师成为</w:t>
      </w:r>
      <w:r>
        <w:rPr>
          <w:rFonts w:ascii="Times New Roman" w:hAnsi="Times New Roman" w:cs="Times New Roman" w:eastAsia="Times New Roman" w:hint="default"/>
        </w:rPr>
        <w:t>500px</w:t>
      </w:r>
      <w:r>
        <w:rPr/>
        <w:t>社区用户，分享及交流摄影作</w:t>
      </w:r>
      <w:r>
        <w:rPr>
          <w:w w:val="100"/>
        </w:rPr>
        <w:t> </w:t>
      </w:r>
      <w:r>
        <w:rPr>
          <w:spacing w:val="-2"/>
        </w:rPr>
        <w:t>品。公司以此发掘高质量视觉内容，使得摄影师实现内容变现，从而打通内容生产、分发、消费和版权保</w:t>
      </w:r>
      <w:r>
        <w:rPr>
          <w:spacing w:val="-35"/>
        </w:rPr>
        <w:t> </w:t>
      </w:r>
      <w:r>
        <w:rPr>
          <w:spacing w:val="-35"/>
        </w:rPr>
      </w:r>
      <w:r>
        <w:rPr/>
        <w:t>护的全流程，极大强化了公司作为视觉行业基础设施的作用。</w:t>
      </w:r>
    </w:p>
    <w:p>
      <w:pPr>
        <w:pStyle w:val="BodyText"/>
        <w:spacing w:line="304" w:lineRule="auto" w:before="29"/>
        <w:ind w:right="1146" w:firstLine="384"/>
        <w:jc w:val="both"/>
      </w:pPr>
      <w:r>
        <w:rPr>
          <w:spacing w:val="-2"/>
        </w:rPr>
        <w:t>公司加速整合核心业务的上下游优势资源，通过战略投资或战略合作，提升公司全面服务平台两端的</w:t>
      </w:r>
      <w:r>
        <w:rPr>
          <w:w w:val="100"/>
        </w:rPr>
        <w:t> </w:t>
      </w:r>
      <w:r>
        <w:rPr/>
        <w:t>内容创作者及使用方的能力，打造围绕公司核心主业的</w:t>
      </w:r>
      <w:r>
        <w:rPr>
          <w:rFonts w:ascii="Times New Roman" w:hAnsi="Times New Roman" w:cs="Times New Roman" w:eastAsia="Times New Roman" w:hint="default"/>
        </w:rPr>
        <w:t>“</w:t>
      </w:r>
      <w:r>
        <w:rPr/>
        <w:t>视觉</w:t>
      </w:r>
      <w:r>
        <w:rPr>
          <w:rFonts w:ascii="Times New Roman" w:hAnsi="Times New Roman" w:cs="Times New Roman" w:eastAsia="Times New Roman" w:hint="default"/>
        </w:rPr>
        <w:t>+</w:t>
      </w:r>
      <w:r>
        <w:rPr/>
        <w:t>生态</w:t>
      </w:r>
      <w:r>
        <w:rPr>
          <w:rFonts w:ascii="Times New Roman" w:hAnsi="Times New Roman" w:cs="Times New Roman" w:eastAsia="Times New Roman" w:hint="default"/>
        </w:rPr>
        <w:t>”</w:t>
      </w:r>
      <w:r>
        <w:rPr/>
        <w:t>，进一步强化和筑造核心主业的竞争</w:t>
      </w:r>
      <w:r>
        <w:rPr>
          <w:w w:val="100"/>
        </w:rPr>
        <w:t> </w:t>
      </w:r>
      <w:r>
        <w:rPr/>
        <w:t>优势。</w:t>
      </w:r>
    </w:p>
    <w:p>
      <w:pPr>
        <w:pStyle w:val="BodyText"/>
        <w:spacing w:line="314" w:lineRule="auto" w:before="28"/>
        <w:ind w:left="575" w:right="0"/>
        <w:jc w:val="left"/>
      </w:pPr>
      <w:r>
        <w:rPr>
          <w:rFonts w:ascii="宋体" w:hAnsi="宋体" w:cs="宋体" w:eastAsia="宋体" w:hint="default"/>
          <w:b/>
          <w:bCs/>
        </w:rPr>
        <w:t>视觉内容和行业的结合</w:t>
      </w:r>
      <w:r>
        <w:rPr>
          <w:rFonts w:ascii="宋体" w:hAnsi="宋体" w:cs="宋体" w:eastAsia="宋体" w:hint="default"/>
          <w:b/>
          <w:bCs/>
          <w:spacing w:val="-103"/>
        </w:rPr>
        <w:t> </w:t>
      </w:r>
      <w:r>
        <w:rPr>
          <w:spacing w:val="-2"/>
        </w:rPr>
        <w:t>公司在聚焦核心主业前提下，将平台的核心竞争力与以视觉内容为重度使用场景的垂直行业如旅游、</w:t>
      </w:r>
    </w:p>
    <w:p>
      <w:pPr>
        <w:pStyle w:val="BodyText"/>
        <w:spacing w:line="295" w:lineRule="auto" w:before="20"/>
        <w:ind w:right="0"/>
        <w:jc w:val="left"/>
      </w:pPr>
      <w:r>
        <w:rPr/>
        <w:t>教育等相结合，以经济有效的方式进入 </w:t>
      </w:r>
      <w:r>
        <w:rPr>
          <w:rFonts w:ascii="Times New Roman" w:hAnsi="Times New Roman" w:cs="Times New Roman" w:eastAsia="Times New Roman" w:hint="default"/>
        </w:rPr>
        <w:t>2C</w:t>
      </w:r>
      <w:r>
        <w:rPr>
          <w:rFonts w:ascii="Times New Roman" w:hAnsi="Times New Roman" w:cs="Times New Roman" w:eastAsia="Times New Roman" w:hint="default"/>
          <w:spacing w:val="3"/>
        </w:rPr>
        <w:t> </w:t>
      </w:r>
      <w:r>
        <w:rPr/>
        <w:t>的垂直行业，充分发挥优质内容、智能科技与旅游、教育等行</w:t>
      </w:r>
      <w:r>
        <w:rPr>
          <w:w w:val="100"/>
        </w:rPr>
        <w:t> </w:t>
      </w:r>
      <w:r>
        <w:rPr>
          <w:spacing w:val="-4"/>
        </w:rPr>
        <w:t>业的协同效应，构建</w:t>
      </w:r>
      <w:r>
        <w:rPr>
          <w:rFonts w:ascii="Times New Roman" w:hAnsi="Times New Roman" w:cs="Times New Roman" w:eastAsia="Times New Roman" w:hint="default"/>
          <w:spacing w:val="-4"/>
        </w:rPr>
        <w:t>“</w:t>
      </w:r>
      <w:r>
        <w:rPr>
          <w:spacing w:val="-4"/>
        </w:rPr>
        <w:t>视觉</w:t>
      </w:r>
      <w:r>
        <w:rPr>
          <w:rFonts w:ascii="Times New Roman" w:hAnsi="Times New Roman" w:cs="Times New Roman" w:eastAsia="Times New Roman" w:hint="default"/>
          <w:spacing w:val="-4"/>
        </w:rPr>
        <w:t>+</w:t>
      </w:r>
      <w:r>
        <w:rPr>
          <w:spacing w:val="-4"/>
        </w:rPr>
        <w:t>行业</w:t>
      </w:r>
      <w:r>
        <w:rPr>
          <w:rFonts w:ascii="Times New Roman" w:hAnsi="Times New Roman" w:cs="Times New Roman" w:eastAsia="Times New Roman" w:hint="default"/>
          <w:spacing w:val="-4"/>
        </w:rPr>
        <w:t>”</w:t>
      </w:r>
      <w:r>
        <w:rPr>
          <w:spacing w:val="-4"/>
        </w:rPr>
        <w:t>的战略布局，完善及延展上市公司的业务链条，最终实现</w:t>
      </w:r>
      <w:r>
        <w:rPr>
          <w:rFonts w:ascii="Times New Roman" w:hAnsi="Times New Roman" w:cs="Times New Roman" w:eastAsia="Times New Roman" w:hint="default"/>
          <w:spacing w:val="-4"/>
        </w:rPr>
        <w:t>“</w:t>
      </w:r>
      <w:r>
        <w:rPr>
          <w:spacing w:val="-4"/>
        </w:rPr>
        <w:t>视觉无处不在，</w:t>
      </w:r>
      <w:r>
        <w:rPr>
          <w:spacing w:val="-17"/>
        </w:rPr>
        <w:t> </w:t>
      </w:r>
      <w:r>
        <w:rPr>
          <w:spacing w:val="-17"/>
        </w:rPr>
      </w:r>
      <w:r>
        <w:rPr/>
        <w:t>视觉服务中国</w:t>
      </w:r>
      <w:r>
        <w:rPr>
          <w:rFonts w:ascii="Times New Roman" w:hAnsi="Times New Roman" w:cs="Times New Roman" w:eastAsia="Times New Roman" w:hint="default"/>
        </w:rPr>
        <w:t>”</w:t>
      </w:r>
      <w:r>
        <w:rPr/>
        <w:t>的企业愿景。</w:t>
      </w:r>
    </w:p>
    <w:p>
      <w:pPr>
        <w:spacing w:line="240" w:lineRule="auto" w:before="9"/>
        <w:rPr>
          <w:rFonts w:ascii="宋体" w:hAnsi="宋体" w:cs="宋体" w:eastAsia="宋体" w:hint="default"/>
          <w:sz w:val="28"/>
          <w:szCs w:val="28"/>
        </w:rPr>
      </w:pPr>
    </w:p>
    <w:p>
      <w:pPr>
        <w:pStyle w:val="BodyText"/>
        <w:spacing w:line="309" w:lineRule="auto" w:before="0"/>
        <w:ind w:left="537" w:right="0" w:hanging="173"/>
        <w:jc w:val="left"/>
      </w:pPr>
      <w:r>
        <w:rPr>
          <w:rFonts w:ascii="宋体" w:hAnsi="宋体" w:cs="宋体" w:eastAsia="宋体" w:hint="default"/>
          <w:b/>
          <w:bCs/>
        </w:rPr>
        <w:t>（二）行业发展趋势</w:t>
      </w:r>
      <w:r>
        <w:rPr>
          <w:rFonts w:ascii="宋体" w:hAnsi="宋体" w:cs="宋体" w:eastAsia="宋体" w:hint="default"/>
          <w:b/>
          <w:bCs/>
          <w:spacing w:val="-103"/>
        </w:rPr>
        <w:t> </w:t>
      </w:r>
      <w:r>
        <w:rPr>
          <w:spacing w:val="-2"/>
        </w:rPr>
        <w:t>视觉内容产业在</w:t>
      </w:r>
      <w:r>
        <w:rPr>
          <w:rFonts w:ascii="Times New Roman" w:hAnsi="Times New Roman" w:cs="Times New Roman" w:eastAsia="Times New Roman" w:hint="default"/>
          <w:spacing w:val="-2"/>
        </w:rPr>
        <w:t>20</w:t>
      </w:r>
      <w:r>
        <w:rPr>
          <w:spacing w:val="-2"/>
        </w:rPr>
        <w:t>世纪</w:t>
      </w:r>
      <w:r>
        <w:rPr>
          <w:rFonts w:ascii="Times New Roman" w:hAnsi="Times New Roman" w:cs="Times New Roman" w:eastAsia="Times New Roman" w:hint="default"/>
          <w:spacing w:val="-2"/>
        </w:rPr>
        <w:t>90</w:t>
      </w:r>
      <w:r>
        <w:rPr>
          <w:spacing w:val="-2"/>
        </w:rPr>
        <w:t>年代进入数字时代后进入了高速增长的快车道，经历了</w:t>
      </w:r>
      <w:r>
        <w:rPr>
          <w:rFonts w:ascii="Times New Roman" w:hAnsi="Times New Roman" w:cs="Times New Roman" w:eastAsia="Times New Roman" w:hint="default"/>
          <w:spacing w:val="-2"/>
        </w:rPr>
        <w:t>20</w:t>
      </w:r>
      <w:r>
        <w:rPr>
          <w:spacing w:val="-2"/>
        </w:rPr>
        <w:t>多年互联网时代的</w:t>
      </w:r>
    </w:p>
    <w:p>
      <w:pPr>
        <w:pStyle w:val="BodyText"/>
        <w:spacing w:line="314" w:lineRule="auto" w:before="2"/>
        <w:ind w:left="556" w:right="1112" w:hanging="404"/>
        <w:jc w:val="left"/>
      </w:pPr>
      <w:r>
        <w:rPr/>
        <w:t>飞速发展，目前进入了智能服务时代。技术变革、科技创新对整个产业起到了革命性的作用。</w:t>
      </w:r>
      <w:r>
        <w:rPr>
          <w:w w:val="100"/>
        </w:rPr>
        <w:t> </w:t>
      </w:r>
      <w:r>
        <w:rPr/>
        <w:t>内容视觉化 </w:t>
      </w:r>
      <w:r>
        <w:rPr>
          <w:rFonts w:ascii="Times New Roman" w:hAnsi="Times New Roman" w:cs="Times New Roman" w:eastAsia="Times New Roman" w:hint="default"/>
        </w:rPr>
        <w:t>-</w:t>
      </w:r>
      <w:r>
        <w:rPr>
          <w:rFonts w:ascii="Times New Roman" w:hAnsi="Times New Roman" w:cs="Times New Roman" w:eastAsia="Times New Roman" w:hint="default"/>
          <w:spacing w:val="-21"/>
        </w:rPr>
        <w:t> </w:t>
      </w:r>
      <w:r>
        <w:rPr/>
        <w:t>互联网的发展已经从流量竞争进入内容竞争，流量是入口，内容则是制高点。信息传播</w:t>
      </w:r>
    </w:p>
    <w:p>
      <w:pPr>
        <w:pStyle w:val="BodyText"/>
        <w:spacing w:line="295" w:lineRule="auto" w:before="0"/>
        <w:ind w:right="0"/>
        <w:jc w:val="left"/>
      </w:pPr>
      <w:r>
        <w:rPr>
          <w:spacing w:val="-4"/>
        </w:rPr>
        <w:t>从</w:t>
      </w:r>
      <w:r>
        <w:rPr>
          <w:rFonts w:ascii="Times New Roman" w:hAnsi="Times New Roman" w:cs="Times New Roman" w:eastAsia="Times New Roman" w:hint="default"/>
          <w:spacing w:val="-4"/>
        </w:rPr>
        <w:t>PC</w:t>
      </w:r>
      <w:r>
        <w:rPr>
          <w:spacing w:val="-4"/>
        </w:rPr>
        <w:t>时代的</w:t>
      </w:r>
      <w:r>
        <w:rPr>
          <w:rFonts w:ascii="Times New Roman" w:hAnsi="Times New Roman" w:cs="Times New Roman" w:eastAsia="Times New Roman" w:hint="default"/>
          <w:spacing w:val="-4"/>
        </w:rPr>
        <w:t>“</w:t>
      </w:r>
      <w:r>
        <w:rPr>
          <w:spacing w:val="-4"/>
        </w:rPr>
        <w:t>人找信息</w:t>
      </w:r>
      <w:r>
        <w:rPr>
          <w:rFonts w:ascii="Times New Roman" w:hAnsi="Times New Roman" w:cs="Times New Roman" w:eastAsia="Times New Roman" w:hint="default"/>
          <w:spacing w:val="-4"/>
        </w:rPr>
        <w:t>”</w:t>
      </w:r>
      <w:r>
        <w:rPr>
          <w:spacing w:val="-4"/>
        </w:rPr>
        <w:t>演变为移动时代的</w:t>
      </w:r>
      <w:r>
        <w:rPr>
          <w:rFonts w:ascii="Times New Roman" w:hAnsi="Times New Roman" w:cs="Times New Roman" w:eastAsia="Times New Roman" w:hint="default"/>
          <w:spacing w:val="-4"/>
        </w:rPr>
        <w:t>“</w:t>
      </w:r>
      <w:r>
        <w:rPr>
          <w:spacing w:val="-4"/>
        </w:rPr>
        <w:t>信息找人</w:t>
      </w:r>
      <w:r>
        <w:rPr>
          <w:rFonts w:ascii="Times New Roman" w:hAnsi="Times New Roman" w:cs="Times New Roman" w:eastAsia="Times New Roman" w:hint="default"/>
          <w:spacing w:val="-4"/>
        </w:rPr>
        <w:t>”</w:t>
      </w:r>
      <w:r>
        <w:rPr>
          <w:spacing w:val="-4"/>
        </w:rPr>
        <w:t>。以腾讯、阿里巴巴、百度为代表的</w:t>
      </w:r>
      <w:r>
        <w:rPr>
          <w:rFonts w:ascii="Times New Roman" w:hAnsi="Times New Roman" w:cs="Times New Roman" w:eastAsia="Times New Roman" w:hint="default"/>
          <w:spacing w:val="-4"/>
        </w:rPr>
        <w:t>BAT</w:t>
      </w:r>
      <w:r>
        <w:rPr>
          <w:spacing w:val="-4"/>
        </w:rPr>
        <w:t>，终端硬件、</w:t>
      </w:r>
      <w:r>
        <w:rPr>
          <w:spacing w:val="-32"/>
        </w:rPr>
        <w:t> </w:t>
      </w:r>
      <w:r>
        <w:rPr>
          <w:spacing w:val="-32"/>
        </w:rPr>
      </w:r>
      <w:r>
        <w:rPr/>
        <w:t>浏览器，以及超级</w:t>
      </w:r>
      <w:r>
        <w:rPr>
          <w:rFonts w:ascii="Times New Roman" w:hAnsi="Times New Roman" w:cs="Times New Roman" w:eastAsia="Times New Roman" w:hint="default"/>
        </w:rPr>
        <w:t>APP</w:t>
      </w:r>
      <w:r>
        <w:rPr/>
        <w:t>，如电商（京东、美团点评）、</w:t>
      </w:r>
      <w:r>
        <w:rPr>
          <w:rFonts w:ascii="Times New Roman" w:hAnsi="Times New Roman" w:cs="Times New Roman" w:eastAsia="Times New Roman" w:hint="default"/>
        </w:rPr>
        <w:t>OTA</w:t>
      </w:r>
      <w:r>
        <w:rPr/>
        <w:t>、</w:t>
      </w:r>
      <w:r>
        <w:rPr>
          <w:rFonts w:ascii="Times New Roman" w:hAnsi="Times New Roman" w:cs="Times New Roman" w:eastAsia="Times New Roman" w:hint="default"/>
        </w:rPr>
        <w:t>wifi</w:t>
      </w:r>
      <w:r>
        <w:rPr/>
        <w:t>等互联网平台都呈现优质内容驱动流量</w:t>
      </w:r>
      <w:r>
        <w:rPr>
          <w:w w:val="100"/>
        </w:rPr>
        <w:t> </w:t>
      </w:r>
      <w:r>
        <w:rPr>
          <w:spacing w:val="-2"/>
        </w:rPr>
        <w:t>的趋势。在所有的内容载体中，图片依然是性价比以及传播效率最高的媒介；随着</w:t>
      </w:r>
      <w:r>
        <w:rPr>
          <w:rFonts w:ascii="Times New Roman" w:hAnsi="Times New Roman" w:cs="Times New Roman" w:eastAsia="Times New Roman" w:hint="default"/>
          <w:spacing w:val="-2"/>
        </w:rPr>
        <w:t>5G</w:t>
      </w:r>
      <w:r>
        <w:rPr>
          <w:spacing w:val="-2"/>
        </w:rPr>
        <w:t>时代的到来，视频、</w:t>
      </w:r>
      <w:r>
        <w:rPr>
          <w:spacing w:val="-8"/>
        </w:rPr>
        <w:t> </w:t>
      </w:r>
      <w:r>
        <w:rPr>
          <w:spacing w:val="-8"/>
        </w:rPr>
      </w:r>
      <w:r>
        <w:rPr>
          <w:rFonts w:ascii="Times New Roman" w:hAnsi="Times New Roman" w:cs="Times New Roman" w:eastAsia="Times New Roman" w:hint="default"/>
          <w:spacing w:val="-2"/>
        </w:rPr>
        <w:t>3D</w:t>
      </w:r>
      <w:r>
        <w:rPr>
          <w:spacing w:val="-2"/>
        </w:rPr>
        <w:t>、</w:t>
      </w:r>
      <w:r>
        <w:rPr>
          <w:rFonts w:ascii="Times New Roman" w:hAnsi="Times New Roman" w:cs="Times New Roman" w:eastAsia="Times New Roman" w:hint="default"/>
          <w:spacing w:val="-2"/>
        </w:rPr>
        <w:t>AR/VR/MR</w:t>
      </w:r>
      <w:r>
        <w:rPr>
          <w:spacing w:val="-2"/>
        </w:rPr>
        <w:t>应用将成为趋势。总之，</w:t>
      </w:r>
      <w:r>
        <w:rPr>
          <w:rFonts w:ascii="Times New Roman" w:hAnsi="Times New Roman" w:cs="Times New Roman" w:eastAsia="Times New Roman" w:hint="default"/>
          <w:spacing w:val="-2"/>
        </w:rPr>
        <w:t>“</w:t>
      </w:r>
      <w:r>
        <w:rPr>
          <w:spacing w:val="-2"/>
        </w:rPr>
        <w:t>一图胜万言</w:t>
      </w:r>
      <w:r>
        <w:rPr>
          <w:rFonts w:ascii="Times New Roman" w:hAnsi="Times New Roman" w:cs="Times New Roman" w:eastAsia="Times New Roman" w:hint="default"/>
          <w:spacing w:val="-2"/>
        </w:rPr>
        <w:t>”</w:t>
      </w:r>
      <w:r>
        <w:rPr>
          <w:spacing w:val="-2"/>
        </w:rPr>
        <w:t>，视觉内容是连接媒体、品牌以及消费者的最高效</w:t>
      </w:r>
      <w:r>
        <w:rPr>
          <w:spacing w:val="-30"/>
        </w:rPr>
        <w:t> </w:t>
      </w:r>
      <w:r>
        <w:rPr>
          <w:spacing w:val="-30"/>
        </w:rPr>
      </w:r>
      <w:r>
        <w:rPr/>
        <w:t>的传播媒介，优质视觉内容将成为互联网稀缺资源！</w:t>
      </w:r>
    </w:p>
    <w:p>
      <w:pPr>
        <w:pStyle w:val="BodyText"/>
        <w:spacing w:line="309" w:lineRule="auto" w:before="32"/>
        <w:ind w:right="0" w:firstLine="384"/>
        <w:jc w:val="left"/>
      </w:pPr>
      <w:r>
        <w:rPr/>
        <w:t>服务智能化 </w:t>
      </w:r>
      <w:r>
        <w:rPr>
          <w:rFonts w:ascii="Times New Roman" w:hAnsi="Times New Roman" w:cs="Times New Roman" w:eastAsia="Times New Roman" w:hint="default"/>
        </w:rPr>
        <w:t>–</w:t>
      </w:r>
      <w:r>
        <w:rPr>
          <w:rFonts w:ascii="Times New Roman" w:hAnsi="Times New Roman" w:cs="Times New Roman" w:eastAsia="Times New Roman" w:hint="default"/>
          <w:spacing w:val="47"/>
        </w:rPr>
        <w:t> </w:t>
      </w:r>
      <w:r>
        <w:rPr>
          <w:spacing w:val="-3"/>
        </w:rPr>
        <w:t>大数据、人工智能、云计算、区块链等新兴技术正在全面改变视觉内容行业，并促使内</w:t>
      </w:r>
      <w:r>
        <w:rPr>
          <w:w w:val="100"/>
        </w:rPr>
        <w:t> </w:t>
      </w:r>
      <w:r>
        <w:rPr>
          <w:spacing w:val="-2"/>
        </w:rPr>
        <w:t>容生产、分发、消费等全面升级，其主要表现为：智能化驱动的内容生产，以算法为核心的内容分发以及</w:t>
      </w:r>
      <w:r>
        <w:rPr>
          <w:spacing w:val="-38"/>
        </w:rPr>
        <w:t> </w:t>
      </w:r>
      <w:r>
        <w:rPr>
          <w:spacing w:val="-38"/>
        </w:rPr>
      </w:r>
      <w:r>
        <w:rPr/>
        <w:t>个性化与社交化交织、消费与生产一体的内容消费。智能时代，内容的生产、分发与消费三者相互渗透、</w:t>
      </w:r>
      <w:r>
        <w:rPr>
          <w:w w:val="100"/>
        </w:rPr>
        <w:t> </w:t>
      </w:r>
      <w:r>
        <w:rPr>
          <w:spacing w:val="-4"/>
        </w:rPr>
        <w:t>相互驱动。而集成了内容生产、分发与消费的平台，也在逐步构建全新的内容生态。技术提高了内容生产、</w:t>
      </w:r>
      <w:r>
        <w:rPr>
          <w:spacing w:val="-46"/>
        </w:rPr>
        <w:t> </w:t>
      </w:r>
      <w:r>
        <w:rPr>
          <w:spacing w:val="-46"/>
        </w:rPr>
      </w:r>
      <w:r>
        <w:rPr/>
        <w:t>分发、传播以及版权保护的效率，并且大范围应用，技术创新成为整个行业加速度发展的核心驱动力。</w:t>
      </w:r>
    </w:p>
    <w:p>
      <w:pPr>
        <w:pStyle w:val="BodyText"/>
        <w:spacing w:line="302" w:lineRule="auto" w:before="24"/>
        <w:ind w:right="1125" w:firstLine="384"/>
        <w:jc w:val="both"/>
      </w:pPr>
      <w:r>
        <w:rPr/>
        <w:t>用户大众化 </w:t>
      </w:r>
      <w:r>
        <w:rPr>
          <w:rFonts w:ascii="Times New Roman" w:hAnsi="Times New Roman" w:cs="Times New Roman" w:eastAsia="Times New Roman" w:hint="default"/>
        </w:rPr>
        <w:t>- </w:t>
      </w:r>
      <w:r>
        <w:rPr/>
        <w:t>伴随着移动互联网的快速发展，以微博、微信公众号为代表的社交媒体蓬勃发展。自媒</w:t>
      </w:r>
      <w:r>
        <w:rPr>
          <w:w w:val="100"/>
        </w:rPr>
        <w:t> </w:t>
      </w:r>
      <w:r>
        <w:rPr>
          <w:spacing w:val="-2"/>
        </w:rPr>
        <w:t>体、内容电商、信息流广告、智能内容生产等众多新兴应用服务和场景涌现，产业规模不断扩大，这些都</w:t>
      </w:r>
      <w:r>
        <w:rPr>
          <w:spacing w:val="-38"/>
        </w:rPr>
        <w:t> </w:t>
      </w:r>
      <w:r>
        <w:rPr>
          <w:spacing w:val="-38"/>
        </w:rPr>
      </w:r>
      <w:r>
        <w:rPr>
          <w:spacing w:val="-2"/>
        </w:rPr>
        <w:t>导致了和图片、视频相关的</w:t>
      </w:r>
      <w:r>
        <w:rPr>
          <w:rFonts w:ascii="Times New Roman" w:hAnsi="Times New Roman" w:cs="Times New Roman" w:eastAsia="Times New Roman" w:hint="default"/>
          <w:spacing w:val="-2"/>
        </w:rPr>
        <w:t>PGC</w:t>
      </w:r>
      <w:r>
        <w:rPr>
          <w:spacing w:val="-2"/>
        </w:rPr>
        <w:t>视觉内容的需求激增，使得市场从原有的小众的专业市场变成了大众的海</w:t>
      </w:r>
      <w:r>
        <w:rPr>
          <w:spacing w:val="-20"/>
        </w:rPr>
        <w:t> </w:t>
      </w:r>
      <w:r>
        <w:rPr>
          <w:spacing w:val="-20"/>
        </w:rPr>
      </w:r>
      <w:r>
        <w:rPr/>
        <w:t>量市场，规模有了一个质的飞跃，</w:t>
      </w:r>
      <w:r>
        <w:rPr>
          <w:rFonts w:ascii="Times New Roman" w:hAnsi="Times New Roman" w:cs="Times New Roman" w:eastAsia="Times New Roman" w:hint="default"/>
        </w:rPr>
        <w:t>“</w:t>
      </w:r>
      <w:r>
        <w:rPr/>
        <w:t>池塘变成了大海</w:t>
      </w:r>
      <w:r>
        <w:rPr>
          <w:rFonts w:ascii="Times New Roman" w:hAnsi="Times New Roman" w:cs="Times New Roman" w:eastAsia="Times New Roman" w:hint="default"/>
        </w:rPr>
        <w:t>”</w:t>
      </w:r>
      <w:r>
        <w:rPr/>
        <w:t>。</w:t>
      </w:r>
    </w:p>
    <w:p>
      <w:pPr>
        <w:spacing w:after="0" w:line="302" w:lineRule="auto"/>
        <w:jc w:val="both"/>
        <w:sectPr>
          <w:pgSz w:w="11910" w:h="16840"/>
          <w:pgMar w:header="741" w:footer="979" w:top="1060" w:bottom="1160" w:left="980" w:right="0"/>
        </w:sectPr>
      </w:pPr>
    </w:p>
    <w:p>
      <w:pPr>
        <w:spacing w:line="240" w:lineRule="auto" w:before="10"/>
        <w:rPr>
          <w:rFonts w:ascii="宋体" w:hAnsi="宋体" w:cs="宋体" w:eastAsia="宋体" w:hint="default"/>
          <w:sz w:val="26"/>
          <w:szCs w:val="26"/>
        </w:rPr>
      </w:pPr>
    </w:p>
    <w:p>
      <w:pPr>
        <w:pStyle w:val="BodyText"/>
        <w:spacing w:line="307" w:lineRule="auto" w:before="36"/>
        <w:ind w:right="0" w:firstLine="384"/>
        <w:jc w:val="left"/>
      </w:pPr>
      <w:r>
        <w:rPr/>
        <w:t>生产社会化</w:t>
      </w:r>
      <w:r>
        <w:rPr>
          <w:spacing w:val="-25"/>
        </w:rPr>
        <w:t> </w:t>
      </w:r>
      <w:r>
        <w:rPr>
          <w:rFonts w:ascii="Times New Roman" w:hAnsi="Times New Roman" w:cs="Times New Roman" w:eastAsia="Times New Roman" w:hint="default"/>
        </w:rPr>
        <w:t>-</w:t>
      </w:r>
      <w:r>
        <w:rPr>
          <w:rFonts w:ascii="Times New Roman" w:hAnsi="Times New Roman" w:cs="Times New Roman" w:eastAsia="Times New Roman" w:hint="default"/>
        </w:rPr>
        <w:t>“</w:t>
      </w:r>
      <w:r>
        <w:rPr/>
        <w:t>人人都是创作者</w:t>
      </w:r>
      <w:r>
        <w:rPr>
          <w:rFonts w:ascii="Times New Roman" w:hAnsi="Times New Roman" w:cs="Times New Roman" w:eastAsia="Times New Roman" w:hint="default"/>
        </w:rPr>
        <w:t>”</w:t>
      </w:r>
      <w:r>
        <w:rPr/>
        <w:t>。一方面，内容生产工具平民化，自媒体平台快速发展，另一方面，</w:t>
      </w:r>
      <w:r>
        <w:rPr>
          <w:w w:val="100"/>
        </w:rPr>
        <w:t> </w:t>
      </w:r>
      <w:r>
        <w:rPr>
          <w:spacing w:val="-2"/>
        </w:rPr>
        <w:t>智能终端的普及、人工智能算法技术的成熟，内容消费的个性化需求不断提升，内容生产的社会化和众包</w:t>
      </w:r>
      <w:r>
        <w:rPr>
          <w:spacing w:val="-33"/>
        </w:rPr>
        <w:t> </w:t>
      </w:r>
      <w:r>
        <w:rPr>
          <w:spacing w:val="-33"/>
        </w:rPr>
      </w:r>
      <w:r>
        <w:rPr>
          <w:spacing w:val="-2"/>
        </w:rPr>
        <w:t>化成为行业趋势，大量的非职业内容创作者进入内容生产领域，海量提供各类内容。如何为海量的创作者</w:t>
      </w:r>
      <w:r>
        <w:rPr>
          <w:spacing w:val="-33"/>
        </w:rPr>
        <w:t> </w:t>
      </w:r>
      <w:r>
        <w:rPr>
          <w:spacing w:val="-33"/>
        </w:rPr>
      </w:r>
      <w:r>
        <w:rPr/>
        <w:t>提供高效、专业的服务成为行业未来新的增长点。</w:t>
      </w:r>
    </w:p>
    <w:p>
      <w:pPr>
        <w:pStyle w:val="BodyText"/>
        <w:spacing w:line="304" w:lineRule="auto" w:before="26"/>
        <w:ind w:right="1010" w:firstLine="384"/>
        <w:jc w:val="left"/>
      </w:pPr>
      <w:r>
        <w:rPr/>
        <w:t>版权规范化 </w:t>
      </w:r>
      <w:r>
        <w:rPr>
          <w:rFonts w:ascii="Times New Roman" w:hAnsi="Times New Roman" w:cs="Times New Roman" w:eastAsia="Times New Roman" w:hint="default"/>
        </w:rPr>
        <w:t>-</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8"/>
        </w:rPr>
        <w:t>2019</w:t>
      </w:r>
      <w:r>
        <w:rPr>
          <w:spacing w:val="-8"/>
        </w:rPr>
        <w:t>年</w:t>
      </w:r>
      <w:r>
        <w:rPr>
          <w:rFonts w:ascii="Times New Roman" w:hAnsi="Times New Roman" w:cs="Times New Roman" w:eastAsia="Times New Roman" w:hint="default"/>
          <w:spacing w:val="-8"/>
        </w:rPr>
        <w:t>11</w:t>
      </w:r>
      <w:r>
        <w:rPr>
          <w:spacing w:val="-8"/>
        </w:rPr>
        <w:t>月底，中共中央办公厅、国务院办公厅印发了《关于强化知识产权保护的意见》，</w:t>
      </w:r>
      <w:r>
        <w:rPr>
          <w:w w:val="100"/>
        </w:rPr>
        <w:t> </w:t>
      </w:r>
      <w:r>
        <w:rPr/>
        <w:t>提出</w:t>
      </w:r>
      <w:r>
        <w:rPr>
          <w:rFonts w:ascii="Times New Roman" w:hAnsi="Times New Roman" w:cs="Times New Roman" w:eastAsia="Times New Roman" w:hint="default"/>
        </w:rPr>
        <w:t>“</w:t>
      </w:r>
      <w:r>
        <w:rPr/>
        <w:t>力争到</w:t>
      </w:r>
      <w:r>
        <w:rPr>
          <w:rFonts w:ascii="Times New Roman" w:hAnsi="Times New Roman" w:cs="Times New Roman" w:eastAsia="Times New Roman" w:hint="default"/>
        </w:rPr>
        <w:t>2022</w:t>
      </w:r>
      <w:r>
        <w:rPr/>
        <w:t>年，侵权易发多发现象得到有效遏制，权利人维权</w:t>
      </w:r>
      <w:r>
        <w:rPr>
          <w:rFonts w:ascii="Times New Roman" w:hAnsi="Times New Roman" w:cs="Times New Roman" w:eastAsia="Times New Roman" w:hint="default"/>
        </w:rPr>
        <w:t>“</w:t>
      </w:r>
      <w:r>
        <w:rPr/>
        <w:t>举证难、周期长、成本高、赔偿低</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的局面明显改观</w:t>
      </w:r>
      <w:r>
        <w:rPr>
          <w:rFonts w:ascii="Times New Roman" w:hAnsi="Times New Roman" w:cs="Times New Roman" w:eastAsia="Times New Roman" w:hint="default"/>
        </w:rPr>
        <w:t>”</w:t>
      </w:r>
      <w:r>
        <w:rPr/>
        <w:t>。</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月，最高人民法院印发《关于全面加强知识产权司法保护的意见》，落实中办</w:t>
      </w:r>
      <w:r>
        <w:rPr>
          <w:w w:val="100"/>
        </w:rPr>
        <w:t> </w:t>
      </w:r>
      <w:r>
        <w:rPr>
          <w:spacing w:val="-5"/>
        </w:rPr>
        <w:t>国办《关于强化知识产权保护的意见》，提出一系列举措，着力降低权利人诉讼维权成本、缩短诉讼周期、</w:t>
      </w:r>
      <w:r>
        <w:rPr>
          <w:spacing w:val="-3"/>
        </w:rPr>
        <w:t> </w:t>
      </w:r>
      <w:r>
        <w:rPr>
          <w:spacing w:val="-3"/>
        </w:rPr>
      </w:r>
      <w:r>
        <w:rPr/>
        <w:t>加大损害赔偿力度和化解当事人举证难，切实增强司法保护的实际效果。随着国家对著作权保护力度不断</w:t>
      </w:r>
      <w:r>
        <w:rPr>
          <w:w w:val="100"/>
        </w:rPr>
        <w:t> </w:t>
      </w:r>
      <w:r>
        <w:rPr/>
        <w:t>加大，相关法律不断完善，公众版权意识不断增强，版权产业快速持续增长的趋势明显，版权产业对促进</w:t>
      </w:r>
      <w:r>
        <w:rPr>
          <w:w w:val="100"/>
        </w:rPr>
        <w:t> </w:t>
      </w:r>
      <w:r>
        <w:rPr/>
        <w:t>经济社会发展的重要作用日益凸显。</w:t>
      </w:r>
    </w:p>
    <w:p>
      <w:pPr>
        <w:pStyle w:val="BodyText"/>
        <w:spacing w:line="307" w:lineRule="auto" w:before="28"/>
        <w:ind w:right="1150" w:firstLine="384"/>
        <w:jc w:val="both"/>
      </w:pPr>
      <w:r>
        <w:rPr>
          <w:spacing w:val="-2"/>
        </w:rPr>
        <w:t>内容视觉化、服务智能化、用户大众化、生产社会化等趋势推动整个视觉行业高速发展，特别是在版</w:t>
      </w:r>
      <w:r>
        <w:rPr>
          <w:w w:val="100"/>
        </w:rPr>
        <w:t> </w:t>
      </w:r>
      <w:r>
        <w:rPr>
          <w:spacing w:val="-2"/>
        </w:rPr>
        <w:t>权规范化的大好形势下，公司主营业务增长的空间巨大，优质内容</w:t>
      </w:r>
      <w:r>
        <w:rPr>
          <w:rFonts w:ascii="Times New Roman" w:hAnsi="Times New Roman" w:cs="Times New Roman" w:eastAsia="Times New Roman" w:hint="default"/>
          <w:spacing w:val="-2"/>
        </w:rPr>
        <w:t>+</w:t>
      </w:r>
      <w:r>
        <w:rPr>
          <w:spacing w:val="-2"/>
        </w:rPr>
        <w:t>智能服务，内容、技术双轮驱动公司</w:t>
      </w:r>
      <w:r>
        <w:rPr>
          <w:spacing w:val="-12"/>
        </w:rPr>
        <w:t> </w:t>
      </w:r>
      <w:r>
        <w:rPr>
          <w:spacing w:val="-12"/>
        </w:rPr>
      </w:r>
      <w:r>
        <w:rPr/>
        <w:t>核心主业迎来高速发展的历史机遇期。</w:t>
      </w:r>
    </w:p>
    <w:p>
      <w:pPr>
        <w:spacing w:line="240" w:lineRule="auto" w:before="8"/>
        <w:rPr>
          <w:rFonts w:ascii="宋体" w:hAnsi="宋体" w:cs="宋体" w:eastAsia="宋体" w:hint="default"/>
          <w:sz w:val="20"/>
          <w:szCs w:val="20"/>
        </w:rPr>
      </w:pPr>
    </w:p>
    <w:p>
      <w:pPr>
        <w:pStyle w:val="Heading2"/>
        <w:spacing w:line="240" w:lineRule="auto"/>
        <w:ind w:right="0"/>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4"/>
        <w:rPr>
          <w:rFonts w:ascii="宋体" w:hAnsi="宋体" w:cs="宋体" w:eastAsia="宋体" w:hint="default"/>
          <w:b/>
          <w:bCs/>
          <w:sz w:val="25"/>
          <w:szCs w:val="25"/>
        </w:rPr>
      </w:pPr>
    </w:p>
    <w:p>
      <w:pPr>
        <w:pStyle w:val="Heading4"/>
        <w:spacing w:line="240" w:lineRule="auto"/>
        <w:ind w:right="0"/>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054"/>
        <w:gridCol w:w="6516"/>
      </w:tblGrid>
      <w:tr>
        <w:trPr>
          <w:trHeight w:val="182" w:hRule="exact"/>
        </w:trPr>
        <w:tc>
          <w:tcPr>
            <w:tcW w:w="3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30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7" w:hRule="exact"/>
        </w:trPr>
        <w:tc>
          <w:tcPr>
            <w:tcW w:w="3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3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6" w:type="dxa"/>
            <w:vMerge w:val="restart"/>
            <w:tcBorders>
              <w:top w:val="single" w:sz="4" w:space="0" w:color="000000"/>
              <w:left w:val="single" w:sz="10" w:space="0" w:color="D2D2D2"/>
              <w:right w:val="single" w:sz="4" w:space="0" w:color="000000"/>
            </w:tcBorders>
          </w:tcPr>
          <w:p>
            <w:pPr>
              <w:pStyle w:val="TableParagraph"/>
              <w:spacing w:line="309" w:lineRule="auto" w:before="53"/>
              <w:ind w:left="16" w:right="18"/>
              <w:jc w:val="left"/>
              <w:rPr>
                <w:rFonts w:ascii="宋体" w:hAnsi="宋体" w:cs="宋体" w:eastAsia="宋体" w:hint="default"/>
                <w:sz w:val="18"/>
                <w:szCs w:val="18"/>
              </w:rPr>
            </w:pPr>
            <w:r>
              <w:rPr>
                <w:rFonts w:ascii="宋体" w:hAnsi="宋体" w:cs="宋体" w:eastAsia="宋体" w:hint="default"/>
                <w:sz w:val="18"/>
                <w:szCs w:val="18"/>
              </w:rPr>
              <w:t>股权资产中，由于 </w:t>
            </w:r>
            <w:r>
              <w:rPr>
                <w:rFonts w:ascii="Times New Roman" w:hAnsi="Times New Roman" w:cs="Times New Roman" w:eastAsia="Times New Roman" w:hint="default"/>
                <w:sz w:val="18"/>
                <w:szCs w:val="18"/>
              </w:rPr>
              <w:t>2019 </w:t>
            </w:r>
            <w:r>
              <w:rPr>
                <w:rFonts w:ascii="宋体" w:hAnsi="宋体" w:cs="宋体" w:eastAsia="宋体" w:hint="default"/>
                <w:spacing w:val="-3"/>
                <w:sz w:val="18"/>
                <w:szCs w:val="18"/>
              </w:rPr>
              <w:t>起公司执行新金融工具准则，原可供出售金融资产调整至</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4"/>
                <w:sz w:val="18"/>
                <w:szCs w:val="18"/>
              </w:rPr>
              <w:t>其他权益工具投资项目，按照公允价值持续计量，本报告期股权资产未发生重大变</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z w:val="18"/>
                <w:szCs w:val="18"/>
              </w:rPr>
              <w:t>化。</w:t>
            </w:r>
          </w:p>
        </w:tc>
      </w:tr>
      <w:tr>
        <w:trPr>
          <w:trHeight w:val="389" w:hRule="exact"/>
        </w:trPr>
        <w:tc>
          <w:tcPr>
            <w:tcW w:w="30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6" w:type="dxa"/>
            <w:vMerge/>
            <w:tcBorders>
              <w:left w:val="single" w:sz="10" w:space="0" w:color="D2D2D2"/>
              <w:right w:val="single" w:sz="4" w:space="0" w:color="000000"/>
            </w:tcBorders>
          </w:tcPr>
          <w:p>
            <w:pPr/>
          </w:p>
        </w:tc>
      </w:tr>
      <w:tr>
        <w:trPr>
          <w:trHeight w:val="317" w:hRule="exact"/>
        </w:trPr>
        <w:tc>
          <w:tcPr>
            <w:tcW w:w="3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6" w:type="dxa"/>
            <w:vMerge/>
            <w:tcBorders>
              <w:left w:val="single" w:sz="10" w:space="0" w:color="D2D2D2"/>
              <w:bottom w:val="single" w:sz="4" w:space="0" w:color="000000"/>
              <w:right w:val="single" w:sz="4" w:space="0" w:color="000000"/>
            </w:tcBorders>
          </w:tcPr>
          <w:p>
            <w:pP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4"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0"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1"/>
              <w:jc w:val="left"/>
              <w:rPr>
                <w:rFonts w:ascii="宋体" w:hAnsi="宋体" w:cs="宋体" w:eastAsia="宋体" w:hint="default"/>
                <w:sz w:val="18"/>
                <w:szCs w:val="18"/>
              </w:rPr>
            </w:pPr>
            <w:r>
              <w:rPr>
                <w:rFonts w:ascii="宋体" w:hAnsi="宋体" w:cs="宋体" w:eastAsia="宋体" w:hint="default"/>
                <w:sz w:val="18"/>
                <w:szCs w:val="18"/>
              </w:rPr>
              <w:t>报告期内，预付账款较上年末减少</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1,782.71</w:t>
            </w:r>
            <w:r>
              <w:rPr>
                <w:rFonts w:ascii="Times New Roman" w:hAnsi="Times New Roman" w:cs="Times New Roman" w:eastAsia="Times New Roman" w:hint="default"/>
                <w:spacing w:val="18"/>
                <w:sz w:val="18"/>
                <w:szCs w:val="18"/>
              </w:rPr>
              <w:t> </w:t>
            </w:r>
            <w:r>
              <w:rPr>
                <w:rFonts w:ascii="宋体" w:hAnsi="宋体" w:cs="宋体" w:eastAsia="宋体" w:hint="default"/>
                <w:spacing w:val="-3"/>
                <w:sz w:val="18"/>
                <w:szCs w:val="18"/>
              </w:rPr>
              <w:t>万元，主要系本年处置上海卓越股权，</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合并范围变更所致。</w:t>
            </w:r>
          </w:p>
        </w:tc>
      </w:tr>
      <w:tr>
        <w:trPr>
          <w:trHeight w:val="715"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23" w:right="17"/>
              <w:jc w:val="left"/>
              <w:rPr>
                <w:rFonts w:ascii="宋体" w:hAnsi="宋体" w:cs="宋体" w:eastAsia="宋体" w:hint="default"/>
                <w:sz w:val="18"/>
                <w:szCs w:val="18"/>
              </w:rPr>
            </w:pPr>
            <w:r>
              <w:rPr>
                <w:rFonts w:ascii="宋体" w:hAnsi="宋体" w:cs="宋体" w:eastAsia="宋体" w:hint="default"/>
                <w:spacing w:val="-3"/>
                <w:sz w:val="18"/>
                <w:szCs w:val="18"/>
              </w:rPr>
              <w:t>报告期内，其他应收款较上年末减少 </w:t>
            </w:r>
            <w:r>
              <w:rPr>
                <w:rFonts w:ascii="Times New Roman" w:hAnsi="Times New Roman" w:cs="Times New Roman" w:eastAsia="Times New Roman" w:hint="default"/>
                <w:sz w:val="18"/>
                <w:szCs w:val="18"/>
              </w:rPr>
              <w:t>7,501.26 </w:t>
            </w:r>
            <w:r>
              <w:rPr>
                <w:rFonts w:ascii="宋体" w:hAnsi="宋体" w:cs="宋体" w:eastAsia="宋体" w:hint="default"/>
                <w:spacing w:val="-4"/>
                <w:sz w:val="18"/>
                <w:szCs w:val="18"/>
              </w:rPr>
              <w:t>万元，主要系本期收回上年全部处置</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亿迅资产组剩余股权转让款及部分股利所致。</w:t>
            </w:r>
          </w:p>
        </w:tc>
      </w:tr>
      <w:tr>
        <w:trPr>
          <w:trHeight w:val="716"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4"/>
              <w:ind w:left="23" w:right="17"/>
              <w:jc w:val="left"/>
              <w:rPr>
                <w:rFonts w:ascii="宋体" w:hAnsi="宋体" w:cs="宋体" w:eastAsia="宋体" w:hint="default"/>
                <w:sz w:val="18"/>
                <w:szCs w:val="18"/>
              </w:rPr>
            </w:pPr>
            <w:r>
              <w:rPr>
                <w:rFonts w:ascii="宋体" w:hAnsi="宋体" w:cs="宋体" w:eastAsia="宋体" w:hint="default"/>
                <w:spacing w:val="-4"/>
                <w:sz w:val="18"/>
                <w:szCs w:val="18"/>
              </w:rPr>
              <w:t>报告期内，一年内到期的非流动资产较上年末减少 </w:t>
            </w:r>
            <w:r>
              <w:rPr>
                <w:rFonts w:ascii="Times New Roman" w:hAnsi="Times New Roman" w:cs="Times New Roman" w:eastAsia="Times New Roman" w:hint="default"/>
                <w:sz w:val="18"/>
                <w:szCs w:val="18"/>
              </w:rPr>
              <w:t>1.85 </w:t>
            </w:r>
            <w:r>
              <w:rPr>
                <w:rFonts w:ascii="宋体" w:hAnsi="宋体" w:cs="宋体" w:eastAsia="宋体" w:hint="default"/>
                <w:spacing w:val="-6"/>
                <w:sz w:val="18"/>
                <w:szCs w:val="18"/>
              </w:rPr>
              <w:t>亿元，主要系本期质押定期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存单对应的借款展期，重分类至其他非流动资产所致。</w:t>
            </w:r>
          </w:p>
        </w:tc>
      </w:tr>
      <w:tr>
        <w:trPr>
          <w:trHeight w:val="715"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17"/>
              <w:jc w:val="left"/>
              <w:rPr>
                <w:rFonts w:ascii="宋体" w:hAnsi="宋体" w:cs="宋体" w:eastAsia="宋体" w:hint="default"/>
                <w:sz w:val="18"/>
                <w:szCs w:val="18"/>
              </w:rPr>
            </w:pPr>
            <w:r>
              <w:rPr>
                <w:rFonts w:ascii="宋体" w:hAnsi="宋体" w:cs="宋体" w:eastAsia="宋体" w:hint="default"/>
                <w:spacing w:val="-4"/>
                <w:sz w:val="18"/>
                <w:szCs w:val="18"/>
              </w:rPr>
              <w:t>报告期内，递延所得税资产较上年末增加 </w:t>
            </w:r>
            <w:r>
              <w:rPr>
                <w:rFonts w:ascii="Times New Roman" w:hAnsi="Times New Roman" w:cs="Times New Roman" w:eastAsia="Times New Roman" w:hint="default"/>
                <w:sz w:val="18"/>
                <w:szCs w:val="18"/>
              </w:rPr>
              <w:t>347.36 </w:t>
            </w:r>
            <w:r>
              <w:rPr>
                <w:rFonts w:ascii="宋体" w:hAnsi="宋体" w:cs="宋体" w:eastAsia="宋体" w:hint="default"/>
                <w:spacing w:val="-5"/>
                <w:sz w:val="18"/>
                <w:szCs w:val="18"/>
              </w:rPr>
              <w:t>万元，主要系本期可抵扣暂时性差</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异增加所致。</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5"/>
        <w:rPr>
          <w:rFonts w:ascii="宋体" w:hAnsi="宋体" w:cs="宋体" w:eastAsia="宋体" w:hint="default"/>
          <w:sz w:val="23"/>
          <w:szCs w:val="23"/>
        </w:rPr>
      </w:pPr>
    </w:p>
    <w:p>
      <w:pPr>
        <w:pStyle w:val="Heading2"/>
        <w:spacing w:line="240" w:lineRule="auto" w:before="26"/>
        <w:ind w:right="0"/>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3"/>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详见管理层分析。</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1"/>
        <w:spacing w:line="240" w:lineRule="auto"/>
        <w:ind w:left="3043" w:right="0"/>
        <w:jc w:val="left"/>
        <w:rPr>
          <w:b w:val="0"/>
          <w:bCs w:val="0"/>
        </w:rPr>
      </w:pPr>
      <w:bookmarkStart w:name="第四节经营情况讨论与分析" w:id="23"/>
      <w:bookmarkEnd w:id="23"/>
      <w:r>
        <w:rPr>
          <w:b w:val="0"/>
          <w:bCs w:val="0"/>
        </w:rPr>
      </w:r>
      <w:bookmarkStart w:name="_bookmark3" w:id="24"/>
      <w:bookmarkEnd w:id="24"/>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Heading2"/>
        <w:spacing w:line="240" w:lineRule="auto" w:before="26"/>
        <w:ind w:right="0"/>
        <w:jc w:val="left"/>
        <w:rPr>
          <w:b w:val="0"/>
          <w:bCs w:val="0"/>
        </w:rPr>
      </w:pPr>
      <w:bookmarkStart w:name="一、概述" w:id="25"/>
      <w:bookmarkEnd w:id="25"/>
      <w:r>
        <w:rPr>
          <w:b w:val="0"/>
          <w:bCs w:val="0"/>
        </w:rPr>
      </w:r>
      <w:r>
        <w:rPr/>
        <w:t>一、概述</w:t>
      </w:r>
      <w:r>
        <w:rPr>
          <w:b w:val="0"/>
          <w:bCs w:val="0"/>
        </w:rPr>
      </w:r>
    </w:p>
    <w:p>
      <w:pPr>
        <w:spacing w:line="240" w:lineRule="auto" w:before="1"/>
        <w:rPr>
          <w:rFonts w:ascii="宋体" w:hAnsi="宋体" w:cs="宋体" w:eastAsia="宋体" w:hint="default"/>
          <w:b/>
          <w:bCs/>
          <w:sz w:val="27"/>
          <w:szCs w:val="27"/>
        </w:rPr>
      </w:pPr>
    </w:p>
    <w:p>
      <w:pPr>
        <w:pStyle w:val="BodyText"/>
        <w:spacing w:line="240" w:lineRule="auto" w:before="0"/>
        <w:ind w:left="575" w:right="0"/>
        <w:jc w:val="left"/>
      </w:pPr>
      <w:r>
        <w:rPr>
          <w:rFonts w:ascii="Times New Roman" w:hAnsi="Times New Roman" w:cs="Times New Roman" w:eastAsia="Times New Roman" w:hint="default"/>
        </w:rPr>
        <w:t>2019</w:t>
      </w:r>
      <w:r>
        <w:rPr/>
        <w:t>年，公司合并层面营业收入</w:t>
      </w:r>
      <w:r>
        <w:rPr>
          <w:rFonts w:ascii="Times New Roman" w:hAnsi="Times New Roman" w:cs="Times New Roman" w:eastAsia="Times New Roman" w:hint="default"/>
        </w:rPr>
        <w:t>72,210.70</w:t>
      </w:r>
      <w:r>
        <w:rPr/>
        <w:t>万元，较</w:t>
      </w:r>
      <w:r>
        <w:rPr>
          <w:rFonts w:ascii="Times New Roman" w:hAnsi="Times New Roman" w:cs="Times New Roman" w:eastAsia="Times New Roman" w:hint="default"/>
        </w:rPr>
        <w:t>2018</w:t>
      </w:r>
      <w:r>
        <w:rPr/>
        <w:t>年全年下降</w:t>
      </w:r>
      <w:r>
        <w:rPr>
          <w:rFonts w:ascii="Times New Roman" w:hAnsi="Times New Roman" w:cs="Times New Roman" w:eastAsia="Times New Roman" w:hint="default"/>
        </w:rPr>
        <w:t>26.9%</w:t>
      </w:r>
      <w:r>
        <w:rPr/>
        <w:t>；归属母公司股东净利润</w:t>
      </w:r>
    </w:p>
    <w:p>
      <w:pPr>
        <w:pStyle w:val="BodyText"/>
        <w:spacing w:line="300" w:lineRule="auto" w:before="69"/>
        <w:ind w:right="1124"/>
        <w:jc w:val="both"/>
      </w:pPr>
      <w:r>
        <w:rPr>
          <w:rFonts w:ascii="Times New Roman" w:hAnsi="Times New Roman" w:cs="Times New Roman" w:eastAsia="Times New Roman" w:hint="default"/>
        </w:rPr>
        <w:t>21,904.82</w:t>
      </w:r>
      <w:r>
        <w:rPr/>
        <w:t>万元，较</w:t>
      </w:r>
      <w:r>
        <w:rPr>
          <w:rFonts w:ascii="Times New Roman" w:hAnsi="Times New Roman" w:cs="Times New Roman" w:eastAsia="Times New Roman" w:hint="default"/>
        </w:rPr>
        <w:t>2018</w:t>
      </w:r>
      <w:r>
        <w:rPr/>
        <w:t>年下降</w:t>
      </w:r>
      <w:r>
        <w:rPr>
          <w:rFonts w:ascii="Times New Roman" w:hAnsi="Times New Roman" w:cs="Times New Roman" w:eastAsia="Times New Roman" w:hint="default"/>
        </w:rPr>
        <w:t>31.81%</w:t>
      </w:r>
      <w:r>
        <w:rPr/>
        <w:t>。其中，公司核心主业 </w:t>
      </w:r>
      <w:r>
        <w:rPr>
          <w:rFonts w:ascii="Times New Roman" w:hAnsi="Times New Roman" w:cs="Times New Roman" w:eastAsia="Times New Roman" w:hint="default"/>
        </w:rPr>
        <w:t>–“</w:t>
      </w:r>
      <w:r>
        <w:rPr/>
        <w:t>视觉内容与服务</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实现营业收入</w:t>
      </w:r>
      <w:r>
        <w:rPr>
          <w:rFonts w:ascii="Times New Roman" w:hAnsi="Times New Roman" w:cs="Times New Roman" w:eastAsia="Times New Roman" w:hint="default"/>
        </w:rPr>
        <w:t>71,441.22</w:t>
      </w:r>
      <w:r>
        <w:rPr>
          <w:rFonts w:ascii="Times New Roman" w:hAnsi="Times New Roman" w:cs="Times New Roman" w:eastAsia="Times New Roman" w:hint="default"/>
          <w:w w:val="100"/>
        </w:rPr>
        <w:t> </w:t>
      </w:r>
      <w:r>
        <w:rPr>
          <w:spacing w:val="-2"/>
        </w:rPr>
        <w:t>万元，同比下降</w:t>
      </w:r>
      <w:r>
        <w:rPr>
          <w:rFonts w:ascii="Times New Roman" w:hAnsi="Times New Roman" w:cs="Times New Roman" w:eastAsia="Times New Roman" w:hint="default"/>
          <w:spacing w:val="-2"/>
        </w:rPr>
        <w:t>8.63%</w:t>
      </w:r>
      <w:r>
        <w:rPr>
          <w:spacing w:val="-2"/>
        </w:rPr>
        <w:t>。报告期内，受到两次网站整改、</w:t>
      </w:r>
      <w:r>
        <w:rPr>
          <w:rFonts w:ascii="Times New Roman" w:hAnsi="Times New Roman" w:cs="Times New Roman" w:eastAsia="Times New Roman" w:hint="default"/>
          <w:spacing w:val="-2"/>
        </w:rPr>
        <w:t>2018</w:t>
      </w:r>
      <w:r>
        <w:rPr>
          <w:spacing w:val="-2"/>
        </w:rPr>
        <w:t>年底剥离亿迅资产组等因素影响，公司营业</w:t>
      </w:r>
      <w:r>
        <w:rPr>
          <w:spacing w:val="-3"/>
        </w:rPr>
        <w:t> </w:t>
      </w:r>
      <w:r>
        <w:rPr>
          <w:spacing w:val="-3"/>
        </w:rPr>
      </w:r>
      <w:r>
        <w:rPr>
          <w:spacing w:val="-2"/>
        </w:rPr>
        <w:t>收入和净利润都出现了阶段性的下降。同时，公司毛利率保持稳定，合作客户数保持增长。其中直接合作</w:t>
      </w:r>
      <w:r>
        <w:rPr>
          <w:spacing w:val="-32"/>
        </w:rPr>
        <w:t> </w:t>
      </w:r>
      <w:r>
        <w:rPr>
          <w:spacing w:val="-32"/>
        </w:rPr>
      </w:r>
      <w:r>
        <w:rPr>
          <w:spacing w:val="-2"/>
        </w:rPr>
        <w:t>客户</w:t>
      </w:r>
      <w:r>
        <w:rPr>
          <w:rFonts w:ascii="Times New Roman" w:hAnsi="Times New Roman" w:cs="Times New Roman" w:eastAsia="Times New Roman" w:hint="default"/>
          <w:spacing w:val="-2"/>
        </w:rPr>
        <w:t>15,056</w:t>
      </w:r>
      <w:r>
        <w:rPr>
          <w:spacing w:val="-2"/>
        </w:rPr>
        <w:t>家，同比增长</w:t>
      </w:r>
      <w:r>
        <w:rPr>
          <w:rFonts w:ascii="Times New Roman" w:hAnsi="Times New Roman" w:cs="Times New Roman" w:eastAsia="Times New Roman" w:hint="default"/>
          <w:spacing w:val="-2"/>
        </w:rPr>
        <w:t>2%</w:t>
      </w:r>
      <w:r>
        <w:rPr>
          <w:spacing w:val="-2"/>
        </w:rPr>
        <w:t>，年度销售额</w:t>
      </w:r>
      <w:r>
        <w:rPr>
          <w:rFonts w:ascii="Times New Roman" w:hAnsi="Times New Roman" w:cs="Times New Roman" w:eastAsia="Times New Roman" w:hint="default"/>
          <w:spacing w:val="-2"/>
        </w:rPr>
        <w:t>10</w:t>
      </w:r>
      <w:r>
        <w:rPr>
          <w:spacing w:val="-2"/>
        </w:rPr>
        <w:t>万以上的客户续约率超过</w:t>
      </w:r>
      <w:r>
        <w:rPr>
          <w:rFonts w:ascii="Times New Roman" w:hAnsi="Times New Roman" w:cs="Times New Roman" w:eastAsia="Times New Roman" w:hint="default"/>
          <w:spacing w:val="-2"/>
        </w:rPr>
        <w:t>80%</w:t>
      </w:r>
      <w:r>
        <w:rPr>
          <w:spacing w:val="-2"/>
        </w:rPr>
        <w:t>；公司通过互联网平台触达长尾</w:t>
      </w:r>
      <w:r>
        <w:rPr>
          <w:spacing w:val="-9"/>
        </w:rPr>
        <w:t> </w:t>
      </w:r>
      <w:r>
        <w:rPr>
          <w:spacing w:val="-9"/>
        </w:rPr>
      </w:r>
      <w:r>
        <w:rPr/>
        <w:t>用户超过</w:t>
      </w:r>
      <w:r>
        <w:rPr>
          <w:rFonts w:ascii="Times New Roman" w:hAnsi="Times New Roman" w:cs="Times New Roman" w:eastAsia="Times New Roman" w:hint="default"/>
        </w:rPr>
        <w:t>70</w:t>
      </w:r>
      <w:r>
        <w:rPr/>
        <w:t>万，同比增长超过</w:t>
      </w:r>
      <w:r>
        <w:rPr>
          <w:rFonts w:ascii="Times New Roman" w:hAnsi="Times New Roman" w:cs="Times New Roman" w:eastAsia="Times New Roman" w:hint="default"/>
        </w:rPr>
        <w:t>110%</w:t>
      </w:r>
      <w:r>
        <w:rPr/>
        <w:t>。</w:t>
      </w:r>
    </w:p>
    <w:p>
      <w:pPr>
        <w:pStyle w:val="BodyText"/>
        <w:spacing w:line="314" w:lineRule="auto" w:before="6"/>
        <w:ind w:right="1125" w:firstLine="422"/>
        <w:jc w:val="both"/>
      </w:pPr>
      <w:r>
        <w:rPr>
          <w:spacing w:val="-2"/>
        </w:rPr>
        <w:t>整改短期内对公司业绩有一定影响，但长期来看，有利于公司商业模式优化，有利于公司核心竞争力</w:t>
      </w:r>
      <w:r>
        <w:rPr>
          <w:w w:val="100"/>
        </w:rPr>
        <w:t> </w:t>
      </w:r>
      <w:r>
        <w:rPr/>
        <w:t>的提升，有利于行业规范有序发展，有利于公司更加健康快速发展。</w:t>
      </w:r>
    </w:p>
    <w:p>
      <w:pPr>
        <w:spacing w:line="240" w:lineRule="auto" w:before="7"/>
        <w:rPr>
          <w:rFonts w:ascii="宋体" w:hAnsi="宋体" w:cs="宋体" w:eastAsia="宋体" w:hint="default"/>
          <w:sz w:val="20"/>
          <w:szCs w:val="20"/>
        </w:rPr>
      </w:pPr>
    </w:p>
    <w:p>
      <w:pPr>
        <w:pStyle w:val="Heading2"/>
        <w:spacing w:line="240" w:lineRule="auto"/>
        <w:ind w:right="0"/>
        <w:jc w:val="left"/>
        <w:rPr>
          <w:b w:val="0"/>
          <w:bCs w:val="0"/>
        </w:rPr>
      </w:pPr>
      <w:bookmarkStart w:name="二、主营业务分析" w:id="26"/>
      <w:bookmarkEnd w:id="26"/>
      <w:r>
        <w:rPr>
          <w:b w:val="0"/>
          <w:bCs w:val="0"/>
        </w:rPr>
      </w:r>
      <w:r>
        <w:rPr/>
        <w:t>二、主营业务分析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概述" w:id="27"/>
      <w:bookmarkEnd w:id="27"/>
      <w:r>
        <w:rPr>
          <w:b w:val="0"/>
          <w:bCs w:val="0"/>
        </w:rPr>
      </w: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pStyle w:val="Heading4"/>
        <w:spacing w:line="240" w:lineRule="auto"/>
        <w:ind w:left="575" w:right="0"/>
        <w:jc w:val="left"/>
        <w:rPr>
          <w:b w:val="0"/>
          <w:bCs w:val="0"/>
        </w:rPr>
      </w:pPr>
      <w:r>
        <w:rPr/>
        <w:t>主营业务情况</w:t>
      </w:r>
      <w:r>
        <w:rPr>
          <w:b w:val="0"/>
          <w:bCs w:val="0"/>
        </w:rPr>
      </w:r>
    </w:p>
    <w:p>
      <w:pPr>
        <w:spacing w:line="309" w:lineRule="auto" w:before="85"/>
        <w:ind w:left="556" w:right="0" w:firstLine="19"/>
        <w:jc w:val="left"/>
        <w:rPr>
          <w:rFonts w:ascii="宋体" w:hAnsi="宋体" w:cs="宋体" w:eastAsia="宋体" w:hint="default"/>
          <w:sz w:val="21"/>
          <w:szCs w:val="21"/>
        </w:rPr>
      </w:pPr>
      <w:r>
        <w:rPr>
          <w:rFonts w:ascii="宋体" w:hAnsi="宋体" w:cs="宋体" w:eastAsia="宋体" w:hint="default"/>
          <w:b/>
          <w:bCs/>
          <w:sz w:val="21"/>
          <w:szCs w:val="21"/>
        </w:rPr>
        <w:t>强化合规经营履行主体责任</w:t>
      </w:r>
      <w:r>
        <w:rPr>
          <w:rFonts w:ascii="宋体" w:hAnsi="宋体" w:cs="宋体" w:eastAsia="宋体" w:hint="default"/>
          <w:b/>
          <w:bCs/>
          <w:spacing w:val="-19"/>
          <w:sz w:val="21"/>
          <w:szCs w:val="21"/>
        </w:rPr>
        <w:t> </w:t>
      </w:r>
      <w:r>
        <w:rPr>
          <w:rFonts w:ascii="宋体" w:hAnsi="宋体" w:cs="宋体" w:eastAsia="宋体" w:hint="default"/>
          <w:b/>
          <w:bCs/>
          <w:sz w:val="21"/>
          <w:szCs w:val="21"/>
        </w:rPr>
        <w:t>推进企业持续健康发展</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报告期内，公司网站两次整改，暴露出公司在政策风险把控、内容安全审核等方面存在薄弱环节。公</w:t>
      </w:r>
    </w:p>
    <w:p>
      <w:pPr>
        <w:pStyle w:val="BodyText"/>
        <w:spacing w:line="314" w:lineRule="auto" w:before="24"/>
        <w:ind w:right="0"/>
        <w:jc w:val="left"/>
      </w:pPr>
      <w:r>
        <w:rPr>
          <w:spacing w:val="-2"/>
        </w:rPr>
        <w:t>司高度重视，在有关部门的指导下，积极、主动、高效地对网站内容和产品服务进行全面筛查审核，确保</w:t>
      </w:r>
      <w:r>
        <w:rPr>
          <w:spacing w:val="-38"/>
        </w:rPr>
        <w:t> </w:t>
      </w:r>
      <w:r>
        <w:rPr>
          <w:spacing w:val="-38"/>
        </w:rPr>
      </w:r>
      <w:r>
        <w:rPr>
          <w:spacing w:val="-4"/>
        </w:rPr>
        <w:t>权属标示清晰明确，授权机制合法合规；完善了机器审核、人工审核以及用户举报的内容审核制度与流程，</w:t>
      </w:r>
      <w:r>
        <w:rPr>
          <w:spacing w:val="-47"/>
        </w:rPr>
        <w:t> </w:t>
      </w:r>
      <w:r>
        <w:rPr>
          <w:spacing w:val="-47"/>
        </w:rPr>
      </w:r>
      <w:r>
        <w:rPr>
          <w:spacing w:val="-2"/>
        </w:rPr>
        <w:t>在尽可能短的时间内恢复业务；同时，广泛听取行业内各相关方面的意见，加强与主管部门、行业协会和</w:t>
      </w:r>
      <w:r>
        <w:rPr>
          <w:spacing w:val="-33"/>
        </w:rPr>
        <w:t> </w:t>
      </w:r>
      <w:r>
        <w:rPr>
          <w:spacing w:val="-33"/>
        </w:rPr>
      </w:r>
      <w:r>
        <w:rPr>
          <w:spacing w:val="-2"/>
        </w:rPr>
        <w:t>业内专家的沟通，主动接受监督；并在内部建立了专业的内容审核团队，组织和开展有针对性地培训，提</w:t>
      </w:r>
      <w:r>
        <w:rPr>
          <w:spacing w:val="-33"/>
        </w:rPr>
        <w:t> </w:t>
      </w:r>
      <w:r>
        <w:rPr>
          <w:spacing w:val="-33"/>
        </w:rPr>
      </w:r>
      <w:r>
        <w:rPr>
          <w:spacing w:val="-2"/>
        </w:rPr>
        <w:t>升内容审核团队的政治意识、法律意识以及业务能力；外部与人民网等权威机构开展战略合作，整体提升</w:t>
      </w:r>
      <w:r>
        <w:rPr>
          <w:spacing w:val="-33"/>
        </w:rPr>
        <w:t> </w:t>
      </w:r>
      <w:r>
        <w:rPr>
          <w:spacing w:val="-33"/>
        </w:rPr>
      </w:r>
      <w:r>
        <w:rPr/>
        <w:t>公司内容质量与合规服务能力，建立起内容安全的长效机制。</w:t>
      </w:r>
    </w:p>
    <w:p>
      <w:pPr>
        <w:pStyle w:val="BodyText"/>
        <w:spacing w:line="312" w:lineRule="auto" w:before="20"/>
        <w:ind w:right="1125" w:firstLine="403"/>
        <w:jc w:val="both"/>
      </w:pPr>
      <w:r>
        <w:rPr>
          <w:spacing w:val="-2"/>
        </w:rPr>
        <w:t>公司全面深入学习党和国家方针政策，全面学习《中华人民共和国网络安全法》、《互联网信息服务</w:t>
      </w:r>
      <w:r>
        <w:rPr>
          <w:w w:val="100"/>
        </w:rPr>
        <w:t> </w:t>
      </w:r>
      <w:r>
        <w:rPr>
          <w:spacing w:val="-2"/>
        </w:rPr>
        <w:t>管理办法》、《互联网新闻信息服务管理规定》、《网络信息内容生态治理规定》等法律法规，进一步明</w:t>
      </w:r>
      <w:r>
        <w:rPr>
          <w:spacing w:val="-33"/>
        </w:rPr>
        <w:t> </w:t>
      </w:r>
      <w:r>
        <w:rPr>
          <w:spacing w:val="-33"/>
        </w:rPr>
      </w:r>
      <w:r>
        <w:rPr>
          <w:spacing w:val="-2"/>
        </w:rPr>
        <w:t>确内容安全的底线，强化合规经营，积极主动履行企业的主体责任。加强公司党建工作，充分发挥党支部</w:t>
      </w:r>
      <w:r>
        <w:rPr>
          <w:spacing w:val="-33"/>
        </w:rPr>
        <w:t> </w:t>
      </w:r>
      <w:r>
        <w:rPr>
          <w:spacing w:val="-33"/>
        </w:rPr>
      </w:r>
      <w:r>
        <w:rPr/>
        <w:t>在经营中的引领作用，为公司的健康、长远发展保驾护航。</w:t>
      </w:r>
    </w:p>
    <w:p>
      <w:pPr>
        <w:spacing w:line="309" w:lineRule="auto" w:before="22"/>
        <w:ind w:left="575" w:right="0" w:firstLine="0"/>
        <w:jc w:val="left"/>
        <w:rPr>
          <w:rFonts w:ascii="宋体" w:hAnsi="宋体" w:cs="宋体" w:eastAsia="宋体" w:hint="default"/>
          <w:sz w:val="21"/>
          <w:szCs w:val="21"/>
        </w:rPr>
      </w:pPr>
      <w:r>
        <w:rPr>
          <w:rFonts w:ascii="宋体" w:hAnsi="宋体" w:cs="宋体" w:eastAsia="宋体" w:hint="default"/>
          <w:b/>
          <w:bCs/>
          <w:sz w:val="21"/>
          <w:szCs w:val="21"/>
        </w:rPr>
        <w:t>坚持以客户为中心</w:t>
      </w:r>
      <w:r>
        <w:rPr>
          <w:rFonts w:ascii="宋体" w:hAnsi="宋体" w:cs="宋体" w:eastAsia="宋体" w:hint="default"/>
          <w:b/>
          <w:bCs/>
          <w:spacing w:val="-19"/>
          <w:sz w:val="21"/>
          <w:szCs w:val="21"/>
        </w:rPr>
        <w:t> </w:t>
      </w:r>
      <w:r>
        <w:rPr>
          <w:rFonts w:ascii="宋体" w:hAnsi="宋体" w:cs="宋体" w:eastAsia="宋体" w:hint="default"/>
          <w:b/>
          <w:bCs/>
          <w:sz w:val="21"/>
          <w:szCs w:val="21"/>
        </w:rPr>
        <w:t>正面开拓市场高效获客</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spacing w:val="-4"/>
          <w:sz w:val="21"/>
          <w:szCs w:val="21"/>
        </w:rPr>
        <w:t>中国是全球第二大广告市场。</w:t>
      </w:r>
      <w:r>
        <w:rPr>
          <w:rFonts w:ascii="Times New Roman" w:hAnsi="Times New Roman" w:cs="Times New Roman" w:eastAsia="Times New Roman" w:hint="default"/>
          <w:spacing w:val="-4"/>
          <w:sz w:val="21"/>
          <w:szCs w:val="21"/>
        </w:rPr>
        <w:t>2019</w:t>
      </w:r>
      <w:r>
        <w:rPr>
          <w:rFonts w:ascii="宋体" w:hAnsi="宋体" w:cs="宋体" w:eastAsia="宋体" w:hint="default"/>
          <w:spacing w:val="-4"/>
          <w:sz w:val="21"/>
          <w:szCs w:val="21"/>
        </w:rPr>
        <w:t>年，中国广告市场总体规模达到</w:t>
      </w:r>
      <w:r>
        <w:rPr>
          <w:rFonts w:ascii="Times New Roman" w:hAnsi="Times New Roman" w:cs="Times New Roman" w:eastAsia="Times New Roman" w:hint="default"/>
          <w:spacing w:val="-4"/>
          <w:sz w:val="21"/>
          <w:szCs w:val="21"/>
        </w:rPr>
        <w:t>8,674.28</w:t>
      </w:r>
      <w:r>
        <w:rPr>
          <w:rFonts w:ascii="宋体" w:hAnsi="宋体" w:cs="宋体" w:eastAsia="宋体" w:hint="default"/>
          <w:spacing w:val="-4"/>
          <w:sz w:val="21"/>
          <w:szCs w:val="21"/>
        </w:rPr>
        <w:t>亿元，较上年增长了</w:t>
      </w:r>
      <w:r>
        <w:rPr>
          <w:rFonts w:ascii="Times New Roman" w:hAnsi="Times New Roman" w:cs="Times New Roman" w:eastAsia="Times New Roman" w:hint="default"/>
          <w:spacing w:val="-4"/>
          <w:sz w:val="21"/>
          <w:szCs w:val="21"/>
        </w:rPr>
        <w:t>8.54%</w:t>
      </w:r>
      <w:r>
        <w:rPr>
          <w:rFonts w:ascii="宋体" w:hAnsi="宋体" w:cs="宋体" w:eastAsia="宋体" w:hint="default"/>
          <w:spacing w:val="-4"/>
          <w:sz w:val="21"/>
          <w:szCs w:val="21"/>
        </w:rPr>
        <w:t>，</w:t>
      </w:r>
    </w:p>
    <w:p>
      <w:pPr>
        <w:pStyle w:val="BodyText"/>
        <w:spacing w:line="295" w:lineRule="auto" w:before="2"/>
        <w:ind w:right="0"/>
        <w:jc w:val="left"/>
      </w:pPr>
      <w:r>
        <w:rPr>
          <w:spacing w:val="-2"/>
        </w:rPr>
        <w:t>维持在近五年来第二高位增长；其中互联网广告保持持续的高速增长，</w:t>
      </w:r>
      <w:r>
        <w:rPr>
          <w:rFonts w:ascii="Times New Roman" w:hAnsi="Times New Roman" w:cs="Times New Roman" w:eastAsia="Times New Roman" w:hint="default"/>
          <w:spacing w:val="-2"/>
        </w:rPr>
        <w:t>2020</w:t>
      </w:r>
      <w:r>
        <w:rPr>
          <w:spacing w:val="-2"/>
        </w:rPr>
        <w:t>年增速为</w:t>
      </w:r>
      <w:r>
        <w:rPr>
          <w:rFonts w:ascii="Times New Roman" w:hAnsi="Times New Roman" w:cs="Times New Roman" w:eastAsia="Times New Roman" w:hint="default"/>
          <w:spacing w:val="-2"/>
        </w:rPr>
        <w:t>18.21%</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spacing w:val="-37"/>
        </w:rPr>
        <w:t> </w:t>
      </w:r>
      <w:r>
        <w:rPr/>
        <w:t>底，中国新闻出版研究院发布了</w:t>
      </w:r>
      <w:r>
        <w:rPr>
          <w:rFonts w:ascii="Times New Roman" w:hAnsi="Times New Roman" w:cs="Times New Roman" w:eastAsia="Times New Roman" w:hint="default"/>
        </w:rPr>
        <w:t>2018</w:t>
      </w:r>
      <w:r>
        <w:rPr/>
        <w:t>年中国版权产业的经济贡献调研结果：</w:t>
      </w:r>
      <w:r>
        <w:rPr>
          <w:rFonts w:ascii="Times New Roman" w:hAnsi="Times New Roman" w:cs="Times New Roman" w:eastAsia="Times New Roman" w:hint="default"/>
        </w:rPr>
        <w:t>2018</w:t>
      </w:r>
      <w:r>
        <w:rPr/>
        <w:t>年中国版权产业的行业增</w:t>
      </w:r>
      <w:r>
        <w:rPr>
          <w:w w:val="100"/>
        </w:rPr>
        <w:t> </w:t>
      </w:r>
      <w:r>
        <w:rPr>
          <w:spacing w:val="-4"/>
        </w:rPr>
        <w:t>加值为</w:t>
      </w:r>
      <w:r>
        <w:rPr>
          <w:rFonts w:ascii="Times New Roman" w:hAnsi="Times New Roman" w:cs="Times New Roman" w:eastAsia="Times New Roman" w:hint="default"/>
          <w:spacing w:val="-4"/>
        </w:rPr>
        <w:t>6.63</w:t>
      </w:r>
      <w:r>
        <w:rPr>
          <w:spacing w:val="-4"/>
        </w:rPr>
        <w:t>万亿元人民币，占</w:t>
      </w:r>
      <w:r>
        <w:rPr>
          <w:rFonts w:ascii="Times New Roman" w:hAnsi="Times New Roman" w:cs="Times New Roman" w:eastAsia="Times New Roman" w:hint="default"/>
          <w:spacing w:val="-4"/>
        </w:rPr>
        <w:t>GDP</w:t>
      </w:r>
      <w:r>
        <w:rPr>
          <w:spacing w:val="-4"/>
        </w:rPr>
        <w:t>的比重为</w:t>
      </w:r>
      <w:r>
        <w:rPr>
          <w:rFonts w:ascii="Times New Roman" w:hAnsi="Times New Roman" w:cs="Times New Roman" w:eastAsia="Times New Roman" w:hint="default"/>
          <w:spacing w:val="-4"/>
        </w:rPr>
        <w:t>7.37%</w:t>
      </w:r>
      <w:r>
        <w:rPr>
          <w:spacing w:val="-4"/>
        </w:rPr>
        <w:t>。其中核心版权产业行业增加值已达到</w:t>
      </w:r>
      <w:r>
        <w:rPr>
          <w:rFonts w:ascii="Times New Roman" w:hAnsi="Times New Roman" w:cs="Times New Roman" w:eastAsia="Times New Roman" w:hint="default"/>
          <w:spacing w:val="-4"/>
        </w:rPr>
        <w:t>4.17</w:t>
      </w:r>
      <w:r>
        <w:rPr>
          <w:spacing w:val="-4"/>
        </w:rPr>
        <w:t>万亿元人民币。</w:t>
      </w:r>
      <w:r>
        <w:rPr>
          <w:spacing w:val="-27"/>
        </w:rPr>
        <w:t> </w:t>
      </w:r>
      <w:r>
        <w:rPr>
          <w:spacing w:val="-27"/>
        </w:rPr>
      </w:r>
      <w:r>
        <w:rPr/>
        <w:t>中国版权产业在国民经济中的比重稳步提升，总体规模进一步壮大。</w:t>
      </w:r>
    </w:p>
    <w:p>
      <w:pPr>
        <w:pStyle w:val="BodyText"/>
        <w:spacing w:line="297" w:lineRule="auto" w:before="37"/>
        <w:ind w:right="1132" w:firstLine="360"/>
        <w:jc w:val="both"/>
      </w:pPr>
      <w:r>
        <w:rPr>
          <w:spacing w:val="-2"/>
        </w:rPr>
        <w:t>报告期内，公司坚持以</w:t>
      </w:r>
      <w:r>
        <w:rPr>
          <w:rFonts w:ascii="Times New Roman" w:hAnsi="Times New Roman" w:cs="Times New Roman" w:eastAsia="Times New Roman" w:hint="default"/>
          <w:spacing w:val="-2"/>
        </w:rPr>
        <w:t>“</w:t>
      </w:r>
      <w:r>
        <w:rPr>
          <w:spacing w:val="-2"/>
        </w:rPr>
        <w:t>客户为中心</w:t>
      </w:r>
      <w:r>
        <w:rPr>
          <w:rFonts w:ascii="Times New Roman" w:hAnsi="Times New Roman" w:cs="Times New Roman" w:eastAsia="Times New Roman" w:hint="default"/>
          <w:spacing w:val="-2"/>
        </w:rPr>
        <w:t>”</w:t>
      </w:r>
      <w:r>
        <w:rPr>
          <w:spacing w:val="-2"/>
        </w:rPr>
        <w:t>的服务理念，根据行业及市场的发展趋势及巨大发展空间，将销</w:t>
      </w:r>
      <w:r>
        <w:rPr>
          <w:w w:val="100"/>
        </w:rPr>
        <w:t> </w:t>
      </w:r>
      <w:r>
        <w:rPr>
          <w:spacing w:val="-2"/>
        </w:rPr>
        <w:t>售体系分为两大体系：客户体系</w:t>
      </w:r>
      <w:r>
        <w:rPr>
          <w:rFonts w:ascii="宋体" w:hAnsi="宋体" w:cs="宋体" w:eastAsia="宋体" w:hint="default"/>
          <w:spacing w:val="-2"/>
        </w:rPr>
        <w:t>-</w:t>
      </w:r>
      <w:r>
        <w:rPr>
          <w:spacing w:val="-2"/>
        </w:rPr>
        <w:t>大客户、中小客户以及长尾用户；行业体系</w:t>
      </w:r>
      <w:r>
        <w:rPr>
          <w:rFonts w:ascii="宋体" w:hAnsi="宋体" w:cs="宋体" w:eastAsia="宋体" w:hint="default"/>
          <w:spacing w:val="-2"/>
        </w:rPr>
        <w:t>-</w:t>
      </w:r>
      <w:r>
        <w:rPr>
          <w:spacing w:val="-2"/>
        </w:rPr>
        <w:t>党政与媒体、企业客户、广</w:t>
      </w:r>
    </w:p>
    <w:p>
      <w:pPr>
        <w:spacing w:after="0" w:line="297" w:lineRule="auto"/>
        <w:jc w:val="both"/>
        <w:sectPr>
          <w:pgSz w:w="11910" w:h="16840"/>
          <w:pgMar w:header="741" w:footer="979" w:top="1060" w:bottom="1160" w:left="980" w:right="0"/>
        </w:sectPr>
      </w:pPr>
    </w:p>
    <w:p>
      <w:pPr>
        <w:spacing w:line="240" w:lineRule="auto" w:before="10"/>
        <w:rPr>
          <w:rFonts w:ascii="宋体" w:hAnsi="宋体" w:cs="宋体" w:eastAsia="宋体" w:hint="default"/>
          <w:sz w:val="26"/>
          <w:szCs w:val="26"/>
        </w:rPr>
      </w:pPr>
    </w:p>
    <w:p>
      <w:pPr>
        <w:pStyle w:val="BodyText"/>
        <w:spacing w:line="314" w:lineRule="auto" w:before="36"/>
        <w:ind w:left="575" w:right="0" w:hanging="423"/>
        <w:jc w:val="left"/>
      </w:pPr>
      <w:r>
        <w:rPr/>
        <w:t>告营销与服务、互联网平台。</w:t>
      </w:r>
      <w:r>
        <w:rPr>
          <w:spacing w:val="-99"/>
        </w:rPr>
        <w:t> </w:t>
      </w:r>
      <w:r>
        <w:rPr>
          <w:spacing w:val="-99"/>
        </w:rPr>
      </w:r>
      <w:r>
        <w:rPr>
          <w:spacing w:val="-2"/>
        </w:rPr>
        <w:t>针对大客户、中小客户，公司制定不同的产品组合与价格体系，通过市场营销与定向开发相结合，全</w:t>
      </w:r>
    </w:p>
    <w:p>
      <w:pPr>
        <w:pStyle w:val="BodyText"/>
        <w:spacing w:line="307" w:lineRule="auto" w:before="15"/>
        <w:ind w:right="0"/>
        <w:jc w:val="left"/>
      </w:pPr>
      <w:r>
        <w:rPr/>
        <w:t>面深度覆盖市场的能力。公司重点聚焦为大客户提供更有针对性的服务，首先充分挖掘大客户全产品、全</w:t>
      </w:r>
      <w:r>
        <w:rPr>
          <w:w w:val="100"/>
        </w:rPr>
        <w:t> </w:t>
      </w:r>
      <w:r>
        <w:rPr>
          <w:spacing w:val="-4"/>
        </w:rPr>
        <w:t>应用场景的需求，通过提供数字内容资产管理、视频智能剪辑、版权风控、行业图库等一系列依托大数据、</w:t>
      </w:r>
      <w:r>
        <w:rPr>
          <w:spacing w:val="-42"/>
        </w:rPr>
        <w:t> </w:t>
      </w:r>
      <w:r>
        <w:rPr>
          <w:spacing w:val="-42"/>
        </w:rPr>
      </w:r>
      <w:r>
        <w:rPr/>
        <w:t>人工智能技术的智能服务帮助客户提升工作效率、产品体验与内容获取效率，有效促进客户黏性和提升素</w:t>
      </w:r>
      <w:r>
        <w:rPr>
          <w:w w:val="100"/>
        </w:rPr>
        <w:t> </w:t>
      </w:r>
      <w:r>
        <w:rPr/>
        <w:t>材使用数量；同时，为满足企业级大客户的个性化需求，公司也提供定制化的增值服务，包括拍摄服务、</w:t>
      </w:r>
      <w:r>
        <w:rPr>
          <w:spacing w:val="-103"/>
        </w:rPr>
        <w:t> </w:t>
      </w:r>
      <w:r>
        <w:rPr>
          <w:spacing w:val="-103"/>
        </w:rPr>
      </w:r>
      <w:r>
        <w:rPr/>
        <w:t>设计服务、权利咨询、以及创意众包、传播推广、创意策划等整合营销服务。</w:t>
      </w:r>
      <w:r>
        <w:rPr>
          <w:rFonts w:ascii="Times New Roman" w:hAnsi="Times New Roman" w:cs="Times New Roman" w:eastAsia="Times New Roman" w:hint="default"/>
        </w:rPr>
        <w:t>2019</w:t>
      </w:r>
      <w:r>
        <w:rPr/>
        <w:t>年，公司紧紧围绕新中</w:t>
      </w:r>
      <w:r>
        <w:rPr>
          <w:w w:val="100"/>
        </w:rPr>
        <w:t> </w:t>
      </w:r>
      <w:r>
        <w:rPr/>
        <w:t>国成立</w:t>
      </w:r>
      <w:r>
        <w:rPr>
          <w:rFonts w:ascii="Times New Roman" w:hAnsi="Times New Roman" w:cs="Times New Roman" w:eastAsia="Times New Roman" w:hint="default"/>
        </w:rPr>
        <w:t>70</w:t>
      </w:r>
      <w:r>
        <w:rPr/>
        <w:t>周年、一带一路、扶贫攻坚等重大事件，精耕细作，深挖客户的延展商机，为大客户提供相关增</w:t>
      </w:r>
      <w:r>
        <w:rPr>
          <w:w w:val="100"/>
        </w:rPr>
        <w:t> </w:t>
      </w:r>
      <w:r>
        <w:rPr/>
        <w:t>值服务，满足大客户的个性化需求，为公司带来新的业绩增长。</w:t>
      </w:r>
    </w:p>
    <w:p>
      <w:pPr>
        <w:pStyle w:val="BodyText"/>
        <w:spacing w:line="312" w:lineRule="auto" w:before="26"/>
        <w:ind w:right="1123" w:firstLine="422"/>
        <w:jc w:val="both"/>
      </w:pPr>
      <w:r>
        <w:rPr>
          <w:spacing w:val="-2"/>
        </w:rPr>
        <w:t>针对中小客户，公司通过在线数字营销，包括搜索营销、联盟营销、内容营销以及社交媒体等方式高</w:t>
      </w:r>
      <w:r>
        <w:rPr>
          <w:w w:val="100"/>
        </w:rPr>
        <w:t> </w:t>
      </w:r>
      <w:r>
        <w:rPr>
          <w:spacing w:val="-2"/>
        </w:rPr>
        <w:t>性价比的方式定向高效开发客户；也通过行业协会，例如中国旅行社协会等行业渠道拓展中小行业客户市</w:t>
      </w:r>
      <w:r>
        <w:rPr>
          <w:spacing w:val="-33"/>
        </w:rPr>
        <w:t> </w:t>
      </w:r>
      <w:r>
        <w:rPr>
          <w:spacing w:val="-33"/>
        </w:rPr>
      </w:r>
      <w:r>
        <w:rPr>
          <w:spacing w:val="-2"/>
        </w:rPr>
        <w:t>场。公司同时完善了标准化的内容素材产品包与价格体系，推出了符合中小客户群体的预算和需求的产品</w:t>
      </w:r>
      <w:r>
        <w:rPr>
          <w:spacing w:val="-31"/>
        </w:rPr>
        <w:t> </w:t>
      </w:r>
      <w:r>
        <w:rPr>
          <w:spacing w:val="-31"/>
        </w:rPr>
      </w:r>
      <w:r>
        <w:rPr/>
        <w:t>包，通过针对性满足其需求及预算的内容产品，提供高效简单的自助化程度高的电商交易服务。</w:t>
      </w:r>
    </w:p>
    <w:p>
      <w:pPr>
        <w:pStyle w:val="BodyText"/>
        <w:spacing w:line="304" w:lineRule="auto" w:before="22"/>
        <w:ind w:right="0" w:firstLine="384"/>
        <w:jc w:val="left"/>
      </w:pPr>
      <w:r>
        <w:rPr/>
        <w:t>针对长尾用户群，公司继续强化同互联网平台的开战略合作，针对不同的平台应用场景，通过平台的</w:t>
      </w:r>
      <w:r>
        <w:rPr>
          <w:w w:val="100"/>
        </w:rPr>
        <w:t> </w:t>
      </w:r>
      <w:r>
        <w:rPr/>
        <w:t>连接及赋能，提升了优质正版内容触达客户的深度和广度，持续提升公司作为内容生态的</w:t>
      </w:r>
      <w:r>
        <w:rPr>
          <w:rFonts w:ascii="Times New Roman" w:hAnsi="Times New Roman" w:cs="Times New Roman" w:eastAsia="Times New Roman" w:hint="default"/>
        </w:rPr>
        <w:t>“</w:t>
      </w:r>
      <w:r>
        <w:rPr/>
        <w:t>基础设施</w:t>
      </w:r>
      <w:r>
        <w:rPr>
          <w:rFonts w:ascii="Times New Roman" w:hAnsi="Times New Roman" w:cs="Times New Roman" w:eastAsia="Times New Roman" w:hint="default"/>
        </w:rPr>
        <w:t>”</w:t>
      </w:r>
      <w:r>
        <w:rPr/>
        <w:t>的地</w:t>
      </w:r>
      <w:r>
        <w:rPr>
          <w:spacing w:val="-103"/>
        </w:rPr>
        <w:t> </w:t>
      </w:r>
      <w:r>
        <w:rPr/>
        <w:t>位和全面深度覆盖市场的能力，促进了内容生态使用方对正版素材的使用，对行业健康发展起到了推动作</w:t>
      </w:r>
      <w:r>
        <w:rPr>
          <w:w w:val="100"/>
        </w:rPr>
        <w:t> </w:t>
      </w:r>
      <w:r>
        <w:rPr>
          <w:spacing w:val="-4"/>
        </w:rPr>
        <w:t>用。</w:t>
      </w:r>
      <w:r>
        <w:rPr>
          <w:rFonts w:ascii="Times New Roman" w:hAnsi="Times New Roman" w:cs="Times New Roman" w:eastAsia="Times New Roman" w:hint="default"/>
          <w:spacing w:val="-4"/>
        </w:rPr>
        <w:t>2019</w:t>
      </w:r>
      <w:r>
        <w:rPr>
          <w:spacing w:val="-4"/>
        </w:rPr>
        <w:t>年，公司继续保持与阿里巴巴、腾讯、百度、微博、字节跳动等公司合作，还全新开拓了同京东、</w:t>
      </w:r>
      <w:r>
        <w:rPr>
          <w:spacing w:val="-38"/>
        </w:rPr>
        <w:t> </w:t>
      </w:r>
      <w:r>
        <w:rPr>
          <w:spacing w:val="-38"/>
        </w:rPr>
      </w:r>
      <w:r>
        <w:rPr/>
        <w:t>阿里云、金山办公等公司的合作。</w:t>
      </w:r>
    </w:p>
    <w:p>
      <w:pPr>
        <w:pStyle w:val="BodyText"/>
        <w:spacing w:line="314" w:lineRule="auto" w:before="23"/>
        <w:ind w:right="0" w:firstLine="465"/>
        <w:jc w:val="left"/>
      </w:pPr>
      <w:r>
        <w:rPr>
          <w:spacing w:val="-6"/>
        </w:rPr>
        <w:t>报告期内，公司重点对企业客户、党政与媒体、广告营销与服务、互联网平台等四个行业进行了开拓，</w:t>
      </w:r>
      <w:r>
        <w:rPr>
          <w:w w:val="100"/>
        </w:rPr>
        <w:t> </w:t>
      </w:r>
      <w:r>
        <w:rPr/>
        <w:t>四类客户收入占比分别为</w:t>
      </w:r>
      <w:r>
        <w:rPr>
          <w:rFonts w:ascii="Times New Roman" w:hAnsi="Times New Roman" w:cs="Times New Roman" w:eastAsia="Times New Roman" w:hint="default"/>
        </w:rPr>
        <w:t>34%</w:t>
      </w:r>
      <w:r>
        <w:rPr/>
        <w:t>、</w:t>
      </w:r>
      <w:r>
        <w:rPr>
          <w:rFonts w:ascii="Times New Roman" w:hAnsi="Times New Roman" w:cs="Times New Roman" w:eastAsia="Times New Roman" w:hint="default"/>
        </w:rPr>
        <w:t>32%</w:t>
      </w:r>
      <w:r>
        <w:rPr/>
        <w:t>、</w:t>
      </w:r>
      <w:r>
        <w:rPr>
          <w:rFonts w:ascii="Times New Roman" w:hAnsi="Times New Roman" w:cs="Times New Roman" w:eastAsia="Times New Roman" w:hint="default"/>
        </w:rPr>
        <w:t>20%</w:t>
      </w:r>
      <w:r>
        <w:rPr/>
        <w:t>、</w:t>
      </w:r>
      <w:r>
        <w:rPr>
          <w:rFonts w:ascii="Times New Roman" w:hAnsi="Times New Roman" w:cs="Times New Roman" w:eastAsia="Times New Roman" w:hint="default"/>
        </w:rPr>
        <w:t>14%</w:t>
      </w:r>
      <w:r>
        <w:rPr/>
        <w:t>。</w:t>
      </w:r>
    </w:p>
    <w:p>
      <w:pPr>
        <w:pStyle w:val="BodyText"/>
        <w:spacing w:line="312" w:lineRule="auto" w:before="0"/>
        <w:ind w:right="1023" w:firstLine="465"/>
        <w:jc w:val="both"/>
      </w:pPr>
      <w:r>
        <w:rPr>
          <w:spacing w:val="-3"/>
        </w:rPr>
        <w:t>公司充分重视并进一步加强与党政机关和主流媒体的全面深入的合作，专门成立独立部门，重点服务</w:t>
      </w:r>
      <w:r>
        <w:rPr>
          <w:w w:val="100"/>
        </w:rPr>
        <w:t> </w:t>
      </w:r>
      <w:r>
        <w:rPr>
          <w:spacing w:val="-2"/>
        </w:rPr>
        <w:t>中央新闻单位（新华社、人民日报、中央广播电视总台等）、中央重点新闻网站（新华网、中国网络电视</w:t>
      </w:r>
      <w:r>
        <w:rPr>
          <w:spacing w:val="-38"/>
        </w:rPr>
        <w:t> </w:t>
      </w:r>
      <w:r>
        <w:rPr>
          <w:spacing w:val="-38"/>
        </w:rPr>
      </w:r>
      <w:r>
        <w:rPr/>
        <w:t>台、国际在线、环球网、中国日报网、光明网、中国青年网、中国经济网等）、国有出版集团（大百科全</w:t>
      </w:r>
      <w:r>
        <w:rPr>
          <w:w w:val="100"/>
        </w:rPr>
        <w:t> </w:t>
      </w:r>
      <w:r>
        <w:rPr>
          <w:spacing w:val="-4"/>
        </w:rPr>
        <w:t>书出版社、中南出版传媒集团、人民教育出版社、高等教育出版社、外研社等）以及党政机关新兴融媒体。</w:t>
      </w:r>
    </w:p>
    <w:p>
      <w:pPr>
        <w:pStyle w:val="BodyText"/>
        <w:spacing w:line="314" w:lineRule="auto" w:before="22"/>
        <w:ind w:right="0" w:firstLine="384"/>
        <w:jc w:val="left"/>
      </w:pPr>
      <w:r>
        <w:rPr/>
        <w:t>公司不断巩固加强与广告营销服务类客户的优势合作关系，积极参与行业活动，重点对汽车、快销等</w:t>
      </w:r>
      <w:r>
        <w:rPr>
          <w:w w:val="100"/>
        </w:rPr>
        <w:t> </w:t>
      </w:r>
      <w:r>
        <w:rPr>
          <w:spacing w:val="-4"/>
        </w:rPr>
        <w:t>行业进行针对性的内容产品升级，特别为汽车行业客户提供定制化的行业内容图库，提升客户的服务体验。</w:t>
      </w:r>
    </w:p>
    <w:p>
      <w:pPr>
        <w:pStyle w:val="BodyText"/>
        <w:spacing w:line="314" w:lineRule="auto" w:before="16"/>
        <w:ind w:right="1126" w:firstLine="384"/>
        <w:jc w:val="both"/>
      </w:pPr>
      <w:r>
        <w:rPr>
          <w:spacing w:val="-2"/>
        </w:rPr>
        <w:t>公司通过与企业大客户建立战略合作关系，签署战略合作协议，深挖集团大客户业务需求，充分发挥</w:t>
      </w:r>
      <w:r>
        <w:rPr>
          <w:w w:val="100"/>
        </w:rPr>
        <w:t> </w:t>
      </w:r>
      <w:r>
        <w:rPr>
          <w:spacing w:val="-2"/>
        </w:rPr>
        <w:t>公司素材内容全面、智能服务、增值服务的一站式服务能力，赢得与企业大客户的长久合作，夯实我们的</w:t>
      </w:r>
      <w:r>
        <w:rPr>
          <w:spacing w:val="-33"/>
        </w:rPr>
        <w:t> </w:t>
      </w:r>
      <w:r>
        <w:rPr>
          <w:spacing w:val="-33"/>
        </w:rPr>
      </w:r>
      <w:r>
        <w:rPr/>
        <w:t>客户基础和行业根基。报告期内，公司与中航集团等大客户签署了战略合作协议。</w:t>
      </w:r>
    </w:p>
    <w:p>
      <w:pPr>
        <w:spacing w:line="309" w:lineRule="auto" w:before="20"/>
        <w:ind w:left="575" w:right="0" w:hanging="34"/>
        <w:jc w:val="left"/>
        <w:rPr>
          <w:rFonts w:ascii="宋体" w:hAnsi="宋体" w:cs="宋体" w:eastAsia="宋体" w:hint="default"/>
          <w:sz w:val="21"/>
          <w:szCs w:val="21"/>
        </w:rPr>
      </w:pPr>
      <w:r>
        <w:rPr>
          <w:rFonts w:ascii="宋体" w:hAnsi="宋体" w:cs="宋体" w:eastAsia="宋体" w:hint="default"/>
          <w:b/>
          <w:bCs/>
          <w:sz w:val="21"/>
          <w:szCs w:val="21"/>
        </w:rPr>
        <w:t>依法合规开展版权保护</w:t>
      </w:r>
      <w:r>
        <w:rPr>
          <w:rFonts w:ascii="宋体" w:hAnsi="宋体" w:cs="宋体" w:eastAsia="宋体" w:hint="default"/>
          <w:b/>
          <w:bCs/>
          <w:spacing w:val="-19"/>
          <w:sz w:val="21"/>
          <w:szCs w:val="21"/>
        </w:rPr>
        <w:t> </w:t>
      </w:r>
      <w:r>
        <w:rPr>
          <w:rFonts w:ascii="宋体" w:hAnsi="宋体" w:cs="宋体" w:eastAsia="宋体" w:hint="default"/>
          <w:b/>
          <w:bCs/>
          <w:sz w:val="21"/>
          <w:szCs w:val="21"/>
        </w:rPr>
        <w:t>合力促进产业健康发展</w:t>
      </w:r>
      <w:r>
        <w:rPr>
          <w:rFonts w:ascii="宋体" w:hAnsi="宋体" w:cs="宋体" w:eastAsia="宋体" w:hint="default"/>
          <w:b/>
          <w:bCs/>
          <w:spacing w:val="-99"/>
          <w:sz w:val="21"/>
          <w:szCs w:val="21"/>
        </w:rPr>
        <w:t> </w:t>
      </w:r>
      <w:r>
        <w:rPr>
          <w:rFonts w:ascii="宋体" w:hAnsi="宋体" w:cs="宋体" w:eastAsia="宋体" w:hint="default"/>
          <w:b/>
          <w:bCs/>
          <w:spacing w:val="-99"/>
          <w:sz w:val="21"/>
          <w:szCs w:val="21"/>
        </w:rPr>
      </w:r>
      <w:r>
        <w:rPr>
          <w:rFonts w:ascii="宋体" w:hAnsi="宋体" w:cs="宋体" w:eastAsia="宋体" w:hint="default"/>
          <w:spacing w:val="-2"/>
          <w:sz w:val="21"/>
          <w:szCs w:val="21"/>
        </w:rPr>
        <w:t>公司是国内第一家利用互联网技术创建的正版图片交易平台，通过多年的实践公司建立了全球范围内</w:t>
      </w:r>
    </w:p>
    <w:p>
      <w:pPr>
        <w:pStyle w:val="BodyText"/>
        <w:spacing w:line="307" w:lineRule="auto" w:before="24"/>
        <w:ind w:right="1127"/>
        <w:jc w:val="left"/>
      </w:pPr>
      <w:r>
        <w:rPr>
          <w:spacing w:val="-2"/>
        </w:rPr>
        <w:t>业界领先并基于中国版权保护实践的专业完善的图像版权管理体系和流程。公司高度重视版权保护工作以</w:t>
      </w:r>
      <w:r>
        <w:rPr>
          <w:spacing w:val="-31"/>
        </w:rPr>
        <w:t> </w:t>
      </w:r>
      <w:r>
        <w:rPr>
          <w:spacing w:val="-31"/>
        </w:rPr>
      </w:r>
      <w:r>
        <w:rPr>
          <w:spacing w:val="-2"/>
        </w:rPr>
        <w:t>及相关能力建设。公司的版权保护有关司法案件，多次入选法院系统的知识产权典型案例，受到政府部门</w:t>
      </w:r>
      <w:r>
        <w:rPr>
          <w:spacing w:val="-32"/>
        </w:rPr>
        <w:t> </w:t>
      </w:r>
      <w:r>
        <w:rPr>
          <w:spacing w:val="-32"/>
        </w:rPr>
      </w:r>
      <w:r>
        <w:rPr/>
        <w:t>的高度评价。公司在版权保护的技术创新方面积极探索，处于行业领先地位。公司是国内第一家将</w:t>
      </w:r>
      <w:r>
        <w:rPr>
          <w:rFonts w:ascii="Times New Roman" w:hAnsi="Times New Roman" w:cs="Times New Roman" w:eastAsia="Times New Roman" w:hint="default"/>
        </w:rPr>
        <w:t>“</w:t>
      </w:r>
      <w:r>
        <w:rPr/>
        <w:t>可信</w:t>
      </w:r>
      <w:r>
        <w:rPr>
          <w:spacing w:val="-100"/>
        </w:rPr>
        <w:t> </w:t>
      </w:r>
      <w:r>
        <w:rPr/>
        <w:t>时间戳</w:t>
      </w:r>
      <w:r>
        <w:rPr>
          <w:rFonts w:ascii="Times New Roman" w:hAnsi="Times New Roman" w:cs="Times New Roman" w:eastAsia="Times New Roman" w:hint="default"/>
        </w:rPr>
        <w:t>”</w:t>
      </w:r>
      <w:r>
        <w:rPr/>
        <w:t>用于图片版权的确权和认证的公司；并基于图像大数据与人工智能技术自行研发图像网络追踪系</w:t>
      </w:r>
      <w:r>
        <w:rPr>
          <w:w w:val="100"/>
        </w:rPr>
        <w:t> </w:t>
      </w:r>
      <w:r>
        <w:rPr>
          <w:spacing w:val="-2"/>
        </w:rPr>
        <w:t>统，能够追踪到公司拥有图片在网络上的使用情况，大幅降低版权保护的成本，有效的保护了版权人的利</w:t>
      </w:r>
      <w:r>
        <w:rPr>
          <w:spacing w:val="-33"/>
        </w:rPr>
        <w:t> </w:t>
      </w:r>
      <w:r>
        <w:rPr>
          <w:spacing w:val="-33"/>
        </w:rPr>
      </w:r>
      <w:r>
        <w:rPr/>
        <w:t>益。</w:t>
      </w:r>
    </w:p>
    <w:p>
      <w:pPr>
        <w:pStyle w:val="BodyText"/>
        <w:spacing w:line="292" w:lineRule="auto" w:before="26"/>
        <w:ind w:right="1120" w:firstLine="422"/>
        <w:jc w:val="both"/>
      </w:pPr>
      <w:r>
        <w:rPr>
          <w:rFonts w:ascii="Times New Roman" w:hAnsi="Times New Roman" w:cs="Times New Roman" w:eastAsia="Times New Roman" w:hint="default"/>
          <w:spacing w:val="-2"/>
        </w:rPr>
        <w:t>2019</w:t>
      </w:r>
      <w:r>
        <w:rPr>
          <w:spacing w:val="-2"/>
        </w:rPr>
        <w:t>年，国家版权局等主管部门多次来公司做了实地考察和调研，全面查看了公司版权管理体系，一</w:t>
      </w:r>
      <w:r>
        <w:rPr>
          <w:w w:val="100"/>
        </w:rPr>
        <w:t> </w:t>
      </w:r>
      <w:r>
        <w:rPr/>
        <w:t>方面肯定了公司作为交易平台在版权保护中起到的积极作用，同时也指出了存在的问题和需要改进的不</w:t>
      </w:r>
    </w:p>
    <w:p>
      <w:pPr>
        <w:spacing w:after="0" w:line="292" w:lineRule="auto"/>
        <w:jc w:val="both"/>
        <w:sectPr>
          <w:pgSz w:w="11910" w:h="16840"/>
          <w:pgMar w:header="741" w:footer="979" w:top="1060" w:bottom="1160" w:left="980" w:right="0"/>
        </w:sectPr>
      </w:pPr>
    </w:p>
    <w:p>
      <w:pPr>
        <w:spacing w:line="240" w:lineRule="auto" w:before="10"/>
        <w:rPr>
          <w:rFonts w:ascii="宋体" w:hAnsi="宋体" w:cs="宋体" w:eastAsia="宋体" w:hint="default"/>
          <w:sz w:val="26"/>
          <w:szCs w:val="26"/>
        </w:rPr>
      </w:pPr>
    </w:p>
    <w:p>
      <w:pPr>
        <w:pStyle w:val="BodyText"/>
        <w:spacing w:line="314" w:lineRule="auto" w:before="36"/>
        <w:ind w:right="0"/>
        <w:jc w:val="left"/>
      </w:pPr>
      <w:r>
        <w:rPr>
          <w:spacing w:val="-2"/>
        </w:rPr>
        <w:t>足。在主管部门的指导下，公司进一步深入了解市场需求，客户的反馈，倾听来自监管机构、媒体和公众</w:t>
      </w:r>
      <w:r>
        <w:rPr>
          <w:spacing w:val="-38"/>
        </w:rPr>
        <w:t> </w:t>
      </w:r>
      <w:r>
        <w:rPr>
          <w:spacing w:val="-38"/>
        </w:rPr>
      </w:r>
      <w:r>
        <w:rPr/>
        <w:t>的批评与建议，持续探索符合国内市场特点、实现多方共赢的正版化路径。</w:t>
      </w:r>
    </w:p>
    <w:p>
      <w:pPr>
        <w:pStyle w:val="BodyText"/>
        <w:spacing w:line="307" w:lineRule="auto" w:before="15"/>
        <w:ind w:right="0" w:firstLine="422"/>
        <w:jc w:val="left"/>
      </w:pPr>
      <w:r>
        <w:rPr>
          <w:rFonts w:ascii="Times New Roman" w:hAnsi="Times New Roman" w:cs="Times New Roman" w:eastAsia="Times New Roman" w:hint="default"/>
          <w:spacing w:val="-4"/>
        </w:rPr>
        <w:t>2019</w:t>
      </w:r>
      <w:r>
        <w:rPr>
          <w:spacing w:val="-4"/>
        </w:rPr>
        <w:t>年第四季度，公司与中国版权保护中心、首都版权联盟、中国互联网协会、广东省版权保护中心、</w:t>
      </w:r>
      <w:r>
        <w:rPr>
          <w:w w:val="100"/>
        </w:rPr>
        <w:t> </w:t>
      </w:r>
      <w:r>
        <w:rPr/>
        <w:t>江苏版权纠纷调解中心、深圳市版权纠纷人民调解委员会等</w:t>
      </w:r>
      <w:r>
        <w:rPr>
          <w:rFonts w:ascii="Times New Roman" w:hAnsi="Times New Roman" w:cs="Times New Roman" w:eastAsia="Times New Roman" w:hint="default"/>
        </w:rPr>
        <w:t>8</w:t>
      </w:r>
      <w:r>
        <w:rPr/>
        <w:t>家调解机构建立合作，在政府有关部门的指</w:t>
      </w:r>
      <w:r>
        <w:rPr>
          <w:w w:val="100"/>
        </w:rPr>
        <w:t> </w:t>
      </w:r>
      <w:r>
        <w:rPr/>
        <w:t>导下开展版权保护工作。对于长期有正版内容需求的客户，公司基于客户的实际需求双方协商合理的合作</w:t>
      </w:r>
      <w:r>
        <w:rPr>
          <w:w w:val="100"/>
        </w:rPr>
        <w:t> </w:t>
      </w:r>
      <w:r>
        <w:rPr/>
        <w:t>方案；对于确实无长期需求的客户，在调解机构的协调下与这类客户按照市场价格协商补授权。经初步实</w:t>
      </w:r>
      <w:r>
        <w:rPr>
          <w:w w:val="100"/>
        </w:rPr>
        <w:t> </w:t>
      </w:r>
      <w:r>
        <w:rPr/>
        <w:t>践，已经取得了一些宝贵的经验和良好的社会效果。对于少部分长期恶意侵权且直接牟利的不法企业，公</w:t>
      </w:r>
      <w:r>
        <w:rPr>
          <w:w w:val="100"/>
        </w:rPr>
        <w:t> </w:t>
      </w:r>
      <w:r>
        <w:rPr/>
        <w:t>司依法采取法律手段保护自身与著作权人的合法权益。</w:t>
      </w:r>
    </w:p>
    <w:p>
      <w:pPr>
        <w:pStyle w:val="BodyText"/>
        <w:spacing w:line="314" w:lineRule="auto" w:before="26"/>
        <w:ind w:right="1106" w:firstLine="403"/>
        <w:jc w:val="both"/>
      </w:pPr>
      <w:r>
        <w:rPr>
          <w:spacing w:val="-2"/>
        </w:rPr>
        <w:t>报告期内，公司还战略投资了北京联合信任技术服务有限公司。联合信任是中国科学院国家授时中心</w:t>
      </w:r>
      <w:r>
        <w:rPr>
          <w:w w:val="100"/>
        </w:rPr>
        <w:t> </w:t>
      </w:r>
      <w:r>
        <w:rPr>
          <w:spacing w:val="-2"/>
        </w:rPr>
        <w:t>参股的一家国家级高新技术企业和中关村高新技术企业，是中国电子数据法律效力保障服务的先行者和倡</w:t>
      </w:r>
      <w:r>
        <w:rPr>
          <w:spacing w:val="-33"/>
        </w:rPr>
        <w:t> </w:t>
      </w:r>
      <w:r>
        <w:rPr>
          <w:spacing w:val="-33"/>
        </w:rPr>
      </w:r>
      <w:r>
        <w:rPr>
          <w:spacing w:val="-2"/>
        </w:rPr>
        <w:t>导者，是区块链创新应用的核心基础设施。主要业务为可信时间戳服务、电子证据及知识产权保护服务、</w:t>
      </w:r>
      <w:r>
        <w:rPr>
          <w:spacing w:val="-13"/>
        </w:rPr>
        <w:t> </w:t>
      </w:r>
      <w:r>
        <w:rPr>
          <w:spacing w:val="-13"/>
        </w:rPr>
      </w:r>
      <w:r>
        <w:rPr>
          <w:spacing w:val="-2"/>
        </w:rPr>
        <w:t>电子签名、电子合同产品及服务、行业电子数据认证服务、电子档案原始性保障服务、溯源认证服务、区</w:t>
      </w:r>
      <w:r>
        <w:rPr>
          <w:spacing w:val="-38"/>
        </w:rPr>
        <w:t> </w:t>
      </w:r>
      <w:r>
        <w:rPr>
          <w:spacing w:val="-38"/>
        </w:rPr>
      </w:r>
      <w:r>
        <w:rPr/>
        <w:t>块链产品及服务等。在版权和知识产权保护领域，联合信任荣获了由国家版权局和世界知识产权组织</w:t>
      </w:r>
    </w:p>
    <w:p>
      <w:pPr>
        <w:pStyle w:val="BodyText"/>
        <w:spacing w:line="295" w:lineRule="auto" w:before="20"/>
        <w:ind w:right="0"/>
        <w:jc w:val="left"/>
      </w:pPr>
      <w:r>
        <w:rPr/>
        <w:t>（</w:t>
      </w:r>
      <w:r>
        <w:rPr>
          <w:rFonts w:ascii="Times New Roman" w:hAnsi="Times New Roman" w:cs="Times New Roman" w:eastAsia="Times New Roman" w:hint="default"/>
        </w:rPr>
        <w:t>WIPO</w:t>
      </w:r>
      <w:r>
        <w:rPr/>
        <w:t>）颁发的中国版权领域最高奖</w:t>
      </w:r>
      <w:r>
        <w:rPr>
          <w:rFonts w:ascii="Times New Roman" w:hAnsi="Times New Roman" w:cs="Times New Roman" w:eastAsia="Times New Roman" w:hint="default"/>
        </w:rPr>
        <w:t>“</w:t>
      </w:r>
      <w:r>
        <w:rPr/>
        <w:t>中国版权金奖</w:t>
      </w:r>
      <w:r>
        <w:rPr>
          <w:rFonts w:ascii="Times New Roman" w:hAnsi="Times New Roman" w:cs="Times New Roman" w:eastAsia="Times New Roman" w:hint="default"/>
        </w:rPr>
        <w:t>”</w:t>
      </w:r>
      <w:r>
        <w:rPr/>
        <w:t>保护奖。后续，公司将依托自身在大数据、人工智</w:t>
      </w:r>
      <w:r>
        <w:rPr>
          <w:w w:val="100"/>
        </w:rPr>
        <w:t> </w:t>
      </w:r>
      <w:r>
        <w:rPr>
          <w:spacing w:val="-2"/>
        </w:rPr>
        <w:t>能、区块链等的技术优势，与联合信任一起以</w:t>
      </w:r>
      <w:r>
        <w:rPr>
          <w:rFonts w:ascii="Times New Roman" w:hAnsi="Times New Roman" w:cs="Times New Roman" w:eastAsia="Times New Roman" w:hint="default"/>
          <w:spacing w:val="-2"/>
        </w:rPr>
        <w:t>“</w:t>
      </w:r>
      <w:r>
        <w:rPr>
          <w:spacing w:val="-2"/>
        </w:rPr>
        <w:t>行业联合，共建信任</w:t>
      </w:r>
      <w:r>
        <w:rPr>
          <w:rFonts w:ascii="Times New Roman" w:hAnsi="Times New Roman" w:cs="Times New Roman" w:eastAsia="Times New Roman" w:hint="default"/>
          <w:spacing w:val="-2"/>
        </w:rPr>
        <w:t>”</w:t>
      </w:r>
      <w:r>
        <w:rPr>
          <w:spacing w:val="-2"/>
        </w:rPr>
        <w:t>为目标主旨，共同建设版权保护公共</w:t>
      </w:r>
      <w:r>
        <w:rPr>
          <w:spacing w:val="-11"/>
        </w:rPr>
        <w:t> </w:t>
      </w:r>
      <w:r>
        <w:rPr>
          <w:spacing w:val="-11"/>
        </w:rPr>
      </w:r>
      <w:r>
        <w:rPr/>
        <w:t>服务平台，以更好的服务社会促进产业健康发展。</w:t>
      </w:r>
    </w:p>
    <w:p>
      <w:pPr>
        <w:pStyle w:val="BodyText"/>
        <w:spacing w:line="302" w:lineRule="auto" w:before="37"/>
        <w:ind w:right="1129" w:firstLine="422"/>
        <w:jc w:val="both"/>
      </w:pPr>
      <w:r>
        <w:rPr>
          <w:spacing w:val="-2"/>
        </w:rPr>
        <w:t>作为内容行业的</w:t>
      </w:r>
      <w:r>
        <w:rPr>
          <w:rFonts w:ascii="Times New Roman" w:hAnsi="Times New Roman" w:cs="Times New Roman" w:eastAsia="Times New Roman" w:hint="default"/>
          <w:spacing w:val="-2"/>
        </w:rPr>
        <w:t>“</w:t>
      </w:r>
      <w:r>
        <w:rPr>
          <w:spacing w:val="-2"/>
        </w:rPr>
        <w:t>基础设施</w:t>
      </w:r>
      <w:r>
        <w:rPr>
          <w:rFonts w:ascii="Times New Roman" w:hAnsi="Times New Roman" w:cs="Times New Roman" w:eastAsia="Times New Roman" w:hint="default"/>
          <w:spacing w:val="-2"/>
        </w:rPr>
        <w:t>”</w:t>
      </w:r>
      <w:r>
        <w:rPr>
          <w:spacing w:val="-2"/>
        </w:rPr>
        <w:t>，公司与立法、司法、行政、研究机构、媒体宣传和企业等各界在实践中</w:t>
      </w:r>
      <w:r>
        <w:rPr>
          <w:w w:val="100"/>
        </w:rPr>
        <w:t> </w:t>
      </w:r>
      <w:r>
        <w:rPr>
          <w:spacing w:val="-2"/>
        </w:rPr>
        <w:t>一起推动落实</w:t>
      </w:r>
      <w:r>
        <w:rPr>
          <w:rFonts w:ascii="Times New Roman" w:hAnsi="Times New Roman" w:cs="Times New Roman" w:eastAsia="Times New Roman" w:hint="default"/>
          <w:spacing w:val="-2"/>
        </w:rPr>
        <w:t>“</w:t>
      </w:r>
      <w:r>
        <w:rPr>
          <w:spacing w:val="-2"/>
        </w:rPr>
        <w:t>先许可，后使用</w:t>
      </w:r>
      <w:r>
        <w:rPr>
          <w:rFonts w:ascii="Times New Roman" w:hAnsi="Times New Roman" w:cs="Times New Roman" w:eastAsia="Times New Roman" w:hint="default"/>
          <w:spacing w:val="-2"/>
        </w:rPr>
        <w:t>”</w:t>
      </w:r>
      <w:r>
        <w:rPr>
          <w:spacing w:val="-2"/>
        </w:rPr>
        <w:t>这一版权保护基本原则。继续探索符合中国市场需求的图片版权确权、授</w:t>
      </w:r>
      <w:r>
        <w:rPr>
          <w:spacing w:val="-12"/>
        </w:rPr>
        <w:t> </w:t>
      </w:r>
      <w:r>
        <w:rPr>
          <w:spacing w:val="-12"/>
        </w:rPr>
      </w:r>
      <w:r>
        <w:rPr>
          <w:spacing w:val="-2"/>
        </w:rPr>
        <w:t>权、保护和争议解决办法，扩大保护知识产权的社会共识，推动内容正版化、使用合法化，共同构建合作</w:t>
      </w:r>
      <w:r>
        <w:rPr>
          <w:spacing w:val="-38"/>
        </w:rPr>
        <w:t> </w:t>
      </w:r>
      <w:r>
        <w:rPr>
          <w:spacing w:val="-38"/>
        </w:rPr>
      </w:r>
      <w:r>
        <w:rPr/>
        <w:t>共赢的行业生态，助推社会版权意识的不断提升和正版化道路的向前推进。</w:t>
      </w:r>
    </w:p>
    <w:p>
      <w:pPr>
        <w:spacing w:line="314" w:lineRule="auto" w:before="30"/>
        <w:ind w:left="575" w:right="0" w:firstLine="0"/>
        <w:jc w:val="left"/>
        <w:rPr>
          <w:rFonts w:ascii="宋体" w:hAnsi="宋体" w:cs="宋体" w:eastAsia="宋体" w:hint="default"/>
          <w:sz w:val="21"/>
          <w:szCs w:val="21"/>
        </w:rPr>
      </w:pPr>
      <w:r>
        <w:rPr>
          <w:rFonts w:ascii="宋体" w:hAnsi="宋体" w:cs="宋体" w:eastAsia="宋体" w:hint="default"/>
          <w:b/>
          <w:bCs/>
          <w:sz w:val="21"/>
          <w:szCs w:val="21"/>
        </w:rPr>
        <w:t>依托社区完善上游生态</w:t>
      </w:r>
      <w:r>
        <w:rPr>
          <w:rFonts w:ascii="宋体" w:hAnsi="宋体" w:cs="宋体" w:eastAsia="宋体" w:hint="default"/>
          <w:b/>
          <w:bCs/>
          <w:spacing w:val="-19"/>
          <w:sz w:val="21"/>
          <w:szCs w:val="21"/>
        </w:rPr>
        <w:t> </w:t>
      </w:r>
      <w:r>
        <w:rPr>
          <w:rFonts w:ascii="宋体" w:hAnsi="宋体" w:cs="宋体" w:eastAsia="宋体" w:hint="default"/>
          <w:b/>
          <w:bCs/>
          <w:sz w:val="21"/>
          <w:szCs w:val="21"/>
        </w:rPr>
        <w:t>扩大优质内容的护城河</w:t>
      </w:r>
      <w:r>
        <w:rPr>
          <w:rFonts w:ascii="宋体" w:hAnsi="宋体" w:cs="宋体" w:eastAsia="宋体" w:hint="default"/>
          <w:b/>
          <w:bCs/>
          <w:spacing w:val="-99"/>
          <w:sz w:val="21"/>
          <w:szCs w:val="21"/>
        </w:rPr>
        <w:t> </w:t>
      </w:r>
      <w:r>
        <w:rPr>
          <w:rFonts w:ascii="宋体" w:hAnsi="宋体" w:cs="宋体" w:eastAsia="宋体" w:hint="default"/>
          <w:b/>
          <w:bCs/>
          <w:spacing w:val="-99"/>
          <w:sz w:val="21"/>
          <w:szCs w:val="21"/>
        </w:rPr>
      </w:r>
      <w:r>
        <w:rPr>
          <w:rFonts w:ascii="宋体" w:hAnsi="宋体" w:cs="宋体" w:eastAsia="宋体" w:hint="default"/>
          <w:spacing w:val="-2"/>
          <w:sz w:val="21"/>
          <w:szCs w:val="21"/>
        </w:rPr>
        <w:t>报告期内，公司完成了</w:t>
      </w:r>
      <w:r>
        <w:rPr>
          <w:rFonts w:ascii="Times New Roman" w:hAnsi="Times New Roman" w:cs="Times New Roman" w:eastAsia="Times New Roman" w:hint="default"/>
          <w:spacing w:val="-2"/>
          <w:sz w:val="21"/>
          <w:szCs w:val="21"/>
        </w:rPr>
        <w:t>500px</w:t>
      </w:r>
      <w:r>
        <w:rPr>
          <w:rFonts w:ascii="宋体" w:hAnsi="宋体" w:cs="宋体" w:eastAsia="宋体" w:hint="default"/>
          <w:spacing w:val="-2"/>
          <w:sz w:val="21"/>
          <w:szCs w:val="21"/>
        </w:rPr>
        <w:t>全球社区的技术架构迁移，成为基于</w:t>
      </w:r>
      <w:r>
        <w:rPr>
          <w:rFonts w:ascii="Times New Roman" w:hAnsi="Times New Roman" w:cs="Times New Roman" w:eastAsia="Times New Roman" w:hint="default"/>
          <w:spacing w:val="-2"/>
          <w:sz w:val="21"/>
          <w:szCs w:val="21"/>
        </w:rPr>
        <w:t>SaaS</w:t>
      </w:r>
      <w:r>
        <w:rPr>
          <w:rFonts w:ascii="宋体" w:hAnsi="宋体" w:cs="宋体" w:eastAsia="宋体" w:hint="default"/>
          <w:spacing w:val="-2"/>
          <w:sz w:val="21"/>
          <w:szCs w:val="21"/>
        </w:rPr>
        <w:t>的云服务平台，系统的稳定性、</w:t>
      </w:r>
    </w:p>
    <w:p>
      <w:pPr>
        <w:pStyle w:val="BodyText"/>
        <w:spacing w:line="297" w:lineRule="auto" w:before="0"/>
        <w:ind w:right="0"/>
        <w:jc w:val="left"/>
      </w:pPr>
      <w:r>
        <w:rPr>
          <w:spacing w:val="-3"/>
        </w:rPr>
        <w:t>功能的可扩展性都有大幅度提升，为后续持续发展打下坚实基础。目前</w:t>
      </w:r>
      <w:r>
        <w:rPr>
          <w:rFonts w:ascii="Times New Roman" w:hAnsi="Times New Roman" w:cs="Times New Roman" w:eastAsia="Times New Roman" w:hint="default"/>
          <w:spacing w:val="-3"/>
        </w:rPr>
        <w:t>500px</w:t>
      </w:r>
      <w:r>
        <w:rPr>
          <w:spacing w:val="-3"/>
        </w:rPr>
        <w:t>全球累计注册用户近</w:t>
      </w:r>
      <w:r>
        <w:rPr>
          <w:rFonts w:ascii="Times New Roman" w:hAnsi="Times New Roman" w:cs="Times New Roman" w:eastAsia="Times New Roman" w:hint="default"/>
          <w:spacing w:val="-3"/>
        </w:rPr>
        <w:t>1,700</w:t>
      </w:r>
      <w:r>
        <w:rPr>
          <w:spacing w:val="-3"/>
        </w:rPr>
        <w:t>万，</w:t>
      </w:r>
      <w:r>
        <w:rPr>
          <w:spacing w:val="-23"/>
        </w:rPr>
        <w:t> </w:t>
      </w:r>
      <w:r>
        <w:rPr/>
        <w:t>累计上传图片超过</w:t>
      </w:r>
      <w:r>
        <w:rPr>
          <w:rFonts w:ascii="Times New Roman" w:hAnsi="Times New Roman" w:cs="Times New Roman" w:eastAsia="Times New Roman" w:hint="default"/>
        </w:rPr>
        <w:t>2</w:t>
      </w:r>
      <w:r>
        <w:rPr/>
        <w:t>亿张，社交互动超过</w:t>
      </w:r>
      <w:r>
        <w:rPr>
          <w:rFonts w:ascii="Times New Roman" w:hAnsi="Times New Roman" w:cs="Times New Roman" w:eastAsia="Times New Roman" w:hint="default"/>
        </w:rPr>
        <w:t>25</w:t>
      </w:r>
      <w:r>
        <w:rPr/>
        <w:t>亿次，可销售图片近</w:t>
      </w:r>
      <w:r>
        <w:rPr>
          <w:rFonts w:ascii="Times New Roman" w:hAnsi="Times New Roman" w:cs="Times New Roman" w:eastAsia="Times New Roman" w:hint="default"/>
        </w:rPr>
        <w:t>2,000</w:t>
      </w:r>
      <w:r>
        <w:rPr/>
        <w:t>万张，是全球领先摄影爱好者和专业</w:t>
      </w:r>
      <w:r>
        <w:rPr>
          <w:w w:val="100"/>
        </w:rPr>
        <w:t> </w:t>
      </w:r>
      <w:r>
        <w:rPr/>
        <w:t>摄影师互联网社区。公司依托</w:t>
      </w:r>
      <w:r>
        <w:rPr>
          <w:rFonts w:ascii="Times New Roman" w:hAnsi="Times New Roman" w:cs="Times New Roman" w:eastAsia="Times New Roman" w:hint="default"/>
        </w:rPr>
        <w:t>500px</w:t>
      </w:r>
      <w:r>
        <w:rPr/>
        <w:t>摄影社区，继续扩大签约供稿方的数量和质量。</w:t>
      </w:r>
      <w:r>
        <w:rPr>
          <w:rFonts w:ascii="Times New Roman" w:hAnsi="Times New Roman" w:cs="Times New Roman" w:eastAsia="Times New Roman" w:hint="default"/>
        </w:rPr>
        <w:t>2019</w:t>
      </w:r>
      <w:r>
        <w:rPr/>
        <w:t>年至</w:t>
      </w:r>
      <w:r>
        <w:rPr>
          <w:rFonts w:ascii="Times New Roman" w:hAnsi="Times New Roman" w:cs="Times New Roman" w:eastAsia="Times New Roman" w:hint="default"/>
        </w:rPr>
        <w:t>2020</w:t>
      </w:r>
      <w:r>
        <w:rPr/>
        <w:t>年第一</w:t>
      </w:r>
      <w:r>
        <w:rPr>
          <w:spacing w:val="-103"/>
        </w:rPr>
        <w:t> </w:t>
      </w:r>
      <w:r>
        <w:rPr>
          <w:spacing w:val="-103"/>
        </w:rPr>
      </w:r>
      <w:r>
        <w:rPr/>
        <w:t>季度，公司通过社区新增各类签约供稿人近</w:t>
      </w:r>
      <w:r>
        <w:rPr>
          <w:rFonts w:ascii="Times New Roman" w:hAnsi="Times New Roman" w:cs="Times New Roman" w:eastAsia="Times New Roman" w:hint="default"/>
        </w:rPr>
        <w:t>10</w:t>
      </w:r>
      <w:r>
        <w:rPr/>
        <w:t>万名，同比增长超过</w:t>
      </w:r>
      <w:r>
        <w:rPr>
          <w:rFonts w:ascii="Times New Roman" w:hAnsi="Times New Roman" w:cs="Times New Roman" w:eastAsia="Times New Roman" w:hint="default"/>
        </w:rPr>
        <w:t>25%</w:t>
      </w:r>
      <w:r>
        <w:rPr/>
        <w:t>，公司累计在全球签约供稿人达</w:t>
      </w:r>
      <w:r>
        <w:rPr>
          <w:rFonts w:ascii="Times New Roman" w:hAnsi="Times New Roman" w:cs="Times New Roman" w:eastAsia="Times New Roman" w:hint="default"/>
        </w:rPr>
        <w:t>50</w:t>
      </w:r>
      <w:r>
        <w:rPr>
          <w:rFonts w:ascii="Times New Roman" w:hAnsi="Times New Roman" w:cs="Times New Roman" w:eastAsia="Times New Roman" w:hint="default"/>
          <w:spacing w:val="-50"/>
        </w:rPr>
        <w:t> </w:t>
      </w:r>
      <w:r>
        <w:rPr/>
        <w:t>万人。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500px</w:t>
      </w:r>
      <w:r>
        <w:rPr/>
        <w:t>中国区社区率先开通了视频分享功能，会员可以通过社区提交视频内容。</w:t>
      </w:r>
      <w:r>
        <w:rPr>
          <w:rFonts w:ascii="Times New Roman" w:hAnsi="Times New Roman" w:cs="Times New Roman" w:eastAsia="Times New Roman" w:hint="default"/>
        </w:rPr>
        <w:t>2019</w:t>
      </w:r>
      <w:r>
        <w:rPr/>
        <w:t>年，</w:t>
      </w:r>
      <w:r>
        <w:rPr>
          <w:spacing w:val="-103"/>
        </w:rPr>
        <w:t> </w:t>
      </w:r>
      <w:r>
        <w:rPr/>
        <w:t>公司通过</w:t>
      </w:r>
      <w:r>
        <w:rPr>
          <w:rFonts w:ascii="Times New Roman" w:hAnsi="Times New Roman" w:cs="Times New Roman" w:eastAsia="Times New Roman" w:hint="default"/>
        </w:rPr>
        <w:t>500px</w:t>
      </w:r>
      <w:r>
        <w:rPr/>
        <w:t>社区新签约视频供稿人近</w:t>
      </w:r>
      <w:r>
        <w:rPr>
          <w:rFonts w:ascii="Times New Roman" w:hAnsi="Times New Roman" w:cs="Times New Roman" w:eastAsia="Times New Roman" w:hint="default"/>
        </w:rPr>
        <w:t>1,500</w:t>
      </w:r>
      <w:r>
        <w:rPr/>
        <w:t>名，同比增长</w:t>
      </w:r>
      <w:r>
        <w:rPr>
          <w:rFonts w:ascii="Times New Roman" w:hAnsi="Times New Roman" w:cs="Times New Roman" w:eastAsia="Times New Roman" w:hint="default"/>
        </w:rPr>
        <w:t>50%</w:t>
      </w:r>
      <w:r>
        <w:rPr/>
        <w:t>。</w:t>
      </w:r>
    </w:p>
    <w:p>
      <w:pPr>
        <w:pStyle w:val="BodyText"/>
        <w:spacing w:line="295" w:lineRule="auto" w:before="13"/>
        <w:ind w:right="1129" w:firstLine="427"/>
        <w:jc w:val="both"/>
      </w:pPr>
      <w:r>
        <w:rPr>
          <w:rFonts w:ascii="Times New Roman" w:hAnsi="Times New Roman" w:cs="Times New Roman" w:eastAsia="Times New Roman" w:hint="default"/>
          <w:spacing w:val="-2"/>
        </w:rPr>
        <w:t>2019</w:t>
      </w:r>
      <w:r>
        <w:rPr>
          <w:spacing w:val="-2"/>
        </w:rPr>
        <w:t>年至</w:t>
      </w:r>
      <w:r>
        <w:rPr>
          <w:rFonts w:ascii="Times New Roman" w:hAnsi="Times New Roman" w:cs="Times New Roman" w:eastAsia="Times New Roman" w:hint="default"/>
          <w:spacing w:val="-2"/>
        </w:rPr>
        <w:t>2020</w:t>
      </w:r>
      <w:r>
        <w:rPr>
          <w:spacing w:val="-2"/>
        </w:rPr>
        <w:t>年第一季度，公司还新增</w:t>
      </w:r>
      <w:r>
        <w:rPr>
          <w:rFonts w:ascii="Times New Roman" w:hAnsi="Times New Roman" w:cs="Times New Roman" w:eastAsia="Times New Roman" w:hint="default"/>
          <w:spacing w:val="-2"/>
        </w:rPr>
        <w:t>39</w:t>
      </w:r>
      <w:r>
        <w:rPr>
          <w:spacing w:val="-2"/>
        </w:rPr>
        <w:t>家图片、视频、音乐、设计、字体类素材供应商，公司累计</w:t>
      </w:r>
      <w:r>
        <w:rPr>
          <w:w w:val="100"/>
        </w:rPr>
        <w:t> </w:t>
      </w:r>
      <w:r>
        <w:rPr>
          <w:spacing w:val="-2"/>
        </w:rPr>
        <w:t>全球签约供应商超过</w:t>
      </w:r>
      <w:r>
        <w:rPr>
          <w:rFonts w:ascii="Times New Roman" w:hAnsi="Times New Roman" w:cs="Times New Roman" w:eastAsia="Times New Roman" w:hint="default"/>
          <w:spacing w:val="-2"/>
        </w:rPr>
        <w:t>280</w:t>
      </w:r>
      <w:r>
        <w:rPr>
          <w:spacing w:val="-2"/>
        </w:rPr>
        <w:t>家。公司继续与</w:t>
      </w:r>
      <w:r>
        <w:rPr>
          <w:rFonts w:ascii="Times New Roman" w:hAnsi="Times New Roman" w:cs="Times New Roman" w:eastAsia="Times New Roman" w:hint="default"/>
          <w:spacing w:val="-2"/>
        </w:rPr>
        <w:t>Getty</w:t>
      </w:r>
      <w:r>
        <w:rPr>
          <w:rFonts w:ascii="Times New Roman" w:hAnsi="Times New Roman" w:cs="Times New Roman" w:eastAsia="Times New Roman" w:hint="default"/>
        </w:rPr>
        <w:t> </w:t>
      </w:r>
      <w:r>
        <w:rPr>
          <w:rFonts w:ascii="Times New Roman" w:hAnsi="Times New Roman" w:cs="Times New Roman" w:eastAsia="Times New Roman" w:hint="default"/>
          <w:spacing w:val="-1"/>
        </w:rPr>
        <w:t>Images</w:t>
      </w:r>
      <w:r>
        <w:rPr>
          <w:spacing w:val="-1"/>
        </w:rPr>
        <w:t>等主要核心供应商继续保持长期的战略合作关系，与</w:t>
      </w:r>
      <w:r>
        <w:rPr>
          <w:spacing w:val="-85"/>
        </w:rPr>
        <w:t> </w:t>
      </w:r>
      <w:r>
        <w:rPr>
          <w:spacing w:val="-85"/>
        </w:rPr>
      </w:r>
      <w:r>
        <w:rPr/>
        <w:t>全球知名内容机构或品牌保持紧密的合作关系，继续在市场保持较大的领先优势。</w:t>
      </w:r>
    </w:p>
    <w:p>
      <w:pPr>
        <w:spacing w:line="314" w:lineRule="auto" w:before="37"/>
        <w:ind w:left="575" w:right="0" w:firstLine="0"/>
        <w:jc w:val="left"/>
        <w:rPr>
          <w:rFonts w:ascii="宋体" w:hAnsi="宋体" w:cs="宋体" w:eastAsia="宋体" w:hint="default"/>
          <w:sz w:val="21"/>
          <w:szCs w:val="21"/>
        </w:rPr>
      </w:pPr>
      <w:r>
        <w:rPr>
          <w:rFonts w:ascii="宋体" w:hAnsi="宋体" w:cs="宋体" w:eastAsia="宋体" w:hint="default"/>
          <w:b/>
          <w:bCs/>
          <w:sz w:val="21"/>
          <w:szCs w:val="21"/>
        </w:rPr>
        <w:t>持续加大研发投入</w:t>
      </w:r>
      <w:r>
        <w:rPr>
          <w:rFonts w:ascii="宋体" w:hAnsi="宋体" w:cs="宋体" w:eastAsia="宋体" w:hint="default"/>
          <w:b/>
          <w:bCs/>
          <w:spacing w:val="-19"/>
          <w:sz w:val="21"/>
          <w:szCs w:val="21"/>
        </w:rPr>
        <w:t> </w:t>
      </w:r>
      <w:r>
        <w:rPr>
          <w:rFonts w:ascii="宋体" w:hAnsi="宋体" w:cs="宋体" w:eastAsia="宋体" w:hint="default"/>
          <w:b/>
          <w:bCs/>
          <w:sz w:val="21"/>
          <w:szCs w:val="21"/>
        </w:rPr>
        <w:t>智能服务、企业数字化引领业务发展</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2"/>
          <w:sz w:val="21"/>
          <w:szCs w:val="21"/>
        </w:rPr>
        <w:t>报告期内，公司持续增加技术研发投入，在客户需求导向的前提下，技术不仅服务于业务，而且开始</w:t>
      </w:r>
    </w:p>
    <w:p>
      <w:pPr>
        <w:pStyle w:val="BodyText"/>
        <w:spacing w:line="309" w:lineRule="auto" w:before="20"/>
        <w:ind w:left="575" w:right="1127" w:hanging="423"/>
        <w:jc w:val="left"/>
      </w:pPr>
      <w:r>
        <w:rPr/>
        <w:t>逐步引领业务。</w:t>
      </w:r>
      <w:r>
        <w:rPr>
          <w:spacing w:val="-102"/>
        </w:rPr>
        <w:t> </w:t>
      </w:r>
      <w:r>
        <w:rPr>
          <w:spacing w:val="-102"/>
        </w:rPr>
      </w:r>
      <w:r>
        <w:rPr>
          <w:spacing w:val="-2"/>
        </w:rPr>
        <w:t>公司技术体系主要分为两部分：一是核心技术研发，包括大数据、人工智能、云计算等；二是应用技</w:t>
      </w:r>
    </w:p>
    <w:p>
      <w:pPr>
        <w:pStyle w:val="BodyText"/>
        <w:spacing w:line="240" w:lineRule="auto" w:before="24"/>
        <w:ind w:right="0"/>
        <w:jc w:val="left"/>
      </w:pPr>
      <w:r>
        <w:rPr/>
        <w:t>术研发，主要服务于内容交易、社区以及增值服务等业务板块。</w:t>
      </w:r>
    </w:p>
    <w:p>
      <w:pPr>
        <w:pStyle w:val="BodyText"/>
        <w:spacing w:line="295" w:lineRule="auto" w:before="85"/>
        <w:ind w:right="0" w:firstLine="422"/>
        <w:jc w:val="left"/>
      </w:pPr>
      <w:r>
        <w:rPr>
          <w:spacing w:val="-3"/>
        </w:rPr>
        <w:t>报告期内，公司技术研发体系完成了</w:t>
      </w:r>
      <w:r>
        <w:rPr>
          <w:spacing w:val="-4"/>
        </w:rPr>
        <w:t> </w:t>
      </w:r>
      <w:r>
        <w:rPr>
          <w:rFonts w:ascii="Times New Roman" w:hAnsi="Times New Roman" w:cs="Times New Roman" w:eastAsia="Times New Roman" w:hint="default"/>
          <w:spacing w:val="-3"/>
        </w:rPr>
        <w:t>“</w:t>
      </w:r>
      <w:r>
        <w:rPr>
          <w:spacing w:val="-3"/>
        </w:rPr>
        <w:t>大中台，小前台</w:t>
      </w:r>
      <w:r>
        <w:rPr>
          <w:rFonts w:ascii="Times New Roman" w:hAnsi="Times New Roman" w:cs="Times New Roman" w:eastAsia="Times New Roman" w:hint="default"/>
          <w:spacing w:val="-3"/>
        </w:rPr>
        <w:t>”</w:t>
      </w:r>
      <w:r>
        <w:rPr>
          <w:spacing w:val="-3"/>
        </w:rPr>
        <w:t>的业务模式。公司的数据后台集聚了海量的三</w:t>
      </w:r>
      <w:r>
        <w:rPr>
          <w:w w:val="100"/>
        </w:rPr>
        <w:t> </w:t>
      </w:r>
      <w:r>
        <w:rPr>
          <w:spacing w:val="-4"/>
        </w:rPr>
        <w:t>类数据：内容数据、用户行为数据、内容使用场景数据。包括：</w:t>
      </w:r>
      <w:r>
        <w:rPr>
          <w:rFonts w:ascii="Times New Roman" w:hAnsi="Times New Roman" w:cs="Times New Roman" w:eastAsia="Times New Roman" w:hint="default"/>
          <w:spacing w:val="-4"/>
        </w:rPr>
        <w:t>1</w:t>
      </w:r>
      <w:r>
        <w:rPr>
          <w:spacing w:val="-4"/>
        </w:rPr>
        <w:t>）超过</w:t>
      </w:r>
      <w:r>
        <w:rPr>
          <w:rFonts w:ascii="Times New Roman" w:hAnsi="Times New Roman" w:cs="Times New Roman" w:eastAsia="Times New Roman" w:hint="default"/>
          <w:spacing w:val="-4"/>
        </w:rPr>
        <w:t>2</w:t>
      </w:r>
      <w:r>
        <w:rPr>
          <w:spacing w:val="-4"/>
        </w:rPr>
        <w:t>亿的图片、视频、音乐内容数据，</w:t>
      </w:r>
      <w:r>
        <w:rPr>
          <w:spacing w:val="-45"/>
        </w:rPr>
        <w:t> </w:t>
      </w:r>
      <w:r>
        <w:rPr>
          <w:spacing w:val="-45"/>
        </w:rPr>
      </w:r>
      <w:r>
        <w:rPr>
          <w:rFonts w:ascii="Times New Roman" w:hAnsi="Times New Roman" w:cs="Times New Roman" w:eastAsia="Times New Roman" w:hint="default"/>
          <w:spacing w:val="-5"/>
        </w:rPr>
        <w:t>300</w:t>
      </w:r>
      <w:r>
        <w:rPr>
          <w:spacing w:val="-5"/>
        </w:rPr>
        <w:t>万的结构化标签库及知识图谱，内容应用标签超过</w:t>
      </w:r>
      <w:r>
        <w:rPr>
          <w:rFonts w:ascii="Times New Roman" w:hAnsi="Times New Roman" w:cs="Times New Roman" w:eastAsia="Times New Roman" w:hint="default"/>
          <w:spacing w:val="-5"/>
        </w:rPr>
        <w:t>60</w:t>
      </w:r>
      <w:r>
        <w:rPr>
          <w:spacing w:val="-5"/>
        </w:rPr>
        <w:t>亿；</w:t>
      </w:r>
      <w:r>
        <w:rPr>
          <w:rFonts w:ascii="Times New Roman" w:hAnsi="Times New Roman" w:cs="Times New Roman" w:eastAsia="Times New Roman" w:hint="default"/>
          <w:spacing w:val="-5"/>
        </w:rPr>
        <w:t>2</w:t>
      </w:r>
      <w:r>
        <w:rPr>
          <w:spacing w:val="-5"/>
        </w:rPr>
        <w:t>）超过</w:t>
      </w:r>
      <w:r>
        <w:rPr>
          <w:rFonts w:ascii="Times New Roman" w:hAnsi="Times New Roman" w:cs="Times New Roman" w:eastAsia="Times New Roman" w:hint="default"/>
          <w:spacing w:val="-5"/>
        </w:rPr>
        <w:t>2,000</w:t>
      </w:r>
      <w:r>
        <w:rPr>
          <w:spacing w:val="-5"/>
        </w:rPr>
        <w:t>万的用户（内容供稿方与使用方）</w:t>
      </w:r>
    </w:p>
    <w:p>
      <w:pPr>
        <w:spacing w:after="0" w:line="295" w:lineRule="auto"/>
        <w:jc w:val="left"/>
        <w:sectPr>
          <w:pgSz w:w="11910" w:h="16840"/>
          <w:pgMar w:header="741" w:footer="979" w:top="1060" w:bottom="1160" w:left="980" w:right="0"/>
        </w:sectPr>
      </w:pPr>
    </w:p>
    <w:p>
      <w:pPr>
        <w:spacing w:line="240" w:lineRule="auto" w:before="10"/>
        <w:rPr>
          <w:rFonts w:ascii="宋体" w:hAnsi="宋体" w:cs="宋体" w:eastAsia="宋体" w:hint="default"/>
          <w:sz w:val="26"/>
          <w:szCs w:val="26"/>
        </w:rPr>
      </w:pPr>
    </w:p>
    <w:p>
      <w:pPr>
        <w:pStyle w:val="BodyText"/>
        <w:spacing w:line="240" w:lineRule="auto" w:before="36"/>
        <w:ind w:right="0"/>
        <w:jc w:val="both"/>
      </w:pPr>
      <w:r>
        <w:rPr/>
        <w:t>持续产生的每天</w:t>
      </w:r>
      <w:r>
        <w:rPr>
          <w:rFonts w:ascii="Times New Roman" w:hAnsi="Times New Roman" w:cs="Times New Roman" w:eastAsia="Times New Roman" w:hint="default"/>
        </w:rPr>
        <w:t>7,500</w:t>
      </w:r>
      <w:r>
        <w:rPr/>
        <w:t>万的搜索、上传、下载、收藏、分享等用户行为数据；</w:t>
      </w:r>
      <w:r>
        <w:rPr>
          <w:rFonts w:ascii="Times New Roman" w:hAnsi="Times New Roman" w:cs="Times New Roman" w:eastAsia="Times New Roman" w:hint="default"/>
        </w:rPr>
        <w:t>3</w:t>
      </w:r>
      <w:r>
        <w:rPr/>
        <w:t>）用户使用场景数据</w:t>
      </w:r>
      <w:r>
        <w:rPr>
          <w:rFonts w:ascii="Times New Roman" w:hAnsi="Times New Roman" w:cs="Times New Roman" w:eastAsia="Times New Roman" w:hint="default"/>
        </w:rPr>
        <w:t>3,000</w:t>
      </w:r>
      <w:r>
        <w:rPr/>
        <w:t>万</w:t>
      </w:r>
    </w:p>
    <w:p>
      <w:pPr>
        <w:pStyle w:val="BodyText"/>
        <w:spacing w:line="300" w:lineRule="auto" w:before="69"/>
        <w:ind w:right="1125"/>
        <w:jc w:val="both"/>
      </w:pPr>
      <w:r>
        <w:rPr>
          <w:rFonts w:ascii="Times New Roman" w:hAnsi="Times New Roman" w:cs="Times New Roman" w:eastAsia="Times New Roman" w:hint="default"/>
          <w:spacing w:val="-3"/>
        </w:rPr>
        <w:t>/</w:t>
      </w:r>
      <w:r>
        <w:rPr>
          <w:spacing w:val="-3"/>
        </w:rPr>
        <w:t>年；通过建设强大的</w:t>
      </w:r>
      <w:r>
        <w:rPr>
          <w:rFonts w:ascii="Times New Roman" w:hAnsi="Times New Roman" w:cs="Times New Roman" w:eastAsia="Times New Roman" w:hint="default"/>
          <w:spacing w:val="-3"/>
        </w:rPr>
        <w:t>“</w:t>
      </w:r>
      <w:r>
        <w:rPr>
          <w:spacing w:val="-3"/>
        </w:rPr>
        <w:t>中台</w:t>
      </w:r>
      <w:r>
        <w:rPr>
          <w:rFonts w:ascii="Times New Roman" w:hAnsi="Times New Roman" w:cs="Times New Roman" w:eastAsia="Times New Roman" w:hint="default"/>
          <w:spacing w:val="-3"/>
        </w:rPr>
        <w:t>”</w:t>
      </w:r>
      <w:r>
        <w:rPr>
          <w:spacing w:val="-3"/>
        </w:rPr>
        <w:t>能力，系统性输出组件化资源和技术能力包，使得公司前端的具体业务可以更</w:t>
      </w:r>
      <w:r>
        <w:rPr>
          <w:spacing w:val="-24"/>
        </w:rPr>
        <w:t> </w:t>
      </w:r>
      <w:r>
        <w:rPr>
          <w:spacing w:val="-24"/>
        </w:rPr>
      </w:r>
      <w:r>
        <w:rPr>
          <w:spacing w:val="-2"/>
        </w:rPr>
        <w:t>加灵活地开展；同时，强大的</w:t>
      </w:r>
      <w:r>
        <w:rPr>
          <w:rFonts w:ascii="Times New Roman" w:hAnsi="Times New Roman" w:cs="Times New Roman" w:eastAsia="Times New Roman" w:hint="default"/>
          <w:spacing w:val="-2"/>
        </w:rPr>
        <w:t>“</w:t>
      </w:r>
      <w:r>
        <w:rPr>
          <w:spacing w:val="-2"/>
        </w:rPr>
        <w:t>中台</w:t>
      </w:r>
      <w:r>
        <w:rPr>
          <w:rFonts w:ascii="Times New Roman" w:hAnsi="Times New Roman" w:cs="Times New Roman" w:eastAsia="Times New Roman" w:hint="default"/>
          <w:spacing w:val="-2"/>
        </w:rPr>
        <w:t>”</w:t>
      </w:r>
      <w:r>
        <w:rPr>
          <w:spacing w:val="-2"/>
        </w:rPr>
        <w:t>可提供优化了数据的处理分析、流程效率、自动化、需求预测，大大</w:t>
      </w:r>
      <w:r>
        <w:rPr>
          <w:spacing w:val="-11"/>
        </w:rPr>
        <w:t> </w:t>
      </w:r>
      <w:r>
        <w:rPr>
          <w:spacing w:val="-11"/>
        </w:rPr>
      </w:r>
      <w:r>
        <w:rPr>
          <w:spacing w:val="-2"/>
        </w:rPr>
        <w:t>提升业务运营效率和管理能力。报告期内，公司初步完成了对内容素材服务、智能服务以及增值服务的梳</w:t>
      </w:r>
      <w:r>
        <w:rPr>
          <w:spacing w:val="-33"/>
        </w:rPr>
        <w:t> </w:t>
      </w:r>
      <w:r>
        <w:rPr>
          <w:spacing w:val="-33"/>
        </w:rPr>
      </w:r>
      <w:r>
        <w:rPr>
          <w:spacing w:val="-2"/>
        </w:rPr>
        <w:t>理，健全了</w:t>
      </w:r>
      <w:r>
        <w:rPr>
          <w:rFonts w:ascii="Times New Roman" w:hAnsi="Times New Roman" w:cs="Times New Roman" w:eastAsia="Times New Roman" w:hint="default"/>
          <w:spacing w:val="-2"/>
        </w:rPr>
        <w:t>“</w:t>
      </w:r>
      <w:r>
        <w:rPr>
          <w:spacing w:val="-2"/>
        </w:rPr>
        <w:t>服务中台</w:t>
      </w:r>
      <w:r>
        <w:rPr>
          <w:rFonts w:ascii="Times New Roman" w:hAnsi="Times New Roman" w:cs="Times New Roman" w:eastAsia="Times New Roman" w:hint="default"/>
          <w:spacing w:val="-2"/>
        </w:rPr>
        <w:t>”</w:t>
      </w:r>
      <w:r>
        <w:rPr>
          <w:spacing w:val="-2"/>
        </w:rPr>
        <w:t>的组织结构调整，完善</w:t>
      </w:r>
      <w:r>
        <w:rPr>
          <w:rFonts w:ascii="Times New Roman" w:hAnsi="Times New Roman" w:cs="Times New Roman" w:eastAsia="Times New Roman" w:hint="default"/>
          <w:spacing w:val="-2"/>
        </w:rPr>
        <w:t>“</w:t>
      </w:r>
      <w:r>
        <w:rPr>
          <w:spacing w:val="-2"/>
        </w:rPr>
        <w:t>服务中台</w:t>
      </w:r>
      <w:r>
        <w:rPr>
          <w:rFonts w:ascii="Times New Roman" w:hAnsi="Times New Roman" w:cs="Times New Roman" w:eastAsia="Times New Roman" w:hint="default"/>
          <w:spacing w:val="-2"/>
        </w:rPr>
        <w:t>”</w:t>
      </w:r>
      <w:r>
        <w:rPr>
          <w:spacing w:val="-2"/>
        </w:rPr>
        <w:t>的支撑能力，为全产品、全场景地服务好客户打</w:t>
      </w:r>
      <w:r>
        <w:rPr>
          <w:spacing w:val="-5"/>
        </w:rPr>
        <w:t> </w:t>
      </w:r>
      <w:r>
        <w:rPr>
          <w:spacing w:val="-5"/>
        </w:rPr>
      </w:r>
      <w:r>
        <w:rPr/>
        <w:t>下基础。</w:t>
      </w:r>
    </w:p>
    <w:p>
      <w:pPr>
        <w:pStyle w:val="BodyText"/>
        <w:spacing w:line="304" w:lineRule="auto" w:before="28"/>
        <w:ind w:right="0" w:firstLine="403"/>
        <w:jc w:val="left"/>
      </w:pPr>
      <w:r>
        <w:rPr>
          <w:spacing w:val="-4"/>
        </w:rPr>
        <w:t>在中台的支撑下，公司重点加强对核心主业互联网内容交易平台的研发投入，通过人工智能、大数据、</w:t>
      </w:r>
      <w:r>
        <w:rPr>
          <w:w w:val="100"/>
        </w:rPr>
        <w:t> </w:t>
      </w:r>
      <w:r>
        <w:rPr/>
        <w:t>云计算、智能算法，交易平台可以为客户提供</w:t>
      </w:r>
      <w:r>
        <w:rPr>
          <w:rFonts w:ascii="Times New Roman" w:hAnsi="Times New Roman" w:cs="Times New Roman" w:eastAsia="Times New Roman" w:hint="default"/>
        </w:rPr>
        <w:t>“</w:t>
      </w:r>
      <w:r>
        <w:rPr/>
        <w:t>越来越懂用户</w:t>
      </w:r>
      <w:r>
        <w:rPr>
          <w:rFonts w:ascii="Times New Roman" w:hAnsi="Times New Roman" w:cs="Times New Roman" w:eastAsia="Times New Roman" w:hint="default"/>
        </w:rPr>
        <w:t>”</w:t>
      </w:r>
      <w:r>
        <w:rPr/>
        <w:t>的智能搜索和个性化推荐服务；公司还为客</w:t>
      </w:r>
      <w:r>
        <w:rPr>
          <w:w w:val="100"/>
        </w:rPr>
        <w:t> </w:t>
      </w:r>
      <w:r>
        <w:rPr>
          <w:spacing w:val="-2"/>
        </w:rPr>
        <w:t>户提供数字内容资产管理、版权风控、行业图库等一系列依托大数据、人工智能技术的智能服务，帮助客</w:t>
      </w:r>
      <w:r>
        <w:rPr>
          <w:spacing w:val="-33"/>
        </w:rPr>
        <w:t> </w:t>
      </w:r>
      <w:r>
        <w:rPr>
          <w:spacing w:val="-33"/>
        </w:rPr>
      </w:r>
      <w:r>
        <w:rPr>
          <w:spacing w:val="-2"/>
        </w:rPr>
        <w:t>户提升工作效率、产品体验与内容获取效率，有效促进客户黏性和提升素材使用数量。公司研发的数字内</w:t>
      </w:r>
      <w:r>
        <w:rPr>
          <w:spacing w:val="-33"/>
        </w:rPr>
        <w:t> </w:t>
      </w:r>
      <w:r>
        <w:rPr>
          <w:spacing w:val="-33"/>
        </w:rPr>
      </w:r>
      <w:r>
        <w:rPr>
          <w:spacing w:val="-2"/>
        </w:rPr>
        <w:t>容管理系统，逐步迭代了媒体版、企业版以及教育版，可以灵活支持多行业的内容管理系统，</w:t>
      </w:r>
      <w:r>
        <w:rPr>
          <w:rFonts w:ascii="Times New Roman" w:hAnsi="Times New Roman" w:cs="Times New Roman" w:eastAsia="Times New Roman" w:hint="default"/>
          <w:spacing w:val="-2"/>
        </w:rPr>
        <w:t>2019</w:t>
      </w:r>
      <w:r>
        <w:rPr>
          <w:spacing w:val="-2"/>
        </w:rPr>
        <w:t>年，约</w:t>
      </w:r>
      <w:r>
        <w:rPr>
          <w:spacing w:val="-30"/>
        </w:rPr>
        <w:t> </w:t>
      </w:r>
      <w:r>
        <w:rPr>
          <w:spacing w:val="-30"/>
        </w:rPr>
      </w:r>
      <w:r>
        <w:rPr>
          <w:rFonts w:ascii="Times New Roman" w:hAnsi="Times New Roman" w:cs="Times New Roman" w:eastAsia="Times New Roman" w:hint="default"/>
        </w:rPr>
        <w:t>300</w:t>
      </w:r>
      <w:r>
        <w:rPr/>
        <w:t>家客户安装使用了基于云端的数字内容管理系统。并研发完成了金融、设计、旅游等多个行业图库，</w:t>
      </w:r>
      <w:r>
        <w:rPr>
          <w:w w:val="100"/>
        </w:rPr>
        <w:t> </w:t>
      </w:r>
      <w:r>
        <w:rPr/>
        <w:t>为行业客户提供完善的内容解决方案。针对大客户的需求，开发完成了客户素材的使用管理平台</w:t>
      </w:r>
      <w:r>
        <w:rPr>
          <w:rFonts w:ascii="Times New Roman" w:hAnsi="Times New Roman" w:cs="Times New Roman" w:eastAsia="Times New Roman" w:hint="default"/>
        </w:rPr>
        <w:t>“vcg+”</w:t>
      </w:r>
      <w:r>
        <w:rPr/>
        <w:t>，</w:t>
      </w:r>
      <w:r>
        <w:rPr>
          <w:w w:val="100"/>
        </w:rPr>
        <w:t> </w:t>
      </w:r>
      <w:r>
        <w:rPr>
          <w:spacing w:val="-2"/>
        </w:rPr>
        <w:t>帮助大客户实现多层级账号管理、权限管理、自助账单生效、授权书与发票的申请，帮助客户高效提升优</w:t>
      </w:r>
      <w:r>
        <w:rPr>
          <w:spacing w:val="-33"/>
        </w:rPr>
        <w:t> </w:t>
      </w:r>
      <w:r>
        <w:rPr>
          <w:spacing w:val="-33"/>
        </w:rPr>
      </w:r>
      <w:r>
        <w:rPr>
          <w:spacing w:val="-3"/>
        </w:rPr>
        <w:t>质内容的使用和管理效率。公司还持续提升</w:t>
      </w:r>
      <w:r>
        <w:rPr>
          <w:rFonts w:ascii="Times New Roman" w:hAnsi="Times New Roman" w:cs="Times New Roman" w:eastAsia="Times New Roman" w:hint="default"/>
          <w:spacing w:val="-3"/>
        </w:rPr>
        <w:t>API</w:t>
      </w:r>
      <w:r>
        <w:rPr>
          <w:spacing w:val="-3"/>
        </w:rPr>
        <w:t>的交付服务能力，结合客户使用需求和应用场景，通过</w:t>
      </w:r>
      <w:r>
        <w:rPr>
          <w:rFonts w:ascii="Times New Roman" w:hAnsi="Times New Roman" w:cs="Times New Roman" w:eastAsia="Times New Roman" w:hint="default"/>
          <w:spacing w:val="-3"/>
        </w:rPr>
        <w:t>API</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19"/>
        </w:rPr>
      </w:r>
      <w:r>
        <w:rPr/>
        <w:t>将智能服务能力向第三方平台开放，根据细分用户场景，辅以运营能力，为海量长尾用户提供服务。</w:t>
      </w:r>
    </w:p>
    <w:p>
      <w:pPr>
        <w:pStyle w:val="BodyText"/>
        <w:spacing w:line="312" w:lineRule="auto" w:before="28"/>
        <w:ind w:right="1123" w:firstLine="422"/>
        <w:jc w:val="both"/>
      </w:pPr>
      <w:r>
        <w:rPr>
          <w:spacing w:val="-2"/>
        </w:rPr>
        <w:t>报告期内，公司强化和完善了内容安全审核与运营管理平台，大大提升了内容安全审核能力以及运营</w:t>
      </w:r>
      <w:r>
        <w:rPr>
          <w:w w:val="100"/>
        </w:rPr>
        <w:t> </w:t>
      </w:r>
      <w:r>
        <w:rPr>
          <w:spacing w:val="-2"/>
        </w:rPr>
        <w:t>人员工作效率；正在逐步完善客户运营管理系统，以提升商机线索、报价方案、合同签署、客户唤醒、客</w:t>
      </w:r>
      <w:r>
        <w:rPr>
          <w:spacing w:val="-33"/>
        </w:rPr>
        <w:t> </w:t>
      </w:r>
      <w:r>
        <w:rPr>
          <w:spacing w:val="-33"/>
        </w:rPr>
      </w:r>
      <w:r>
        <w:rPr/>
        <w:t>户行为跟踪等客户全生命周期管理效率，整体提升企业数字化能力。</w:t>
      </w:r>
    </w:p>
    <w:p>
      <w:pPr>
        <w:pStyle w:val="BodyText"/>
        <w:spacing w:line="314" w:lineRule="auto" w:before="22"/>
        <w:ind w:left="575" w:right="0"/>
        <w:jc w:val="left"/>
      </w:pPr>
      <w:r>
        <w:rPr>
          <w:rFonts w:ascii="宋体" w:hAnsi="宋体" w:cs="宋体" w:eastAsia="宋体" w:hint="default"/>
          <w:b/>
          <w:bCs/>
        </w:rPr>
        <w:t>视觉与行业协同发展</w:t>
      </w:r>
      <w:r>
        <w:rPr>
          <w:rFonts w:ascii="宋体" w:hAnsi="宋体" w:cs="宋体" w:eastAsia="宋体" w:hint="default"/>
          <w:b/>
          <w:bCs/>
          <w:spacing w:val="-103"/>
        </w:rPr>
        <w:t> </w:t>
      </w:r>
      <w:r>
        <w:rPr>
          <w:spacing w:val="-2"/>
        </w:rPr>
        <w:t>基于</w:t>
      </w:r>
      <w:r>
        <w:rPr>
          <w:rFonts w:ascii="Times New Roman" w:hAnsi="Times New Roman" w:cs="Times New Roman" w:eastAsia="Times New Roman" w:hint="default"/>
          <w:spacing w:val="-2"/>
        </w:rPr>
        <w:t>“</w:t>
      </w:r>
      <w:r>
        <w:rPr>
          <w:spacing w:val="-2"/>
        </w:rPr>
        <w:t>视觉</w:t>
      </w:r>
      <w:r>
        <w:rPr>
          <w:rFonts w:ascii="Times New Roman" w:hAnsi="Times New Roman" w:cs="Times New Roman" w:eastAsia="Times New Roman" w:hint="default"/>
          <w:spacing w:val="-2"/>
        </w:rPr>
        <w:t>+</w:t>
      </w:r>
      <w:r>
        <w:rPr>
          <w:spacing w:val="-2"/>
        </w:rPr>
        <w:t>行业</w:t>
      </w:r>
      <w:r>
        <w:rPr>
          <w:rFonts w:ascii="Times New Roman" w:hAnsi="Times New Roman" w:cs="Times New Roman" w:eastAsia="Times New Roman" w:hint="default"/>
          <w:spacing w:val="-2"/>
        </w:rPr>
        <w:t>”</w:t>
      </w:r>
      <w:r>
        <w:rPr>
          <w:spacing w:val="-2"/>
        </w:rPr>
        <w:t>的战略布局，公司在</w:t>
      </w:r>
      <w:r>
        <w:rPr>
          <w:rFonts w:ascii="Times New Roman" w:hAnsi="Times New Roman" w:cs="Times New Roman" w:eastAsia="Times New Roman" w:hint="default"/>
          <w:spacing w:val="-2"/>
        </w:rPr>
        <w:t>2019</w:t>
      </w:r>
      <w:r>
        <w:rPr>
          <w:spacing w:val="-2"/>
        </w:rPr>
        <w:t>年继续深耕旅游和教育行业。旅游和教育行业不仅顺应国</w:t>
      </w:r>
    </w:p>
    <w:p>
      <w:pPr>
        <w:pStyle w:val="BodyText"/>
        <w:spacing w:line="304" w:lineRule="auto" w:before="0"/>
        <w:ind w:left="575" w:right="1127" w:hanging="423"/>
        <w:jc w:val="left"/>
      </w:pPr>
      <w:r>
        <w:rPr/>
        <w:t>家发展方向，而且是优质视觉内容消费的蓝海市场，与公司的主营业务发展具有极强的协同关系。</w:t>
      </w:r>
      <w:r>
        <w:rPr>
          <w:w w:val="100"/>
        </w:rPr>
        <w:t> </w:t>
      </w:r>
      <w:r>
        <w:rPr>
          <w:rFonts w:ascii="Times New Roman" w:hAnsi="Times New Roman" w:cs="Times New Roman" w:eastAsia="Times New Roman" w:hint="default"/>
        </w:rPr>
        <w:t>“</w:t>
      </w:r>
      <w:r>
        <w:rPr/>
        <w:t>视觉</w:t>
      </w:r>
      <w:r>
        <w:rPr>
          <w:rFonts w:ascii="Times New Roman" w:hAnsi="Times New Roman" w:cs="Times New Roman" w:eastAsia="Times New Roman" w:hint="default"/>
        </w:rPr>
        <w:t>+</w:t>
      </w:r>
      <w:r>
        <w:rPr/>
        <w:t>旅游</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4"/>
        </w:rPr>
        <w:t>公司获得了原国家旅游局（现文化和旅游部）的</w:t>
      </w:r>
      <w:r>
        <w:rPr>
          <w:rFonts w:ascii="Times New Roman" w:hAnsi="Times New Roman" w:cs="Times New Roman" w:eastAsia="Times New Roman" w:hint="default"/>
          <w:spacing w:val="-4"/>
        </w:rPr>
        <w:t>“</w:t>
      </w:r>
      <w:r>
        <w:rPr>
          <w:spacing w:val="-4"/>
        </w:rPr>
        <w:t>国家智慧旅游公共服务平台</w:t>
      </w:r>
      <w:r>
        <w:rPr>
          <w:rFonts w:ascii="Times New Roman" w:hAnsi="Times New Roman" w:cs="Times New Roman" w:eastAsia="Times New Roman" w:hint="default"/>
          <w:spacing w:val="-4"/>
        </w:rPr>
        <w:t>”</w:t>
      </w:r>
      <w:r>
        <w:rPr>
          <w:spacing w:val="-4"/>
        </w:rPr>
        <w:t>和</w:t>
      </w:r>
      <w:r>
        <w:rPr>
          <w:rFonts w:ascii="Times New Roman" w:hAnsi="Times New Roman" w:cs="Times New Roman" w:eastAsia="Times New Roman" w:hint="default"/>
          <w:spacing w:val="-4"/>
        </w:rPr>
        <w:t>“</w:t>
      </w:r>
      <w:r>
        <w:rPr>
          <w:spacing w:val="-4"/>
        </w:rPr>
        <w:t>全国旅游监管服务平</w:t>
      </w:r>
    </w:p>
    <w:p>
      <w:pPr>
        <w:pStyle w:val="BodyText"/>
        <w:spacing w:line="295" w:lineRule="auto" w:before="6"/>
        <w:ind w:right="1122"/>
        <w:jc w:val="both"/>
      </w:pPr>
      <w:r>
        <w:rPr>
          <w:spacing w:val="-3"/>
        </w:rPr>
        <w:t>台</w:t>
      </w:r>
      <w:r>
        <w:rPr>
          <w:rFonts w:ascii="Times New Roman" w:hAnsi="Times New Roman" w:cs="Times New Roman" w:eastAsia="Times New Roman" w:hint="default"/>
          <w:spacing w:val="-3"/>
        </w:rPr>
        <w:t>”</w:t>
      </w:r>
      <w:r>
        <w:rPr>
          <w:spacing w:val="-3"/>
        </w:rPr>
        <w:t>（以下简称</w:t>
      </w:r>
      <w:r>
        <w:rPr>
          <w:rFonts w:ascii="Times New Roman" w:hAnsi="Times New Roman" w:cs="Times New Roman" w:eastAsia="Times New Roman" w:hint="default"/>
          <w:spacing w:val="-3"/>
        </w:rPr>
        <w:t>“</w:t>
      </w:r>
      <w:r>
        <w:rPr>
          <w:spacing w:val="-3"/>
        </w:rPr>
        <w:t>两大平台</w:t>
      </w:r>
      <w:r>
        <w:rPr>
          <w:rFonts w:ascii="Times New Roman" w:hAnsi="Times New Roman" w:cs="Times New Roman" w:eastAsia="Times New Roman" w:hint="default"/>
          <w:spacing w:val="-3"/>
        </w:rPr>
        <w:t>”</w:t>
      </w:r>
      <w:r>
        <w:rPr>
          <w:spacing w:val="-3"/>
        </w:rPr>
        <w:t>）的</w:t>
      </w:r>
      <w:r>
        <w:rPr>
          <w:rFonts w:ascii="Times New Roman" w:hAnsi="Times New Roman" w:cs="Times New Roman" w:eastAsia="Times New Roman" w:hint="default"/>
          <w:spacing w:val="-3"/>
        </w:rPr>
        <w:t>20</w:t>
      </w:r>
      <w:r>
        <w:rPr>
          <w:spacing w:val="-3"/>
        </w:rPr>
        <w:t>年特许经营权，由唱游信息技术有限公司（以下简称</w:t>
      </w:r>
      <w:r>
        <w:rPr>
          <w:rFonts w:ascii="Times New Roman" w:hAnsi="Times New Roman" w:cs="Times New Roman" w:eastAsia="Times New Roman" w:hint="default"/>
          <w:spacing w:val="-3"/>
        </w:rPr>
        <w:t>“</w:t>
      </w:r>
      <w:r>
        <w:rPr>
          <w:spacing w:val="-3"/>
        </w:rPr>
        <w:t>唱游公司</w:t>
      </w:r>
      <w:r>
        <w:rPr>
          <w:rFonts w:ascii="Times New Roman" w:hAnsi="Times New Roman" w:cs="Times New Roman" w:eastAsia="Times New Roman" w:hint="default"/>
          <w:spacing w:val="-3"/>
        </w:rPr>
        <w:t>”</w:t>
      </w:r>
      <w:r>
        <w:rPr>
          <w:spacing w:val="-3"/>
        </w:rPr>
        <w:t>）承建运</w:t>
      </w:r>
      <w:r>
        <w:rPr>
          <w:spacing w:val="-23"/>
        </w:rPr>
        <w:t> </w:t>
      </w:r>
      <w:r>
        <w:rPr>
          <w:spacing w:val="-23"/>
        </w:rPr>
      </w:r>
      <w:r>
        <w:rPr>
          <w:spacing w:val="-3"/>
        </w:rPr>
        <w:t>营。截至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月底，两大平台已汇聚</w:t>
      </w:r>
      <w:r>
        <w:rPr>
          <w:rFonts w:ascii="Times New Roman" w:hAnsi="Times New Roman" w:cs="Times New Roman" w:eastAsia="Times New Roman" w:hint="default"/>
          <w:spacing w:val="-3"/>
        </w:rPr>
        <w:t>69</w:t>
      </w:r>
      <w:r>
        <w:rPr>
          <w:spacing w:val="-3"/>
        </w:rPr>
        <w:t>万导游资质和实时动态数据、</w:t>
      </w:r>
      <w:r>
        <w:rPr>
          <w:rFonts w:ascii="Times New Roman" w:hAnsi="Times New Roman" w:cs="Times New Roman" w:eastAsia="Times New Roman" w:hint="default"/>
          <w:spacing w:val="-3"/>
        </w:rPr>
        <w:t>3.9</w:t>
      </w:r>
      <w:r>
        <w:rPr>
          <w:spacing w:val="-3"/>
        </w:rPr>
        <w:t>万家旅行社资质审批数据、近</w:t>
      </w:r>
      <w:r>
        <w:rPr>
          <w:spacing w:val="-27"/>
        </w:rPr>
        <w:t> </w:t>
      </w:r>
      <w:r>
        <w:rPr>
          <w:spacing w:val="-27"/>
        </w:rPr>
      </w:r>
      <w:r>
        <w:rPr>
          <w:rFonts w:ascii="Times New Roman" w:hAnsi="Times New Roman" w:cs="Times New Roman" w:eastAsia="Times New Roman" w:hint="default"/>
        </w:rPr>
        <w:t>8,300</w:t>
      </w:r>
      <w:r>
        <w:rPr/>
        <w:t>万团队游客行程单和</w:t>
      </w:r>
      <w:r>
        <w:rPr>
          <w:rFonts w:ascii="Times New Roman" w:hAnsi="Times New Roman" w:cs="Times New Roman" w:eastAsia="Times New Roman" w:hint="default"/>
        </w:rPr>
        <w:t>880</w:t>
      </w:r>
      <w:r>
        <w:rPr/>
        <w:t>万电子合同数据。</w:t>
      </w:r>
    </w:p>
    <w:p>
      <w:pPr>
        <w:pStyle w:val="BodyText"/>
        <w:spacing w:line="295" w:lineRule="auto" w:before="16"/>
        <w:ind w:right="0" w:firstLine="422"/>
        <w:jc w:val="left"/>
      </w:pPr>
      <w:r>
        <w:rPr>
          <w:rFonts w:ascii="Times New Roman" w:hAnsi="Times New Roman" w:cs="Times New Roman" w:eastAsia="Times New Roman" w:hint="default"/>
        </w:rPr>
        <w:t>2019</w:t>
      </w:r>
      <w:r>
        <w:rPr/>
        <w:t>年，唱游公司专注于两大平台</w:t>
      </w:r>
      <w:r>
        <w:rPr>
          <w:rFonts w:ascii="Times New Roman" w:hAnsi="Times New Roman" w:cs="Times New Roman" w:eastAsia="Times New Roman" w:hint="default"/>
        </w:rPr>
        <w:t>“</w:t>
      </w:r>
      <w:r>
        <w:rPr/>
        <w:t>关键业务数据</w:t>
      </w:r>
      <w:r>
        <w:rPr>
          <w:rFonts w:ascii="Times New Roman" w:hAnsi="Times New Roman" w:cs="Times New Roman" w:eastAsia="Times New Roman" w:hint="default"/>
        </w:rPr>
        <w:t>”</w:t>
      </w:r>
      <w:r>
        <w:rPr/>
        <w:t>的分析挖掘，逐渐形成了聚合旅游</w:t>
      </w:r>
      <w:r>
        <w:rPr>
          <w:rFonts w:ascii="Times New Roman" w:hAnsi="Times New Roman" w:cs="Times New Roman" w:eastAsia="Times New Roman" w:hint="default"/>
        </w:rPr>
        <w:t>“</w:t>
      </w:r>
      <w:r>
        <w:rPr/>
        <w:t>管理者</w:t>
      </w:r>
      <w:r>
        <w:rPr>
          <w:rFonts w:ascii="Times New Roman" w:hAnsi="Times New Roman" w:cs="Times New Roman" w:eastAsia="Times New Roman" w:hint="default"/>
        </w:rPr>
        <w:t>”</w:t>
      </w:r>
      <w:r>
        <w:rPr/>
        <w:t>（</w:t>
      </w:r>
      <w:r>
        <w:rPr>
          <w:rFonts w:ascii="Times New Roman" w:hAnsi="Times New Roman" w:cs="Times New Roman" w:eastAsia="Times New Roman" w:hint="default"/>
        </w:rPr>
        <w:t>To</w:t>
      </w:r>
      <w:r>
        <w:rPr>
          <w:rFonts w:ascii="Times New Roman" w:hAnsi="Times New Roman" w:cs="Times New Roman" w:eastAsia="Times New Roman" w:hint="default"/>
          <w:spacing w:val="-6"/>
        </w:rPr>
        <w:t> </w:t>
      </w:r>
      <w:r>
        <w:rPr>
          <w:rFonts w:ascii="Times New Roman" w:hAnsi="Times New Roman" w:cs="Times New Roman" w:eastAsia="Times New Roman" w:hint="default"/>
        </w:rPr>
        <w:t>G</w:t>
      </w:r>
      <w:r>
        <w:rPr>
          <w:rFonts w:ascii="Times New Roman" w:hAnsi="Times New Roman" w:cs="Times New Roman" w:eastAsia="Times New Roman" w:hint="default"/>
          <w:w w:val="100"/>
        </w:rPr>
        <w:t> </w:t>
      </w:r>
      <w:r>
        <w:rPr/>
        <w:t>端）、从业者（</w:t>
      </w:r>
      <w:r>
        <w:rPr>
          <w:rFonts w:ascii="Times New Roman" w:hAnsi="Times New Roman" w:cs="Times New Roman" w:eastAsia="Times New Roman" w:hint="default"/>
        </w:rPr>
        <w:t>To</w:t>
      </w:r>
      <w:r>
        <w:rPr>
          <w:rFonts w:ascii="Times New Roman" w:hAnsi="Times New Roman" w:cs="Times New Roman" w:eastAsia="Times New Roman" w:hint="default"/>
          <w:spacing w:val="-3"/>
        </w:rPr>
        <w:t> </w:t>
      </w:r>
      <w:r>
        <w:rPr>
          <w:rFonts w:ascii="Times New Roman" w:hAnsi="Times New Roman" w:cs="Times New Roman" w:eastAsia="Times New Roman" w:hint="default"/>
        </w:rPr>
        <w:t>B</w:t>
      </w:r>
      <w:r>
        <w:rPr/>
        <w:t>端）和出行者（</w:t>
      </w:r>
      <w:r>
        <w:rPr>
          <w:rFonts w:ascii="Times New Roman" w:hAnsi="Times New Roman" w:cs="Times New Roman" w:eastAsia="Times New Roman" w:hint="default"/>
        </w:rPr>
        <w:t>To</w:t>
      </w:r>
      <w:r>
        <w:rPr>
          <w:rFonts w:ascii="Times New Roman" w:hAnsi="Times New Roman" w:cs="Times New Roman" w:eastAsia="Times New Roman" w:hint="default"/>
          <w:spacing w:val="-3"/>
        </w:rPr>
        <w:t> </w:t>
      </w:r>
      <w:r>
        <w:rPr>
          <w:rFonts w:ascii="Times New Roman" w:hAnsi="Times New Roman" w:cs="Times New Roman" w:eastAsia="Times New Roman" w:hint="default"/>
        </w:rPr>
        <w:t>C</w:t>
      </w:r>
      <w:r>
        <w:rPr/>
        <w:t>端）三端的大数据</w:t>
      </w:r>
      <w:r>
        <w:rPr>
          <w:rFonts w:ascii="Times New Roman" w:hAnsi="Times New Roman" w:cs="Times New Roman" w:eastAsia="Times New Roman" w:hint="default"/>
        </w:rPr>
        <w:t>SaaS</w:t>
      </w:r>
      <w:r>
        <w:rPr/>
        <w:t>服务平台</w:t>
      </w:r>
      <w:r>
        <w:rPr>
          <w:rFonts w:ascii="Times New Roman" w:hAnsi="Times New Roman" w:cs="Times New Roman" w:eastAsia="Times New Roman" w:hint="default"/>
        </w:rPr>
        <w:t>,</w:t>
      </w:r>
      <w:r>
        <w:rPr>
          <w:rFonts w:ascii="Times New Roman" w:hAnsi="Times New Roman" w:cs="Times New Roman" w:eastAsia="Times New Roman" w:hint="default"/>
          <w:spacing w:val="32"/>
        </w:rPr>
        <w:t> </w:t>
      </w:r>
      <w:r>
        <w:rPr/>
        <w:t>重点面向地方旅游主管部门推</w:t>
      </w:r>
      <w:r>
        <w:rPr>
          <w:spacing w:val="-98"/>
        </w:rPr>
        <w:t> </w:t>
      </w:r>
      <w:r>
        <w:rPr>
          <w:spacing w:val="-98"/>
        </w:rPr>
      </w:r>
      <w:r>
        <w:rPr>
          <w:spacing w:val="-4"/>
        </w:rPr>
        <w:t>广标准化的</w:t>
      </w:r>
      <w:r>
        <w:rPr>
          <w:rFonts w:ascii="Times New Roman" w:hAnsi="Times New Roman" w:cs="Times New Roman" w:eastAsia="Times New Roman" w:hint="default"/>
          <w:spacing w:val="-4"/>
        </w:rPr>
        <w:t>SaaS</w:t>
      </w:r>
      <w:r>
        <w:rPr>
          <w:spacing w:val="-4"/>
        </w:rPr>
        <w:t>平台服务和定制化的延伸服务，帮助政府高效、科学地进行旅游行业监督管理和营销宣传。</w:t>
      </w:r>
      <w:r>
        <w:rPr>
          <w:spacing w:val="-33"/>
        </w:rPr>
        <w:t> </w:t>
      </w:r>
      <w:r>
        <w:rPr>
          <w:spacing w:val="-33"/>
        </w:rPr>
      </w:r>
      <w:r>
        <w:rPr>
          <w:spacing w:val="-3"/>
        </w:rPr>
        <w:t>同时，通过人工智能等技术，尝试面向涉旅企业（如旅行社、</w:t>
      </w:r>
      <w:r>
        <w:rPr>
          <w:rFonts w:ascii="Times New Roman" w:hAnsi="Times New Roman" w:cs="Times New Roman" w:eastAsia="Times New Roman" w:hint="default"/>
          <w:spacing w:val="-3"/>
        </w:rPr>
        <w:t>5A</w:t>
      </w:r>
      <w:r>
        <w:rPr>
          <w:spacing w:val="-3"/>
        </w:rPr>
        <w:t>级景区等）提供增值服务。截至</w:t>
      </w:r>
      <w:r>
        <w:rPr>
          <w:rFonts w:ascii="Times New Roman" w:hAnsi="Times New Roman" w:cs="Times New Roman" w:eastAsia="Times New Roman" w:hint="default"/>
          <w:spacing w:val="-3"/>
        </w:rPr>
        <w:t>2019</w:t>
      </w:r>
      <w:r>
        <w:rPr>
          <w:spacing w:val="-3"/>
        </w:rPr>
        <w:t>年底</w:t>
      </w:r>
      <w:r>
        <w:rPr>
          <w:spacing w:val="-24"/>
        </w:rPr>
        <w:t> </w:t>
      </w:r>
      <w:r>
        <w:rPr/>
        <w:t>已经向全国数十个地方旅游主管部门和景区提供相关服务，实现合同额及营业收入的突破性增长。</w:t>
      </w:r>
    </w:p>
    <w:p>
      <w:pPr>
        <w:pStyle w:val="BodyText"/>
        <w:spacing w:line="297" w:lineRule="auto" w:before="37"/>
        <w:ind w:left="575" w:right="1127"/>
        <w:jc w:val="left"/>
      </w:pPr>
      <w:r>
        <w:rPr>
          <w:rFonts w:ascii="Times New Roman" w:hAnsi="Times New Roman" w:cs="Times New Roman" w:eastAsia="Times New Roman" w:hint="default"/>
        </w:rPr>
        <w:t>“</w:t>
      </w:r>
      <w:r>
        <w:rPr/>
        <w:t>视觉</w:t>
      </w:r>
      <w:r>
        <w:rPr>
          <w:rFonts w:ascii="Times New Roman" w:hAnsi="Times New Roman" w:cs="Times New Roman" w:eastAsia="Times New Roman" w:hint="default"/>
        </w:rPr>
        <w:t>+</w:t>
      </w:r>
      <w:r>
        <w:rPr/>
        <w:t>教育</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3</w:t>
      </w:r>
      <w:r>
        <w:rPr>
          <w:spacing w:val="-4"/>
        </w:rPr>
        <w:t>月，唱游公司与国家开放大学联合筹办的</w:t>
      </w:r>
      <w:r>
        <w:rPr>
          <w:rFonts w:ascii="Times New Roman" w:hAnsi="Times New Roman" w:cs="Times New Roman" w:eastAsia="Times New Roman" w:hint="default"/>
          <w:spacing w:val="-4"/>
        </w:rPr>
        <w:t>“</w:t>
      </w:r>
      <w:r>
        <w:rPr>
          <w:spacing w:val="-4"/>
        </w:rPr>
        <w:t>国家开放大学旅游学院</w:t>
      </w:r>
      <w:r>
        <w:rPr>
          <w:rFonts w:ascii="Times New Roman" w:hAnsi="Times New Roman" w:cs="Times New Roman" w:eastAsia="Times New Roman" w:hint="default"/>
          <w:spacing w:val="-4"/>
        </w:rPr>
        <w:t>”</w:t>
      </w:r>
      <w:r>
        <w:rPr>
          <w:spacing w:val="-4"/>
        </w:rPr>
        <w:t>正式授牌成立，此行业学院</w:t>
      </w:r>
    </w:p>
    <w:p>
      <w:pPr>
        <w:pStyle w:val="BodyText"/>
        <w:spacing w:line="302" w:lineRule="auto" w:before="8"/>
        <w:ind w:right="1122"/>
        <w:jc w:val="both"/>
      </w:pPr>
      <w:r>
        <w:rPr>
          <w:spacing w:val="-2"/>
        </w:rPr>
        <w:t>将有机结合公司上述两大平台的</w:t>
      </w:r>
      <w:r>
        <w:rPr>
          <w:rFonts w:ascii="Times New Roman" w:hAnsi="Times New Roman" w:cs="Times New Roman" w:eastAsia="Times New Roman" w:hint="default"/>
          <w:spacing w:val="-2"/>
        </w:rPr>
        <w:t>“</w:t>
      </w:r>
      <w:r>
        <w:rPr>
          <w:spacing w:val="-2"/>
        </w:rPr>
        <w:t>关键行业数据</w:t>
      </w:r>
      <w:r>
        <w:rPr>
          <w:rFonts w:ascii="Times New Roman" w:hAnsi="Times New Roman" w:cs="Times New Roman" w:eastAsia="Times New Roman" w:hint="default"/>
          <w:spacing w:val="-2"/>
        </w:rPr>
        <w:t>”</w:t>
      </w:r>
      <w:r>
        <w:rPr>
          <w:spacing w:val="-2"/>
        </w:rPr>
        <w:t>与国家开放大学的专业教学体系，直接为旅游行业内数以</w:t>
      </w:r>
      <w:r>
        <w:rPr>
          <w:spacing w:val="-11"/>
        </w:rPr>
        <w:t> </w:t>
      </w:r>
      <w:r>
        <w:rPr>
          <w:spacing w:val="-11"/>
        </w:rPr>
      </w:r>
      <w:r>
        <w:rPr>
          <w:spacing w:val="-2"/>
        </w:rPr>
        <w:t>千万级的从业人员提供学历与非学历教育。截至</w:t>
      </w:r>
      <w:r>
        <w:rPr>
          <w:rFonts w:ascii="Times New Roman" w:hAnsi="Times New Roman" w:cs="Times New Roman" w:eastAsia="Times New Roman" w:hint="default"/>
          <w:spacing w:val="-2"/>
        </w:rPr>
        <w:t>2019</w:t>
      </w:r>
      <w:r>
        <w:rPr>
          <w:spacing w:val="-2"/>
        </w:rPr>
        <w:t>年底，学院已经完成了组织框架、人员配备等相关工</w:t>
      </w:r>
      <w:r>
        <w:rPr>
          <w:spacing w:val="-27"/>
        </w:rPr>
        <w:t> </w:t>
      </w:r>
      <w:r>
        <w:rPr>
          <w:spacing w:val="-27"/>
        </w:rPr>
      </w:r>
      <w:r>
        <w:rPr>
          <w:spacing w:val="-2"/>
        </w:rPr>
        <w:t>作；建立了由行业专家、院校学者和企业负责人等组成的学院教学指导委员会，从组织和人才方面保障学</w:t>
      </w:r>
      <w:r>
        <w:rPr>
          <w:spacing w:val="-33"/>
        </w:rPr>
        <w:t> </w:t>
      </w:r>
      <w:r>
        <w:rPr>
          <w:spacing w:val="-33"/>
        </w:rPr>
      </w:r>
      <w:r>
        <w:rPr/>
        <w:t>院的发展。</w:t>
      </w:r>
    </w:p>
    <w:p>
      <w:pPr>
        <w:pStyle w:val="BodyText"/>
        <w:spacing w:line="240" w:lineRule="auto" w:before="25"/>
        <w:ind w:left="575" w:right="0"/>
        <w:jc w:val="left"/>
      </w:pPr>
      <w:r>
        <w:rPr/>
        <w:t>经过数年的努力，公司在</w:t>
      </w:r>
      <w:r>
        <w:rPr>
          <w:rFonts w:ascii="Times New Roman" w:hAnsi="Times New Roman" w:cs="Times New Roman" w:eastAsia="Times New Roman" w:hint="default"/>
        </w:rPr>
        <w:t>K12</w:t>
      </w:r>
      <w:r>
        <w:rPr/>
        <w:t>教育领域的探索初显成效。</w:t>
      </w:r>
    </w:p>
    <w:p>
      <w:pPr>
        <w:spacing w:after="0" w:line="240" w:lineRule="auto"/>
        <w:jc w:val="left"/>
        <w:sectPr>
          <w:pgSz w:w="11910" w:h="16840"/>
          <w:pgMar w:header="741" w:footer="979" w:top="1060" w:bottom="1160" w:left="980" w:right="0"/>
        </w:sectPr>
      </w:pPr>
    </w:p>
    <w:p>
      <w:pPr>
        <w:spacing w:line="240" w:lineRule="auto" w:before="10"/>
        <w:rPr>
          <w:rFonts w:ascii="宋体" w:hAnsi="宋体" w:cs="宋体" w:eastAsia="宋体" w:hint="default"/>
          <w:sz w:val="26"/>
          <w:szCs w:val="26"/>
        </w:rPr>
      </w:pPr>
    </w:p>
    <w:p>
      <w:pPr>
        <w:pStyle w:val="BodyText"/>
        <w:spacing w:line="295" w:lineRule="auto" w:before="36"/>
        <w:ind w:right="1122" w:firstLine="422"/>
        <w:jc w:val="both"/>
      </w:pPr>
      <w:r>
        <w:rPr>
          <w:spacing w:val="-2"/>
        </w:rPr>
        <w:t>公司参股的湖北司马彦文化科技有限公司（以下简称</w:t>
      </w:r>
      <w:r>
        <w:rPr>
          <w:rFonts w:ascii="Times New Roman" w:hAnsi="Times New Roman" w:cs="Times New Roman" w:eastAsia="Times New Roman" w:hint="default"/>
          <w:spacing w:val="-2"/>
        </w:rPr>
        <w:t>“</w:t>
      </w:r>
      <w:r>
        <w:rPr>
          <w:spacing w:val="-2"/>
        </w:rPr>
        <w:t>司马彦科技</w:t>
      </w:r>
      <w:r>
        <w:rPr>
          <w:rFonts w:ascii="Times New Roman" w:hAnsi="Times New Roman" w:cs="Times New Roman" w:eastAsia="Times New Roman" w:hint="default"/>
          <w:spacing w:val="-2"/>
        </w:rPr>
        <w:t>”</w:t>
      </w:r>
      <w:r>
        <w:rPr>
          <w:spacing w:val="-2"/>
        </w:rPr>
        <w:t>）拥有</w:t>
      </w:r>
      <w:r>
        <w:rPr>
          <w:rFonts w:ascii="Times New Roman" w:hAnsi="Times New Roman" w:cs="Times New Roman" w:eastAsia="Times New Roman" w:hint="default"/>
          <w:spacing w:val="-2"/>
        </w:rPr>
        <w:t>30</w:t>
      </w:r>
      <w:r>
        <w:rPr>
          <w:spacing w:val="-2"/>
        </w:rPr>
        <w:t>余年业务积累，字帖发行</w:t>
      </w:r>
      <w:r>
        <w:rPr>
          <w:w w:val="100"/>
        </w:rPr>
        <w:t> </w:t>
      </w:r>
      <w:r>
        <w:rPr>
          <w:spacing w:val="-2"/>
        </w:rPr>
        <w:t>量逐年增长，</w:t>
      </w:r>
      <w:r>
        <w:rPr>
          <w:rFonts w:ascii="Times New Roman" w:hAnsi="Times New Roman" w:cs="Times New Roman" w:eastAsia="Times New Roman" w:hint="default"/>
          <w:spacing w:val="-2"/>
        </w:rPr>
        <w:t>2019</w:t>
      </w:r>
      <w:r>
        <w:rPr>
          <w:spacing w:val="-2"/>
        </w:rPr>
        <w:t>年字帖种类超过</w:t>
      </w:r>
      <w:r>
        <w:rPr>
          <w:rFonts w:ascii="Times New Roman" w:hAnsi="Times New Roman" w:cs="Times New Roman" w:eastAsia="Times New Roman" w:hint="default"/>
          <w:spacing w:val="-2"/>
        </w:rPr>
        <w:t>500</w:t>
      </w:r>
      <w:r>
        <w:rPr>
          <w:spacing w:val="-2"/>
        </w:rPr>
        <w:t>余种，年发行量</w:t>
      </w:r>
      <w:r>
        <w:rPr>
          <w:rFonts w:ascii="Times New Roman" w:hAnsi="Times New Roman" w:cs="Times New Roman" w:eastAsia="Times New Roman" w:hint="default"/>
          <w:spacing w:val="-2"/>
        </w:rPr>
        <w:t>1,900</w:t>
      </w:r>
      <w:r>
        <w:rPr>
          <w:spacing w:val="-2"/>
        </w:rPr>
        <w:t>万册，覆盖全国</w:t>
      </w:r>
      <w:r>
        <w:rPr>
          <w:rFonts w:ascii="Times New Roman" w:hAnsi="Times New Roman" w:cs="Times New Roman" w:eastAsia="Times New Roman" w:hint="default"/>
          <w:spacing w:val="-2"/>
        </w:rPr>
        <w:t>31</w:t>
      </w:r>
      <w:r>
        <w:rPr>
          <w:spacing w:val="-2"/>
        </w:rPr>
        <w:t>个省份，触达超</w:t>
      </w:r>
      <w:r>
        <w:rPr>
          <w:rFonts w:ascii="Times New Roman" w:hAnsi="Times New Roman" w:cs="Times New Roman" w:eastAsia="Times New Roman" w:hint="default"/>
          <w:spacing w:val="-2"/>
        </w:rPr>
        <w:t>8,000</w:t>
      </w:r>
      <w:r>
        <w:rPr>
          <w:spacing w:val="-2"/>
        </w:rPr>
        <w:t>万的线</w:t>
      </w:r>
      <w:r>
        <w:rPr>
          <w:spacing w:val="-18"/>
        </w:rPr>
        <w:t> </w:t>
      </w:r>
      <w:r>
        <w:rPr>
          <w:spacing w:val="-18"/>
        </w:rPr>
      </w:r>
      <w:r>
        <w:rPr/>
        <w:t>下教师和中小学生群体。</w:t>
      </w:r>
    </w:p>
    <w:p>
      <w:pPr>
        <w:pStyle w:val="BodyText"/>
        <w:spacing w:line="302" w:lineRule="auto" w:before="37"/>
        <w:ind w:right="0" w:firstLine="422"/>
        <w:jc w:val="left"/>
      </w:pPr>
      <w:r>
        <w:rPr>
          <w:spacing w:val="-2"/>
        </w:rPr>
        <w:t>公司参股的广东易教优培教育科技有限公司（以下简称</w:t>
      </w:r>
      <w:r>
        <w:rPr>
          <w:rFonts w:ascii="Times New Roman" w:hAnsi="Times New Roman" w:cs="Times New Roman" w:eastAsia="Times New Roman" w:hint="default"/>
          <w:spacing w:val="-2"/>
        </w:rPr>
        <w:t>“</w:t>
      </w:r>
      <w:r>
        <w:rPr>
          <w:spacing w:val="-2"/>
        </w:rPr>
        <w:t>易教优培</w:t>
      </w:r>
      <w:r>
        <w:rPr>
          <w:rFonts w:ascii="Times New Roman" w:hAnsi="Times New Roman" w:cs="Times New Roman" w:eastAsia="Times New Roman" w:hint="default"/>
          <w:spacing w:val="-2"/>
        </w:rPr>
        <w:t>”</w:t>
      </w:r>
      <w:r>
        <w:rPr>
          <w:spacing w:val="-2"/>
        </w:rPr>
        <w:t>）是一家专注于</w:t>
      </w:r>
      <w:r>
        <w:rPr>
          <w:rFonts w:ascii="Times New Roman" w:hAnsi="Times New Roman" w:cs="Times New Roman" w:eastAsia="Times New Roman" w:hint="default"/>
          <w:spacing w:val="-2"/>
        </w:rPr>
        <w:t>K12</w:t>
      </w:r>
      <w:r>
        <w:rPr>
          <w:spacing w:val="-2"/>
        </w:rPr>
        <w:t>教师继续教育</w:t>
      </w:r>
      <w:r>
        <w:rPr>
          <w:w w:val="100"/>
        </w:rPr>
        <w:t> </w:t>
      </w:r>
      <w:r>
        <w:rPr>
          <w:spacing w:val="-2"/>
        </w:rPr>
        <w:t>培训的服务提供商，培训服务区域涵盖广东、浙江、广西、江西、安徽等近十个省份，累计在线培训人数</w:t>
      </w:r>
      <w:r>
        <w:rPr>
          <w:spacing w:val="-32"/>
        </w:rPr>
        <w:t> </w:t>
      </w:r>
      <w:r>
        <w:rPr>
          <w:spacing w:val="-32"/>
        </w:rPr>
      </w:r>
      <w:r>
        <w:rPr/>
        <w:t>超过</w:t>
      </w:r>
      <w:r>
        <w:rPr>
          <w:rFonts w:ascii="Times New Roman" w:hAnsi="Times New Roman" w:cs="Times New Roman" w:eastAsia="Times New Roman" w:hint="default"/>
        </w:rPr>
        <w:t>200</w:t>
      </w:r>
      <w:r>
        <w:rPr/>
        <w:t>万人，线下培训人数超过</w:t>
      </w:r>
      <w:r>
        <w:rPr>
          <w:rFonts w:ascii="Times New Roman" w:hAnsi="Times New Roman" w:cs="Times New Roman" w:eastAsia="Times New Roman" w:hint="default"/>
        </w:rPr>
        <w:t>20,000</w:t>
      </w:r>
      <w:r>
        <w:rPr/>
        <w:t>人，其中校长培训人数超过</w:t>
      </w:r>
      <w:r>
        <w:rPr>
          <w:rFonts w:ascii="Times New Roman" w:hAnsi="Times New Roman" w:cs="Times New Roman" w:eastAsia="Times New Roman" w:hint="default"/>
        </w:rPr>
        <w:t>3,000</w:t>
      </w:r>
      <w:r>
        <w:rPr/>
        <w:t>人。</w:t>
      </w:r>
      <w:r>
        <w:rPr>
          <w:rFonts w:ascii="Times New Roman" w:hAnsi="Times New Roman" w:cs="Times New Roman" w:eastAsia="Times New Roman" w:hint="default"/>
        </w:rPr>
        <w:t>2019</w:t>
      </w:r>
      <w:r>
        <w:rPr/>
        <w:t>年，易教优培服务的在</w:t>
      </w:r>
      <w:r>
        <w:rPr>
          <w:w w:val="100"/>
        </w:rPr>
        <w:t> </w:t>
      </w:r>
      <w:r>
        <w:rPr>
          <w:spacing w:val="-2"/>
        </w:rPr>
        <w:t>线培训人数超过</w:t>
      </w:r>
      <w:r>
        <w:rPr>
          <w:rFonts w:ascii="Times New Roman" w:hAnsi="Times New Roman" w:cs="Times New Roman" w:eastAsia="Times New Roman" w:hint="default"/>
          <w:spacing w:val="-2"/>
        </w:rPr>
        <w:t>45</w:t>
      </w:r>
      <w:r>
        <w:rPr>
          <w:spacing w:val="-2"/>
        </w:rPr>
        <w:t>万人，服务学校超过</w:t>
      </w:r>
      <w:r>
        <w:rPr>
          <w:rFonts w:ascii="Times New Roman" w:hAnsi="Times New Roman" w:cs="Times New Roman" w:eastAsia="Times New Roman" w:hint="default"/>
          <w:spacing w:val="-2"/>
        </w:rPr>
        <w:t>2</w:t>
      </w:r>
      <w:r>
        <w:rPr>
          <w:spacing w:val="-2"/>
        </w:rPr>
        <w:t>万所；线下培训人数</w:t>
      </w:r>
      <w:r>
        <w:rPr>
          <w:rFonts w:ascii="Times New Roman" w:hAnsi="Times New Roman" w:cs="Times New Roman" w:eastAsia="Times New Roman" w:hint="default"/>
          <w:spacing w:val="-2"/>
        </w:rPr>
        <w:t>6,700</w:t>
      </w:r>
      <w:r>
        <w:rPr>
          <w:spacing w:val="-2"/>
        </w:rPr>
        <w:t>人。</w:t>
      </w:r>
      <w:r>
        <w:rPr>
          <w:rFonts w:ascii="Times New Roman" w:hAnsi="Times New Roman" w:cs="Times New Roman" w:eastAsia="Times New Roman" w:hint="default"/>
          <w:spacing w:val="-2"/>
        </w:rPr>
        <w:t>2019</w:t>
      </w:r>
      <w:r>
        <w:rPr>
          <w:spacing w:val="-2"/>
        </w:rPr>
        <w:t>年易教优培继续在技术方面进</w:t>
      </w:r>
      <w:r>
        <w:rPr>
          <w:spacing w:val="-1"/>
        </w:rPr>
        <w:t> </w:t>
      </w:r>
      <w:r>
        <w:rPr>
          <w:spacing w:val="-1"/>
        </w:rPr>
      </w:r>
      <w:r>
        <w:rPr>
          <w:spacing w:val="-2"/>
        </w:rPr>
        <w:t>行不断投入，扩展为拥有核心交互平台技术与产品的互联网平台培训服务商，主要为地市、区县等教育行</w:t>
      </w:r>
      <w:r>
        <w:rPr>
          <w:spacing w:val="-33"/>
        </w:rPr>
        <w:t> </w:t>
      </w:r>
      <w:r>
        <w:rPr>
          <w:spacing w:val="-33"/>
        </w:rPr>
      </w:r>
      <w:r>
        <w:rPr/>
        <w:t>政部门提供平台服务，并为</w:t>
      </w:r>
      <w:r>
        <w:rPr>
          <w:rFonts w:ascii="Times New Roman" w:hAnsi="Times New Roman" w:cs="Times New Roman" w:eastAsia="Times New Roman" w:hint="default"/>
        </w:rPr>
        <w:t>K12</w:t>
      </w:r>
      <w:r>
        <w:rPr/>
        <w:t>教师群体提供培训服务。</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3"/>
          <w:szCs w:val="23"/>
        </w:rPr>
      </w:pPr>
    </w:p>
    <w:p>
      <w:pPr>
        <w:pStyle w:val="Heading4"/>
        <w:spacing w:line="240" w:lineRule="auto"/>
        <w:ind w:right="0"/>
        <w:jc w:val="left"/>
        <w:rPr>
          <w:b w:val="0"/>
          <w:bCs w:val="0"/>
        </w:rPr>
      </w:pPr>
      <w:bookmarkStart w:name="2、收入与成本" w:id="28"/>
      <w:bookmarkEnd w:id="28"/>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9"/>
        <w:gridCol w:w="1597"/>
        <w:gridCol w:w="1592"/>
        <w:gridCol w:w="1597"/>
        <w:gridCol w:w="1588"/>
        <w:gridCol w:w="1597"/>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60"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60"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7"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6"/>
              <w:ind w:right="8"/>
              <w:jc w:val="right"/>
              <w:rPr>
                <w:rFonts w:ascii="Times New Roman" w:hAnsi="Times New Roman" w:cs="Times New Roman" w:eastAsia="Times New Roman" w:hint="default"/>
                <w:sz w:val="18"/>
                <w:szCs w:val="18"/>
              </w:rPr>
            </w:pPr>
            <w:r>
              <w:rPr>
                <w:rFonts w:ascii="Times New Roman"/>
                <w:spacing w:val="-1"/>
                <w:sz w:val="18"/>
              </w:rPr>
              <w:t>722,107,028.63</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w:t>
            </w:r>
          </w:p>
        </w:tc>
        <w:tc>
          <w:tcPr>
            <w:tcW w:w="1597"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987,837,517.43</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2"/>
                <w:sz w:val="18"/>
              </w:rPr>
              <w:t>100%</w:t>
            </w:r>
          </w:p>
        </w:tc>
        <w:tc>
          <w:tcPr>
            <w:tcW w:w="15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-26.90%</w:t>
            </w:r>
          </w:p>
        </w:tc>
      </w:tr>
      <w:tr>
        <w:trPr>
          <w:trHeight w:val="398"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互联网传媒</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714,643,403.59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98.97%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820,881,431.10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83.10%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-12.94%</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7,463,625.04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166,956,086.33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16.90%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-95.53%</w:t>
            </w:r>
          </w:p>
        </w:tc>
      </w:tr>
      <w:tr>
        <w:trPr>
          <w:trHeight w:val="398"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7"/>
              <w:jc w:val="left"/>
              <w:rPr>
                <w:rFonts w:ascii="宋体" w:hAnsi="宋体" w:cs="宋体" w:eastAsia="宋体" w:hint="default"/>
                <w:sz w:val="18"/>
                <w:szCs w:val="18"/>
              </w:rPr>
            </w:pPr>
            <w:r>
              <w:rPr>
                <w:rFonts w:ascii="宋体" w:hAnsi="宋体" w:cs="宋体" w:eastAsia="宋体" w:hint="default"/>
                <w:spacing w:val="-11"/>
                <w:w w:val="101"/>
                <w:sz w:val="18"/>
                <w:szCs w:val="18"/>
              </w:rPr>
              <w:t>视觉内容与服务（核</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心主业）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714,412,165.86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98.93%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781,902,756.26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79.15%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-8.63%</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7,694,862.77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205,934,761.17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20.85%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-96.26%</w:t>
            </w:r>
          </w:p>
        </w:tc>
      </w:tr>
      <w:tr>
        <w:trPr>
          <w:trHeight w:val="404"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9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659,224,438.57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91.29%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2"/>
                <w:sz w:val="18"/>
              </w:rPr>
              <w:t>911,505,887.15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92.27%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-27.68%</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62,882,590.06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8.71%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76,331,630.28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7.73%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-17.62%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1"/>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2"/>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4"/>
        <w:gridCol w:w="1369"/>
        <w:gridCol w:w="1368"/>
        <w:gridCol w:w="1368"/>
        <w:gridCol w:w="1364"/>
        <w:gridCol w:w="1373"/>
      </w:tblGrid>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316" w:right="46" w:hanging="269"/>
              <w:jc w:val="left"/>
              <w:rPr>
                <w:rFonts w:ascii="宋体" w:hAnsi="宋体" w:cs="宋体" w:eastAsia="宋体" w:hint="default"/>
                <w:sz w:val="18"/>
                <w:szCs w:val="18"/>
              </w:rPr>
            </w:pPr>
            <w:r>
              <w:rPr>
                <w:rFonts w:ascii="宋体" w:hAnsi="宋体" w:cs="宋体" w:eastAsia="宋体" w:hint="default"/>
                <w:spacing w:val="-3"/>
                <w:sz w:val="18"/>
                <w:szCs w:val="18"/>
              </w:rPr>
              <w:t>营业收入比上年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317" w:right="41" w:hanging="270"/>
              <w:jc w:val="left"/>
              <w:rPr>
                <w:rFonts w:ascii="宋体" w:hAnsi="宋体" w:cs="宋体" w:eastAsia="宋体" w:hint="default"/>
                <w:sz w:val="18"/>
                <w:szCs w:val="18"/>
              </w:rPr>
            </w:pPr>
            <w:r>
              <w:rPr>
                <w:rFonts w:ascii="宋体" w:hAnsi="宋体" w:cs="宋体" w:eastAsia="宋体" w:hint="default"/>
                <w:spacing w:val="-3"/>
                <w:sz w:val="18"/>
                <w:szCs w:val="18"/>
              </w:rPr>
              <w:t>营业成本比上年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413" w:right="46" w:hanging="361"/>
              <w:jc w:val="left"/>
              <w:rPr>
                <w:rFonts w:ascii="宋体" w:hAnsi="宋体" w:cs="宋体" w:eastAsia="宋体" w:hint="default"/>
                <w:sz w:val="18"/>
                <w:szCs w:val="18"/>
              </w:rPr>
            </w:pPr>
            <w:r>
              <w:rPr>
                <w:rFonts w:ascii="宋体" w:hAnsi="宋体" w:cs="宋体" w:eastAsia="宋体" w:hint="default"/>
                <w:spacing w:val="-3"/>
                <w:sz w:val="18"/>
                <w:szCs w:val="18"/>
              </w:rPr>
              <w:t>毛利率比上年同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期增减</w:t>
            </w:r>
          </w:p>
        </w:tc>
      </w:tr>
      <w:tr>
        <w:trPr>
          <w:trHeight w:val="403"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互联网传媒</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1" w:right="0"/>
              <w:jc w:val="left"/>
              <w:rPr>
                <w:rFonts w:ascii="Times New Roman" w:hAnsi="Times New Roman" w:cs="Times New Roman" w:eastAsia="Times New Roman" w:hint="default"/>
                <w:sz w:val="18"/>
                <w:szCs w:val="18"/>
              </w:rPr>
            </w:pPr>
            <w:r>
              <w:rPr>
                <w:rFonts w:ascii="Times New Roman"/>
                <w:sz w:val="18"/>
              </w:rPr>
              <w:t>714,643,403.59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5" w:right="0"/>
              <w:jc w:val="left"/>
              <w:rPr>
                <w:rFonts w:ascii="Times New Roman" w:hAnsi="Times New Roman" w:cs="Times New Roman" w:eastAsia="Times New Roman" w:hint="default"/>
                <w:sz w:val="18"/>
                <w:szCs w:val="18"/>
              </w:rPr>
            </w:pPr>
            <w:r>
              <w:rPr>
                <w:rFonts w:ascii="Times New Roman"/>
                <w:sz w:val="18"/>
              </w:rPr>
              <w:t>265,411,649.69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77" w:right="0"/>
              <w:jc w:val="left"/>
              <w:rPr>
                <w:rFonts w:ascii="Times New Roman" w:hAnsi="Times New Roman" w:cs="Times New Roman" w:eastAsia="Times New Roman" w:hint="default"/>
                <w:sz w:val="18"/>
                <w:szCs w:val="18"/>
              </w:rPr>
            </w:pPr>
            <w:r>
              <w:rPr>
                <w:rFonts w:ascii="Times New Roman"/>
                <w:sz w:val="18"/>
              </w:rPr>
              <w:t>62.86%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0" w:right="0"/>
              <w:jc w:val="left"/>
              <w:rPr>
                <w:rFonts w:ascii="Times New Roman" w:hAnsi="Times New Roman" w:cs="Times New Roman" w:eastAsia="Times New Roman" w:hint="default"/>
                <w:sz w:val="18"/>
                <w:szCs w:val="18"/>
              </w:rPr>
            </w:pPr>
            <w:r>
              <w:rPr>
                <w:rFonts w:ascii="Times New Roman"/>
                <w:sz w:val="18"/>
              </w:rPr>
              <w:t>-12.94%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9" w:right="0"/>
              <w:jc w:val="left"/>
              <w:rPr>
                <w:rFonts w:ascii="Times New Roman" w:hAnsi="Times New Roman" w:cs="Times New Roman" w:eastAsia="Times New Roman" w:hint="default"/>
                <w:sz w:val="18"/>
                <w:szCs w:val="18"/>
              </w:rPr>
            </w:pPr>
            <w:r>
              <w:rPr>
                <w:rFonts w:ascii="Times New Roman"/>
                <w:sz w:val="18"/>
              </w:rPr>
              <w:t>2.01%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6" w:right="0"/>
              <w:jc w:val="left"/>
              <w:rPr>
                <w:rFonts w:ascii="Times New Roman" w:hAnsi="Times New Roman" w:cs="Times New Roman" w:eastAsia="Times New Roman" w:hint="default"/>
                <w:sz w:val="18"/>
                <w:szCs w:val="18"/>
              </w:rPr>
            </w:pPr>
            <w:r>
              <w:rPr>
                <w:rFonts w:ascii="Times New Roman"/>
                <w:sz w:val="18"/>
              </w:rPr>
              <w:t>-5.44%</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9"/>
        <w:gridCol w:w="1364"/>
        <w:gridCol w:w="1369"/>
        <w:gridCol w:w="1368"/>
        <w:gridCol w:w="1368"/>
        <w:gridCol w:w="1364"/>
        <w:gridCol w:w="1373"/>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7,463,625.04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1,055,594.63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85.86%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-95.53%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-98.81%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39.15%</w:t>
            </w:r>
          </w:p>
        </w:tc>
      </w:tr>
      <w:tr>
        <w:trPr>
          <w:trHeight w:val="398"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视觉内容与服务</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（核心主业）</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714,412,165.86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264,132,247.67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-8.63%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7.52%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-5.56%</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7,694,862.77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2,334,996.65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69.66%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-96.26%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-97.74%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19.92%</w:t>
            </w:r>
          </w:p>
        </w:tc>
      </w:tr>
      <w:tr>
        <w:trPr>
          <w:trHeight w:val="403"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659,224,438.57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261,935,298.83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60.27%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-27.68%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-23.22%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-2.30%</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62,882,590.06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4,531,945.49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92.79%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-17.62%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pacing w:val="-1"/>
                <w:sz w:val="18"/>
              </w:rPr>
              <w:t>-43.31%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3.27%</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before="53"/>
        <w:ind w:left="153" w:right="-14" w:firstLine="0"/>
        <w:jc w:val="left"/>
        <w:rPr>
          <w:rFonts w:ascii="宋体" w:hAnsi="宋体" w:cs="宋体" w:eastAsia="宋体" w:hint="default"/>
          <w:sz w:val="18"/>
          <w:szCs w:val="18"/>
        </w:rPr>
      </w:pPr>
      <w:r>
        <w:rPr>
          <w:rFonts w:ascii="宋体" w:hAnsi="宋体" w:cs="宋体" w:eastAsia="宋体" w:hint="default"/>
          <w:spacing w:val="-3"/>
          <w:sz w:val="18"/>
          <w:szCs w:val="18"/>
        </w:rPr>
        <w:t>公司主营业务数据统计口径在报告期发生调整的情况下，公司最近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年按报告期末口径调整后的主营业务数据</w:t>
      </w:r>
    </w:p>
    <w:p>
      <w:pPr>
        <w:spacing w:before="106"/>
        <w:ind w:left="153"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8796" w:space="126"/>
            <w:col w:w="2008"/>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4"/>
        <w:gridCol w:w="1369"/>
        <w:gridCol w:w="1368"/>
        <w:gridCol w:w="1368"/>
        <w:gridCol w:w="1364"/>
        <w:gridCol w:w="1373"/>
      </w:tblGrid>
      <w:tr>
        <w:trPr>
          <w:trHeight w:val="711"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316" w:right="45" w:hanging="269"/>
              <w:jc w:val="left"/>
              <w:rPr>
                <w:rFonts w:ascii="宋体" w:hAnsi="宋体" w:cs="宋体" w:eastAsia="宋体" w:hint="default"/>
                <w:sz w:val="18"/>
                <w:szCs w:val="18"/>
              </w:rPr>
            </w:pPr>
            <w:r>
              <w:rPr>
                <w:rFonts w:ascii="宋体" w:hAnsi="宋体" w:cs="宋体" w:eastAsia="宋体" w:hint="default"/>
                <w:spacing w:val="-3"/>
                <w:sz w:val="18"/>
                <w:szCs w:val="18"/>
              </w:rPr>
              <w:t>营业收入比上年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317" w:right="41" w:hanging="270"/>
              <w:jc w:val="left"/>
              <w:rPr>
                <w:rFonts w:ascii="宋体" w:hAnsi="宋体" w:cs="宋体" w:eastAsia="宋体" w:hint="default"/>
                <w:sz w:val="18"/>
                <w:szCs w:val="18"/>
              </w:rPr>
            </w:pPr>
            <w:r>
              <w:rPr>
                <w:rFonts w:ascii="宋体" w:hAnsi="宋体" w:cs="宋体" w:eastAsia="宋体" w:hint="default"/>
                <w:spacing w:val="-3"/>
                <w:sz w:val="18"/>
                <w:szCs w:val="18"/>
              </w:rPr>
              <w:t>营业成本比上年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413" w:right="46" w:hanging="361"/>
              <w:jc w:val="left"/>
              <w:rPr>
                <w:rFonts w:ascii="宋体" w:hAnsi="宋体" w:cs="宋体" w:eastAsia="宋体" w:hint="default"/>
                <w:sz w:val="18"/>
                <w:szCs w:val="18"/>
              </w:rPr>
            </w:pPr>
            <w:r>
              <w:rPr>
                <w:rFonts w:ascii="宋体" w:hAnsi="宋体" w:cs="宋体" w:eastAsia="宋体" w:hint="default"/>
                <w:spacing w:val="-3"/>
                <w:sz w:val="18"/>
                <w:szCs w:val="18"/>
              </w:rPr>
              <w:t>毛利率比上年同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期增减</w:t>
            </w:r>
          </w:p>
        </w:tc>
      </w:tr>
      <w:tr>
        <w:trPr>
          <w:trHeight w:val="403"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互联网传媒</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714,643,403.59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265,411,649.69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62.86%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-12.94%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2.01%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-5.44%</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旅游及其他</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7,463,625.04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1,055,594.63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85.86%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-95.53%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-98.81%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39.15%</w:t>
            </w:r>
          </w:p>
        </w:tc>
      </w:tr>
      <w:tr>
        <w:trPr>
          <w:trHeight w:val="398"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视觉内容与服务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714,412,165.86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264,132,247.67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63.03%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-8.63%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7.52%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-5.56%</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广告创意服务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231,237.73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1,279,402.02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-453.28%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-99.41%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-91.21%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-515.96%</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数字娱乐</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7,463,625.04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1,055,594.63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85.86%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-57.57%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-91.45%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56.06%</w:t>
            </w: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软件信息服务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-48.70%</w:t>
            </w:r>
          </w:p>
        </w:tc>
      </w:tr>
      <w:tr>
        <w:trPr>
          <w:trHeight w:val="403"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659,224,438.57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261,935,298.83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60.27%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-27.68%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-23.22%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-2.30%</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62,882,590.06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4,531,945.49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92.79%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-17.62%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-43.31%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3.27%</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变更口径的理由</w:t>
      </w:r>
    </w:p>
    <w:p>
      <w:pPr>
        <w:spacing w:line="300" w:lineRule="auto" w:before="110"/>
        <w:ind w:left="153" w:right="0" w:firstLine="0"/>
        <w:jc w:val="left"/>
        <w:rPr>
          <w:rFonts w:ascii="宋体" w:hAnsi="宋体" w:cs="宋体" w:eastAsia="宋体" w:hint="default"/>
          <w:sz w:val="18"/>
          <w:szCs w:val="18"/>
        </w:rPr>
      </w:pPr>
      <w:r>
        <w:rPr>
          <w:rFonts w:ascii="宋体" w:hAnsi="宋体" w:cs="宋体" w:eastAsia="宋体" w:hint="default"/>
          <w:spacing w:val="-4"/>
          <w:sz w:val="18"/>
          <w:szCs w:val="18"/>
        </w:rPr>
        <w:t>统计口径变更，主要系公司聚焦核心主业，于</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年和</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年先后处置了亿迅资产组和上海卓越等非核心主业资产，由于处</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3"/>
          <w:sz w:val="18"/>
          <w:szCs w:val="18"/>
        </w:rPr>
        <w:t>置后核心主业占比接近</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，故除核心主业外其他业务不再细分。</w:t>
      </w:r>
    </w:p>
    <w:p>
      <w:pPr>
        <w:spacing w:line="240" w:lineRule="auto" w:before="2"/>
        <w:rPr>
          <w:rFonts w:ascii="宋体" w:hAnsi="宋体" w:cs="宋体" w:eastAsia="宋体" w:hint="default"/>
          <w:sz w:val="22"/>
          <w:szCs w:val="22"/>
        </w:rPr>
      </w:pPr>
    </w:p>
    <w:p>
      <w:pPr>
        <w:pStyle w:val="Heading4"/>
        <w:spacing w:line="240" w:lineRule="auto"/>
        <w:ind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2"/>
        <w:rPr>
          <w:rFonts w:ascii="宋体" w:hAnsi="宋体" w:cs="宋体" w:eastAsia="宋体" w:hint="default"/>
          <w:sz w:val="24"/>
          <w:szCs w:val="24"/>
        </w:rPr>
      </w:pPr>
    </w:p>
    <w:p>
      <w:pPr>
        <w:pStyle w:val="Heading4"/>
        <w:spacing w:line="240" w:lineRule="auto" w:before="36"/>
        <w:ind w:right="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6"/>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行业和产品分类</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1"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7"/>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互联网传媒</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70"/>
              <w:jc w:val="both"/>
              <w:rPr>
                <w:rFonts w:ascii="宋体" w:hAnsi="宋体" w:cs="宋体" w:eastAsia="宋体" w:hint="default"/>
                <w:sz w:val="18"/>
                <w:szCs w:val="18"/>
              </w:rPr>
            </w:pPr>
            <w:r>
              <w:rPr>
                <w:rFonts w:ascii="宋体" w:hAnsi="宋体" w:cs="宋体" w:eastAsia="宋体" w:hint="default"/>
                <w:spacing w:val="-3"/>
                <w:sz w:val="18"/>
                <w:szCs w:val="18"/>
              </w:rPr>
              <w:t>内容成本、项目</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执行成本、广告</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服务费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265,411,649.69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99.60%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260,194,573.51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设备采购及安装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1,055,594.63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0.40%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88,971,808.12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-98.81%</w:t>
            </w:r>
          </w:p>
        </w:tc>
      </w:tr>
    </w:tbl>
    <w:p>
      <w:pPr>
        <w:spacing w:before="53"/>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4"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102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pacing w:val="-3"/>
                <w:sz w:val="18"/>
                <w:szCs w:val="18"/>
              </w:rPr>
              <w:t>视觉内容与服务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0"/>
              <w:jc w:val="both"/>
              <w:rPr>
                <w:rFonts w:ascii="宋体" w:hAnsi="宋体" w:cs="宋体" w:eastAsia="宋体" w:hint="default"/>
                <w:sz w:val="18"/>
                <w:szCs w:val="18"/>
              </w:rPr>
            </w:pPr>
            <w:r>
              <w:rPr>
                <w:rFonts w:ascii="宋体" w:hAnsi="宋体" w:cs="宋体" w:eastAsia="宋体" w:hint="default"/>
                <w:spacing w:val="-3"/>
                <w:sz w:val="18"/>
                <w:szCs w:val="18"/>
              </w:rPr>
              <w:t>内容成本、项目</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执行成本、广告</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服务费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264,132,247.67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99.12%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245,647,470.45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7.52%</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3" w:right="70"/>
              <w:jc w:val="left"/>
              <w:rPr>
                <w:rFonts w:ascii="宋体" w:hAnsi="宋体" w:cs="宋体" w:eastAsia="宋体" w:hint="default"/>
                <w:sz w:val="18"/>
                <w:szCs w:val="18"/>
              </w:rPr>
            </w:pPr>
            <w:r>
              <w:rPr>
                <w:rFonts w:ascii="宋体" w:hAnsi="宋体" w:cs="宋体" w:eastAsia="宋体" w:hint="default"/>
                <w:spacing w:val="-3"/>
                <w:sz w:val="18"/>
                <w:szCs w:val="18"/>
              </w:rPr>
              <w:t>广告服务费、设</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备采购及安装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2,334,996.65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0.88%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103,518,911.18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29.65%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-97.74%</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1"/>
        <w:rPr>
          <w:rFonts w:ascii="宋体" w:hAnsi="宋体" w:cs="宋体" w:eastAsia="宋体" w:hint="default"/>
          <w:b/>
          <w:bCs/>
          <w:sz w:val="27"/>
          <w:szCs w:val="27"/>
        </w:rPr>
      </w:pPr>
    </w:p>
    <w:p>
      <w:pPr>
        <w:spacing w:line="333" w:lineRule="auto" w:before="0"/>
        <w:ind w:left="153" w:right="7272"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否</w:t>
      </w:r>
      <w:r>
        <w:rPr>
          <w:rFonts w:ascii="宋体" w:hAnsi="宋体" w:cs="宋体" w:eastAsia="宋体" w:hint="default"/>
          <w:spacing w:val="-84"/>
          <w:sz w:val="18"/>
          <w:szCs w:val="18"/>
        </w:rPr>
        <w:t> </w:t>
      </w:r>
      <w:r>
        <w:rPr>
          <w:rFonts w:ascii="宋体" w:hAnsi="宋体" w:cs="宋体" w:eastAsia="宋体" w:hint="default"/>
          <w:spacing w:val="-3"/>
          <w:sz w:val="18"/>
          <w:szCs w:val="18"/>
        </w:rPr>
        <w:t>详见</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第十二节，八、合并范围的变更</w:t>
      </w:r>
      <w:r>
        <w:rPr>
          <w:rFonts w:ascii="Times New Roman" w:hAnsi="Times New Roman" w:cs="Times New Roman" w:eastAsia="Times New Roman" w:hint="default"/>
          <w:spacing w:val="-3"/>
          <w:sz w:val="18"/>
          <w:szCs w:val="18"/>
        </w:rPr>
        <w:t>”</w:t>
      </w:r>
    </w:p>
    <w:p>
      <w:pPr>
        <w:spacing w:line="240" w:lineRule="auto" w:before="9"/>
        <w:rPr>
          <w:rFonts w:ascii="Times New Roman" w:hAnsi="Times New Roman" w:cs="Times New Roman" w:eastAsia="Times New Roman" w:hint="default"/>
          <w:sz w:val="22"/>
          <w:szCs w:val="22"/>
        </w:rPr>
      </w:pPr>
    </w:p>
    <w:p>
      <w:pPr>
        <w:pStyle w:val="Heading4"/>
        <w:spacing w:line="240" w:lineRule="auto"/>
        <w:ind w:right="0"/>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10"/>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pStyle w:val="Heading4"/>
        <w:spacing w:line="240" w:lineRule="auto"/>
        <w:ind w:right="0"/>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247"/>
        <w:gridCol w:w="5323"/>
      </w:tblGrid>
      <w:tr>
        <w:trPr>
          <w:trHeight w:val="404"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前五名客户合计销售金额（元）</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166,639,570.39</w:t>
            </w:r>
          </w:p>
        </w:tc>
      </w:tr>
      <w:tr>
        <w:trPr>
          <w:trHeight w:val="403"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前五名客户合计销售金额占年度销售总额比例</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23.08%</w:t>
            </w:r>
          </w:p>
        </w:tc>
      </w:tr>
      <w:tr>
        <w:trPr>
          <w:trHeight w:val="710"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68"/>
              <w:jc w:val="left"/>
              <w:rPr>
                <w:rFonts w:ascii="宋体" w:hAnsi="宋体" w:cs="宋体" w:eastAsia="宋体" w:hint="default"/>
                <w:sz w:val="18"/>
                <w:szCs w:val="18"/>
              </w:rPr>
            </w:pPr>
            <w:r>
              <w:rPr>
                <w:rFonts w:ascii="宋体" w:hAnsi="宋体" w:cs="宋体" w:eastAsia="宋体" w:hint="default"/>
                <w:spacing w:val="-3"/>
                <w:sz w:val="18"/>
                <w:szCs w:val="18"/>
              </w:rPr>
              <w:t>前五名客户销售额中关联方销售额占年度销售总额比</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例</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大客户资料</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778"/>
        <w:gridCol w:w="3315"/>
        <w:gridCol w:w="2324"/>
        <w:gridCol w:w="3140"/>
      </w:tblGrid>
      <w:tr>
        <w:trPr>
          <w:trHeight w:val="404"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0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14"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58" w:right="0"/>
              <w:jc w:val="left"/>
              <w:rPr>
                <w:rFonts w:ascii="宋体" w:hAnsi="宋体" w:cs="宋体" w:eastAsia="宋体" w:hint="default"/>
                <w:sz w:val="18"/>
                <w:szCs w:val="18"/>
              </w:rPr>
            </w:pPr>
            <w:r>
              <w:rPr>
                <w:rFonts w:ascii="宋体" w:hAnsi="宋体" w:cs="宋体" w:eastAsia="宋体" w:hint="default"/>
                <w:spacing w:val="-3"/>
                <w:sz w:val="18"/>
                <w:szCs w:val="18"/>
              </w:rPr>
              <w:t>占年度销售总额比例</w:t>
            </w:r>
          </w:p>
        </w:tc>
      </w:tr>
      <w:tr>
        <w:trPr>
          <w:trHeight w:val="403"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53" w:right="0"/>
              <w:jc w:val="left"/>
              <w:rPr>
                <w:rFonts w:ascii="Times New Roman" w:hAnsi="Times New Roman" w:cs="Times New Roman" w:eastAsia="Times New Roman" w:hint="default"/>
                <w:sz w:val="18"/>
                <w:szCs w:val="18"/>
              </w:rPr>
            </w:pPr>
            <w:r>
              <w:rPr>
                <w:rFonts w:ascii="Times New Roman"/>
                <w:sz w:val="18"/>
              </w:rPr>
              <w:t>74,426,456.74</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10.31%</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778"/>
        <w:gridCol w:w="3315"/>
        <w:gridCol w:w="2324"/>
        <w:gridCol w:w="3140"/>
      </w:tblGrid>
      <w:tr>
        <w:trPr>
          <w:trHeight w:val="403"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37,266,133.83</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5.16%</w:t>
            </w:r>
          </w:p>
        </w:tc>
      </w:tr>
      <w:tr>
        <w:trPr>
          <w:trHeight w:val="398"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18,849,440.41</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2.61%</w:t>
            </w:r>
          </w:p>
        </w:tc>
      </w:tr>
      <w:tr>
        <w:trPr>
          <w:trHeight w:val="404"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1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18,501,058.28</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2.56%</w:t>
            </w:r>
          </w:p>
        </w:tc>
      </w:tr>
      <w:tr>
        <w:trPr>
          <w:trHeight w:val="403"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17,596,481.13</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2.44%</w:t>
            </w:r>
          </w:p>
        </w:tc>
      </w:tr>
      <w:tr>
        <w:trPr>
          <w:trHeight w:val="403"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166,639,570.39</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23.08%</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43" w:lineRule="auto" w:before="115"/>
        <w:ind w:left="153" w:right="795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公司主要供应商情况</w:t>
      </w:r>
    </w:p>
    <w:tbl>
      <w:tblPr>
        <w:tblW w:w="0" w:type="auto"/>
        <w:jc w:val="left"/>
        <w:tblInd w:w="148" w:type="dxa"/>
        <w:tblLayout w:type="fixed"/>
        <w:tblCellMar>
          <w:top w:w="0" w:type="dxa"/>
          <w:left w:w="0" w:type="dxa"/>
          <w:bottom w:w="0" w:type="dxa"/>
          <w:right w:w="0" w:type="dxa"/>
        </w:tblCellMar>
        <w:tblLook w:val="01E0"/>
      </w:tblPr>
      <w:tblGrid>
        <w:gridCol w:w="4247"/>
        <w:gridCol w:w="5323"/>
      </w:tblGrid>
      <w:tr>
        <w:trPr>
          <w:trHeight w:val="403"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前五名供应商合计采购金额（元）</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125,397,749.55</w:t>
            </w:r>
            <w:r>
              <w:rPr>
                <w:rFonts w:ascii="Times New Roman"/>
                <w:sz w:val="18"/>
              </w:rPr>
            </w:r>
          </w:p>
        </w:tc>
      </w:tr>
      <w:tr>
        <w:trPr>
          <w:trHeight w:val="403"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前五名供应商合计采购金额占年度采购总额比例</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47.06%</w:t>
            </w:r>
          </w:p>
        </w:tc>
      </w:tr>
      <w:tr>
        <w:trPr>
          <w:trHeight w:val="711"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68"/>
              <w:jc w:val="left"/>
              <w:rPr>
                <w:rFonts w:ascii="宋体" w:hAnsi="宋体" w:cs="宋体" w:eastAsia="宋体" w:hint="default"/>
                <w:sz w:val="18"/>
                <w:szCs w:val="18"/>
              </w:rPr>
            </w:pPr>
            <w:r>
              <w:rPr>
                <w:rFonts w:ascii="宋体" w:hAnsi="宋体" w:cs="宋体" w:eastAsia="宋体" w:hint="default"/>
                <w:spacing w:val="-3"/>
                <w:sz w:val="18"/>
                <w:szCs w:val="18"/>
              </w:rPr>
              <w:t>前五名供应商采购额中关联方采购额占年度采购总额</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比例</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76"/>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3"/>
        <w:gridCol w:w="3181"/>
        <w:gridCol w:w="2324"/>
        <w:gridCol w:w="3140"/>
      </w:tblGrid>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4"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8" w:right="0"/>
              <w:jc w:val="left"/>
              <w:rPr>
                <w:rFonts w:ascii="宋体" w:hAnsi="宋体" w:cs="宋体" w:eastAsia="宋体" w:hint="default"/>
                <w:sz w:val="18"/>
                <w:szCs w:val="18"/>
              </w:rPr>
            </w:pPr>
            <w:r>
              <w:rPr>
                <w:rFonts w:ascii="宋体" w:hAnsi="宋体" w:cs="宋体" w:eastAsia="宋体" w:hint="default"/>
                <w:spacing w:val="-3"/>
                <w:sz w:val="18"/>
                <w:szCs w:val="18"/>
              </w:rPr>
              <w:t>占年度采购总额比例</w:t>
            </w:r>
          </w:p>
        </w:tc>
      </w:tr>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52,739,927.15</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19.79%</w:t>
            </w:r>
          </w:p>
        </w:tc>
      </w:tr>
      <w:tr>
        <w:trPr>
          <w:trHeight w:val="399"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37,232,611.63</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13.97%</w:t>
            </w:r>
          </w:p>
        </w:tc>
      </w:tr>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17,420,516.32</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6.54%</w:t>
            </w:r>
          </w:p>
        </w:tc>
      </w:tr>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10,325,271.57</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3.87%</w:t>
            </w:r>
          </w:p>
        </w:tc>
      </w:tr>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7,679,422.88</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2.88%</w:t>
            </w:r>
          </w:p>
        </w:tc>
      </w:tr>
      <w:tr>
        <w:trPr>
          <w:trHeight w:val="399"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125,397,749.55</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47.06%</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主要供应商其他情况说明</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650"/>
        <w:gridCol w:w="1637"/>
        <w:gridCol w:w="1460"/>
        <w:gridCol w:w="2919"/>
      </w:tblGrid>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98"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78,113,697.32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66" w:right="0"/>
              <w:jc w:val="left"/>
              <w:rPr>
                <w:rFonts w:ascii="Times New Roman" w:hAnsi="Times New Roman" w:cs="Times New Roman" w:eastAsia="Times New Roman" w:hint="default"/>
                <w:sz w:val="18"/>
                <w:szCs w:val="18"/>
              </w:rPr>
            </w:pPr>
            <w:r>
              <w:rPr>
                <w:rFonts w:ascii="Times New Roman"/>
                <w:sz w:val="18"/>
              </w:rPr>
              <w:t>80,706,578.00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-3.21%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未发生重大变动</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105,533,398.19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4" w:right="0"/>
              <w:jc w:val="left"/>
              <w:rPr>
                <w:rFonts w:ascii="Times New Roman" w:hAnsi="Times New Roman" w:cs="Times New Roman" w:eastAsia="Times New Roman" w:hint="default"/>
                <w:sz w:val="18"/>
                <w:szCs w:val="18"/>
              </w:rPr>
            </w:pPr>
            <w:r>
              <w:rPr>
                <w:rFonts w:ascii="Times New Roman"/>
                <w:sz w:val="18"/>
              </w:rPr>
              <w:t>113,892,728.37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-7.34%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未发生重大变动</w:t>
            </w:r>
          </w:p>
        </w:tc>
      </w:tr>
      <w:tr>
        <w:trPr>
          <w:trHeight w:val="40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22,674,550.16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66" w:right="0"/>
              <w:jc w:val="left"/>
              <w:rPr>
                <w:rFonts w:ascii="Times New Roman" w:hAnsi="Times New Roman" w:cs="Times New Roman" w:eastAsia="Times New Roman" w:hint="default"/>
                <w:sz w:val="18"/>
                <w:szCs w:val="18"/>
              </w:rPr>
            </w:pPr>
            <w:r>
              <w:rPr>
                <w:rFonts w:ascii="Times New Roman"/>
                <w:sz w:val="18"/>
              </w:rPr>
              <w:t>26,324,903.23</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-13.87%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未发生重大变动</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44,031,743.97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66" w:right="0"/>
              <w:jc w:val="left"/>
              <w:rPr>
                <w:rFonts w:ascii="Times New Roman" w:hAnsi="Times New Roman" w:cs="Times New Roman" w:eastAsia="Times New Roman" w:hint="default"/>
                <w:sz w:val="18"/>
                <w:szCs w:val="18"/>
              </w:rPr>
            </w:pPr>
            <w:r>
              <w:rPr>
                <w:rFonts w:ascii="Times New Roman"/>
                <w:sz w:val="18"/>
              </w:rPr>
              <w:t>44,499,325.56</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-1.05%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未发生重大变动</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10"/>
        <w:rPr>
          <w:rFonts w:ascii="宋体" w:hAnsi="宋体" w:cs="宋体" w:eastAsia="宋体" w:hint="default"/>
          <w:b/>
          <w:bCs/>
          <w:sz w:val="26"/>
          <w:szCs w:val="26"/>
        </w:rPr>
      </w:pPr>
    </w:p>
    <w:p>
      <w:pPr>
        <w:spacing w:line="316" w:lineRule="auto" w:before="0"/>
        <w:ind w:left="153" w:right="11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公司本着</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以客户为中心，为客户创造价值</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的经营宗旨，紧跟互联网技术发展及内容生态的演进变化，不断创新进取，保持</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6"/>
          <w:sz w:val="18"/>
          <w:szCs w:val="18"/>
        </w:rPr>
        <w:t>技术领先。公司依托大数据、人工智能等互联网技术，打造以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视觉内容</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为核心的智能服务能力，覆盖内容生产、服务交付、</w:t>
      </w:r>
    </w:p>
    <w:p>
      <w:pPr>
        <w:spacing w:after="0" w:line="316"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spacing w:line="321" w:lineRule="auto" w:before="46"/>
        <w:ind w:left="153" w:right="1127" w:firstLine="0"/>
        <w:jc w:val="left"/>
        <w:rPr>
          <w:rFonts w:ascii="宋体" w:hAnsi="宋体" w:cs="宋体" w:eastAsia="宋体" w:hint="default"/>
          <w:sz w:val="18"/>
          <w:szCs w:val="18"/>
        </w:rPr>
      </w:pPr>
      <w:r>
        <w:rPr>
          <w:rFonts w:ascii="宋体" w:hAnsi="宋体" w:cs="宋体" w:eastAsia="宋体" w:hint="default"/>
          <w:spacing w:val="-4"/>
          <w:sz w:val="18"/>
          <w:szCs w:val="18"/>
        </w:rPr>
        <w:t>高效获客等公司全业务流程。</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智能技术</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是公司业务发展的核心驱动力之一，报告期内，公司研发投入情况详见本年度报告</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第四节经营情况讨论与分析</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二、主营业务分析</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持续加大研发投入 智能服务、企业数字化引领业务发展</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pacing w:val="61"/>
          <w:sz w:val="18"/>
          <w:szCs w:val="18"/>
        </w:rPr>
        <w:t> </w:t>
      </w:r>
      <w:r>
        <w:rPr>
          <w:rFonts w:ascii="宋体" w:hAnsi="宋体" w:cs="宋体" w:eastAsia="宋体" w:hint="default"/>
          <w:sz w:val="18"/>
          <w:szCs w:val="18"/>
        </w:rPr>
        <w:t>公司研发投入情况</w:t>
      </w:r>
    </w:p>
    <w:p>
      <w:pPr>
        <w:spacing w:line="240" w:lineRule="auto" w:before="4"/>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2370"/>
        <w:gridCol w:w="2406"/>
        <w:gridCol w:w="2391"/>
        <w:gridCol w:w="2391"/>
      </w:tblGrid>
      <w:tr>
        <w:trPr>
          <w:trHeight w:val="399"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研发人员数量（人）</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z w:val="18"/>
              </w:rPr>
              <w:t>152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-24.34%</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25.72%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-3.65%</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研发投入金额（元）</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70,467,615.15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64,811,395.72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8.73%</w:t>
            </w:r>
          </w:p>
        </w:tc>
      </w:tr>
      <w:tr>
        <w:trPr>
          <w:trHeight w:val="399"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研发投入占营业收入比例</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3.20%</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2"/>
                <w:sz w:val="18"/>
                <w:szCs w:val="18"/>
              </w:rPr>
              <w:t>研发投入资本化的金额（元）</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26,435,871.18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20,312,070.16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30.15%</w:t>
            </w:r>
          </w:p>
        </w:tc>
      </w:tr>
      <w:tr>
        <w:trPr>
          <w:trHeight w:val="715"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81"/>
              <w:jc w:val="left"/>
              <w:rPr>
                <w:rFonts w:ascii="宋体" w:hAnsi="宋体" w:cs="宋体" w:eastAsia="宋体" w:hint="default"/>
                <w:sz w:val="18"/>
                <w:szCs w:val="18"/>
              </w:rPr>
            </w:pPr>
            <w:r>
              <w:rPr>
                <w:rFonts w:ascii="宋体" w:hAnsi="宋体" w:cs="宋体" w:eastAsia="宋体" w:hint="default"/>
                <w:spacing w:val="-3"/>
                <w:sz w:val="18"/>
                <w:szCs w:val="18"/>
              </w:rPr>
              <w:t>资本化研发投入占研发投入</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的比例</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31.34%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6.17%</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研发投入总额占营业收入的比重较上年发生显著变化的原因</w:t>
      </w:r>
    </w:p>
    <w:p>
      <w:pPr>
        <w:spacing w:line="338" w:lineRule="auto" w:before="120"/>
        <w:ind w:left="153" w:right="628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研发投入资本化率大幅变动的原因及其合理性说明</w:t>
      </w:r>
    </w:p>
    <w:p>
      <w:pPr>
        <w:spacing w:before="4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pStyle w:val="Heading4"/>
        <w:spacing w:line="240" w:lineRule="auto"/>
        <w:ind w:right="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0"/>
        <w:gridCol w:w="2406"/>
        <w:gridCol w:w="2391"/>
        <w:gridCol w:w="2391"/>
      </w:tblGrid>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398"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723,856,645.15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990,047,689.29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-26.89%</w:t>
            </w:r>
          </w:p>
        </w:tc>
      </w:tr>
      <w:tr>
        <w:trPr>
          <w:trHeight w:val="404"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631,235,185.74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698,998,206.18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pacing w:val="-2"/>
                <w:sz w:val="18"/>
              </w:rPr>
              <w:t>-9.69%</w:t>
            </w:r>
          </w:p>
        </w:tc>
      </w:tr>
      <w:tr>
        <w:trPr>
          <w:trHeight w:val="715"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81"/>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92,621,459.41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291,049,483.11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-68.18%</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360,124,738.49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144,416,605.84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149.37%</w:t>
            </w:r>
          </w:p>
        </w:tc>
      </w:tr>
      <w:tr>
        <w:trPr>
          <w:trHeight w:val="399"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335,301,648.49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279,758,022.55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19.85%</w:t>
            </w:r>
          </w:p>
        </w:tc>
      </w:tr>
      <w:tr>
        <w:trPr>
          <w:trHeight w:val="715"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181"/>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24,823,090.00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-135,341,416.71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3"/>
                <w:sz w:val="18"/>
              </w:rPr>
              <w:t>-118.34%</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270,000,000.00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233,526,476.53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15.62%</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541,359,026.20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363,112,587.09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49.09%</w:t>
            </w:r>
          </w:p>
        </w:tc>
      </w:tr>
      <w:tr>
        <w:trPr>
          <w:trHeight w:val="711"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181"/>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-271,359,026.20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-129,586,110.56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109.40%</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-152,863,697.66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28,086,239.47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-644.27%</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相关数据同比发生重大变动的主要影响因素说明</w:t>
      </w:r>
    </w:p>
    <w:p>
      <w:pPr>
        <w:spacing w:line="316" w:lineRule="auto" w:before="119"/>
        <w:ind w:left="153" w:right="11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、经营活动产生的现金流量净额较上年同期减少</w:t>
      </w:r>
      <w:r>
        <w:rPr>
          <w:rFonts w:ascii="Times New Roman" w:hAnsi="Times New Roman" w:cs="Times New Roman" w:eastAsia="Times New Roman" w:hint="default"/>
          <w:spacing w:val="-3"/>
          <w:sz w:val="18"/>
          <w:szCs w:val="18"/>
        </w:rPr>
        <w:t>1.98</w:t>
      </w:r>
      <w:r>
        <w:rPr>
          <w:rFonts w:ascii="宋体" w:hAnsi="宋体" w:cs="宋体" w:eastAsia="宋体" w:hint="default"/>
          <w:spacing w:val="-3"/>
          <w:sz w:val="18"/>
          <w:szCs w:val="18"/>
        </w:rPr>
        <w:t>亿元，同比下降</w:t>
      </w:r>
      <w:r>
        <w:rPr>
          <w:rFonts w:ascii="Times New Roman" w:hAnsi="Times New Roman" w:cs="Times New Roman" w:eastAsia="Times New Roman" w:hint="default"/>
          <w:spacing w:val="-3"/>
          <w:sz w:val="18"/>
          <w:szCs w:val="18"/>
        </w:rPr>
        <w:t>68.18%</w:t>
      </w:r>
      <w:r>
        <w:rPr>
          <w:rFonts w:ascii="宋体" w:hAnsi="宋体" w:cs="宋体" w:eastAsia="宋体" w:hint="default"/>
          <w:spacing w:val="-3"/>
          <w:sz w:val="18"/>
          <w:szCs w:val="18"/>
        </w:rPr>
        <w:t>，主要系</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年公司受到两次网站整改事件影</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pacing w:val="-3"/>
          <w:sz w:val="18"/>
          <w:szCs w:val="18"/>
        </w:rPr>
        <w:t>响，放宽客户信用回款政策所致；</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、投资活动现金流入较上年同期增加</w:t>
      </w:r>
      <w:r>
        <w:rPr>
          <w:rFonts w:ascii="Times New Roman" w:hAnsi="Times New Roman" w:cs="Times New Roman" w:eastAsia="Times New Roman" w:hint="default"/>
          <w:spacing w:val="-4"/>
          <w:sz w:val="18"/>
          <w:szCs w:val="18"/>
        </w:rPr>
        <w:t>2.16</w:t>
      </w:r>
      <w:r>
        <w:rPr>
          <w:rFonts w:ascii="宋体" w:hAnsi="宋体" w:cs="宋体" w:eastAsia="宋体" w:hint="default"/>
          <w:spacing w:val="-4"/>
          <w:sz w:val="18"/>
          <w:szCs w:val="18"/>
        </w:rPr>
        <w:t>亿元，同比增长</w:t>
      </w:r>
      <w:r>
        <w:rPr>
          <w:rFonts w:ascii="Times New Roman" w:hAnsi="Times New Roman" w:cs="Times New Roman" w:eastAsia="Times New Roman" w:hint="default"/>
          <w:spacing w:val="-4"/>
          <w:sz w:val="18"/>
          <w:szCs w:val="18"/>
        </w:rPr>
        <w:t>149.37%</w:t>
      </w:r>
      <w:r>
        <w:rPr>
          <w:rFonts w:ascii="宋体" w:hAnsi="宋体" w:cs="宋体" w:eastAsia="宋体" w:hint="default"/>
          <w:spacing w:val="-4"/>
          <w:sz w:val="18"/>
          <w:szCs w:val="18"/>
        </w:rPr>
        <w:t>，主要系本期收回处置对亿迅资产组、华融创新、艾特凡</w:t>
      </w:r>
    </w:p>
    <w:p>
      <w:pPr>
        <w:spacing w:after="0" w:line="316"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spacing w:line="309" w:lineRule="auto" w:before="46"/>
        <w:ind w:left="153" w:right="1127" w:firstLine="0"/>
        <w:jc w:val="left"/>
        <w:rPr>
          <w:rFonts w:ascii="宋体" w:hAnsi="宋体" w:cs="宋体" w:eastAsia="宋体" w:hint="default"/>
          <w:sz w:val="18"/>
          <w:szCs w:val="18"/>
        </w:rPr>
      </w:pPr>
      <w:r>
        <w:rPr>
          <w:rFonts w:ascii="宋体" w:hAnsi="宋体" w:cs="宋体" w:eastAsia="宋体" w:hint="default"/>
          <w:spacing w:val="-3"/>
          <w:sz w:val="18"/>
          <w:szCs w:val="18"/>
        </w:rPr>
        <w:t>斯等项目的股权转让款所致；</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、筹资活动现金流出较上年同期增加</w:t>
      </w:r>
      <w:r>
        <w:rPr>
          <w:rFonts w:ascii="Times New Roman" w:hAnsi="Times New Roman" w:cs="Times New Roman" w:eastAsia="Times New Roman" w:hint="default"/>
          <w:spacing w:val="-4"/>
          <w:sz w:val="18"/>
          <w:szCs w:val="18"/>
        </w:rPr>
        <w:t>1.78</w:t>
      </w:r>
      <w:r>
        <w:rPr>
          <w:rFonts w:ascii="宋体" w:hAnsi="宋体" w:cs="宋体" w:eastAsia="宋体" w:hint="default"/>
          <w:spacing w:val="-4"/>
          <w:sz w:val="18"/>
          <w:szCs w:val="18"/>
        </w:rPr>
        <w:t>亿元，同比增加</w:t>
      </w:r>
      <w:r>
        <w:rPr>
          <w:rFonts w:ascii="Times New Roman" w:hAnsi="Times New Roman" w:cs="Times New Roman" w:eastAsia="Times New Roman" w:hint="default"/>
          <w:spacing w:val="-4"/>
          <w:sz w:val="18"/>
          <w:szCs w:val="18"/>
        </w:rPr>
        <w:t>109.40%</w:t>
      </w:r>
      <w:r>
        <w:rPr>
          <w:rFonts w:ascii="宋体" w:hAnsi="宋体" w:cs="宋体" w:eastAsia="宋体" w:hint="default"/>
          <w:spacing w:val="-4"/>
          <w:sz w:val="18"/>
          <w:szCs w:val="18"/>
        </w:rPr>
        <w:t>，主要系本期偿还金融机构借款及质押借款保证金增加所</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致。</w:t>
      </w:r>
    </w:p>
    <w:p>
      <w:pPr>
        <w:spacing w:before="68"/>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报告期内公司经营活动产生的现金净流量与本年度净利润存在重大差异的原因说明</w:t>
      </w:r>
    </w:p>
    <w:p>
      <w:pPr>
        <w:spacing w:line="324" w:lineRule="auto" w:before="119"/>
        <w:ind w:left="153" w:right="11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报告期内，公司由于受到两次网站整改事件影响，放宽客户信用回款政策，导致公司账期整体加长；另外，公司本期存在因</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4"/>
          <w:sz w:val="18"/>
          <w:szCs w:val="18"/>
        </w:rPr>
        <w:t>权益法核算长期股权投资和交易性金融资产等产生的投资收益、公允价值变动损益、资产减值损失等非现金损益项目净收益</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3"/>
          <w:sz w:val="18"/>
          <w:szCs w:val="18"/>
        </w:rPr>
        <w:t>约</w:t>
      </w:r>
      <w:r>
        <w:rPr>
          <w:rFonts w:ascii="Times New Roman" w:hAnsi="Times New Roman" w:cs="Times New Roman" w:eastAsia="Times New Roman" w:hint="default"/>
          <w:spacing w:val="-3"/>
          <w:sz w:val="18"/>
          <w:szCs w:val="18"/>
        </w:rPr>
        <w:t>6,626.27</w:t>
      </w:r>
      <w:r>
        <w:rPr>
          <w:rFonts w:ascii="宋体" w:hAnsi="宋体" w:cs="宋体" w:eastAsia="宋体" w:hint="default"/>
          <w:spacing w:val="-3"/>
          <w:sz w:val="18"/>
          <w:szCs w:val="18"/>
        </w:rPr>
        <w:t>万元，导致公司本期经营活动产生的现金净流量与本年度净利润存在较大差异。</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9"/>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22"/>
        <w:gridCol w:w="1916"/>
        <w:gridCol w:w="1628"/>
        <w:gridCol w:w="2166"/>
        <w:gridCol w:w="2338"/>
      </w:tblGrid>
      <w:tr>
        <w:trPr>
          <w:trHeight w:val="404"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82" w:right="0"/>
              <w:jc w:val="left"/>
              <w:rPr>
                <w:rFonts w:ascii="宋体" w:hAnsi="宋体" w:cs="宋体" w:eastAsia="宋体" w:hint="default"/>
                <w:sz w:val="18"/>
                <w:szCs w:val="18"/>
              </w:rPr>
            </w:pPr>
            <w:r>
              <w:rPr>
                <w:rFonts w:ascii="宋体" w:hAnsi="宋体" w:cs="宋体" w:eastAsia="宋体" w:hint="default"/>
                <w:spacing w:val="-3"/>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37"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46"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317" w:hRule="exact"/>
        </w:trPr>
        <w:tc>
          <w:tcPr>
            <w:tcW w:w="152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8"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854" w:right="0"/>
              <w:jc w:val="left"/>
              <w:rPr>
                <w:rFonts w:ascii="Times New Roman" w:hAnsi="Times New Roman" w:cs="Times New Roman" w:eastAsia="Times New Roman" w:hint="default"/>
                <w:sz w:val="18"/>
                <w:szCs w:val="18"/>
              </w:rPr>
            </w:pPr>
            <w:r>
              <w:rPr>
                <w:rFonts w:ascii="Times New Roman"/>
                <w:sz w:val="18"/>
              </w:rPr>
              <w:t>58,250,459.11</w:t>
            </w:r>
          </w:p>
        </w:tc>
        <w:tc>
          <w:tcPr>
            <w:tcW w:w="16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22.24%</w:t>
            </w:r>
          </w:p>
        </w:tc>
        <w:tc>
          <w:tcPr>
            <w:tcW w:w="2166" w:type="dxa"/>
            <w:vMerge w:val="restart"/>
            <w:tcBorders>
              <w:top w:val="single" w:sz="4" w:space="0" w:color="000000"/>
              <w:left w:val="single" w:sz="4" w:space="0" w:color="000000"/>
              <w:right w:val="single" w:sz="4" w:space="0" w:color="000000"/>
            </w:tcBorders>
          </w:tcPr>
          <w:p>
            <w:pPr>
              <w:pStyle w:val="TableParagraph"/>
              <w:spacing w:line="316" w:lineRule="auto" w:before="53"/>
              <w:ind w:left="23" w:right="147"/>
              <w:jc w:val="both"/>
              <w:rPr>
                <w:rFonts w:ascii="宋体" w:hAnsi="宋体" w:cs="宋体" w:eastAsia="宋体" w:hint="default"/>
                <w:sz w:val="18"/>
                <w:szCs w:val="18"/>
              </w:rPr>
            </w:pPr>
            <w:r>
              <w:rPr>
                <w:rFonts w:ascii="宋体" w:hAnsi="宋体" w:cs="宋体" w:eastAsia="宋体" w:hint="default"/>
                <w:spacing w:val="-3"/>
                <w:sz w:val="18"/>
                <w:szCs w:val="18"/>
              </w:rPr>
              <w:t>权益法核算的被投资单位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净利润变动及股权处置损</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益</w:t>
            </w:r>
          </w:p>
        </w:tc>
        <w:tc>
          <w:tcPr>
            <w:tcW w:w="23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89" w:hRule="exact"/>
        </w:trPr>
        <w:tc>
          <w:tcPr>
            <w:tcW w:w="15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8" w:space="0" w:color="D2D2D2"/>
              <w:right w:val="single" w:sz="4" w:space="0" w:color="000000"/>
            </w:tcBorders>
          </w:tcPr>
          <w:p>
            <w:pPr/>
          </w:p>
        </w:tc>
        <w:tc>
          <w:tcPr>
            <w:tcW w:w="1628"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38" w:type="dxa"/>
            <w:vMerge/>
            <w:tcBorders>
              <w:left w:val="single" w:sz="4" w:space="0" w:color="000000"/>
              <w:right w:val="single" w:sz="4" w:space="0" w:color="000000"/>
            </w:tcBorders>
          </w:tcPr>
          <w:p>
            <w:pPr/>
          </w:p>
        </w:tc>
      </w:tr>
      <w:tr>
        <w:trPr>
          <w:trHeight w:val="317" w:hRule="exact"/>
        </w:trPr>
        <w:tc>
          <w:tcPr>
            <w:tcW w:w="152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8" w:space="0" w:color="D2D2D2"/>
              <w:bottom w:val="single" w:sz="4" w:space="0" w:color="000000"/>
              <w:right w:val="single" w:sz="4" w:space="0" w:color="000000"/>
            </w:tcBorders>
          </w:tcPr>
          <w:p>
            <w:pPr/>
          </w:p>
        </w:tc>
        <w:tc>
          <w:tcPr>
            <w:tcW w:w="1628"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38" w:type="dxa"/>
            <w:vMerge/>
            <w:tcBorders>
              <w:left w:val="single" w:sz="4" w:space="0" w:color="000000"/>
              <w:bottom w:val="single" w:sz="4" w:space="0" w:color="000000"/>
              <w:right w:val="single" w:sz="4" w:space="0" w:color="000000"/>
            </w:tcBorders>
          </w:tcPr>
          <w:p>
            <w:pPr/>
          </w:p>
        </w:tc>
      </w:tr>
      <w:tr>
        <w:trPr>
          <w:trHeight w:val="322" w:hRule="exact"/>
        </w:trPr>
        <w:tc>
          <w:tcPr>
            <w:tcW w:w="152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8"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845" w:right="0"/>
              <w:jc w:val="left"/>
              <w:rPr>
                <w:rFonts w:ascii="Times New Roman" w:hAnsi="Times New Roman" w:cs="Times New Roman" w:eastAsia="Times New Roman" w:hint="default"/>
                <w:sz w:val="18"/>
                <w:szCs w:val="18"/>
              </w:rPr>
            </w:pPr>
            <w:r>
              <w:rPr>
                <w:rFonts w:ascii="Times New Roman"/>
                <w:sz w:val="18"/>
              </w:rPr>
              <w:t>21,253,266.28</w:t>
            </w:r>
          </w:p>
        </w:tc>
        <w:tc>
          <w:tcPr>
            <w:tcW w:w="16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3"/>
                <w:sz w:val="18"/>
              </w:rPr>
              <w:t>8.11%</w:t>
            </w:r>
          </w:p>
        </w:tc>
        <w:tc>
          <w:tcPr>
            <w:tcW w:w="2166" w:type="dxa"/>
            <w:vMerge w:val="restart"/>
            <w:tcBorders>
              <w:top w:val="single" w:sz="4" w:space="0" w:color="000000"/>
              <w:left w:val="single" w:sz="4" w:space="0" w:color="000000"/>
              <w:right w:val="single" w:sz="4" w:space="0" w:color="000000"/>
            </w:tcBorders>
          </w:tcPr>
          <w:p>
            <w:pPr>
              <w:pStyle w:val="TableParagraph"/>
              <w:spacing w:line="309" w:lineRule="auto" w:before="58"/>
              <w:ind w:left="23" w:right="13"/>
              <w:jc w:val="left"/>
              <w:rPr>
                <w:rFonts w:ascii="宋体" w:hAnsi="宋体" w:cs="宋体" w:eastAsia="宋体" w:hint="default"/>
                <w:sz w:val="18"/>
                <w:szCs w:val="18"/>
              </w:rPr>
            </w:pPr>
            <w:r>
              <w:rPr>
                <w:rFonts w:ascii="宋体" w:hAnsi="宋体" w:cs="宋体" w:eastAsia="宋体" w:hint="default"/>
                <w:sz w:val="18"/>
                <w:szCs w:val="18"/>
              </w:rPr>
              <w:t>详见第十二节 财务报告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七、财务报表附注</w:t>
            </w:r>
            <w:r>
              <w:rPr>
                <w:rFonts w:ascii="宋体" w:hAnsi="宋体" w:cs="宋体" w:eastAsia="宋体" w:hint="default"/>
                <w:spacing w:val="-37"/>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、交易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性金融资产</w:t>
            </w:r>
          </w:p>
        </w:tc>
        <w:tc>
          <w:tcPr>
            <w:tcW w:w="23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89" w:hRule="exact"/>
        </w:trPr>
        <w:tc>
          <w:tcPr>
            <w:tcW w:w="15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vMerge/>
            <w:tcBorders>
              <w:left w:val="single" w:sz="8" w:space="0" w:color="D2D2D2"/>
              <w:right w:val="single" w:sz="4" w:space="0" w:color="000000"/>
            </w:tcBorders>
          </w:tcPr>
          <w:p>
            <w:pPr/>
          </w:p>
        </w:tc>
        <w:tc>
          <w:tcPr>
            <w:tcW w:w="1628"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38" w:type="dxa"/>
            <w:vMerge/>
            <w:tcBorders>
              <w:left w:val="single" w:sz="4" w:space="0" w:color="000000"/>
              <w:right w:val="single" w:sz="4" w:space="0" w:color="000000"/>
            </w:tcBorders>
          </w:tcPr>
          <w:p>
            <w:pPr/>
          </w:p>
        </w:tc>
      </w:tr>
      <w:tr>
        <w:trPr>
          <w:trHeight w:val="317" w:hRule="exact"/>
        </w:trPr>
        <w:tc>
          <w:tcPr>
            <w:tcW w:w="152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8" w:space="0" w:color="D2D2D2"/>
              <w:bottom w:val="single" w:sz="4" w:space="0" w:color="000000"/>
              <w:right w:val="single" w:sz="4" w:space="0" w:color="000000"/>
            </w:tcBorders>
          </w:tcPr>
          <w:p>
            <w:pPr/>
          </w:p>
        </w:tc>
        <w:tc>
          <w:tcPr>
            <w:tcW w:w="1628"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38" w:type="dxa"/>
            <w:vMerge/>
            <w:tcBorders>
              <w:left w:val="single" w:sz="4" w:space="0" w:color="000000"/>
              <w:bottom w:val="single" w:sz="4" w:space="0" w:color="000000"/>
              <w:right w:val="single" w:sz="4" w:space="0" w:color="000000"/>
            </w:tcBorders>
          </w:tcPr>
          <w:p>
            <w:pPr/>
          </w:p>
        </w:tc>
      </w:tr>
      <w:tr>
        <w:trPr>
          <w:trHeight w:val="403"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-13,241,024.97</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-5.06%</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长期股权投资减值</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117,595.87</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0.04%</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违约金利得</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9"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623,926.63</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0.24%</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固定资产报废损失</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41"/>
              <w:jc w:val="left"/>
              <w:rPr>
                <w:rFonts w:ascii="宋体" w:hAnsi="宋体" w:cs="宋体" w:eastAsia="宋体" w:hint="default"/>
                <w:sz w:val="18"/>
                <w:szCs w:val="18"/>
              </w:rPr>
            </w:pPr>
            <w:r>
              <w:rPr>
                <w:rFonts w:ascii="宋体" w:hAnsi="宋体" w:cs="宋体" w:eastAsia="宋体" w:hint="default"/>
                <w:spacing w:val="-2"/>
                <w:sz w:val="18"/>
                <w:szCs w:val="18"/>
              </w:rPr>
              <w:t>信用减值损失（损</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-6,926,981.58</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47"/>
              <w:jc w:val="left"/>
              <w:rPr>
                <w:rFonts w:ascii="宋体" w:hAnsi="宋体" w:cs="宋体" w:eastAsia="宋体" w:hint="default"/>
                <w:sz w:val="18"/>
                <w:szCs w:val="18"/>
              </w:rPr>
            </w:pPr>
            <w:r>
              <w:rPr>
                <w:rFonts w:ascii="宋体" w:hAnsi="宋体" w:cs="宋体" w:eastAsia="宋体" w:hint="default"/>
                <w:spacing w:val="-3"/>
                <w:sz w:val="18"/>
                <w:szCs w:val="18"/>
              </w:rPr>
              <w:t>本期应收款项坏账准备增</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加</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四、资产及负债状况" w:id="41"/>
      <w:bookmarkEnd w:id="41"/>
      <w:r>
        <w:rPr>
          <w:b w:val="0"/>
          <w:bCs w:val="0"/>
        </w:rPr>
      </w:r>
      <w:r>
        <w:rPr/>
        <w:t>四、资产及负债状况</w:t>
      </w:r>
      <w:r>
        <w:rPr>
          <w:b w:val="0"/>
          <w:bCs w:val="0"/>
        </w:rPr>
      </w:r>
    </w:p>
    <w:p>
      <w:pPr>
        <w:spacing w:line="240" w:lineRule="auto" w:before="4"/>
        <w:rPr>
          <w:rFonts w:ascii="宋体" w:hAnsi="宋体" w:cs="宋体" w:eastAsia="宋体" w:hint="default"/>
          <w:b/>
          <w:bCs/>
          <w:sz w:val="25"/>
          <w:szCs w:val="25"/>
        </w:rPr>
      </w:pPr>
    </w:p>
    <w:p>
      <w:pPr>
        <w:pStyle w:val="Heading4"/>
        <w:spacing w:line="240" w:lineRule="auto"/>
        <w:ind w:right="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spacing w:before="46"/>
        <w:ind w:left="153" w:right="-13" w:firstLine="0"/>
        <w:jc w:val="left"/>
        <w:rPr>
          <w:rFonts w:ascii="宋体" w:hAnsi="宋体" w:cs="宋体" w:eastAsia="宋体" w:hint="default"/>
          <w:sz w:val="18"/>
          <w:szCs w:val="18"/>
        </w:rPr>
      </w:pPr>
      <w:r>
        <w:rPr>
          <w:rFonts w:ascii="宋体" w:hAnsi="宋体" w:cs="宋体" w:eastAsia="宋体" w:hint="default"/>
          <w:sz w:val="18"/>
          <w:szCs w:val="18"/>
        </w:rPr>
        <w:t>公司 </w:t>
      </w:r>
      <w:r>
        <w:rPr>
          <w:rFonts w:ascii="Times New Roman" w:hAnsi="Times New Roman" w:cs="Times New Roman" w:eastAsia="Times New Roman" w:hint="default"/>
          <w:sz w:val="18"/>
          <w:szCs w:val="18"/>
        </w:rPr>
        <w:t>2019 </w:t>
      </w:r>
      <w:r>
        <w:rPr>
          <w:rFonts w:ascii="Times New Roman" w:hAnsi="Times New Roman" w:cs="Times New Roman" w:eastAsia="Times New Roman" w:hint="default"/>
          <w:spacing w:val="37"/>
          <w:sz w:val="18"/>
          <w:szCs w:val="18"/>
        </w:rPr>
        <w:t> </w:t>
      </w:r>
      <w:r>
        <w:rPr>
          <w:rFonts w:ascii="宋体" w:hAnsi="宋体" w:cs="宋体" w:eastAsia="宋体" w:hint="default"/>
          <w:spacing w:val="-3"/>
          <w:sz w:val="18"/>
          <w:szCs w:val="18"/>
        </w:rPr>
        <w:t>年起首次执行新金融工具准则、新收入准则或新租赁准则且调整执行当年年初财务报表相关项目</w:t>
      </w:r>
    </w:p>
    <w:p>
      <w:pPr>
        <w:spacing w:before="106"/>
        <w:ind w:left="153" w:right="-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8532" w:space="389"/>
            <w:col w:w="2009"/>
          </w:cols>
        </w:sectPr>
      </w:pP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5"/>
        <w:gridCol w:w="1179"/>
        <w:gridCol w:w="1061"/>
        <w:gridCol w:w="1196"/>
        <w:gridCol w:w="1061"/>
        <w:gridCol w:w="802"/>
        <w:gridCol w:w="2920"/>
      </w:tblGrid>
      <w:tr>
        <w:trPr>
          <w:trHeight w:val="382" w:hRule="exact"/>
        </w:trPr>
        <w:tc>
          <w:tcPr>
            <w:tcW w:w="1345" w:type="dxa"/>
            <w:tcBorders>
              <w:top w:val="single" w:sz="4" w:space="0" w:color="000000"/>
              <w:left w:val="single" w:sz="4" w:space="0" w:color="000000"/>
              <w:bottom w:val="single" w:sz="13" w:space="0" w:color="FFFFFF"/>
              <w:right w:val="single" w:sz="4" w:space="0" w:color="000000"/>
            </w:tcBorders>
            <w:shd w:val="clear" w:color="auto" w:fill="D2D2D2"/>
          </w:tcPr>
          <w:p>
            <w:pPr/>
          </w:p>
        </w:tc>
        <w:tc>
          <w:tcPr>
            <w:tcW w:w="2240" w:type="dxa"/>
            <w:gridSpan w:val="2"/>
            <w:tcBorders>
              <w:top w:val="single" w:sz="4" w:space="0" w:color="000000"/>
              <w:left w:val="single" w:sz="4" w:space="0" w:color="000000"/>
              <w:bottom w:val="single" w:sz="13" w:space="0" w:color="FFFFFF"/>
              <w:right w:val="single" w:sz="4" w:space="0" w:color="000000"/>
            </w:tcBorders>
            <w:shd w:val="clear" w:color="auto" w:fill="D2D2D2"/>
          </w:tcPr>
          <w:p>
            <w:pPr>
              <w:pStyle w:val="TableParagraph"/>
              <w:spacing w:line="240" w:lineRule="auto" w:before="53"/>
              <w:ind w:left="7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2257" w:type="dxa"/>
            <w:gridSpan w:val="2"/>
            <w:tcBorders>
              <w:top w:val="single" w:sz="4" w:space="0" w:color="000000"/>
              <w:left w:val="single" w:sz="4" w:space="0" w:color="000000"/>
              <w:bottom w:val="single" w:sz="13" w:space="0" w:color="FFFFFF"/>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年初</w:t>
            </w:r>
            <w:r>
              <w:rPr>
                <w:rFonts w:ascii="宋体" w:hAnsi="宋体" w:cs="宋体" w:eastAsia="宋体" w:hint="default"/>
                <w:sz w:val="18"/>
                <w:szCs w:val="18"/>
              </w:rPr>
            </w:r>
          </w:p>
        </w:tc>
        <w:tc>
          <w:tcPr>
            <w:tcW w:w="802" w:type="dxa"/>
            <w:tcBorders>
              <w:top w:val="single" w:sz="4" w:space="0" w:color="000000"/>
              <w:left w:val="single" w:sz="4" w:space="0" w:color="000000"/>
              <w:bottom w:val="single" w:sz="13" w:space="0" w:color="FFFFFF"/>
              <w:right w:val="single" w:sz="4" w:space="0" w:color="000000"/>
            </w:tcBorders>
            <w:shd w:val="clear" w:color="auto" w:fill="D2D2D2"/>
          </w:tcPr>
          <w:p>
            <w:pPr/>
          </w:p>
        </w:tc>
        <w:tc>
          <w:tcPr>
            <w:tcW w:w="2920" w:type="dxa"/>
            <w:tcBorders>
              <w:top w:val="single" w:sz="4" w:space="0" w:color="000000"/>
              <w:left w:val="single" w:sz="4" w:space="0" w:color="000000"/>
              <w:bottom w:val="single" w:sz="13" w:space="0" w:color="FFFFFF"/>
              <w:right w:val="single" w:sz="4" w:space="0" w:color="000000"/>
            </w:tcBorders>
            <w:shd w:val="clear" w:color="auto" w:fill="D2D2D2"/>
          </w:tcPr>
          <w:p>
            <w:pPr/>
          </w:p>
        </w:tc>
      </w:tr>
      <w:tr>
        <w:trPr>
          <w:trHeight w:val="185" w:hRule="exact"/>
        </w:trPr>
        <w:tc>
          <w:tcPr>
            <w:tcW w:w="1345" w:type="dxa"/>
            <w:vMerge w:val="restart"/>
            <w:tcBorders>
              <w:top w:val="single" w:sz="13" w:space="0" w:color="FFFFFF"/>
              <w:left w:val="single" w:sz="4" w:space="0" w:color="000000"/>
              <w:right w:val="single" w:sz="4" w:space="0" w:color="000000"/>
            </w:tcBorders>
            <w:shd w:val="clear" w:color="auto" w:fill="D2D2D2"/>
          </w:tcPr>
          <w:p>
            <w:pPr/>
          </w:p>
        </w:tc>
        <w:tc>
          <w:tcPr>
            <w:tcW w:w="1179" w:type="dxa"/>
            <w:tcBorders>
              <w:top w:val="single" w:sz="13" w:space="0" w:color="FFFFFF"/>
              <w:left w:val="single" w:sz="4" w:space="0" w:color="000000"/>
              <w:bottom w:val="nil" w:sz="6" w:space="0" w:color="auto"/>
              <w:right w:val="single" w:sz="4" w:space="0" w:color="000000"/>
            </w:tcBorders>
            <w:shd w:val="clear" w:color="auto" w:fill="D2D2D2"/>
          </w:tcPr>
          <w:p>
            <w:pPr/>
          </w:p>
        </w:tc>
        <w:tc>
          <w:tcPr>
            <w:tcW w:w="1061" w:type="dxa"/>
            <w:vMerge w:val="restart"/>
            <w:tcBorders>
              <w:top w:val="single" w:sz="13" w:space="0" w:color="FFFFFF"/>
              <w:left w:val="single" w:sz="4" w:space="0" w:color="000000"/>
              <w:right w:val="single" w:sz="4" w:space="0" w:color="000000"/>
            </w:tcBorders>
            <w:shd w:val="clear" w:color="auto" w:fill="D2D2D2"/>
          </w:tcPr>
          <w:p>
            <w:pPr>
              <w:pStyle w:val="TableParagraph"/>
              <w:spacing w:line="316" w:lineRule="auto" w:before="6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占总资产比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例</w:t>
            </w:r>
          </w:p>
        </w:tc>
        <w:tc>
          <w:tcPr>
            <w:tcW w:w="1196" w:type="dxa"/>
            <w:tcBorders>
              <w:top w:val="single" w:sz="13" w:space="0" w:color="FFFFFF"/>
              <w:left w:val="single" w:sz="4" w:space="0" w:color="000000"/>
              <w:bottom w:val="nil" w:sz="6" w:space="0" w:color="auto"/>
              <w:right w:val="single" w:sz="4" w:space="0" w:color="000000"/>
            </w:tcBorders>
            <w:shd w:val="clear" w:color="auto" w:fill="D2D2D2"/>
          </w:tcPr>
          <w:p>
            <w:pPr/>
          </w:p>
        </w:tc>
        <w:tc>
          <w:tcPr>
            <w:tcW w:w="1061" w:type="dxa"/>
            <w:vMerge w:val="restart"/>
            <w:tcBorders>
              <w:top w:val="single" w:sz="13" w:space="0" w:color="FFFFFF"/>
              <w:left w:val="single" w:sz="4" w:space="0" w:color="000000"/>
              <w:right w:val="single" w:sz="4" w:space="0" w:color="000000"/>
            </w:tcBorders>
            <w:shd w:val="clear" w:color="auto" w:fill="D2D2D2"/>
          </w:tcPr>
          <w:p>
            <w:pPr>
              <w:pStyle w:val="TableParagraph"/>
              <w:spacing w:line="316" w:lineRule="auto" w:before="6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占总资产比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例</w:t>
            </w:r>
          </w:p>
        </w:tc>
        <w:tc>
          <w:tcPr>
            <w:tcW w:w="802"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20"/>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20"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20"/>
              <w:ind w:left="91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87" w:hRule="exact"/>
        </w:trPr>
        <w:tc>
          <w:tcPr>
            <w:tcW w:w="1345" w:type="dxa"/>
            <w:vMerge/>
            <w:tcBorders>
              <w:left w:val="single" w:sz="4" w:space="0" w:color="000000"/>
              <w:bottom w:val="nil" w:sz="6" w:space="0" w:color="auto"/>
              <w:right w:val="single" w:sz="4" w:space="0" w:color="000000"/>
            </w:tcBorders>
            <w:shd w:val="clear" w:color="auto" w:fill="D2D2D2"/>
          </w:tcPr>
          <w:p>
            <w:pPr/>
          </w:p>
        </w:tc>
        <w:tc>
          <w:tcPr>
            <w:tcW w:w="11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1"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1" w:type="dxa"/>
            <w:vMerge/>
            <w:tcBorders>
              <w:left w:val="single" w:sz="4" w:space="0" w:color="000000"/>
              <w:right w:val="single" w:sz="4" w:space="0" w:color="000000"/>
            </w:tcBorders>
            <w:shd w:val="clear" w:color="auto" w:fill="D2D2D2"/>
          </w:tcPr>
          <w:p>
            <w:pPr/>
          </w:p>
        </w:tc>
        <w:tc>
          <w:tcPr>
            <w:tcW w:w="802" w:type="dxa"/>
            <w:vMerge/>
            <w:tcBorders>
              <w:left w:val="single" w:sz="4" w:space="0" w:color="000000"/>
              <w:bottom w:val="nil" w:sz="6" w:space="0" w:color="auto"/>
              <w:right w:val="single" w:sz="4" w:space="0" w:color="000000"/>
            </w:tcBorders>
            <w:shd w:val="clear" w:color="auto" w:fill="D2D2D2"/>
          </w:tcPr>
          <w:p>
            <w:pPr/>
          </w:p>
        </w:tc>
        <w:tc>
          <w:tcPr>
            <w:tcW w:w="2920"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45" w:type="dxa"/>
            <w:vMerge w:val="restart"/>
            <w:tcBorders>
              <w:top w:val="nil" w:sz="6" w:space="0" w:color="auto"/>
              <w:left w:val="single" w:sz="4" w:space="0" w:color="000000"/>
              <w:right w:val="single" w:sz="4" w:space="0" w:color="000000"/>
            </w:tcBorders>
            <w:shd w:val="clear" w:color="auto" w:fill="D2D2D2"/>
          </w:tcPr>
          <w:p>
            <w:pPr/>
          </w:p>
        </w:tc>
        <w:tc>
          <w:tcPr>
            <w:tcW w:w="1179" w:type="dxa"/>
            <w:vMerge/>
            <w:tcBorders>
              <w:left w:val="single" w:sz="4" w:space="0" w:color="000000"/>
              <w:bottom w:val="nil" w:sz="6" w:space="0" w:color="auto"/>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802" w:type="dxa"/>
            <w:vMerge w:val="restart"/>
            <w:tcBorders>
              <w:top w:val="nil" w:sz="6" w:space="0" w:color="auto"/>
              <w:left w:val="single" w:sz="4" w:space="0" w:color="000000"/>
              <w:right w:val="single" w:sz="4" w:space="0" w:color="000000"/>
            </w:tcBorders>
            <w:shd w:val="clear" w:color="auto" w:fill="D2D2D2"/>
          </w:tcPr>
          <w:p>
            <w:pPr/>
          </w:p>
        </w:tc>
        <w:tc>
          <w:tcPr>
            <w:tcW w:w="2920" w:type="dxa"/>
            <w:vMerge w:val="restart"/>
            <w:tcBorders>
              <w:top w:val="nil" w:sz="6" w:space="0" w:color="auto"/>
              <w:left w:val="single" w:sz="4" w:space="0" w:color="000000"/>
              <w:right w:val="single" w:sz="4" w:space="0" w:color="000000"/>
            </w:tcBorders>
            <w:shd w:val="clear" w:color="auto" w:fill="D2D2D2"/>
          </w:tcPr>
          <w:p>
            <w:pPr/>
          </w:p>
        </w:tc>
      </w:tr>
      <w:tr>
        <w:trPr>
          <w:trHeight w:val="163" w:hRule="exact"/>
        </w:trPr>
        <w:tc>
          <w:tcPr>
            <w:tcW w:w="1345" w:type="dxa"/>
            <w:vMerge/>
            <w:tcBorders>
              <w:left w:val="single" w:sz="4" w:space="0" w:color="000000"/>
              <w:bottom w:val="single" w:sz="4" w:space="0" w:color="000000"/>
              <w:right w:val="single" w:sz="4" w:space="0" w:color="000000"/>
            </w:tcBorders>
            <w:shd w:val="clear" w:color="auto" w:fill="D2D2D2"/>
          </w:tcPr>
          <w:p>
            <w:pPr/>
          </w:p>
        </w:tc>
        <w:tc>
          <w:tcPr>
            <w:tcW w:w="1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2920" w:type="dxa"/>
            <w:vMerge/>
            <w:tcBorders>
              <w:left w:val="single" w:sz="4" w:space="0" w:color="000000"/>
              <w:bottom w:val="single" w:sz="4" w:space="0" w:color="000000"/>
              <w:right w:val="single" w:sz="4" w:space="0" w:color="000000"/>
            </w:tcBorders>
            <w:shd w:val="clear" w:color="auto" w:fill="D2D2D2"/>
          </w:tcPr>
          <w:p>
            <w:pPr/>
          </w:p>
        </w:tc>
      </w:tr>
      <w:tr>
        <w:trPr>
          <w:trHeight w:val="158" w:hRule="exact"/>
        </w:trPr>
        <w:tc>
          <w:tcPr>
            <w:tcW w:w="13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9" w:type="dxa"/>
            <w:vMerge w:val="restart"/>
            <w:tcBorders>
              <w:top w:val="single" w:sz="4" w:space="0" w:color="000000"/>
              <w:left w:val="single" w:sz="10" w:space="0" w:color="D2D2D2"/>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373,304,700.1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9.07%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418,492,001.60</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9.91%</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-0.84%</w:t>
            </w:r>
          </w:p>
        </w:tc>
        <w:tc>
          <w:tcPr>
            <w:tcW w:w="292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394" w:hRule="exact"/>
        </w:trPr>
        <w:tc>
          <w:tcPr>
            <w:tcW w:w="13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9" w:type="dxa"/>
            <w:vMerge/>
            <w:tcBorders>
              <w:left w:val="single" w:sz="10"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2920" w:type="dxa"/>
            <w:vMerge/>
            <w:tcBorders>
              <w:left w:val="single" w:sz="4" w:space="0" w:color="000000"/>
              <w:right w:val="single" w:sz="4" w:space="0" w:color="000000"/>
            </w:tcBorders>
          </w:tcPr>
          <w:p>
            <w:pPr/>
          </w:p>
        </w:tc>
      </w:tr>
      <w:tr>
        <w:trPr>
          <w:trHeight w:val="163" w:hRule="exact"/>
        </w:trPr>
        <w:tc>
          <w:tcPr>
            <w:tcW w:w="13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9" w:type="dxa"/>
            <w:vMerge/>
            <w:tcBorders>
              <w:left w:val="single" w:sz="10"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2920" w:type="dxa"/>
            <w:vMerge/>
            <w:tcBorders>
              <w:left w:val="single" w:sz="4" w:space="0" w:color="000000"/>
              <w:bottom w:val="single" w:sz="4" w:space="0" w:color="000000"/>
              <w:right w:val="single" w:sz="4" w:space="0" w:color="000000"/>
            </w:tcBorders>
          </w:tcPr>
          <w:p>
            <w:pPr/>
          </w:p>
        </w:tc>
      </w:tr>
      <w:tr>
        <w:trPr>
          <w:trHeight w:val="158" w:hRule="exact"/>
        </w:trPr>
        <w:tc>
          <w:tcPr>
            <w:tcW w:w="13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9" w:type="dxa"/>
            <w:vMerge w:val="restart"/>
            <w:tcBorders>
              <w:top w:val="single" w:sz="4" w:space="0" w:color="000000"/>
              <w:left w:val="single" w:sz="13" w:space="0" w:color="D2D2D2"/>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170,575,919.1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4.14%</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177,145,108.53</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4.20%</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-0.06%</w:t>
            </w:r>
          </w:p>
        </w:tc>
        <w:tc>
          <w:tcPr>
            <w:tcW w:w="292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394" w:hRule="exact"/>
        </w:trPr>
        <w:tc>
          <w:tcPr>
            <w:tcW w:w="13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79" w:type="dxa"/>
            <w:vMerge/>
            <w:tcBorders>
              <w:left w:val="single" w:sz="13"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2920" w:type="dxa"/>
            <w:vMerge/>
            <w:tcBorders>
              <w:left w:val="single" w:sz="4" w:space="0" w:color="000000"/>
              <w:right w:val="single" w:sz="4" w:space="0" w:color="000000"/>
            </w:tcBorders>
          </w:tcPr>
          <w:p>
            <w:pPr/>
          </w:p>
        </w:tc>
      </w:tr>
      <w:tr>
        <w:trPr>
          <w:trHeight w:val="158" w:hRule="exact"/>
        </w:trPr>
        <w:tc>
          <w:tcPr>
            <w:tcW w:w="13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9" w:type="dxa"/>
            <w:vMerge/>
            <w:tcBorders>
              <w:left w:val="single" w:sz="13"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2920"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9"/>
        <w:gridCol w:w="1167"/>
        <w:gridCol w:w="1061"/>
        <w:gridCol w:w="1196"/>
        <w:gridCol w:w="1061"/>
        <w:gridCol w:w="802"/>
        <w:gridCol w:w="2920"/>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1,289,212,893.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31.31%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1,252,087,062.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29.65%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3,101,153.98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4,087,216.32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0.10%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-0.02%</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200,691,513.7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4.87%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178,208,372.42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4.22%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0.65%</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1027"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203,476,523.8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4.94%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277,836,679.47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6.58%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-1.64%</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8"/>
              <w:ind w:left="23" w:right="17"/>
              <w:jc w:val="both"/>
              <w:rPr>
                <w:rFonts w:ascii="宋体" w:hAnsi="宋体" w:cs="宋体" w:eastAsia="宋体" w:hint="default"/>
                <w:sz w:val="18"/>
                <w:szCs w:val="18"/>
              </w:rPr>
            </w:pPr>
            <w:r>
              <w:rPr>
                <w:rFonts w:ascii="宋体" w:hAnsi="宋体" w:cs="宋体" w:eastAsia="宋体" w:hint="default"/>
                <w:spacing w:val="-4"/>
                <w:sz w:val="18"/>
                <w:szCs w:val="18"/>
              </w:rPr>
              <w:t>报告期内，长期借款较年初减少</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0.74</w:t>
            </w:r>
            <w:r>
              <w:rPr>
                <w:rFonts w:ascii="Times New Roman" w:hAnsi="Times New Roman" w:cs="Times New Roman" w:eastAsia="Times New Roman" w:hint="default"/>
                <w:spacing w:val="-32"/>
                <w:sz w:val="18"/>
                <w:szCs w:val="18"/>
              </w:rPr>
              <w:t> </w:t>
            </w:r>
            <w:r>
              <w:rPr>
                <w:rFonts w:ascii="Times New Roman" w:hAnsi="Times New Roman" w:cs="Times New Roman" w:eastAsia="Times New Roman" w:hint="default"/>
                <w:spacing w:val="-32"/>
                <w:sz w:val="18"/>
                <w:szCs w:val="18"/>
              </w:rPr>
            </w:r>
            <w:r>
              <w:rPr>
                <w:rFonts w:ascii="宋体" w:hAnsi="宋体" w:cs="宋体" w:eastAsia="宋体" w:hint="default"/>
                <w:spacing w:val="-4"/>
                <w:sz w:val="18"/>
                <w:szCs w:val="18"/>
              </w:rPr>
              <w:t>亿元，主要系本期偿还金融机构借款</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所致</w:t>
            </w:r>
          </w:p>
        </w:tc>
      </w:tr>
      <w:tr>
        <w:trPr>
          <w:trHeight w:val="102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12,294,618.38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0.30%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30,121,717.44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0.71%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-0.41%</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17"/>
              <w:jc w:val="both"/>
              <w:rPr>
                <w:rFonts w:ascii="宋体" w:hAnsi="宋体" w:cs="宋体" w:eastAsia="宋体" w:hint="default"/>
                <w:sz w:val="18"/>
                <w:szCs w:val="18"/>
              </w:rPr>
            </w:pPr>
            <w:r>
              <w:rPr>
                <w:rFonts w:ascii="宋体" w:hAnsi="宋体" w:cs="宋体" w:eastAsia="宋体" w:hint="default"/>
                <w:spacing w:val="-4"/>
                <w:sz w:val="18"/>
                <w:szCs w:val="18"/>
              </w:rPr>
              <w:t>报告期内，预付款项较年初减少</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0.18</w:t>
            </w:r>
            <w:r>
              <w:rPr>
                <w:rFonts w:ascii="Times New Roman" w:hAnsi="Times New Roman" w:cs="Times New Roman" w:eastAsia="Times New Roman" w:hint="default"/>
                <w:spacing w:val="-32"/>
                <w:sz w:val="18"/>
                <w:szCs w:val="18"/>
              </w:rPr>
              <w:t> </w:t>
            </w:r>
            <w:r>
              <w:rPr>
                <w:rFonts w:ascii="Times New Roman" w:hAnsi="Times New Roman" w:cs="Times New Roman" w:eastAsia="Times New Roman" w:hint="default"/>
                <w:spacing w:val="-32"/>
                <w:sz w:val="18"/>
                <w:szCs w:val="18"/>
              </w:rPr>
            </w:r>
            <w:r>
              <w:rPr>
                <w:rFonts w:ascii="宋体" w:hAnsi="宋体" w:cs="宋体" w:eastAsia="宋体" w:hint="default"/>
                <w:spacing w:val="-4"/>
                <w:sz w:val="18"/>
                <w:szCs w:val="18"/>
              </w:rPr>
              <w:t>亿元，主要系处置上海卓越，合并范</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围变更所致</w:t>
            </w:r>
          </w:p>
        </w:tc>
      </w:tr>
      <w:tr>
        <w:trPr>
          <w:trHeight w:val="1027"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102,987,834.1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166,490,548.60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3.94%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-1.44%</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17"/>
              <w:jc w:val="left"/>
              <w:rPr>
                <w:rFonts w:ascii="宋体" w:hAnsi="宋体" w:cs="宋体" w:eastAsia="宋体" w:hint="default"/>
                <w:sz w:val="18"/>
                <w:szCs w:val="18"/>
              </w:rPr>
            </w:pPr>
            <w:r>
              <w:rPr>
                <w:rFonts w:ascii="宋体" w:hAnsi="宋体" w:cs="宋体" w:eastAsia="宋体" w:hint="default"/>
                <w:spacing w:val="-3"/>
                <w:sz w:val="18"/>
                <w:szCs w:val="18"/>
              </w:rPr>
              <w:t>报告期内，其他应收款较年初减少</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Times New Roman" w:hAnsi="Times New Roman" w:cs="Times New Roman" w:eastAsia="Times New Roman" w:hint="default"/>
                <w:sz w:val="18"/>
                <w:szCs w:val="18"/>
              </w:rPr>
              <w:t>0.64 </w:t>
            </w:r>
            <w:r>
              <w:rPr>
                <w:rFonts w:ascii="宋体" w:hAnsi="宋体" w:cs="宋体" w:eastAsia="宋体" w:hint="default"/>
                <w:spacing w:val="-4"/>
                <w:sz w:val="18"/>
                <w:szCs w:val="18"/>
              </w:rPr>
              <w:t>亿元，主要系本期收回处置亿迅</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4"/>
                <w:sz w:val="18"/>
                <w:szCs w:val="18"/>
              </w:rPr>
              <w:t>资产组、艾特凡斯等股权转让款所致</w:t>
            </w:r>
          </w:p>
        </w:tc>
      </w:tr>
      <w:tr>
        <w:trPr>
          <w:trHeight w:val="133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4" w:right="71"/>
              <w:jc w:val="left"/>
              <w:rPr>
                <w:rFonts w:ascii="宋体" w:hAnsi="宋体" w:cs="宋体" w:eastAsia="宋体" w:hint="default"/>
                <w:sz w:val="18"/>
                <w:szCs w:val="18"/>
              </w:rPr>
            </w:pPr>
            <w:r>
              <w:rPr>
                <w:rFonts w:ascii="宋体" w:hAnsi="宋体" w:cs="宋体" w:eastAsia="宋体" w:hint="default"/>
                <w:spacing w:val="-3"/>
                <w:sz w:val="18"/>
                <w:szCs w:val="18"/>
              </w:rPr>
              <w:t>一年内到期的非</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流动资产</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185,425,875.00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4.39%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-4.39%</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4"/>
              <w:ind w:left="23" w:right="17"/>
              <w:jc w:val="both"/>
              <w:rPr>
                <w:rFonts w:ascii="宋体" w:hAnsi="宋体" w:cs="宋体" w:eastAsia="宋体" w:hint="default"/>
                <w:sz w:val="18"/>
                <w:szCs w:val="18"/>
              </w:rPr>
            </w:pPr>
            <w:r>
              <w:rPr>
                <w:rFonts w:ascii="宋体" w:hAnsi="宋体" w:cs="宋体" w:eastAsia="宋体" w:hint="default"/>
                <w:spacing w:val="-4"/>
                <w:sz w:val="18"/>
                <w:szCs w:val="18"/>
              </w:rPr>
              <w:t>报告期内，一年内到期的非流动资产</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较年初减少</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1.85</w:t>
            </w:r>
            <w:r>
              <w:rPr>
                <w:rFonts w:ascii="Times New Roman" w:hAnsi="Times New Roman" w:cs="Times New Roman" w:eastAsia="Times New Roman" w:hint="default"/>
                <w:spacing w:val="7"/>
                <w:sz w:val="18"/>
                <w:szCs w:val="18"/>
              </w:rPr>
              <w:t> </w:t>
            </w:r>
            <w:r>
              <w:rPr>
                <w:rFonts w:ascii="宋体" w:hAnsi="宋体" w:cs="宋体" w:eastAsia="宋体" w:hint="default"/>
                <w:spacing w:val="-10"/>
                <w:sz w:val="18"/>
                <w:szCs w:val="18"/>
              </w:rPr>
              <w:t>亿元，主要系本期定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期存单随相关借款展期，重分类至其</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他非流动资产所致</w:t>
            </w:r>
          </w:p>
        </w:tc>
      </w:tr>
      <w:tr>
        <w:trPr>
          <w:trHeight w:val="134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828,443,794.1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20.12%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624,601,414.30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14.79%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5.33%</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8"/>
              <w:ind w:left="23" w:right="17"/>
              <w:jc w:val="both"/>
              <w:rPr>
                <w:rFonts w:ascii="宋体" w:hAnsi="宋体" w:cs="宋体" w:eastAsia="宋体" w:hint="default"/>
                <w:sz w:val="18"/>
                <w:szCs w:val="18"/>
              </w:rPr>
            </w:pPr>
            <w:r>
              <w:rPr>
                <w:rFonts w:ascii="宋体" w:hAnsi="宋体" w:cs="宋体" w:eastAsia="宋体" w:hint="default"/>
                <w:spacing w:val="-4"/>
                <w:sz w:val="18"/>
                <w:szCs w:val="18"/>
              </w:rPr>
              <w:t>报告期内，其他非流动资产较年初增</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加</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2.04</w:t>
            </w:r>
            <w:r>
              <w:rPr>
                <w:rFonts w:ascii="Times New Roman" w:hAnsi="Times New Roman" w:cs="Times New Roman" w:eastAsia="Times New Roman" w:hint="default"/>
                <w:spacing w:val="14"/>
                <w:sz w:val="18"/>
                <w:szCs w:val="18"/>
              </w:rPr>
              <w:t> </w:t>
            </w:r>
            <w:r>
              <w:rPr>
                <w:rFonts w:ascii="宋体" w:hAnsi="宋体" w:cs="宋体" w:eastAsia="宋体" w:hint="default"/>
                <w:spacing w:val="-8"/>
                <w:sz w:val="18"/>
                <w:szCs w:val="18"/>
              </w:rPr>
              <w:t>亿元，主要系本期定期存单随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相关借款展期，重分类至其他非流动</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资产所致</w:t>
            </w:r>
          </w:p>
        </w:tc>
      </w:tr>
      <w:tr>
        <w:trPr>
          <w:trHeight w:val="102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91,020,616.27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136,245,654.73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3.23%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-1.02%</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17"/>
              <w:jc w:val="left"/>
              <w:rPr>
                <w:rFonts w:ascii="宋体" w:hAnsi="宋体" w:cs="宋体" w:eastAsia="宋体" w:hint="default"/>
                <w:sz w:val="18"/>
                <w:szCs w:val="18"/>
              </w:rPr>
            </w:pPr>
            <w:r>
              <w:rPr>
                <w:rFonts w:ascii="宋体" w:hAnsi="宋体" w:cs="宋体" w:eastAsia="宋体" w:hint="default"/>
                <w:spacing w:val="-4"/>
                <w:sz w:val="18"/>
                <w:szCs w:val="18"/>
              </w:rPr>
              <w:t>报告期内，预收款项较年初减少</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0.45</w:t>
            </w:r>
            <w:r>
              <w:rPr>
                <w:rFonts w:ascii="Times New Roman" w:hAnsi="Times New Roman" w:cs="Times New Roman" w:eastAsia="Times New Roman" w:hint="default"/>
                <w:spacing w:val="-32"/>
                <w:sz w:val="18"/>
                <w:szCs w:val="18"/>
              </w:rPr>
              <w:t> </w:t>
            </w:r>
            <w:r>
              <w:rPr>
                <w:rFonts w:ascii="Times New Roman" w:hAnsi="Times New Roman" w:cs="Times New Roman" w:eastAsia="Times New Roman" w:hint="default"/>
                <w:spacing w:val="-32"/>
                <w:sz w:val="18"/>
                <w:szCs w:val="18"/>
              </w:rPr>
            </w:r>
            <w:r>
              <w:rPr>
                <w:rFonts w:ascii="宋体" w:hAnsi="宋体" w:cs="宋体" w:eastAsia="宋体" w:hint="default"/>
                <w:spacing w:val="-3"/>
                <w:sz w:val="18"/>
                <w:szCs w:val="18"/>
              </w:rPr>
              <w:t>亿元，主要系本期销售规模下降所</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致。</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24,208,089.78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0.59%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44,824,604.07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1.06%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-0.47%</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报告期内，应交税费较年初减少</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0.21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4"/>
                <w:sz w:val="18"/>
                <w:szCs w:val="18"/>
              </w:rPr>
              <w:t>亿元，主要系本期利润规模下降所致</w:t>
            </w:r>
          </w:p>
        </w:tc>
      </w:tr>
      <w:tr>
        <w:trPr>
          <w:trHeight w:val="134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4" w:right="70"/>
              <w:jc w:val="left"/>
              <w:rPr>
                <w:rFonts w:ascii="宋体" w:hAnsi="宋体" w:cs="宋体" w:eastAsia="宋体" w:hint="default"/>
                <w:sz w:val="18"/>
                <w:szCs w:val="18"/>
              </w:rPr>
            </w:pPr>
            <w:r>
              <w:rPr>
                <w:rFonts w:ascii="宋体" w:hAnsi="宋体" w:cs="宋体" w:eastAsia="宋体" w:hint="default"/>
                <w:spacing w:val="-3"/>
                <w:sz w:val="18"/>
                <w:szCs w:val="18"/>
              </w:rPr>
              <w:t>一年内到期的非</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流动负债</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180,755,191.0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327,429,786.06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7.75%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-3.36%</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17"/>
              <w:jc w:val="left"/>
              <w:rPr>
                <w:rFonts w:ascii="宋体" w:hAnsi="宋体" w:cs="宋体" w:eastAsia="宋体" w:hint="default"/>
                <w:sz w:val="18"/>
                <w:szCs w:val="18"/>
              </w:rPr>
            </w:pPr>
            <w:r>
              <w:rPr>
                <w:rFonts w:ascii="宋体" w:hAnsi="宋体" w:cs="宋体" w:eastAsia="宋体" w:hint="default"/>
                <w:spacing w:val="-4"/>
                <w:sz w:val="18"/>
                <w:szCs w:val="18"/>
              </w:rPr>
              <w:t>报告期内，一年内到期的非流动负债</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较年初减少</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1.47</w:t>
            </w:r>
            <w:r>
              <w:rPr>
                <w:rFonts w:ascii="Times New Roman" w:hAnsi="Times New Roman" w:cs="Times New Roman" w:eastAsia="Times New Roman" w:hint="default"/>
                <w:spacing w:val="7"/>
                <w:sz w:val="18"/>
                <w:szCs w:val="18"/>
              </w:rPr>
              <w:t> </w:t>
            </w:r>
            <w:r>
              <w:rPr>
                <w:rFonts w:ascii="宋体" w:hAnsi="宋体" w:cs="宋体" w:eastAsia="宋体" w:hint="default"/>
                <w:spacing w:val="-10"/>
                <w:sz w:val="18"/>
                <w:szCs w:val="18"/>
              </w:rPr>
              <w:t>亿元，主要系本期偿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还金融机构借款及支付司马彦股权</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转让款所致</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2"/>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7"/>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088"/>
        <w:gridCol w:w="1090"/>
        <w:gridCol w:w="1090"/>
        <w:gridCol w:w="1090"/>
        <w:gridCol w:w="1090"/>
        <w:gridCol w:w="1092"/>
        <w:gridCol w:w="1090"/>
        <w:gridCol w:w="965"/>
        <w:gridCol w:w="953"/>
      </w:tblGrid>
      <w:tr>
        <w:trPr>
          <w:trHeight w:val="382" w:hRule="exact"/>
        </w:trPr>
        <w:tc>
          <w:tcPr>
            <w:tcW w:w="1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5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7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91" w:right="0"/>
              <w:jc w:val="left"/>
              <w:rPr>
                <w:rFonts w:ascii="宋体" w:hAnsi="宋体" w:cs="宋体" w:eastAsia="宋体" w:hint="default"/>
                <w:sz w:val="18"/>
                <w:szCs w:val="18"/>
              </w:rPr>
            </w:pPr>
            <w:r>
              <w:rPr>
                <w:rFonts w:ascii="宋体" w:hAnsi="宋体" w:cs="宋体" w:eastAsia="宋体" w:hint="default"/>
                <w:sz w:val="18"/>
                <w:szCs w:val="18"/>
              </w:rPr>
              <w:t>本期公允价</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91" w:right="0"/>
              <w:jc w:val="left"/>
              <w:rPr>
                <w:rFonts w:ascii="宋体" w:hAnsi="宋体" w:cs="宋体" w:eastAsia="宋体" w:hint="default"/>
                <w:sz w:val="18"/>
                <w:szCs w:val="18"/>
              </w:rPr>
            </w:pPr>
            <w:r>
              <w:rPr>
                <w:rFonts w:ascii="宋体" w:hAnsi="宋体" w:cs="宋体" w:eastAsia="宋体" w:hint="default"/>
                <w:sz w:val="18"/>
                <w:szCs w:val="18"/>
              </w:rPr>
              <w:t>计入权益的</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91" w:right="0"/>
              <w:jc w:val="left"/>
              <w:rPr>
                <w:rFonts w:ascii="宋体" w:hAnsi="宋体" w:cs="宋体" w:eastAsia="宋体" w:hint="default"/>
                <w:sz w:val="18"/>
                <w:szCs w:val="18"/>
              </w:rPr>
            </w:pPr>
            <w:r>
              <w:rPr>
                <w:rFonts w:ascii="宋体" w:hAnsi="宋体" w:cs="宋体" w:eastAsia="宋体" w:hint="default"/>
                <w:sz w:val="18"/>
                <w:szCs w:val="18"/>
              </w:rPr>
              <w:t>本期计提的</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91" w:right="0"/>
              <w:jc w:val="left"/>
              <w:rPr>
                <w:rFonts w:ascii="宋体" w:hAnsi="宋体" w:cs="宋体" w:eastAsia="宋体" w:hint="default"/>
                <w:sz w:val="18"/>
                <w:szCs w:val="18"/>
              </w:rPr>
            </w:pPr>
            <w:r>
              <w:rPr>
                <w:rFonts w:ascii="宋体" w:hAnsi="宋体" w:cs="宋体" w:eastAsia="宋体" w:hint="default"/>
                <w:sz w:val="18"/>
                <w:szCs w:val="18"/>
              </w:rPr>
              <w:t>本期购买金</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88" w:right="0"/>
              <w:jc w:val="left"/>
              <w:rPr>
                <w:rFonts w:ascii="宋体" w:hAnsi="宋体" w:cs="宋体" w:eastAsia="宋体" w:hint="default"/>
                <w:sz w:val="18"/>
                <w:szCs w:val="18"/>
              </w:rPr>
            </w:pPr>
            <w:r>
              <w:rPr>
                <w:rFonts w:ascii="宋体" w:hAnsi="宋体" w:cs="宋体" w:eastAsia="宋体" w:hint="default"/>
                <w:sz w:val="18"/>
                <w:szCs w:val="18"/>
              </w:rPr>
              <w:t>本期出售金</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2"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03" w:right="0"/>
              <w:jc w:val="left"/>
              <w:rPr>
                <w:rFonts w:ascii="宋体" w:hAnsi="宋体" w:cs="宋体" w:eastAsia="宋体" w:hint="default"/>
                <w:sz w:val="18"/>
                <w:szCs w:val="18"/>
              </w:rPr>
            </w:pPr>
            <w:r>
              <w:rPr>
                <w:rFonts w:ascii="宋体" w:hAnsi="宋体" w:cs="宋体" w:eastAsia="宋体" w:hint="default"/>
                <w:sz w:val="18"/>
                <w:szCs w:val="18"/>
              </w:rPr>
              <w:t>期末数</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076"/>
        <w:gridCol w:w="1102"/>
        <w:gridCol w:w="1096"/>
        <w:gridCol w:w="1078"/>
        <w:gridCol w:w="1096"/>
        <w:gridCol w:w="1090"/>
        <w:gridCol w:w="1091"/>
        <w:gridCol w:w="965"/>
        <w:gridCol w:w="964"/>
      </w:tblGrid>
      <w:tr>
        <w:trPr>
          <w:trHeight w:val="355" w:hRule="exact"/>
        </w:trPr>
        <w:tc>
          <w:tcPr>
            <w:tcW w:w="1076" w:type="dxa"/>
            <w:vMerge w:val="restart"/>
            <w:tcBorders>
              <w:top w:val="single" w:sz="4" w:space="0" w:color="000000"/>
              <w:left w:val="single" w:sz="4" w:space="0" w:color="000000"/>
              <w:right w:val="single" w:sz="4" w:space="0" w:color="000000"/>
            </w:tcBorders>
            <w:shd w:val="clear" w:color="auto" w:fill="D2D2D2"/>
          </w:tcPr>
          <w:p>
            <w:pPr/>
          </w:p>
        </w:tc>
        <w:tc>
          <w:tcPr>
            <w:tcW w:w="1102" w:type="dxa"/>
            <w:vMerge w:val="restart"/>
            <w:tcBorders>
              <w:top w:val="single" w:sz="4" w:space="0" w:color="000000"/>
              <w:left w:val="single" w:sz="4" w:space="0" w:color="000000"/>
              <w:right w:val="single" w:sz="4" w:space="0" w:color="000000"/>
            </w:tcBorders>
            <w:shd w:val="clear" w:color="auto" w:fill="D2D2D2"/>
          </w:tcPr>
          <w:p>
            <w:pPr/>
          </w:p>
        </w:tc>
        <w:tc>
          <w:tcPr>
            <w:tcW w:w="109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5"/>
              <w:ind w:right="90"/>
              <w:jc w:val="right"/>
              <w:rPr>
                <w:rFonts w:ascii="宋体" w:hAnsi="宋体" w:cs="宋体" w:eastAsia="宋体" w:hint="default"/>
                <w:sz w:val="18"/>
                <w:szCs w:val="18"/>
              </w:rPr>
            </w:pPr>
            <w:r>
              <w:rPr>
                <w:rFonts w:ascii="宋体" w:hAnsi="宋体" w:cs="宋体" w:eastAsia="宋体" w:hint="default"/>
                <w:spacing w:val="-2"/>
                <w:sz w:val="18"/>
                <w:szCs w:val="18"/>
              </w:rPr>
              <w:t>值变动损益</w:t>
            </w:r>
          </w:p>
        </w:tc>
        <w:tc>
          <w:tcPr>
            <w:tcW w:w="1078"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10"/>
              <w:ind w:left="262" w:right="78" w:hanging="178"/>
              <w:jc w:val="left"/>
              <w:rPr>
                <w:rFonts w:ascii="宋体" w:hAnsi="宋体" w:cs="宋体" w:eastAsia="宋体" w:hint="default"/>
                <w:sz w:val="18"/>
                <w:szCs w:val="18"/>
              </w:rPr>
            </w:pPr>
            <w:r>
              <w:rPr>
                <w:rFonts w:ascii="宋体" w:hAnsi="宋体" w:cs="宋体" w:eastAsia="宋体" w:hint="default"/>
                <w:spacing w:val="-2"/>
                <w:sz w:val="18"/>
                <w:szCs w:val="18"/>
              </w:rPr>
              <w:t>累计公允价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值变动</w:t>
            </w:r>
          </w:p>
        </w:tc>
        <w:tc>
          <w:tcPr>
            <w:tcW w:w="109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5"/>
              <w:ind w:left="366" w:right="0"/>
              <w:jc w:val="left"/>
              <w:rPr>
                <w:rFonts w:ascii="宋体" w:hAnsi="宋体" w:cs="宋体" w:eastAsia="宋体" w:hint="default"/>
                <w:sz w:val="18"/>
                <w:szCs w:val="18"/>
              </w:rPr>
            </w:pPr>
            <w:r>
              <w:rPr>
                <w:rFonts w:ascii="宋体" w:hAnsi="宋体" w:cs="宋体" w:eastAsia="宋体" w:hint="default"/>
                <w:sz w:val="18"/>
                <w:szCs w:val="18"/>
              </w:rPr>
              <w:t>减值</w:t>
            </w:r>
          </w:p>
        </w:tc>
        <w:tc>
          <w:tcPr>
            <w:tcW w:w="109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5"/>
              <w:ind w:left="5" w:right="0"/>
              <w:jc w:val="center"/>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091"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965" w:type="dxa"/>
            <w:vMerge w:val="restart"/>
            <w:tcBorders>
              <w:top w:val="single" w:sz="4" w:space="0" w:color="000000"/>
              <w:left w:val="single" w:sz="4" w:space="0" w:color="000000"/>
              <w:right w:val="single" w:sz="4" w:space="0" w:color="000000"/>
            </w:tcBorders>
            <w:shd w:val="clear" w:color="auto" w:fill="D2D2D2"/>
          </w:tcPr>
          <w:p>
            <w:pPr/>
          </w:p>
        </w:tc>
        <w:tc>
          <w:tcPr>
            <w:tcW w:w="964" w:type="dxa"/>
            <w:vMerge w:val="restart"/>
            <w:tcBorders>
              <w:top w:val="single" w:sz="4" w:space="0" w:color="000000"/>
              <w:left w:val="single" w:sz="4" w:space="0" w:color="000000"/>
              <w:right w:val="single" w:sz="4" w:space="0" w:color="000000"/>
            </w:tcBorders>
            <w:shd w:val="clear" w:color="auto" w:fill="D2D2D2"/>
          </w:tcPr>
          <w:p>
            <w:pPr/>
          </w:p>
        </w:tc>
      </w:tr>
      <w:tr>
        <w:trPr>
          <w:trHeight w:val="322" w:hRule="exact"/>
        </w:trPr>
        <w:tc>
          <w:tcPr>
            <w:tcW w:w="1076" w:type="dxa"/>
            <w:vMerge/>
            <w:tcBorders>
              <w:left w:val="single" w:sz="4" w:space="0" w:color="000000"/>
              <w:bottom w:val="single" w:sz="4" w:space="0" w:color="000000"/>
              <w:right w:val="single" w:sz="4" w:space="0" w:color="000000"/>
            </w:tcBorders>
            <w:shd w:val="clear" w:color="auto" w:fill="D2D2D2"/>
          </w:tcPr>
          <w:p>
            <w:pPr/>
          </w:p>
        </w:tc>
        <w:tc>
          <w:tcPr>
            <w:tcW w:w="1102" w:type="dxa"/>
            <w:vMerge/>
            <w:tcBorders>
              <w:left w:val="single" w:sz="4" w:space="0" w:color="000000"/>
              <w:bottom w:val="single" w:sz="4" w:space="0" w:color="000000"/>
              <w:right w:val="single" w:sz="4" w:space="0" w:color="000000"/>
            </w:tcBorders>
            <w:shd w:val="clear" w:color="auto" w:fill="D2D2D2"/>
          </w:tcPr>
          <w:p>
            <w:pPr/>
          </w:p>
        </w:tc>
        <w:tc>
          <w:tcPr>
            <w:tcW w:w="10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8" w:type="dxa"/>
            <w:vMerge/>
            <w:tcBorders>
              <w:left w:val="single" w:sz="4" w:space="0" w:color="000000"/>
              <w:bottom w:val="single" w:sz="4" w:space="0" w:color="000000"/>
              <w:right w:val="single" w:sz="4" w:space="0" w:color="000000"/>
            </w:tcBorders>
            <w:shd w:val="clear" w:color="auto" w:fill="D2D2D2"/>
          </w:tcPr>
          <w:p>
            <w:pPr/>
          </w:p>
        </w:tc>
        <w:tc>
          <w:tcPr>
            <w:tcW w:w="10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1" w:type="dxa"/>
            <w:tcBorders>
              <w:top w:val="nil" w:sz="6" w:space="0" w:color="auto"/>
              <w:left w:val="single" w:sz="4" w:space="0" w:color="000000"/>
              <w:bottom w:val="single" w:sz="4" w:space="0" w:color="000000"/>
              <w:right w:val="single" w:sz="4" w:space="0" w:color="000000"/>
            </w:tcBorders>
            <w:shd w:val="clear" w:color="auto" w:fill="D2D2D2"/>
          </w:tcPr>
          <w:p>
            <w:pPr/>
          </w:p>
        </w:tc>
        <w:tc>
          <w:tcPr>
            <w:tcW w:w="965" w:type="dxa"/>
            <w:vMerge/>
            <w:tcBorders>
              <w:left w:val="single" w:sz="4" w:space="0" w:color="000000"/>
              <w:bottom w:val="single" w:sz="4" w:space="0" w:color="000000"/>
              <w:right w:val="single" w:sz="4" w:space="0" w:color="000000"/>
            </w:tcBorders>
            <w:shd w:val="clear" w:color="auto" w:fill="D2D2D2"/>
          </w:tcPr>
          <w:p>
            <w:pPr/>
          </w:p>
        </w:tc>
        <w:tc>
          <w:tcPr>
            <w:tcW w:w="964" w:type="dxa"/>
            <w:vMerge/>
            <w:tcBorders>
              <w:left w:val="single" w:sz="4" w:space="0" w:color="000000"/>
              <w:bottom w:val="single" w:sz="4" w:space="0" w:color="000000"/>
              <w:right w:val="single" w:sz="4" w:space="0" w:color="000000"/>
            </w:tcBorders>
            <w:shd w:val="clear" w:color="auto" w:fill="D2D2D2"/>
          </w:tcPr>
          <w:p>
            <w:pPr/>
          </w:p>
        </w:tc>
      </w:tr>
      <w:tr>
        <w:trPr>
          <w:trHeight w:val="399" w:hRule="exact"/>
        </w:trPr>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482" w:type="dxa"/>
            <w:gridSpan w:val="8"/>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11"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产</w:t>
            </w:r>
          </w:p>
        </w:tc>
        <w:tc>
          <w:tcPr>
            <w:tcW w:w="1102" w:type="dxa"/>
            <w:tcBorders>
              <w:top w:val="single" w:sz="4" w:space="0" w:color="000000"/>
              <w:left w:val="single" w:sz="13" w:space="0" w:color="D2D2D2"/>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21,253,266.2</w:t>
            </w:r>
          </w:p>
          <w:p>
            <w:pPr>
              <w:pStyle w:val="TableParagraph"/>
              <w:spacing w:line="240" w:lineRule="auto" w:before="110"/>
              <w:ind w:right="28"/>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78"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21,253,266.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28</w:t>
            </w:r>
          </w:p>
        </w:tc>
      </w:tr>
      <w:tr>
        <w:trPr>
          <w:trHeight w:val="715" w:hRule="exact"/>
        </w:trPr>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其他权益工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具投资</w:t>
            </w:r>
          </w:p>
        </w:tc>
        <w:tc>
          <w:tcPr>
            <w:tcW w:w="1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69,125,832.68</w:t>
            </w:r>
          </w:p>
        </w:tc>
        <w:tc>
          <w:tcPr>
            <w:tcW w:w="109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5,067,804.42</w:t>
            </w:r>
          </w:p>
        </w:tc>
        <w:tc>
          <w:tcPr>
            <w:tcW w:w="109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116,120,393.2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-109,070,000.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-1,828,817.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64</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68,179,067.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89</w:t>
            </w:r>
          </w:p>
        </w:tc>
      </w:tr>
      <w:tr>
        <w:trPr>
          <w:trHeight w:val="711" w:hRule="exact"/>
        </w:trPr>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149"/>
              <w:jc w:val="left"/>
              <w:rPr>
                <w:rFonts w:ascii="宋体" w:hAnsi="宋体" w:cs="宋体" w:eastAsia="宋体" w:hint="default"/>
                <w:sz w:val="18"/>
                <w:szCs w:val="18"/>
              </w:rPr>
            </w:pPr>
            <w:r>
              <w:rPr>
                <w:rFonts w:ascii="宋体" w:hAnsi="宋体" w:cs="宋体" w:eastAsia="宋体" w:hint="default"/>
                <w:spacing w:val="-2"/>
                <w:sz w:val="18"/>
                <w:szCs w:val="18"/>
              </w:rPr>
              <w:t>金融资产小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计</w:t>
            </w:r>
          </w:p>
        </w:tc>
        <w:tc>
          <w:tcPr>
            <w:tcW w:w="1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69,125,832.68</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21,253,266.2</w:t>
            </w:r>
          </w:p>
          <w:p>
            <w:pPr>
              <w:pStyle w:val="TableParagraph"/>
              <w:spacing w:line="240" w:lineRule="auto" w:before="105"/>
              <w:ind w:right="28"/>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5,067,804.42</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116,120,393.2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-109,070,000.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-1,828,817.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64</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89,432,334.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17</w:t>
            </w:r>
          </w:p>
        </w:tc>
      </w:tr>
      <w:tr>
        <w:trPr>
          <w:trHeight w:val="163" w:hRule="exact"/>
        </w:trPr>
        <w:tc>
          <w:tcPr>
            <w:tcW w:w="10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02"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69,125,832.68</w:t>
            </w:r>
          </w:p>
        </w:tc>
        <w:tc>
          <w:tcPr>
            <w:tcW w:w="1096" w:type="dxa"/>
            <w:vMerge w:val="restart"/>
            <w:tcBorders>
              <w:top w:val="single" w:sz="4" w:space="0" w:color="000000"/>
              <w:left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21,253,266.2</w:t>
            </w:r>
          </w:p>
          <w:p>
            <w:pPr>
              <w:pStyle w:val="TableParagraph"/>
              <w:spacing w:line="240" w:lineRule="auto" w:before="110"/>
              <w:ind w:right="28"/>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7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5,067,804.42</w:t>
            </w:r>
          </w:p>
        </w:tc>
        <w:tc>
          <w:tcPr>
            <w:tcW w:w="109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090"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116,120,393.2</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91" w:type="dxa"/>
            <w:vMerge w:val="restart"/>
            <w:tcBorders>
              <w:top w:val="single" w:sz="4" w:space="0" w:color="000000"/>
              <w:left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-109,070,000.</w:t>
            </w:r>
          </w:p>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z w:val="18"/>
              </w:rPr>
              <w:t>00</w:t>
            </w:r>
          </w:p>
        </w:tc>
        <w:tc>
          <w:tcPr>
            <w:tcW w:w="965" w:type="dxa"/>
            <w:vMerge w:val="restart"/>
            <w:tcBorders>
              <w:top w:val="single" w:sz="4" w:space="0" w:color="000000"/>
              <w:left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-1,828,817.</w:t>
            </w:r>
          </w:p>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z w:val="18"/>
              </w:rPr>
              <w:t>64</w:t>
            </w:r>
          </w:p>
        </w:tc>
        <w:tc>
          <w:tcPr>
            <w:tcW w:w="964" w:type="dxa"/>
            <w:vMerge w:val="restart"/>
            <w:tcBorders>
              <w:top w:val="single" w:sz="4" w:space="0" w:color="000000"/>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89,432,334.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17</w:t>
            </w:r>
          </w:p>
        </w:tc>
      </w:tr>
      <w:tr>
        <w:trPr>
          <w:trHeight w:val="394" w:hRule="exact"/>
        </w:trPr>
        <w:tc>
          <w:tcPr>
            <w:tcW w:w="10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102" w:type="dxa"/>
            <w:vMerge/>
            <w:tcBorders>
              <w:left w:val="single" w:sz="10" w:space="0" w:color="D2D2D2"/>
              <w:right w:val="single" w:sz="4" w:space="0" w:color="000000"/>
            </w:tcBorders>
          </w:tcPr>
          <w:p>
            <w:pPr/>
          </w:p>
        </w:tc>
        <w:tc>
          <w:tcPr>
            <w:tcW w:w="1096"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c>
          <w:tcPr>
            <w:tcW w:w="1096" w:type="dxa"/>
            <w:vMerge/>
            <w:tcBorders>
              <w:left w:val="single" w:sz="4" w:space="0" w:color="000000"/>
              <w:right w:val="single" w:sz="4" w:space="0" w:color="000000"/>
            </w:tcBorders>
          </w:tcPr>
          <w:p>
            <w:pPr/>
          </w:p>
        </w:tc>
        <w:tc>
          <w:tcPr>
            <w:tcW w:w="1090" w:type="dxa"/>
            <w:vMerge/>
            <w:tcBorders>
              <w:left w:val="single" w:sz="4" w:space="0" w:color="000000"/>
              <w:right w:val="single" w:sz="4" w:space="0" w:color="000000"/>
            </w:tcBorders>
          </w:tcPr>
          <w:p>
            <w:pPr/>
          </w:p>
        </w:tc>
        <w:tc>
          <w:tcPr>
            <w:tcW w:w="1091"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64" w:type="dxa"/>
            <w:vMerge/>
            <w:tcBorders>
              <w:left w:val="single" w:sz="4" w:space="0" w:color="000000"/>
              <w:right w:val="single" w:sz="4" w:space="0" w:color="000000"/>
            </w:tcBorders>
          </w:tcPr>
          <w:p>
            <w:pPr/>
          </w:p>
        </w:tc>
      </w:tr>
      <w:tr>
        <w:trPr>
          <w:trHeight w:val="158" w:hRule="exact"/>
        </w:trPr>
        <w:tc>
          <w:tcPr>
            <w:tcW w:w="10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02" w:type="dxa"/>
            <w:vMerge/>
            <w:tcBorders>
              <w:left w:val="single" w:sz="10" w:space="0" w:color="D2D2D2"/>
              <w:bottom w:val="single" w:sz="4" w:space="0" w:color="000000"/>
              <w:right w:val="single" w:sz="4" w:space="0" w:color="000000"/>
            </w:tcBorders>
          </w:tcPr>
          <w:p>
            <w:pPr/>
          </w:p>
        </w:tc>
        <w:tc>
          <w:tcPr>
            <w:tcW w:w="1096" w:type="dxa"/>
            <w:vMerge/>
            <w:tcBorders>
              <w:left w:val="single" w:sz="4" w:space="0" w:color="000000"/>
              <w:bottom w:val="single" w:sz="4" w:space="0" w:color="000000"/>
              <w:right w:val="single" w:sz="4" w:space="0" w:color="000000"/>
            </w:tcBorders>
          </w:tcPr>
          <w:p>
            <w:pPr/>
          </w:p>
        </w:tc>
        <w:tc>
          <w:tcPr>
            <w:tcW w:w="1078" w:type="dxa"/>
            <w:vMerge/>
            <w:tcBorders>
              <w:left w:val="single" w:sz="4" w:space="0" w:color="000000"/>
              <w:bottom w:val="single" w:sz="4" w:space="0" w:color="000000"/>
              <w:right w:val="single" w:sz="4" w:space="0" w:color="000000"/>
            </w:tcBorders>
          </w:tcPr>
          <w:p>
            <w:pPr/>
          </w:p>
        </w:tc>
        <w:tc>
          <w:tcPr>
            <w:tcW w:w="1096" w:type="dxa"/>
            <w:vMerge/>
            <w:tcBorders>
              <w:left w:val="single" w:sz="4" w:space="0" w:color="000000"/>
              <w:bottom w:val="single" w:sz="4" w:space="0" w:color="000000"/>
              <w:right w:val="single" w:sz="4" w:space="0" w:color="000000"/>
            </w:tcBorders>
          </w:tcPr>
          <w:p>
            <w:pPr/>
          </w:p>
        </w:tc>
        <w:tc>
          <w:tcPr>
            <w:tcW w:w="1090" w:type="dxa"/>
            <w:vMerge/>
            <w:tcBorders>
              <w:left w:val="single" w:sz="4" w:space="0" w:color="000000"/>
              <w:bottom w:val="single" w:sz="4" w:space="0" w:color="000000"/>
              <w:right w:val="single" w:sz="4" w:space="0" w:color="000000"/>
            </w:tcBorders>
          </w:tcPr>
          <w:p>
            <w:pPr/>
          </w:p>
        </w:tc>
        <w:tc>
          <w:tcPr>
            <w:tcW w:w="1091" w:type="dxa"/>
            <w:vMerge/>
            <w:tcBorders>
              <w:left w:val="single" w:sz="4" w:space="0" w:color="000000"/>
              <w:bottom w:val="single" w:sz="4" w:space="0" w:color="000000"/>
              <w:right w:val="single" w:sz="4" w:space="0" w:color="000000"/>
            </w:tcBorders>
          </w:tcPr>
          <w:p>
            <w:pPr/>
          </w:p>
        </w:tc>
        <w:tc>
          <w:tcPr>
            <w:tcW w:w="965" w:type="dxa"/>
            <w:vMerge/>
            <w:tcBorders>
              <w:left w:val="single" w:sz="4" w:space="0" w:color="000000"/>
              <w:bottom w:val="single" w:sz="4" w:space="0" w:color="000000"/>
              <w:right w:val="single" w:sz="4" w:space="0" w:color="000000"/>
            </w:tcBorders>
          </w:tcPr>
          <w:p>
            <w:pPr/>
          </w:p>
        </w:tc>
        <w:tc>
          <w:tcPr>
            <w:tcW w:w="964" w:type="dxa"/>
            <w:vMerge/>
            <w:tcBorders>
              <w:left w:val="single" w:sz="4" w:space="0" w:color="000000"/>
              <w:bottom w:val="single" w:sz="4" w:space="0" w:color="000000"/>
              <w:right w:val="single" w:sz="4" w:space="0" w:color="000000"/>
            </w:tcBorders>
          </w:tcPr>
          <w:p>
            <w:pPr/>
          </w:p>
        </w:tc>
      </w:tr>
      <w:tr>
        <w:trPr>
          <w:trHeight w:val="403" w:hRule="exact"/>
        </w:trPr>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1"/>
              <w:jc w:val="right"/>
              <w:rPr>
                <w:rFonts w:ascii="Times New Roman" w:hAnsi="Times New Roman" w:cs="Times New Roman" w:eastAsia="Times New Roman" w:hint="default"/>
                <w:sz w:val="18"/>
                <w:szCs w:val="18"/>
              </w:rPr>
            </w:pPr>
            <w:r>
              <w:rPr>
                <w:rFonts w:ascii="Times New Roman"/>
                <w:sz w:val="18"/>
              </w:rPr>
              <w:t>0.00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13" w:right="0"/>
              <w:jc w:val="left"/>
              <w:rPr>
                <w:rFonts w:ascii="Times New Roman" w:hAnsi="Times New Roman" w:cs="Times New Roman" w:eastAsia="Times New Roman" w:hint="default"/>
                <w:sz w:val="18"/>
                <w:szCs w:val="18"/>
              </w:rPr>
            </w:pPr>
            <w:r>
              <w:rPr>
                <w:rFonts w:ascii="Times New Roman"/>
                <w:sz w:val="18"/>
              </w:rPr>
              <w:t>0.00</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13" w:right="0"/>
              <w:jc w:val="left"/>
              <w:rPr>
                <w:rFonts w:ascii="Times New Roman" w:hAnsi="Times New Roman" w:cs="Times New Roman" w:eastAsia="Times New Roman" w:hint="default"/>
                <w:sz w:val="18"/>
                <w:szCs w:val="18"/>
              </w:rPr>
            </w:pPr>
            <w:r>
              <w:rPr>
                <w:rFonts w:ascii="Times New Roman"/>
                <w:sz w:val="18"/>
              </w:rPr>
              <w:t>0.00</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其他变动的内容</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pacing w:val="-3"/>
          <w:sz w:val="18"/>
          <w:szCs w:val="18"/>
        </w:rPr>
        <w:t>年度收到北京华盖映月影视文化投资合伙企业分红款 </w:t>
      </w:r>
      <w:r>
        <w:rPr>
          <w:rFonts w:ascii="Times New Roman" w:hAnsi="Times New Roman" w:cs="Times New Roman" w:eastAsia="Times New Roman" w:hint="default"/>
          <w:sz w:val="18"/>
          <w:szCs w:val="18"/>
        </w:rPr>
        <w:t>1,828,817.64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6"/>
          <w:szCs w:val="1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报告期内公司主要资产计量属性是否发生重大变化</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3"/>
        <w:rPr>
          <w:rFonts w:ascii="宋体" w:hAnsi="宋体" w:cs="宋体" w:eastAsia="宋体" w:hint="default"/>
          <w:b/>
          <w:bCs/>
          <w:sz w:val="26"/>
          <w:szCs w:val="26"/>
        </w:rPr>
      </w:pPr>
    </w:p>
    <w:tbl>
      <w:tblPr>
        <w:tblW w:w="0" w:type="auto"/>
        <w:jc w:val="left"/>
        <w:tblInd w:w="146" w:type="dxa"/>
        <w:tblLayout w:type="fixed"/>
        <w:tblCellMar>
          <w:top w:w="0" w:type="dxa"/>
          <w:left w:w="0" w:type="dxa"/>
          <w:bottom w:w="0" w:type="dxa"/>
          <w:right w:w="0" w:type="dxa"/>
        </w:tblCellMar>
        <w:tblLook w:val="01E0"/>
      </w:tblPr>
      <w:tblGrid>
        <w:gridCol w:w="3642"/>
        <w:gridCol w:w="4062"/>
        <w:gridCol w:w="2027"/>
      </w:tblGrid>
      <w:tr>
        <w:trPr>
          <w:trHeight w:val="341" w:hRule="exact"/>
        </w:trPr>
        <w:tc>
          <w:tcPr>
            <w:tcW w:w="364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5"/>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06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c>
          <w:tcPr>
            <w:tcW w:w="202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5"/>
              <w:ind w:left="9"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663" w:hRule="exact"/>
        </w:trPr>
        <w:tc>
          <w:tcPr>
            <w:tcW w:w="364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4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118,077,396.25</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22"/>
              <w:jc w:val="left"/>
              <w:rPr>
                <w:rFonts w:ascii="宋体" w:hAnsi="宋体" w:cs="宋体" w:eastAsia="宋体" w:hint="default"/>
                <w:sz w:val="18"/>
                <w:szCs w:val="18"/>
              </w:rPr>
            </w:pPr>
            <w:r>
              <w:rPr>
                <w:rFonts w:ascii="宋体" w:hAnsi="宋体" w:cs="宋体" w:eastAsia="宋体" w:hint="default"/>
                <w:spacing w:val="-3"/>
                <w:sz w:val="18"/>
                <w:szCs w:val="18"/>
              </w:rPr>
              <w:t>履约保证金及用于借款抵</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押的存款借款保证金</w:t>
            </w:r>
          </w:p>
        </w:tc>
      </w:tr>
      <w:tr>
        <w:trPr>
          <w:trHeight w:val="662" w:hRule="exact"/>
        </w:trPr>
        <w:tc>
          <w:tcPr>
            <w:tcW w:w="364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4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190,441,200.00</w:t>
            </w:r>
          </w:p>
        </w:tc>
        <w:tc>
          <w:tcPr>
            <w:tcW w:w="2027" w:type="dxa"/>
            <w:tcBorders>
              <w:top w:val="single" w:sz="6" w:space="0" w:color="000000"/>
              <w:left w:val="single" w:sz="6" w:space="0" w:color="000000"/>
              <w:bottom w:val="single" w:sz="10" w:space="0" w:color="000000"/>
              <w:right w:val="single" w:sz="6" w:space="0" w:color="000000"/>
            </w:tcBorders>
          </w:tcPr>
          <w:p>
            <w:pPr>
              <w:pStyle w:val="TableParagraph"/>
              <w:spacing w:line="316" w:lineRule="auto" w:before="20"/>
              <w:ind w:left="4" w:right="22"/>
              <w:jc w:val="left"/>
              <w:rPr>
                <w:rFonts w:ascii="宋体" w:hAnsi="宋体" w:cs="宋体" w:eastAsia="宋体" w:hint="default"/>
                <w:sz w:val="18"/>
                <w:szCs w:val="18"/>
              </w:rPr>
            </w:pPr>
            <w:r>
              <w:rPr>
                <w:rFonts w:ascii="宋体" w:hAnsi="宋体" w:cs="宋体" w:eastAsia="宋体" w:hint="default"/>
                <w:spacing w:val="-3"/>
                <w:sz w:val="18"/>
                <w:szCs w:val="18"/>
              </w:rPr>
              <w:t>借款保函保证金（定期存</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单）</w:t>
            </w:r>
          </w:p>
        </w:tc>
      </w:tr>
      <w:tr>
        <w:trPr>
          <w:trHeight w:val="336" w:hRule="exact"/>
        </w:trPr>
        <w:tc>
          <w:tcPr>
            <w:tcW w:w="364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062"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pacing w:val="-1"/>
                <w:sz w:val="18"/>
              </w:rPr>
              <w:t>308,518,596.25</w:t>
            </w:r>
          </w:p>
        </w:tc>
        <w:tc>
          <w:tcPr>
            <w:tcW w:w="202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57"/>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1"/>
          <w:szCs w:val="21"/>
        </w:rPr>
      </w:pPr>
    </w:p>
    <w:p>
      <w:pPr>
        <w:pStyle w:val="Heading2"/>
        <w:spacing w:line="240" w:lineRule="auto" w:before="26"/>
        <w:ind w:right="0"/>
        <w:jc w:val="left"/>
        <w:rPr>
          <w:b w:val="0"/>
          <w:bCs w:val="0"/>
        </w:rPr>
      </w:pPr>
      <w:bookmarkStart w:name="五、投资状况" w:id="45"/>
      <w:bookmarkEnd w:id="45"/>
      <w:r>
        <w:rPr>
          <w:b w:val="0"/>
          <w:bCs w:val="0"/>
        </w:rPr>
      </w:r>
      <w:r>
        <w:rPr/>
        <w:t>五、投资状况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报告期投资额（元）</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36" w:right="0"/>
              <w:jc w:val="left"/>
              <w:rPr>
                <w:rFonts w:ascii="Times New Roman" w:hAnsi="Times New Roman" w:cs="Times New Roman" w:eastAsia="Times New Roman" w:hint="default"/>
                <w:sz w:val="18"/>
                <w:szCs w:val="18"/>
              </w:rPr>
            </w:pPr>
            <w:r>
              <w:rPr>
                <w:rFonts w:ascii="Times New Roman"/>
                <w:sz w:val="18"/>
              </w:rPr>
              <w:t>308,752,560.00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36" w:right="0"/>
              <w:jc w:val="left"/>
              <w:rPr>
                <w:rFonts w:ascii="Times New Roman" w:hAnsi="Times New Roman" w:cs="Times New Roman" w:eastAsia="Times New Roman" w:hint="default"/>
                <w:sz w:val="18"/>
                <w:szCs w:val="18"/>
              </w:rPr>
            </w:pPr>
            <w:r>
              <w:rPr>
                <w:rFonts w:ascii="Times New Roman"/>
                <w:sz w:val="18"/>
              </w:rPr>
              <w:t>402,730,041.50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-23.34%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0"/>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4"/>
        <w:spacing w:line="240" w:lineRule="auto" w:before="36"/>
        <w:ind w:right="0"/>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pStyle w:val="Heading4"/>
        <w:spacing w:line="240" w:lineRule="auto"/>
        <w:ind w:right="0"/>
        <w:jc w:val="left"/>
        <w:rPr>
          <w:b w:val="0"/>
          <w:bCs w:val="0"/>
        </w:rPr>
      </w:pPr>
      <w:bookmarkStart w:name="4、金融资产投资" w:id="49"/>
      <w:bookmarkEnd w:id="49"/>
      <w:r>
        <w:rPr>
          <w:b w:val="0"/>
          <w:bCs w:val="0"/>
        </w:rPr>
      </w:r>
      <w:r>
        <w:rPr>
          <w:rFonts w:ascii="Times New Roman" w:hAnsi="Times New Roman" w:cs="Times New Roman" w:eastAsia="Times New Roman" w:hint="default"/>
        </w:rPr>
        <w:t>4</w:t>
      </w:r>
      <w:r>
        <w:rPr/>
        <w:t>、金融资产投资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证券投资情况" w:id="50"/>
      <w:bookmarkEnd w:id="50"/>
      <w:r>
        <w:rPr>
          <w:b w:val="0"/>
          <w:bCs w:val="0"/>
        </w:rPr>
      </w:r>
      <w:r>
        <w:rPr/>
        <w:t>（</w:t>
      </w:r>
      <w:r>
        <w:rPr>
          <w:rFonts w:ascii="Times New Roman" w:hAnsi="Times New Roman" w:cs="Times New Roman" w:eastAsia="Times New Roman" w:hint="default"/>
        </w:rPr>
        <w:t>1</w:t>
      </w:r>
      <w:r>
        <w:rPr/>
        <w:t>）证券投资情况</w:t>
      </w:r>
      <w:r>
        <w:rPr>
          <w:b w:val="0"/>
          <w:bCs w:val="0"/>
        </w:rPr>
      </w:r>
    </w:p>
    <w:p>
      <w:pPr>
        <w:spacing w:line="240" w:lineRule="auto" w:before="1"/>
        <w:rPr>
          <w:rFonts w:ascii="宋体" w:hAnsi="宋体" w:cs="宋体" w:eastAsia="宋体" w:hint="default"/>
          <w:b/>
          <w:bCs/>
          <w:sz w:val="27"/>
          <w:szCs w:val="27"/>
        </w:rPr>
      </w:pPr>
    </w:p>
    <w:p>
      <w:pPr>
        <w:spacing w:line="338" w:lineRule="auto" w:before="0"/>
        <w:ind w:left="153" w:right="72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公司报告期不存在证券投资。</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2）衍生品投资情况" w:id="51"/>
      <w:bookmarkEnd w:id="51"/>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1"/>
        <w:rPr>
          <w:rFonts w:ascii="宋体" w:hAnsi="宋体" w:cs="宋体" w:eastAsia="宋体" w:hint="default"/>
          <w:b/>
          <w:bCs/>
          <w:sz w:val="27"/>
          <w:szCs w:val="27"/>
        </w:rPr>
      </w:pPr>
    </w:p>
    <w:p>
      <w:pPr>
        <w:spacing w:line="343" w:lineRule="auto" w:before="0"/>
        <w:ind w:left="153" w:right="72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公司报告期不存在衍生品投资。</w:t>
      </w:r>
    </w:p>
    <w:p>
      <w:pPr>
        <w:spacing w:line="240" w:lineRule="auto" w:before="5"/>
        <w:rPr>
          <w:rFonts w:ascii="宋体" w:hAnsi="宋体" w:cs="宋体" w:eastAsia="宋体" w:hint="default"/>
          <w:sz w:val="20"/>
          <w:szCs w:val="20"/>
        </w:rPr>
      </w:pPr>
    </w:p>
    <w:p>
      <w:pPr>
        <w:pStyle w:val="Heading4"/>
        <w:spacing w:line="240" w:lineRule="auto"/>
        <w:ind w:right="0"/>
        <w:jc w:val="left"/>
        <w:rPr>
          <w:b w:val="0"/>
          <w:bCs w:val="0"/>
        </w:rPr>
      </w:pPr>
      <w:bookmarkStart w:name="5、募集资金使用情况" w:id="52"/>
      <w:bookmarkEnd w:id="52"/>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1"/>
        <w:rPr>
          <w:rFonts w:ascii="宋体" w:hAnsi="宋体" w:cs="宋体" w:eastAsia="宋体" w:hint="default"/>
          <w:b/>
          <w:bCs/>
          <w:sz w:val="27"/>
          <w:szCs w:val="27"/>
        </w:rPr>
      </w:pPr>
    </w:p>
    <w:p>
      <w:pPr>
        <w:spacing w:line="338" w:lineRule="auto" w:before="0"/>
        <w:ind w:left="153" w:right="72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公司报告期无募集资金使用情况。</w:t>
      </w:r>
    </w:p>
    <w:p>
      <w:pPr>
        <w:spacing w:line="240" w:lineRule="auto" w:before="9"/>
        <w:rPr>
          <w:rFonts w:ascii="宋体" w:hAnsi="宋体" w:cs="宋体" w:eastAsia="宋体" w:hint="default"/>
          <w:sz w:val="18"/>
          <w:szCs w:val="18"/>
        </w:rPr>
      </w:pPr>
    </w:p>
    <w:p>
      <w:pPr>
        <w:pStyle w:val="Heading2"/>
        <w:spacing w:line="240" w:lineRule="auto"/>
        <w:ind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9"/>
        <w:rPr>
          <w:rFonts w:ascii="宋体" w:hAnsi="宋体" w:cs="宋体" w:eastAsia="宋体" w:hint="default"/>
          <w:b/>
          <w:bCs/>
          <w:sz w:val="26"/>
          <w:szCs w:val="26"/>
        </w:rPr>
      </w:pPr>
    </w:p>
    <w:p>
      <w:pPr>
        <w:spacing w:line="343" w:lineRule="auto" w:before="0"/>
        <w:ind w:left="153" w:right="72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公司报告期未出售重大资产。</w:t>
      </w:r>
    </w:p>
    <w:p>
      <w:pPr>
        <w:spacing w:line="240" w:lineRule="auto" w:before="5"/>
        <w:rPr>
          <w:rFonts w:ascii="宋体" w:hAnsi="宋体" w:cs="宋体" w:eastAsia="宋体" w:hint="default"/>
          <w:sz w:val="20"/>
          <w:szCs w:val="20"/>
        </w:rPr>
      </w:pPr>
    </w:p>
    <w:p>
      <w:pPr>
        <w:pStyle w:val="Heading4"/>
        <w:spacing w:line="240" w:lineRule="auto"/>
        <w:ind w:right="0"/>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686"/>
        <w:gridCol w:w="682"/>
        <w:gridCol w:w="682"/>
        <w:gridCol w:w="686"/>
        <w:gridCol w:w="682"/>
        <w:gridCol w:w="682"/>
        <w:gridCol w:w="682"/>
        <w:gridCol w:w="686"/>
        <w:gridCol w:w="682"/>
        <w:gridCol w:w="682"/>
        <w:gridCol w:w="687"/>
        <w:gridCol w:w="682"/>
        <w:gridCol w:w="682"/>
        <w:gridCol w:w="686"/>
      </w:tblGrid>
      <w:tr>
        <w:trPr>
          <w:trHeight w:val="3836"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21" w:lineRule="auto"/>
              <w:ind w:left="249" w:right="65" w:hanging="183"/>
              <w:jc w:val="left"/>
              <w:rPr>
                <w:rFonts w:ascii="宋体" w:hAnsi="宋体" w:cs="宋体" w:eastAsia="宋体" w:hint="default"/>
                <w:sz w:val="18"/>
                <w:szCs w:val="18"/>
              </w:rPr>
            </w:pPr>
            <w:r>
              <w:rPr>
                <w:rFonts w:ascii="宋体" w:hAnsi="宋体" w:cs="宋体" w:eastAsia="宋体" w:hint="default"/>
                <w:sz w:val="18"/>
                <w:szCs w:val="18"/>
              </w:rPr>
              <w:t>交易对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21" w:lineRule="auto"/>
              <w:ind w:left="158" w:right="60" w:hanging="92"/>
              <w:jc w:val="left"/>
              <w:rPr>
                <w:rFonts w:ascii="宋体" w:hAnsi="宋体" w:cs="宋体" w:eastAsia="宋体" w:hint="default"/>
                <w:sz w:val="18"/>
                <w:szCs w:val="18"/>
              </w:rPr>
            </w:pPr>
            <w:r>
              <w:rPr>
                <w:rFonts w:ascii="宋体" w:hAnsi="宋体" w:cs="宋体" w:eastAsia="宋体" w:hint="default"/>
                <w:sz w:val="18"/>
                <w:szCs w:val="18"/>
              </w:rPr>
              <w:t>被出售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股权</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67"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交易价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格（万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元）</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9" w:lineRule="auto"/>
              <w:ind w:left="67" w:right="60"/>
              <w:jc w:val="both"/>
              <w:rPr>
                <w:rFonts w:ascii="宋体" w:hAnsi="宋体" w:cs="宋体" w:eastAsia="宋体" w:hint="default"/>
                <w:sz w:val="18"/>
                <w:szCs w:val="18"/>
              </w:rPr>
            </w:pPr>
            <w:r>
              <w:rPr>
                <w:rFonts w:ascii="宋体" w:hAnsi="宋体" w:cs="宋体" w:eastAsia="宋体" w:hint="default"/>
                <w:sz w:val="18"/>
                <w:szCs w:val="18"/>
              </w:rPr>
              <w:t>本期初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起至出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售日该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股权为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上市公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司贡献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的净利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润（万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元）</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67" w:right="60"/>
              <w:jc w:val="both"/>
              <w:rPr>
                <w:rFonts w:ascii="宋体" w:hAnsi="宋体" w:cs="宋体" w:eastAsia="宋体" w:hint="default"/>
                <w:sz w:val="18"/>
                <w:szCs w:val="18"/>
              </w:rPr>
            </w:pPr>
            <w:r>
              <w:rPr>
                <w:rFonts w:ascii="宋体" w:hAnsi="宋体" w:cs="宋体" w:eastAsia="宋体" w:hint="default"/>
                <w:sz w:val="18"/>
                <w:szCs w:val="18"/>
              </w:rPr>
              <w:t>出售对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影响</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67" w:right="60"/>
              <w:jc w:val="both"/>
              <w:rPr>
                <w:rFonts w:ascii="宋体" w:hAnsi="宋体" w:cs="宋体" w:eastAsia="宋体" w:hint="default"/>
                <w:sz w:val="18"/>
                <w:szCs w:val="18"/>
              </w:rPr>
            </w:pPr>
            <w:r>
              <w:rPr>
                <w:rFonts w:ascii="宋体" w:hAnsi="宋体" w:cs="宋体" w:eastAsia="宋体" w:hint="default"/>
                <w:sz w:val="18"/>
                <w:szCs w:val="18"/>
              </w:rPr>
              <w:t>股权出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售为上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市公司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贡献的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净利润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占净利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润总额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的比例</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71" w:right="60"/>
              <w:jc w:val="both"/>
              <w:rPr>
                <w:rFonts w:ascii="宋体" w:hAnsi="宋体" w:cs="宋体" w:eastAsia="宋体" w:hint="default"/>
                <w:sz w:val="18"/>
                <w:szCs w:val="18"/>
              </w:rPr>
            </w:pPr>
            <w:r>
              <w:rPr>
                <w:rFonts w:ascii="宋体" w:hAnsi="宋体" w:cs="宋体" w:eastAsia="宋体" w:hint="default"/>
                <w:sz w:val="18"/>
                <w:szCs w:val="18"/>
              </w:rPr>
              <w:t>股权出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售定价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原则</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67" w:right="60"/>
              <w:jc w:val="center"/>
              <w:rPr>
                <w:rFonts w:ascii="宋体" w:hAnsi="宋体" w:cs="宋体" w:eastAsia="宋体" w:hint="default"/>
                <w:sz w:val="18"/>
                <w:szCs w:val="18"/>
              </w:rPr>
            </w:pPr>
            <w:r>
              <w:rPr>
                <w:rFonts w:ascii="宋体" w:hAnsi="宋体" w:cs="宋体" w:eastAsia="宋体" w:hint="default"/>
                <w:spacing w:val="-2"/>
                <w:sz w:val="18"/>
                <w:szCs w:val="18"/>
              </w:rPr>
              <w:t>是否为</w:t>
            </w:r>
            <w:r>
              <w:rPr>
                <w:rFonts w:ascii="宋体" w:hAnsi="宋体" w:cs="宋体" w:eastAsia="宋体" w:hint="default"/>
                <w:w w:val="101"/>
                <w:sz w:val="18"/>
                <w:szCs w:val="18"/>
              </w:rPr>
              <w:t> </w:t>
            </w:r>
            <w:r>
              <w:rPr>
                <w:rFonts w:ascii="宋体" w:hAnsi="宋体" w:cs="宋体" w:eastAsia="宋体" w:hint="default"/>
                <w:spacing w:val="-2"/>
                <w:sz w:val="18"/>
                <w:szCs w:val="18"/>
              </w:rPr>
              <w:t>关联交</w:t>
            </w:r>
            <w:r>
              <w:rPr>
                <w:rFonts w:ascii="宋体" w:hAnsi="宋体" w:cs="宋体" w:eastAsia="宋体" w:hint="default"/>
                <w:w w:val="101"/>
                <w:sz w:val="18"/>
                <w:szCs w:val="18"/>
              </w:rPr>
              <w:t> </w:t>
            </w:r>
            <w:r>
              <w:rPr>
                <w:rFonts w:ascii="宋体" w:hAnsi="宋体" w:cs="宋体" w:eastAsia="宋体" w:hint="default"/>
                <w:sz w:val="18"/>
                <w:szCs w:val="18"/>
              </w:rPr>
              <w:t>易</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67" w:right="60"/>
              <w:jc w:val="center"/>
              <w:rPr>
                <w:rFonts w:ascii="宋体" w:hAnsi="宋体" w:cs="宋体" w:eastAsia="宋体" w:hint="default"/>
                <w:sz w:val="18"/>
                <w:szCs w:val="18"/>
              </w:rPr>
            </w:pPr>
            <w:r>
              <w:rPr>
                <w:rFonts w:ascii="宋体" w:hAnsi="宋体" w:cs="宋体" w:eastAsia="宋体" w:hint="default"/>
                <w:spacing w:val="-2"/>
                <w:sz w:val="18"/>
                <w:szCs w:val="18"/>
              </w:rPr>
              <w:t>与交易</w:t>
            </w:r>
            <w:r>
              <w:rPr>
                <w:rFonts w:ascii="宋体" w:hAnsi="宋体" w:cs="宋体" w:eastAsia="宋体" w:hint="default"/>
                <w:w w:val="101"/>
                <w:sz w:val="18"/>
                <w:szCs w:val="18"/>
              </w:rPr>
              <w:t> </w:t>
            </w:r>
            <w:r>
              <w:rPr>
                <w:rFonts w:ascii="宋体" w:hAnsi="宋体" w:cs="宋体" w:eastAsia="宋体" w:hint="default"/>
                <w:spacing w:val="-2"/>
                <w:sz w:val="18"/>
                <w:szCs w:val="18"/>
              </w:rPr>
              <w:t>对方的</w:t>
            </w:r>
            <w:r>
              <w:rPr>
                <w:rFonts w:ascii="宋体" w:hAnsi="宋体" w:cs="宋体" w:eastAsia="宋体" w:hint="default"/>
                <w:w w:val="101"/>
                <w:sz w:val="18"/>
                <w:szCs w:val="18"/>
              </w:rPr>
              <w:t> </w:t>
            </w:r>
            <w:r>
              <w:rPr>
                <w:rFonts w:ascii="宋体" w:hAnsi="宋体" w:cs="宋体" w:eastAsia="宋体" w:hint="default"/>
                <w:spacing w:val="-2"/>
                <w:sz w:val="18"/>
                <w:szCs w:val="18"/>
              </w:rPr>
              <w:t>关联关</w:t>
            </w:r>
            <w:r>
              <w:rPr>
                <w:rFonts w:ascii="宋体" w:hAnsi="宋体" w:cs="宋体" w:eastAsia="宋体" w:hint="default"/>
                <w:w w:val="101"/>
                <w:sz w:val="18"/>
                <w:szCs w:val="18"/>
              </w:rPr>
              <w:t> </w:t>
            </w:r>
            <w:r>
              <w:rPr>
                <w:rFonts w:ascii="宋体" w:hAnsi="宋体" w:cs="宋体" w:eastAsia="宋体" w:hint="default"/>
                <w:sz w:val="18"/>
                <w:szCs w:val="18"/>
              </w:rPr>
              <w:t>系</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67" w:right="65"/>
              <w:jc w:val="center"/>
              <w:rPr>
                <w:rFonts w:ascii="宋体" w:hAnsi="宋体" w:cs="宋体" w:eastAsia="宋体" w:hint="default"/>
                <w:sz w:val="18"/>
                <w:szCs w:val="18"/>
              </w:rPr>
            </w:pPr>
            <w:r>
              <w:rPr>
                <w:rFonts w:ascii="宋体" w:hAnsi="宋体" w:cs="宋体" w:eastAsia="宋体" w:hint="default"/>
                <w:spacing w:val="-2"/>
                <w:sz w:val="18"/>
                <w:szCs w:val="18"/>
              </w:rPr>
              <w:t>所涉及</w:t>
            </w:r>
            <w:r>
              <w:rPr>
                <w:rFonts w:ascii="宋体" w:hAnsi="宋体" w:cs="宋体" w:eastAsia="宋体" w:hint="default"/>
                <w:w w:val="101"/>
                <w:sz w:val="18"/>
                <w:szCs w:val="18"/>
              </w:rPr>
              <w:t> </w:t>
            </w:r>
            <w:r>
              <w:rPr>
                <w:rFonts w:ascii="宋体" w:hAnsi="宋体" w:cs="宋体" w:eastAsia="宋体" w:hint="default"/>
                <w:spacing w:val="-2"/>
                <w:sz w:val="18"/>
                <w:szCs w:val="18"/>
              </w:rPr>
              <w:t>的股权</w:t>
            </w:r>
            <w:r>
              <w:rPr>
                <w:rFonts w:ascii="宋体" w:hAnsi="宋体" w:cs="宋体" w:eastAsia="宋体" w:hint="default"/>
                <w:w w:val="101"/>
                <w:sz w:val="18"/>
                <w:szCs w:val="18"/>
              </w:rPr>
              <w:t> </w:t>
            </w:r>
            <w:r>
              <w:rPr>
                <w:rFonts w:ascii="宋体" w:hAnsi="宋体" w:cs="宋体" w:eastAsia="宋体" w:hint="default"/>
                <w:spacing w:val="-2"/>
                <w:sz w:val="18"/>
                <w:szCs w:val="18"/>
              </w:rPr>
              <w:t>是否已</w:t>
            </w:r>
            <w:r>
              <w:rPr>
                <w:rFonts w:ascii="宋体" w:hAnsi="宋体" w:cs="宋体" w:eastAsia="宋体" w:hint="default"/>
                <w:w w:val="101"/>
                <w:sz w:val="18"/>
                <w:szCs w:val="18"/>
              </w:rPr>
              <w:t> </w:t>
            </w:r>
            <w:r>
              <w:rPr>
                <w:rFonts w:ascii="宋体" w:hAnsi="宋体" w:cs="宋体" w:eastAsia="宋体" w:hint="default"/>
                <w:spacing w:val="-2"/>
                <w:sz w:val="18"/>
                <w:szCs w:val="18"/>
              </w:rPr>
              <w:t>全部过</w:t>
            </w:r>
            <w:r>
              <w:rPr>
                <w:rFonts w:ascii="宋体" w:hAnsi="宋体" w:cs="宋体" w:eastAsia="宋体" w:hint="default"/>
                <w:w w:val="101"/>
                <w:sz w:val="18"/>
                <w:szCs w:val="18"/>
              </w:rPr>
              <w:t> </w:t>
            </w:r>
            <w:r>
              <w:rPr>
                <w:rFonts w:ascii="宋体" w:hAnsi="宋体" w:cs="宋体" w:eastAsia="宋体" w:hint="default"/>
                <w:sz w:val="18"/>
                <w:szCs w:val="18"/>
              </w:rPr>
              <w:t>户</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67" w:right="60"/>
              <w:jc w:val="center"/>
              <w:rPr>
                <w:rFonts w:ascii="宋体" w:hAnsi="宋体" w:cs="宋体" w:eastAsia="宋体" w:hint="default"/>
                <w:sz w:val="18"/>
                <w:szCs w:val="18"/>
              </w:rPr>
            </w:pPr>
            <w:r>
              <w:rPr>
                <w:rFonts w:ascii="宋体" w:hAnsi="宋体" w:cs="宋体" w:eastAsia="宋体" w:hint="default"/>
                <w:spacing w:val="-2"/>
                <w:sz w:val="18"/>
                <w:szCs w:val="18"/>
              </w:rPr>
              <w:t>是否按</w:t>
            </w:r>
            <w:r>
              <w:rPr>
                <w:rFonts w:ascii="宋体" w:hAnsi="宋体" w:cs="宋体" w:eastAsia="宋体" w:hint="default"/>
                <w:w w:val="101"/>
                <w:sz w:val="18"/>
                <w:szCs w:val="18"/>
              </w:rPr>
              <w:t> </w:t>
            </w:r>
            <w:r>
              <w:rPr>
                <w:rFonts w:ascii="宋体" w:hAnsi="宋体" w:cs="宋体" w:eastAsia="宋体" w:hint="default"/>
                <w:spacing w:val="-2"/>
                <w:sz w:val="18"/>
                <w:szCs w:val="18"/>
              </w:rPr>
              <w:t>计划如</w:t>
            </w:r>
            <w:r>
              <w:rPr>
                <w:rFonts w:ascii="宋体" w:hAnsi="宋体" w:cs="宋体" w:eastAsia="宋体" w:hint="default"/>
                <w:w w:val="101"/>
                <w:sz w:val="18"/>
                <w:szCs w:val="18"/>
              </w:rPr>
              <w:t> </w:t>
            </w:r>
            <w:r>
              <w:rPr>
                <w:rFonts w:ascii="宋体" w:hAnsi="宋体" w:cs="宋体" w:eastAsia="宋体" w:hint="default"/>
                <w:sz w:val="18"/>
                <w:szCs w:val="18"/>
              </w:rPr>
              <w:t>期实</w:t>
            </w:r>
            <w:r>
              <w:rPr>
                <w:rFonts w:ascii="宋体" w:hAnsi="宋体" w:cs="宋体" w:eastAsia="宋体" w:hint="default"/>
                <w:w w:val="101"/>
                <w:sz w:val="18"/>
                <w:szCs w:val="18"/>
              </w:rPr>
              <w:t> </w:t>
            </w:r>
            <w:r>
              <w:rPr>
                <w:rFonts w:ascii="宋体" w:hAnsi="宋体" w:cs="宋体" w:eastAsia="宋体" w:hint="default"/>
                <w:spacing w:val="-2"/>
                <w:sz w:val="18"/>
                <w:szCs w:val="18"/>
              </w:rPr>
              <w:t>施，如</w:t>
            </w:r>
            <w:r>
              <w:rPr>
                <w:rFonts w:ascii="宋体" w:hAnsi="宋体" w:cs="宋体" w:eastAsia="宋体" w:hint="default"/>
                <w:w w:val="101"/>
                <w:sz w:val="18"/>
                <w:szCs w:val="18"/>
              </w:rPr>
              <w:t> </w:t>
            </w:r>
            <w:r>
              <w:rPr>
                <w:rFonts w:ascii="宋体" w:hAnsi="宋体" w:cs="宋体" w:eastAsia="宋体" w:hint="default"/>
                <w:spacing w:val="-2"/>
                <w:sz w:val="18"/>
                <w:szCs w:val="18"/>
              </w:rPr>
              <w:t>未按计</w:t>
            </w:r>
            <w:r>
              <w:rPr>
                <w:rFonts w:ascii="宋体" w:hAnsi="宋体" w:cs="宋体" w:eastAsia="宋体" w:hint="default"/>
                <w:w w:val="101"/>
                <w:sz w:val="18"/>
                <w:szCs w:val="18"/>
              </w:rPr>
              <w:t> </w:t>
            </w:r>
            <w:r>
              <w:rPr>
                <w:rFonts w:ascii="宋体" w:hAnsi="宋体" w:cs="宋体" w:eastAsia="宋体" w:hint="default"/>
                <w:sz w:val="18"/>
                <w:szCs w:val="18"/>
              </w:rPr>
              <w:t>划实</w:t>
            </w:r>
            <w:r>
              <w:rPr>
                <w:rFonts w:ascii="宋体" w:hAnsi="宋体" w:cs="宋体" w:eastAsia="宋体" w:hint="default"/>
                <w:w w:val="101"/>
                <w:sz w:val="18"/>
                <w:szCs w:val="18"/>
              </w:rPr>
              <w:t> </w:t>
            </w:r>
            <w:r>
              <w:rPr>
                <w:rFonts w:ascii="宋体" w:hAnsi="宋体" w:cs="宋体" w:eastAsia="宋体" w:hint="default"/>
                <w:spacing w:val="-2"/>
                <w:sz w:val="18"/>
                <w:szCs w:val="18"/>
              </w:rPr>
              <w:t>施，应</w:t>
            </w:r>
            <w:r>
              <w:rPr>
                <w:rFonts w:ascii="宋体" w:hAnsi="宋体" w:cs="宋体" w:eastAsia="宋体" w:hint="default"/>
                <w:w w:val="101"/>
                <w:sz w:val="18"/>
                <w:szCs w:val="18"/>
              </w:rPr>
              <w:t> </w:t>
            </w:r>
            <w:r>
              <w:rPr>
                <w:rFonts w:ascii="宋体" w:hAnsi="宋体" w:cs="宋体" w:eastAsia="宋体" w:hint="default"/>
                <w:spacing w:val="-2"/>
                <w:sz w:val="18"/>
                <w:szCs w:val="18"/>
              </w:rPr>
              <w:t>当说明</w:t>
            </w:r>
            <w:r>
              <w:rPr>
                <w:rFonts w:ascii="宋体" w:hAnsi="宋体" w:cs="宋体" w:eastAsia="宋体" w:hint="default"/>
                <w:w w:val="101"/>
                <w:sz w:val="18"/>
                <w:szCs w:val="18"/>
              </w:rPr>
              <w:t> </w:t>
            </w:r>
            <w:r>
              <w:rPr>
                <w:rFonts w:ascii="宋体" w:hAnsi="宋体" w:cs="宋体" w:eastAsia="宋体" w:hint="default"/>
                <w:spacing w:val="-2"/>
                <w:sz w:val="18"/>
                <w:szCs w:val="18"/>
              </w:rPr>
              <w:t>原因及</w:t>
            </w:r>
            <w:r>
              <w:rPr>
                <w:rFonts w:ascii="宋体" w:hAnsi="宋体" w:cs="宋体" w:eastAsia="宋体" w:hint="default"/>
                <w:w w:val="101"/>
                <w:sz w:val="18"/>
                <w:szCs w:val="18"/>
              </w:rPr>
              <w:t> </w:t>
            </w:r>
            <w:r>
              <w:rPr>
                <w:rFonts w:ascii="宋体" w:hAnsi="宋体" w:cs="宋体" w:eastAsia="宋体" w:hint="default"/>
                <w:spacing w:val="-2"/>
                <w:sz w:val="18"/>
                <w:szCs w:val="18"/>
              </w:rPr>
              <w:t>公司已</w:t>
            </w:r>
            <w:r>
              <w:rPr>
                <w:rFonts w:ascii="宋体" w:hAnsi="宋体" w:cs="宋体" w:eastAsia="宋体" w:hint="default"/>
                <w:w w:val="101"/>
                <w:sz w:val="18"/>
                <w:szCs w:val="18"/>
              </w:rPr>
              <w:t> </w:t>
            </w:r>
            <w:r>
              <w:rPr>
                <w:rFonts w:ascii="宋体" w:hAnsi="宋体" w:cs="宋体" w:eastAsia="宋体" w:hint="default"/>
                <w:spacing w:val="-2"/>
                <w:sz w:val="18"/>
                <w:szCs w:val="18"/>
              </w:rPr>
              <w:t>采取的</w:t>
            </w:r>
            <w:r>
              <w:rPr>
                <w:rFonts w:ascii="宋体" w:hAnsi="宋体" w:cs="宋体" w:eastAsia="宋体" w:hint="default"/>
                <w:w w:val="101"/>
                <w:sz w:val="18"/>
                <w:szCs w:val="18"/>
              </w:rPr>
              <w:t> </w:t>
            </w:r>
            <w:r>
              <w:rPr>
                <w:rFonts w:ascii="宋体" w:hAnsi="宋体" w:cs="宋体" w:eastAsia="宋体" w:hint="default"/>
                <w:sz w:val="18"/>
                <w:szCs w:val="18"/>
              </w:rPr>
              <w:t>措施</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21" w:lineRule="auto"/>
              <w:ind w:left="249" w:right="60" w:hanging="183"/>
              <w:jc w:val="left"/>
              <w:rPr>
                <w:rFonts w:ascii="宋体" w:hAnsi="宋体" w:cs="宋体" w:eastAsia="宋体" w:hint="default"/>
                <w:sz w:val="18"/>
                <w:szCs w:val="18"/>
              </w:rPr>
            </w:pPr>
            <w:r>
              <w:rPr>
                <w:rFonts w:ascii="宋体" w:hAnsi="宋体" w:cs="宋体" w:eastAsia="宋体" w:hint="default"/>
                <w:sz w:val="18"/>
                <w:szCs w:val="18"/>
              </w:rPr>
              <w:t>披露日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21" w:lineRule="auto"/>
              <w:ind w:left="249" w:right="65" w:hanging="183"/>
              <w:jc w:val="left"/>
              <w:rPr>
                <w:rFonts w:ascii="宋体" w:hAnsi="宋体" w:cs="宋体" w:eastAsia="宋体" w:hint="default"/>
                <w:sz w:val="18"/>
                <w:szCs w:val="18"/>
              </w:rPr>
            </w:pPr>
            <w:r>
              <w:rPr>
                <w:rFonts w:ascii="宋体" w:hAnsi="宋体" w:cs="宋体" w:eastAsia="宋体" w:hint="default"/>
                <w:sz w:val="18"/>
                <w:szCs w:val="18"/>
              </w:rPr>
              <w:t>披露索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引</w:t>
            </w:r>
          </w:p>
        </w:tc>
      </w:tr>
    </w:tbl>
    <w:p>
      <w:pPr>
        <w:spacing w:after="0" w:line="321"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86"/>
        <w:gridCol w:w="682"/>
        <w:gridCol w:w="682"/>
        <w:gridCol w:w="686"/>
        <w:gridCol w:w="682"/>
        <w:gridCol w:w="682"/>
        <w:gridCol w:w="682"/>
        <w:gridCol w:w="686"/>
        <w:gridCol w:w="682"/>
        <w:gridCol w:w="682"/>
        <w:gridCol w:w="687"/>
        <w:gridCol w:w="682"/>
        <w:gridCol w:w="682"/>
        <w:gridCol w:w="686"/>
      </w:tblGrid>
      <w:tr>
        <w:trPr>
          <w:trHeight w:val="6957"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华融创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新投资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3" w:right="104"/>
              <w:jc w:val="both"/>
              <w:rPr>
                <w:rFonts w:ascii="宋体" w:hAnsi="宋体" w:cs="宋体" w:eastAsia="宋体" w:hint="default"/>
                <w:sz w:val="18"/>
                <w:szCs w:val="18"/>
              </w:rPr>
            </w:pPr>
            <w:r>
              <w:rPr>
                <w:rFonts w:ascii="宋体" w:hAnsi="宋体" w:cs="宋体" w:eastAsia="宋体" w:hint="default"/>
                <w:sz w:val="18"/>
                <w:szCs w:val="18"/>
              </w:rPr>
              <w:t>华融创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新投资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20%</w:t>
            </w:r>
            <w:r>
              <w:rPr>
                <w:rFonts w:ascii="宋体" w:hAnsi="宋体" w:cs="宋体" w:eastAsia="宋体" w:hint="default"/>
                <w:sz w:val="18"/>
                <w:szCs w:val="18"/>
              </w:rPr>
              <w:t>股</w:t>
            </w:r>
          </w:p>
          <w:p>
            <w:pPr>
              <w:pStyle w:val="TableParagraph"/>
              <w:spacing w:line="240" w:lineRule="auto" w:before="4"/>
              <w:ind w:left="23" w:right="0"/>
              <w:jc w:val="both"/>
              <w:rPr>
                <w:rFonts w:ascii="宋体" w:hAnsi="宋体" w:cs="宋体" w:eastAsia="宋体" w:hint="default"/>
                <w:sz w:val="18"/>
                <w:szCs w:val="18"/>
              </w:rPr>
            </w:pPr>
            <w:r>
              <w:rPr>
                <w:rFonts w:ascii="宋体" w:hAnsi="宋体" w:cs="宋体" w:eastAsia="宋体" w:hint="default"/>
                <w:w w:val="101"/>
                <w:sz w:val="18"/>
                <w:szCs w:val="18"/>
              </w:rPr>
              <w:t>权</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10,907</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-103.37</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319" w:lineRule="auto"/>
              <w:ind w:left="23" w:right="103"/>
              <w:jc w:val="left"/>
              <w:rPr>
                <w:rFonts w:ascii="宋体" w:hAnsi="宋体" w:cs="宋体" w:eastAsia="宋体" w:hint="default"/>
                <w:sz w:val="18"/>
                <w:szCs w:val="18"/>
              </w:rPr>
            </w:pPr>
            <w:r>
              <w:rPr>
                <w:rFonts w:ascii="宋体" w:hAnsi="宋体" w:cs="宋体" w:eastAsia="宋体" w:hint="default"/>
                <w:sz w:val="18"/>
                <w:szCs w:val="18"/>
              </w:rPr>
              <w:t>对公司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持续经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营能力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及当期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财务状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况不会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产生重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大影</w:t>
            </w:r>
            <w:r>
              <w:rPr>
                <w:rFonts w:ascii="宋体" w:hAnsi="宋体" w:cs="宋体" w:eastAsia="宋体" w:hint="default"/>
                <w:spacing w:val="-86"/>
                <w:sz w:val="18"/>
                <w:szCs w:val="18"/>
              </w:rPr>
              <w:t> </w:t>
            </w:r>
            <w:r>
              <w:rPr>
                <w:rFonts w:ascii="宋体" w:hAnsi="宋体" w:cs="宋体" w:eastAsia="宋体" w:hint="default"/>
                <w:sz w:val="18"/>
                <w:szCs w:val="18"/>
              </w:rPr>
              <w:t>响。</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8" w:right="103"/>
              <w:jc w:val="left"/>
              <w:rPr>
                <w:rFonts w:ascii="宋体" w:hAnsi="宋体" w:cs="宋体" w:eastAsia="宋体" w:hint="default"/>
                <w:sz w:val="18"/>
                <w:szCs w:val="18"/>
              </w:rPr>
            </w:pPr>
            <w:r>
              <w:rPr>
                <w:rFonts w:ascii="宋体" w:hAnsi="宋体" w:cs="宋体" w:eastAsia="宋体" w:hint="default"/>
                <w:sz w:val="18"/>
                <w:szCs w:val="18"/>
              </w:rPr>
              <w:t>以第三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方评估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机构出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具的资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产评估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结果为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基准，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结合华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融创新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目前项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目资产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风险状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况等因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素，遵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循科</w:t>
            </w:r>
            <w:r>
              <w:rPr>
                <w:rFonts w:ascii="宋体" w:hAnsi="宋体" w:cs="宋体" w:eastAsia="宋体" w:hint="default"/>
                <w:spacing w:val="-86"/>
                <w:sz w:val="18"/>
                <w:szCs w:val="18"/>
              </w:rPr>
              <w:t> </w:t>
            </w:r>
            <w:r>
              <w:rPr>
                <w:rFonts w:ascii="宋体" w:hAnsi="宋体" w:cs="宋体" w:eastAsia="宋体" w:hint="default"/>
                <w:sz w:val="18"/>
                <w:szCs w:val="18"/>
              </w:rPr>
              <w:t>学、公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平、公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正原</w:t>
            </w:r>
            <w:r>
              <w:rPr>
                <w:rFonts w:ascii="宋体" w:hAnsi="宋体" w:cs="宋体" w:eastAsia="宋体" w:hint="default"/>
                <w:spacing w:val="-86"/>
                <w:sz w:val="18"/>
                <w:szCs w:val="18"/>
              </w:rPr>
              <w:t> </w:t>
            </w:r>
            <w:r>
              <w:rPr>
                <w:rFonts w:ascii="宋体" w:hAnsi="宋体" w:cs="宋体" w:eastAsia="宋体" w:hint="default"/>
                <w:sz w:val="18"/>
                <w:szCs w:val="18"/>
              </w:rPr>
              <w:t>则，按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照持股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比例确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认。</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4" w:right="108"/>
              <w:jc w:val="left"/>
              <w:rPr>
                <w:rFonts w:ascii="宋体" w:hAnsi="宋体" w:cs="宋体" w:eastAsia="宋体" w:hint="default"/>
                <w:sz w:val="18"/>
                <w:szCs w:val="18"/>
              </w:rPr>
            </w:pPr>
            <w:r>
              <w:rPr>
                <w:rFonts w:ascii="宋体" w:hAnsi="宋体" w:cs="宋体" w:eastAsia="宋体" w:hint="default"/>
                <w:sz w:val="18"/>
                <w:szCs w:val="18"/>
              </w:rPr>
              <w:t>《视觉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中国：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关于减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资退出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华融创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新投资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的公</w:t>
            </w:r>
            <w:r>
              <w:rPr>
                <w:rFonts w:ascii="宋体" w:hAnsi="宋体" w:cs="宋体" w:eastAsia="宋体" w:hint="default"/>
                <w:spacing w:val="-86"/>
                <w:sz w:val="18"/>
                <w:szCs w:val="18"/>
              </w:rPr>
              <w:t> </w:t>
            </w:r>
            <w:r>
              <w:rPr>
                <w:rFonts w:ascii="宋体" w:hAnsi="宋体" w:cs="宋体" w:eastAsia="宋体" w:hint="default"/>
                <w:sz w:val="18"/>
                <w:szCs w:val="18"/>
              </w:rPr>
              <w:t>告</w:t>
            </w:r>
            <w:r>
              <w:rPr>
                <w:rFonts w:ascii="宋体" w:hAnsi="宋体" w:cs="宋体" w:eastAsia="宋体" w:hint="default"/>
                <w:spacing w:val="5"/>
                <w:sz w:val="18"/>
                <w:szCs w:val="18"/>
              </w:rPr>
              <w:t> </w:t>
            </w:r>
            <w:r>
              <w:rPr>
                <w:rFonts w:ascii="宋体" w:hAnsi="宋体" w:cs="宋体" w:eastAsia="宋体" w:hint="default"/>
                <w:sz w:val="18"/>
                <w:szCs w:val="18"/>
              </w:rPr>
              <w:t>》</w:t>
            </w:r>
          </w:p>
          <w:p>
            <w:pPr>
              <w:pStyle w:val="TableParagraph"/>
              <w:spacing w:line="338" w:lineRule="auto" w:before="19"/>
              <w:ind w:left="24" w:right="47"/>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编号：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2019-01</w:t>
            </w:r>
          </w:p>
          <w:p>
            <w:pPr>
              <w:pStyle w:val="TableParagraph"/>
              <w:spacing w:line="235"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9"/>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spacing w:before="46"/>
        <w:ind w:left="15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153" w:right="-16"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8"/>
          <w:sz w:val="18"/>
          <w:szCs w:val="18"/>
        </w:rPr>
        <w:t> </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854" w:space="4068"/>
            <w:col w:w="2008"/>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57"/>
        <w:gridCol w:w="1196"/>
        <w:gridCol w:w="1042"/>
        <w:gridCol w:w="1046"/>
        <w:gridCol w:w="1047"/>
        <w:gridCol w:w="1047"/>
        <w:gridCol w:w="1047"/>
        <w:gridCol w:w="1042"/>
        <w:gridCol w:w="1046"/>
      </w:tblGrid>
      <w:tr>
        <w:trPr>
          <w:trHeight w:val="403" w:hRule="exact"/>
        </w:trPr>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6"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华夏视觉</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04"/>
              <w:jc w:val="left"/>
              <w:rPr>
                <w:rFonts w:ascii="宋体" w:hAnsi="宋体" w:cs="宋体" w:eastAsia="宋体" w:hint="default"/>
                <w:sz w:val="18"/>
                <w:szCs w:val="18"/>
              </w:rPr>
            </w:pPr>
            <w:r>
              <w:rPr>
                <w:rFonts w:ascii="宋体" w:hAnsi="宋体" w:cs="宋体" w:eastAsia="宋体" w:hint="default"/>
                <w:spacing w:val="-2"/>
                <w:sz w:val="18"/>
                <w:szCs w:val="18"/>
              </w:rPr>
              <w:t>视觉内容与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23,456,700.0</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1,331,937,31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5.88</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434,106,147.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99</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224,015,670.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21</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25,271,682.6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27,210,010.1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r>
      <w:tr>
        <w:trPr>
          <w:trHeight w:val="710"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汉华易美</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04"/>
              <w:jc w:val="left"/>
              <w:rPr>
                <w:rFonts w:ascii="宋体" w:hAnsi="宋体" w:cs="宋体" w:eastAsia="宋体" w:hint="default"/>
                <w:sz w:val="18"/>
                <w:szCs w:val="18"/>
              </w:rPr>
            </w:pPr>
            <w:r>
              <w:rPr>
                <w:rFonts w:ascii="宋体" w:hAnsi="宋体" w:cs="宋体" w:eastAsia="宋体" w:hint="default"/>
                <w:spacing w:val="-2"/>
                <w:sz w:val="18"/>
                <w:szCs w:val="18"/>
              </w:rPr>
              <w:t>视觉内容与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1,589,229,59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6.82</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859,225,345.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07</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643,760,692.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75</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322,877,602.</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77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281,183,072.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12</w:t>
            </w:r>
          </w:p>
        </w:tc>
      </w:tr>
      <w:tr>
        <w:trPr>
          <w:trHeight w:val="716"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500px</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104"/>
              <w:jc w:val="left"/>
              <w:rPr>
                <w:rFonts w:ascii="宋体" w:hAnsi="宋体" w:cs="宋体" w:eastAsia="宋体" w:hint="default"/>
                <w:sz w:val="18"/>
                <w:szCs w:val="18"/>
              </w:rPr>
            </w:pPr>
            <w:r>
              <w:rPr>
                <w:rFonts w:ascii="宋体" w:hAnsi="宋体" w:cs="宋体" w:eastAsia="宋体" w:hint="default"/>
                <w:spacing w:val="-2"/>
                <w:sz w:val="18"/>
                <w:szCs w:val="18"/>
              </w:rPr>
              <w:t>视觉内容与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157,548,814.</w:t>
            </w:r>
          </w:p>
          <w:p>
            <w:pPr>
              <w:pStyle w:val="TableParagraph"/>
              <w:spacing w:line="240" w:lineRule="auto" w:before="110"/>
              <w:ind w:left="28" w:right="0"/>
              <w:jc w:val="left"/>
              <w:rPr>
                <w:rFonts w:ascii="Times New Roman" w:hAnsi="Times New Roman" w:cs="Times New Roman" w:eastAsia="Times New Roman" w:hint="default"/>
                <w:sz w:val="18"/>
                <w:szCs w:val="18"/>
              </w:rPr>
            </w:pPr>
            <w:r>
              <w:rPr>
                <w:rFonts w:ascii="Times New Roman"/>
                <w:sz w:val="18"/>
              </w:rPr>
              <w:t>88</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74,947,253.4</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8,719,619.26</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34,819,807.0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-7,861,620.0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-7,670,312.2</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r>
      <w:tr>
        <w:trPr>
          <w:trHeight w:val="715"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唱游公司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视觉</w:t>
            </w:r>
            <w:r>
              <w:rPr>
                <w:rFonts w:ascii="Times New Roman" w:hAnsi="Times New Roman" w:cs="Times New Roman" w:eastAsia="Times New Roman" w:hint="default"/>
                <w:sz w:val="18"/>
                <w:szCs w:val="18"/>
              </w:rPr>
              <w:t>+</w:t>
            </w:r>
            <w:r>
              <w:rPr>
                <w:rFonts w:ascii="宋体" w:hAnsi="宋体" w:cs="宋体" w:eastAsia="宋体" w:hint="default"/>
                <w:sz w:val="18"/>
                <w:szCs w:val="18"/>
              </w:rPr>
              <w:t>产业：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旅游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2"/>
                <w:sz w:val="18"/>
              </w:rPr>
              <w:t>133,641,115.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52</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39,218,352.8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27,374,273.8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-29,358,045.</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83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-21,717,448.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67</w:t>
            </w:r>
          </w:p>
        </w:tc>
      </w:tr>
      <w:tr>
        <w:trPr>
          <w:trHeight w:val="716"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湖北司马彦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视觉</w:t>
            </w:r>
            <w:r>
              <w:rPr>
                <w:rFonts w:ascii="Times New Roman" w:hAnsi="Times New Roman" w:cs="Times New Roman" w:eastAsia="Times New Roman" w:hint="default"/>
                <w:sz w:val="18"/>
                <w:szCs w:val="18"/>
              </w:rPr>
              <w:t>+</w:t>
            </w:r>
            <w:r>
              <w:rPr>
                <w:rFonts w:ascii="宋体" w:hAnsi="宋体" w:cs="宋体" w:eastAsia="宋体" w:hint="default"/>
                <w:sz w:val="18"/>
                <w:szCs w:val="18"/>
              </w:rPr>
              <w:t>产业：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教育</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382,155,332.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63</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295,934,362.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83</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208,832,851.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87</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2"/>
                <w:sz w:val="18"/>
              </w:rPr>
              <w:t>112,228,938.</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101,778,870.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87</w:t>
            </w:r>
          </w:p>
        </w:tc>
      </w:tr>
      <w:tr>
        <w:trPr>
          <w:trHeight w:val="710"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易教优培</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视觉</w:t>
            </w:r>
            <w:r>
              <w:rPr>
                <w:rFonts w:ascii="Times New Roman" w:hAnsi="Times New Roman" w:cs="Times New Roman" w:eastAsia="Times New Roman" w:hint="default"/>
                <w:sz w:val="18"/>
                <w:szCs w:val="18"/>
              </w:rPr>
              <w:t>+</w:t>
            </w:r>
            <w:r>
              <w:rPr>
                <w:rFonts w:ascii="宋体" w:hAnsi="宋体" w:cs="宋体" w:eastAsia="宋体" w:hint="default"/>
                <w:sz w:val="18"/>
                <w:szCs w:val="18"/>
              </w:rPr>
              <w:t>产业：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教育</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64,507,136.2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50,222,345.2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47,954,381.0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18,506,558.3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16,193,458.8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报告期内取得和处置子公司的情况</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6"/>
          <w:szCs w:val="26"/>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31" w:right="0"/>
              <w:jc w:val="left"/>
              <w:rPr>
                <w:rFonts w:ascii="宋体" w:hAnsi="宋体" w:cs="宋体" w:eastAsia="宋体" w:hint="default"/>
                <w:sz w:val="18"/>
                <w:szCs w:val="18"/>
              </w:rPr>
            </w:pPr>
            <w:r>
              <w:rPr>
                <w:rFonts w:ascii="宋体" w:hAnsi="宋体" w:cs="宋体" w:eastAsia="宋体" w:hint="default"/>
                <w:spacing w:val="-3"/>
                <w:sz w:val="18"/>
                <w:szCs w:val="18"/>
              </w:rPr>
              <w:t>报告期内取得和处置子公司方式</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pacing w:val="-3"/>
                <w:sz w:val="18"/>
                <w:szCs w:val="18"/>
              </w:rPr>
              <w:t>对整体生产经营和业绩的影响</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上海卓越形象广告传播有限公司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5" w:right="0"/>
              <w:jc w:val="left"/>
              <w:rPr>
                <w:rFonts w:ascii="Times New Roman" w:hAnsi="Times New Roman" w:cs="Times New Roman" w:eastAsia="Times New Roman" w:hint="default"/>
                <w:sz w:val="18"/>
                <w:szCs w:val="18"/>
              </w:rPr>
            </w:pPr>
            <w:r>
              <w:rPr>
                <w:rFonts w:ascii="Times New Roman"/>
                <w:sz w:val="18"/>
              </w:rPr>
              <w:t>1,554,384.24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江苏视觉流信息技术有限公司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5" w:right="0"/>
              <w:jc w:val="left"/>
              <w:rPr>
                <w:rFonts w:ascii="Times New Roman" w:hAnsi="Times New Roman" w:cs="Times New Roman" w:eastAsia="Times New Roman" w:hint="default"/>
                <w:sz w:val="18"/>
                <w:szCs w:val="18"/>
              </w:rPr>
            </w:pPr>
            <w:r>
              <w:rPr>
                <w:rFonts w:ascii="Times New Roman"/>
                <w:sz w:val="18"/>
              </w:rPr>
              <w:t>-243,554.38</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常州叁维视觉科技有限公司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江苏易美视觉科技有限公司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5" w:right="0"/>
              <w:jc w:val="left"/>
              <w:rPr>
                <w:rFonts w:ascii="Times New Roman" w:hAnsi="Times New Roman" w:cs="Times New Roman" w:eastAsia="Times New Roman" w:hint="default"/>
                <w:sz w:val="18"/>
                <w:szCs w:val="18"/>
              </w:rPr>
            </w:pPr>
            <w:r>
              <w:rPr>
                <w:rFonts w:ascii="Times New Roman"/>
                <w:sz w:val="18"/>
              </w:rPr>
              <w:t>226,646.02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常州五百像素网络科技有限公司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before="53"/>
        <w:ind w:left="153" w:right="0" w:firstLine="0"/>
        <w:jc w:val="both"/>
        <w:rPr>
          <w:rFonts w:ascii="宋体" w:hAnsi="宋体" w:cs="宋体" w:eastAsia="宋体" w:hint="default"/>
          <w:sz w:val="18"/>
          <w:szCs w:val="18"/>
        </w:rPr>
      </w:pPr>
      <w:r>
        <w:rPr>
          <w:rFonts w:ascii="宋体" w:hAnsi="宋体" w:cs="宋体" w:eastAsia="宋体" w:hint="default"/>
          <w:spacing w:val="-3"/>
          <w:sz w:val="18"/>
          <w:szCs w:val="18"/>
        </w:rPr>
        <w:t>主要控股参股公司情况说明</w:t>
      </w:r>
    </w:p>
    <w:p>
      <w:pPr>
        <w:spacing w:line="307" w:lineRule="auto" w:before="115"/>
        <w:ind w:left="153" w:right="1122" w:firstLine="0"/>
        <w:jc w:val="both"/>
        <w:rPr>
          <w:rFonts w:ascii="宋体" w:hAnsi="宋体" w:cs="宋体" w:eastAsia="宋体" w:hint="default"/>
          <w:sz w:val="18"/>
          <w:szCs w:val="18"/>
        </w:rPr>
      </w:pPr>
      <w:r>
        <w:rPr>
          <w:rFonts w:ascii="宋体" w:hAnsi="宋体" w:cs="宋体" w:eastAsia="宋体" w:hint="default"/>
          <w:spacing w:val="-3"/>
          <w:sz w:val="18"/>
          <w:szCs w:val="18"/>
        </w:rPr>
        <w:t>华夏视觉</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汉华易美：公司通过全球优质的</w:t>
      </w:r>
      <w:r>
        <w:rPr>
          <w:rFonts w:ascii="Times New Roman" w:hAnsi="Times New Roman" w:cs="Times New Roman" w:eastAsia="Times New Roman" w:hint="default"/>
          <w:spacing w:val="-3"/>
          <w:sz w:val="18"/>
          <w:szCs w:val="18"/>
        </w:rPr>
        <w:t>PGC</w:t>
      </w:r>
      <w:r>
        <w:rPr>
          <w:rFonts w:ascii="宋体" w:hAnsi="宋体" w:cs="宋体" w:eastAsia="宋体" w:hint="default"/>
          <w:spacing w:val="-3"/>
          <w:sz w:val="18"/>
          <w:szCs w:val="18"/>
        </w:rPr>
        <w:t>视觉内容、灵活多样的产品与服务模式、基于大数据和人工智能的业界领先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的智能服务技术、以及持续增强的获客能力，驱动主营业务快速增长。</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优质内容</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智能服务</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双轮驱动，带来的素材使用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数量的增长、客户质量提升、客户数量的增长，以及与互联网平台客户的战略合作实现对海量长尾市场的覆盖是公司主营业</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务增长的核心驱动力。 </w:t>
      </w:r>
      <w:r>
        <w:rPr>
          <w:rFonts w:ascii="宋体" w:hAnsi="宋体" w:cs="宋体" w:eastAsia="宋体" w:hint="default"/>
          <w:spacing w:val="-3"/>
          <w:sz w:val="18"/>
          <w:szCs w:val="18"/>
        </w:rPr>
        <w:t>除服务本土客户的网站平台及业务体系之外，公司还基于其整合全球优质内容及发展全球战略伙伴</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的全球化策略，继</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8"/>
          <w:sz w:val="18"/>
          <w:szCs w:val="18"/>
        </w:rPr>
        <w:t> </w:t>
      </w:r>
      <w:r>
        <w:rPr>
          <w:rFonts w:ascii="宋体" w:hAnsi="宋体" w:cs="宋体" w:eastAsia="宋体" w:hint="default"/>
          <w:spacing w:val="-3"/>
          <w:sz w:val="18"/>
          <w:szCs w:val="18"/>
        </w:rPr>
        <w:t>年公司收购全球知名图片品牌</w:t>
      </w:r>
      <w:r>
        <w:rPr>
          <w:rFonts w:ascii="Times New Roman" w:hAnsi="Times New Roman" w:cs="Times New Roman" w:eastAsia="Times New Roman" w:hint="default"/>
          <w:spacing w:val="-3"/>
          <w:sz w:val="18"/>
          <w:szCs w:val="18"/>
        </w:rPr>
        <w:t>Corbis </w:t>
      </w:r>
      <w:r>
        <w:rPr>
          <w:rFonts w:ascii="宋体" w:hAnsi="宋体" w:cs="宋体" w:eastAsia="宋体" w:hint="default"/>
          <w:sz w:val="18"/>
          <w:szCs w:val="18"/>
        </w:rPr>
        <w:t>后，又在</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4"/>
          <w:sz w:val="18"/>
          <w:szCs w:val="18"/>
        </w:rPr>
        <w:t> </w:t>
      </w:r>
      <w:r>
        <w:rPr>
          <w:rFonts w:ascii="宋体" w:hAnsi="宋体" w:cs="宋体" w:eastAsia="宋体" w:hint="default"/>
          <w:spacing w:val="-3"/>
          <w:sz w:val="18"/>
          <w:szCs w:val="18"/>
        </w:rPr>
        <w:t>年收购并经营全球领先的摄影师社区</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500px</w:t>
      </w:r>
      <w:r>
        <w:rPr>
          <w:rFonts w:ascii="宋体" w:hAnsi="宋体" w:cs="宋体" w:eastAsia="宋体" w:hint="default"/>
          <w:sz w:val="18"/>
          <w:szCs w:val="18"/>
        </w:rPr>
        <w:t>，</w:t>
      </w:r>
      <w:r>
        <w:rPr>
          <w:rFonts w:ascii="宋体" w:hAnsi="宋体" w:cs="宋体" w:eastAsia="宋体" w:hint="default"/>
          <w:spacing w:val="-86"/>
          <w:sz w:val="18"/>
          <w:szCs w:val="18"/>
        </w:rPr>
        <w:t> </w:t>
      </w:r>
      <w:r>
        <w:rPr>
          <w:rFonts w:ascii="宋体" w:hAnsi="宋体" w:cs="宋体" w:eastAsia="宋体" w:hint="default"/>
          <w:sz w:val="18"/>
          <w:szCs w:val="18"/>
        </w:rPr>
        <w:t>并与 </w:t>
      </w:r>
      <w:r>
        <w:rPr>
          <w:rFonts w:ascii="Times New Roman" w:hAnsi="Times New Roman" w:cs="Times New Roman" w:eastAsia="Times New Roman" w:hint="default"/>
          <w:sz w:val="18"/>
          <w:szCs w:val="18"/>
        </w:rPr>
        <w:t>Getty </w:t>
      </w:r>
      <w:r>
        <w:rPr>
          <w:rFonts w:ascii="Times New Roman" w:hAnsi="Times New Roman" w:cs="Times New Roman" w:eastAsia="Times New Roman" w:hint="default"/>
          <w:spacing w:val="-3"/>
          <w:sz w:val="18"/>
          <w:szCs w:val="18"/>
        </w:rPr>
        <w:t>Images   </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等海外合作伙伴建立双向紧密合作，稳固公司的核心竞争力，实现公司自有内容的全球化变现。</w:t>
      </w:r>
    </w:p>
    <w:p>
      <w:pPr>
        <w:spacing w:line="240" w:lineRule="auto" w:before="5"/>
        <w:rPr>
          <w:rFonts w:ascii="宋体" w:hAnsi="宋体" w:cs="宋体" w:eastAsia="宋体" w:hint="default"/>
          <w:sz w:val="24"/>
          <w:szCs w:val="24"/>
        </w:rPr>
      </w:pPr>
    </w:p>
    <w:p>
      <w:pPr>
        <w:spacing w:line="300" w:lineRule="auto" w:before="0"/>
        <w:ind w:left="153" w:right="1122" w:firstLine="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500px</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500px</w:t>
      </w:r>
      <w:r>
        <w:rPr>
          <w:rFonts w:ascii="宋体" w:hAnsi="宋体" w:cs="宋体" w:eastAsia="宋体" w:hint="default"/>
          <w:spacing w:val="-3"/>
          <w:sz w:val="18"/>
          <w:szCs w:val="18"/>
        </w:rPr>
        <w:t>是国际知名的线上摄影社区，通过网站、移动应用</w:t>
      </w:r>
      <w:r>
        <w:rPr>
          <w:rFonts w:ascii="Times New Roman" w:hAnsi="Times New Roman" w:cs="Times New Roman" w:eastAsia="Times New Roman" w:hint="default"/>
          <w:spacing w:val="-3"/>
          <w:sz w:val="18"/>
          <w:szCs w:val="18"/>
        </w:rPr>
        <w:t>app</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500px</w:t>
      </w:r>
      <w:r>
        <w:rPr>
          <w:rFonts w:ascii="宋体" w:hAnsi="宋体" w:cs="宋体" w:eastAsia="宋体" w:hint="default"/>
          <w:spacing w:val="-3"/>
          <w:sz w:val="18"/>
          <w:szCs w:val="18"/>
        </w:rPr>
        <w:t>覆盖了全球</w:t>
      </w:r>
      <w:r>
        <w:rPr>
          <w:rFonts w:ascii="Times New Roman" w:hAnsi="Times New Roman" w:cs="Times New Roman" w:eastAsia="Times New Roman" w:hint="default"/>
          <w:spacing w:val="-3"/>
          <w:sz w:val="18"/>
          <w:szCs w:val="18"/>
        </w:rPr>
        <w:t>195</w:t>
      </w:r>
      <w:r>
        <w:rPr>
          <w:rFonts w:ascii="宋体" w:hAnsi="宋体" w:cs="宋体" w:eastAsia="宋体" w:hint="default"/>
          <w:spacing w:val="-3"/>
          <w:sz w:val="18"/>
          <w:szCs w:val="18"/>
        </w:rPr>
        <w:t>个国家和地区，包括专业摄影人</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pacing w:val="-3"/>
          <w:sz w:val="18"/>
          <w:szCs w:val="18"/>
        </w:rPr>
        <w:t>才、摄影爱好者在内的注册用户稳步增长。 </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500px</w:t>
      </w:r>
      <w:r>
        <w:rPr>
          <w:rFonts w:ascii="宋体" w:hAnsi="宋体" w:cs="宋体" w:eastAsia="宋体" w:hint="default"/>
          <w:spacing w:val="-4"/>
          <w:sz w:val="18"/>
          <w:szCs w:val="18"/>
        </w:rPr>
        <w:t>深耕社区模式，完成了全球社区的技术架构迁移，同时增加研发</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3"/>
          <w:sz w:val="18"/>
          <w:szCs w:val="18"/>
        </w:rPr>
        <w:t>投入，由于后台架构服务器搬迁费用，本期有所亏损。</w:t>
      </w:r>
    </w:p>
    <w:p>
      <w:pPr>
        <w:spacing w:line="240" w:lineRule="auto" w:before="3"/>
        <w:rPr>
          <w:rFonts w:ascii="宋体" w:hAnsi="宋体" w:cs="宋体" w:eastAsia="宋体" w:hint="default"/>
          <w:sz w:val="26"/>
          <w:szCs w:val="26"/>
        </w:rPr>
      </w:pPr>
    </w:p>
    <w:p>
      <w:pPr>
        <w:spacing w:line="300" w:lineRule="auto" w:before="0"/>
        <w:ind w:left="153" w:right="1122" w:firstLine="0"/>
        <w:jc w:val="both"/>
        <w:rPr>
          <w:rFonts w:ascii="宋体" w:hAnsi="宋体" w:cs="宋体" w:eastAsia="宋体" w:hint="default"/>
          <w:sz w:val="18"/>
          <w:szCs w:val="18"/>
        </w:rPr>
      </w:pPr>
      <w:r>
        <w:rPr>
          <w:rFonts w:ascii="宋体" w:hAnsi="宋体" w:cs="宋体" w:eastAsia="宋体" w:hint="default"/>
          <w:spacing w:val="-3"/>
          <w:sz w:val="18"/>
          <w:szCs w:val="18"/>
        </w:rPr>
        <w:t>湖北司马彦：为汉华易美持股</w:t>
      </w:r>
      <w:r>
        <w:rPr>
          <w:rFonts w:ascii="Times New Roman" w:hAnsi="Times New Roman" w:cs="Times New Roman" w:eastAsia="Times New Roman" w:hint="default"/>
          <w:spacing w:val="-3"/>
          <w:sz w:val="18"/>
          <w:szCs w:val="18"/>
        </w:rPr>
        <w:t>49%</w:t>
      </w:r>
      <w:r>
        <w:rPr>
          <w:rFonts w:ascii="宋体" w:hAnsi="宋体" w:cs="宋体" w:eastAsia="宋体" w:hint="default"/>
          <w:spacing w:val="-3"/>
          <w:sz w:val="18"/>
          <w:szCs w:val="18"/>
        </w:rPr>
        <w:t>参股公司（</w:t>
      </w:r>
      <w:r>
        <w:rPr>
          <w:rFonts w:ascii="Times New Roman" w:hAnsi="Times New Roman" w:cs="Times New Roman" w:eastAsia="Times New Roman" w:hint="default"/>
          <w:spacing w:val="-3"/>
          <w:sz w:val="18"/>
          <w:szCs w:val="18"/>
        </w:rPr>
        <w:t>2015</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月投资），主要从事字帖书籍的编写、策划、制作和发行业务。经过</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Times New Roman" w:hAnsi="Times New Roman" w:cs="Times New Roman" w:eastAsia="Times New Roman" w:hint="default"/>
          <w:spacing w:val="-4"/>
          <w:sz w:val="18"/>
          <w:szCs w:val="18"/>
        </w:rPr>
        <w:t>30</w:t>
      </w:r>
      <w:r>
        <w:rPr>
          <w:rFonts w:ascii="宋体" w:hAnsi="宋体" w:cs="宋体" w:eastAsia="宋体" w:hint="default"/>
          <w:spacing w:val="-4"/>
          <w:sz w:val="18"/>
          <w:szCs w:val="18"/>
        </w:rPr>
        <w:t>年的不断积累和沉淀，已编写出版钢笔字帖、毛笔字帖、多体汉语字帖、多笔体英文字帖等近</w:t>
      </w:r>
      <w:r>
        <w:rPr>
          <w:rFonts w:ascii="Times New Roman" w:hAnsi="Times New Roman" w:cs="Times New Roman" w:eastAsia="Times New Roman" w:hint="default"/>
          <w:spacing w:val="-4"/>
          <w:sz w:val="18"/>
          <w:szCs w:val="18"/>
        </w:rPr>
        <w:t>800</w:t>
      </w:r>
      <w:r>
        <w:rPr>
          <w:rFonts w:ascii="宋体" w:hAnsi="宋体" w:cs="宋体" w:eastAsia="宋体" w:hint="default"/>
          <w:spacing w:val="-4"/>
          <w:sz w:val="18"/>
          <w:szCs w:val="18"/>
        </w:rPr>
        <w:t>种，已与</w:t>
      </w:r>
      <w:r>
        <w:rPr>
          <w:rFonts w:ascii="Times New Roman" w:hAnsi="Times New Roman" w:cs="Times New Roman" w:eastAsia="Times New Roman" w:hint="default"/>
          <w:spacing w:val="-4"/>
          <w:sz w:val="18"/>
          <w:szCs w:val="18"/>
        </w:rPr>
        <w:t>400</w:t>
      </w:r>
      <w:r>
        <w:rPr>
          <w:rFonts w:ascii="宋体" w:hAnsi="宋体" w:cs="宋体" w:eastAsia="宋体" w:hint="default"/>
          <w:spacing w:val="-4"/>
          <w:sz w:val="18"/>
          <w:szCs w:val="18"/>
        </w:rPr>
        <w:t>多家经销商</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3"/>
          <w:sz w:val="18"/>
          <w:szCs w:val="18"/>
        </w:rPr>
        <w:t>建立了长期、稳固的合作关系。</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年，公司产品单价提升，同时纸张成本下降，业绩同比有所增长。</w:t>
      </w:r>
    </w:p>
    <w:p>
      <w:pPr>
        <w:spacing w:line="240" w:lineRule="auto" w:before="11"/>
        <w:rPr>
          <w:rFonts w:ascii="宋体" w:hAnsi="宋体" w:cs="宋体" w:eastAsia="宋体" w:hint="default"/>
          <w:sz w:val="24"/>
          <w:szCs w:val="24"/>
        </w:rPr>
      </w:pPr>
    </w:p>
    <w:p>
      <w:pPr>
        <w:spacing w:line="300" w:lineRule="auto" w:before="0"/>
        <w:ind w:left="153" w:right="1127" w:firstLine="0"/>
        <w:jc w:val="left"/>
        <w:rPr>
          <w:rFonts w:ascii="宋体" w:hAnsi="宋体" w:cs="宋体" w:eastAsia="宋体" w:hint="default"/>
          <w:sz w:val="18"/>
          <w:szCs w:val="18"/>
        </w:rPr>
      </w:pPr>
      <w:r>
        <w:rPr>
          <w:rFonts w:ascii="宋体" w:hAnsi="宋体" w:cs="宋体" w:eastAsia="宋体" w:hint="default"/>
          <w:sz w:val="18"/>
          <w:szCs w:val="18"/>
        </w:rPr>
        <w:t>唱游公司：</w:t>
      </w:r>
      <w:r>
        <w:rPr>
          <w:rFonts w:ascii="Times New Roman" w:hAnsi="Times New Roman" w:cs="Times New Roman" w:eastAsia="Times New Roman" w:hint="default"/>
          <w:sz w:val="18"/>
          <w:szCs w:val="18"/>
        </w:rPr>
        <w:t>2015 </w:t>
      </w:r>
      <w:r>
        <w:rPr>
          <w:rFonts w:ascii="宋体" w:hAnsi="宋体" w:cs="宋体" w:eastAsia="宋体" w:hint="default"/>
          <w:spacing w:val="-3"/>
          <w:sz w:val="18"/>
          <w:szCs w:val="18"/>
        </w:rPr>
        <w:t>年公司投资成立唱游信息技术有限公司作为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国家智慧旅游公共服务平台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全国旅游监管服务平台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的承</w:t>
      </w:r>
      <w:r>
        <w:rPr>
          <w:rFonts w:ascii="宋体" w:hAnsi="宋体" w:cs="宋体" w:eastAsia="宋体" w:hint="default"/>
          <w:spacing w:val="-18"/>
          <w:sz w:val="18"/>
          <w:szCs w:val="18"/>
        </w:rPr>
        <w:t> </w:t>
      </w:r>
      <w:r>
        <w:rPr>
          <w:rFonts w:ascii="宋体" w:hAnsi="宋体" w:cs="宋体" w:eastAsia="宋体" w:hint="default"/>
          <w:spacing w:val="-3"/>
          <w:sz w:val="18"/>
          <w:szCs w:val="18"/>
        </w:rPr>
        <w:t>建和运营公司。</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年，唱游公司专注于两大平台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关键业务数据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的分析挖掘，逐渐形成了聚合旅游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管理者</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To </w:t>
      </w:r>
      <w:r>
        <w:rPr>
          <w:rFonts w:ascii="Times New Roman" w:hAnsi="Times New Roman" w:cs="Times New Roman" w:eastAsia="Times New Roman" w:hint="default"/>
          <w:sz w:val="18"/>
          <w:szCs w:val="18"/>
        </w:rPr>
        <w:t>G</w:t>
      </w:r>
      <w:r>
        <w:rPr>
          <w:rFonts w:ascii="宋体" w:hAnsi="宋体" w:cs="宋体" w:eastAsia="宋体" w:hint="default"/>
          <w:sz w:val="18"/>
          <w:szCs w:val="18"/>
        </w:rPr>
        <w:t>端）、</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从业者（</w:t>
      </w:r>
      <w:r>
        <w:rPr>
          <w:rFonts w:ascii="Times New Roman" w:hAnsi="Times New Roman" w:cs="Times New Roman" w:eastAsia="Times New Roman" w:hint="default"/>
          <w:sz w:val="18"/>
          <w:szCs w:val="18"/>
        </w:rPr>
        <w:t>To </w:t>
      </w:r>
      <w:r>
        <w:rPr>
          <w:rFonts w:ascii="Times New Roman" w:hAnsi="Times New Roman" w:cs="Times New Roman" w:eastAsia="Times New Roman" w:hint="default"/>
          <w:spacing w:val="-3"/>
          <w:sz w:val="18"/>
          <w:szCs w:val="18"/>
        </w:rPr>
        <w:t>B</w:t>
      </w:r>
      <w:r>
        <w:rPr>
          <w:rFonts w:ascii="宋体" w:hAnsi="宋体" w:cs="宋体" w:eastAsia="宋体" w:hint="default"/>
          <w:spacing w:val="-3"/>
          <w:sz w:val="18"/>
          <w:szCs w:val="18"/>
        </w:rPr>
        <w:t>端）和出行者（</w:t>
      </w:r>
      <w:r>
        <w:rPr>
          <w:rFonts w:ascii="Times New Roman" w:hAnsi="Times New Roman" w:cs="Times New Roman" w:eastAsia="Times New Roman" w:hint="default"/>
          <w:spacing w:val="-3"/>
          <w:sz w:val="18"/>
          <w:szCs w:val="18"/>
        </w:rPr>
        <w:t>To C</w:t>
      </w:r>
      <w:r>
        <w:rPr>
          <w:rFonts w:ascii="宋体" w:hAnsi="宋体" w:cs="宋体" w:eastAsia="宋体" w:hint="default"/>
          <w:spacing w:val="-3"/>
          <w:sz w:val="18"/>
          <w:szCs w:val="18"/>
        </w:rPr>
        <w:t>端）三端的大数据</w:t>
      </w:r>
      <w:r>
        <w:rPr>
          <w:rFonts w:ascii="Times New Roman" w:hAnsi="Times New Roman" w:cs="Times New Roman" w:eastAsia="Times New Roman" w:hint="default"/>
          <w:spacing w:val="-3"/>
          <w:sz w:val="18"/>
          <w:szCs w:val="18"/>
        </w:rPr>
        <w:t>SaaS</w:t>
      </w:r>
      <w:r>
        <w:rPr>
          <w:rFonts w:ascii="宋体" w:hAnsi="宋体" w:cs="宋体" w:eastAsia="宋体" w:hint="default"/>
          <w:spacing w:val="-3"/>
          <w:sz w:val="18"/>
          <w:szCs w:val="18"/>
        </w:rPr>
        <w:t>服务平台，已经向全国数十个地方旅游主管部门和景区提供相关</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pacing w:val="-3"/>
          <w:sz w:val="18"/>
          <w:szCs w:val="18"/>
        </w:rPr>
        <w:t>服务，实现合同额及营业收入的突破性增长。</w:t>
      </w:r>
    </w:p>
    <w:p>
      <w:pPr>
        <w:spacing w:line="240" w:lineRule="auto" w:before="4"/>
        <w:rPr>
          <w:rFonts w:ascii="宋体" w:hAnsi="宋体" w:cs="宋体" w:eastAsia="宋体" w:hint="default"/>
          <w:sz w:val="26"/>
          <w:szCs w:val="26"/>
        </w:rPr>
      </w:pPr>
    </w:p>
    <w:p>
      <w:pPr>
        <w:spacing w:line="300" w:lineRule="auto"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易教优培：为公司持股</w:t>
      </w:r>
      <w:r>
        <w:rPr>
          <w:rFonts w:ascii="Times New Roman" w:hAnsi="Times New Roman" w:cs="Times New Roman" w:eastAsia="Times New Roman" w:hint="default"/>
          <w:spacing w:val="-3"/>
          <w:sz w:val="18"/>
          <w:szCs w:val="18"/>
        </w:rPr>
        <w:t>35%</w:t>
      </w:r>
      <w:r>
        <w:rPr>
          <w:rFonts w:ascii="宋体" w:hAnsi="宋体" w:cs="宋体" w:eastAsia="宋体" w:hint="default"/>
          <w:spacing w:val="-3"/>
          <w:sz w:val="18"/>
          <w:szCs w:val="18"/>
        </w:rPr>
        <w:t>的参股公司（</w:t>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月投资），是一家专注于</w:t>
      </w:r>
      <w:r>
        <w:rPr>
          <w:rFonts w:ascii="Times New Roman" w:hAnsi="Times New Roman" w:cs="Times New Roman" w:eastAsia="Times New Roman" w:hint="default"/>
          <w:spacing w:val="-3"/>
          <w:sz w:val="18"/>
          <w:szCs w:val="18"/>
        </w:rPr>
        <w:t>K12</w:t>
      </w:r>
      <w:r>
        <w:rPr>
          <w:rFonts w:ascii="宋体" w:hAnsi="宋体" w:cs="宋体" w:eastAsia="宋体" w:hint="default"/>
          <w:spacing w:val="-3"/>
          <w:sz w:val="18"/>
          <w:szCs w:val="18"/>
        </w:rPr>
        <w:t>教师继续教育培训的服务提供商，培训服务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区域涵盖广东、浙江、广西、江西、安徽等近十个省份，主要为地市、区县等教育行政部门提供平台服务，并为</w:t>
      </w:r>
      <w:r>
        <w:rPr>
          <w:rFonts w:ascii="Times New Roman" w:hAnsi="Times New Roman" w:cs="Times New Roman" w:eastAsia="Times New Roman" w:hint="default"/>
          <w:spacing w:val="-3"/>
          <w:sz w:val="18"/>
          <w:szCs w:val="18"/>
        </w:rPr>
        <w:t>K12</w:t>
      </w:r>
      <w:r>
        <w:rPr>
          <w:rFonts w:ascii="宋体" w:hAnsi="宋体" w:cs="宋体" w:eastAsia="宋体" w:hint="default"/>
          <w:spacing w:val="-3"/>
          <w:sz w:val="18"/>
          <w:szCs w:val="18"/>
        </w:rPr>
        <w:t>教师提</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4"/>
          <w:sz w:val="18"/>
          <w:szCs w:val="18"/>
        </w:rPr>
        <w:t>供培训服务。</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年，由于教育市场收紧，公司处于从线下培训到在线培训的转型期间，从产品技术、团队结构和经营管理</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3"/>
          <w:sz w:val="18"/>
          <w:szCs w:val="18"/>
        </w:rPr>
        <w:t>等方面都遇到了一定的挑战，因此未能完成承诺业绩。</w:t>
      </w:r>
      <w:r>
        <w:rPr>
          <w:rFonts w:ascii="Times New Roman" w:hAnsi="Times New Roman" w:cs="Times New Roman" w:eastAsia="Times New Roman" w:hint="default"/>
          <w:spacing w:val="-3"/>
          <w:sz w:val="18"/>
          <w:szCs w:val="18"/>
        </w:rPr>
        <w:t>2020</w:t>
      </w:r>
      <w:r>
        <w:rPr>
          <w:rFonts w:ascii="宋体" w:hAnsi="宋体" w:cs="宋体" w:eastAsia="宋体" w:hint="default"/>
          <w:spacing w:val="-3"/>
          <w:sz w:val="18"/>
          <w:szCs w:val="18"/>
        </w:rPr>
        <w:t>年，公司将着力于完成技术平台和产品的重构，专注优势市场，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提高经营利润，实现业绩增长。</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19"/>
        <w:ind w:right="0"/>
        <w:jc w:val="both"/>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3"/>
        <w:rPr>
          <w:rFonts w:ascii="宋体" w:hAnsi="宋体" w:cs="宋体" w:eastAsia="宋体" w:hint="default"/>
          <w:b/>
          <w:bCs/>
          <w:sz w:val="27"/>
          <w:szCs w:val="27"/>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2"/>
          <w:szCs w:val="22"/>
        </w:rPr>
      </w:pPr>
    </w:p>
    <w:p>
      <w:pPr>
        <w:pStyle w:val="Heading2"/>
        <w:spacing w:line="240" w:lineRule="auto"/>
        <w:ind w:right="0"/>
        <w:jc w:val="both"/>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1"/>
        <w:rPr>
          <w:rFonts w:ascii="宋体" w:hAnsi="宋体" w:cs="宋体" w:eastAsia="宋体" w:hint="default"/>
          <w:b/>
          <w:bCs/>
          <w:sz w:val="27"/>
          <w:szCs w:val="27"/>
        </w:rPr>
      </w:pPr>
    </w:p>
    <w:p>
      <w:pPr>
        <w:pStyle w:val="Heading4"/>
        <w:spacing w:line="240" w:lineRule="auto"/>
        <w:ind w:left="135" w:right="8004"/>
        <w:jc w:val="center"/>
        <w:rPr>
          <w:b w:val="0"/>
          <w:bCs w:val="0"/>
        </w:rPr>
      </w:pPr>
      <w:r>
        <w:rPr>
          <w:rFonts w:ascii="宋体" w:hAnsi="宋体" w:cs="宋体" w:eastAsia="宋体" w:hint="default"/>
        </w:rPr>
        <w:t>(</w:t>
      </w:r>
      <w:r>
        <w:rPr/>
        <w:t>一</w:t>
      </w:r>
      <w:r>
        <w:rPr>
          <w:rFonts w:ascii="宋体" w:hAnsi="宋体" w:cs="宋体" w:eastAsia="宋体" w:hint="default"/>
        </w:rPr>
        <w:t>)</w:t>
      </w:r>
      <w:r>
        <w:rPr/>
        <w:t>未来发展的展望</w:t>
      </w:r>
      <w:r>
        <w:rPr>
          <w:b w:val="0"/>
          <w:bCs w:val="0"/>
        </w:rPr>
      </w:r>
    </w:p>
    <w:p>
      <w:pPr>
        <w:spacing w:after="0" w:line="240" w:lineRule="auto"/>
        <w:jc w:val="center"/>
        <w:sectPr>
          <w:pgSz w:w="11910" w:h="16840"/>
          <w:pgMar w:header="741" w:footer="979" w:top="1060" w:bottom="1160" w:left="980" w:right="0"/>
        </w:sectPr>
      </w:pPr>
    </w:p>
    <w:p>
      <w:pPr>
        <w:spacing w:line="240" w:lineRule="auto" w:before="10"/>
        <w:rPr>
          <w:rFonts w:ascii="宋体" w:hAnsi="宋体" w:cs="宋体" w:eastAsia="宋体" w:hint="default"/>
          <w:b/>
          <w:bCs/>
          <w:sz w:val="26"/>
          <w:szCs w:val="26"/>
        </w:rPr>
      </w:pPr>
    </w:p>
    <w:p>
      <w:pPr>
        <w:pStyle w:val="BodyText"/>
        <w:spacing w:line="304" w:lineRule="auto" w:before="36"/>
        <w:ind w:right="1125" w:firstLine="422"/>
        <w:jc w:val="both"/>
      </w:pPr>
      <w:r>
        <w:rPr>
          <w:rFonts w:ascii="Times New Roman" w:hAnsi="Times New Roman" w:cs="Times New Roman" w:eastAsia="Times New Roman" w:hint="default"/>
          <w:spacing w:val="-2"/>
        </w:rPr>
        <w:t>2020</w:t>
      </w:r>
      <w:r>
        <w:rPr>
          <w:spacing w:val="-2"/>
        </w:rPr>
        <w:t>年，在技术变革、科技进步与模式创新驱动下，内容产业高速发展；在国家对著作权保护力度不</w:t>
      </w:r>
      <w:r>
        <w:rPr>
          <w:w w:val="100"/>
        </w:rPr>
        <w:t> </w:t>
      </w:r>
      <w:r>
        <w:rPr>
          <w:spacing w:val="-2"/>
        </w:rPr>
        <w:t>断加大、相关政策法规不断完善、公众版权意识不断增强的大背景下，公司将立足于中国市场环境和需求</w:t>
      </w:r>
      <w:r>
        <w:rPr>
          <w:spacing w:val="-33"/>
        </w:rPr>
        <w:t> </w:t>
      </w:r>
      <w:r>
        <w:rPr>
          <w:spacing w:val="-33"/>
        </w:rPr>
      </w:r>
      <w:r>
        <w:rPr/>
        <w:t>变化，全面优化和提升业务能力和水平，为公司长远发展打下坚实基础。</w:t>
      </w:r>
    </w:p>
    <w:p>
      <w:pPr>
        <w:pStyle w:val="BodyText"/>
        <w:spacing w:line="312" w:lineRule="auto" w:before="29"/>
        <w:ind w:right="0" w:firstLine="422"/>
        <w:jc w:val="left"/>
      </w:pPr>
      <w:r>
        <w:rPr/>
        <w:t>以全面优质的产品内容、创新的智能化技术水平及专业的客户服务，多样化、标准化的产品与服务价</w:t>
      </w:r>
      <w:r>
        <w:rPr>
          <w:w w:val="100"/>
        </w:rPr>
        <w:t> </w:t>
      </w:r>
      <w:r>
        <w:rPr/>
        <w:t>格体系，满足不同客户日新月异的需求；以更加严谨规范的平台版权管理机制、提升版权保护的公信力，</w:t>
      </w:r>
      <w:r>
        <w:rPr>
          <w:w w:val="100"/>
        </w:rPr>
        <w:t> </w:t>
      </w:r>
      <w:r>
        <w:rPr>
          <w:spacing w:val="-4"/>
        </w:rPr>
        <w:t>合规合理开展版权保护，积极参与主管部门及行业的规范建设；同时进一步完善内容安全审核流程与规范，</w:t>
      </w:r>
      <w:r>
        <w:rPr>
          <w:spacing w:val="-42"/>
        </w:rPr>
        <w:t> </w:t>
      </w:r>
      <w:r>
        <w:rPr>
          <w:spacing w:val="-42"/>
        </w:rPr>
      </w:r>
      <w:r>
        <w:rPr/>
        <w:t>促进内容生态的健康发展，更好地承担企业的主体责任和社会责任。</w:t>
      </w:r>
    </w:p>
    <w:p>
      <w:pPr>
        <w:pStyle w:val="BodyText"/>
        <w:spacing w:line="297" w:lineRule="auto" w:before="22"/>
        <w:ind w:right="1122" w:firstLine="422"/>
        <w:jc w:val="both"/>
      </w:pPr>
      <w:r>
        <w:rPr>
          <w:rFonts w:ascii="Times New Roman" w:hAnsi="Times New Roman" w:cs="Times New Roman" w:eastAsia="Times New Roman" w:hint="default"/>
          <w:spacing w:val="-2"/>
        </w:rPr>
        <w:t>2020</w:t>
      </w:r>
      <w:r>
        <w:rPr>
          <w:spacing w:val="-2"/>
        </w:rPr>
        <w:t>年，公司将努力克服疫情影响，化危为机，开拓创新，从</w:t>
      </w:r>
      <w:r>
        <w:rPr>
          <w:rFonts w:ascii="Times New Roman" w:hAnsi="Times New Roman" w:cs="Times New Roman" w:eastAsia="Times New Roman" w:hint="default"/>
          <w:spacing w:val="-2"/>
        </w:rPr>
        <w:t>“</w:t>
      </w:r>
      <w:r>
        <w:rPr>
          <w:spacing w:val="-2"/>
        </w:rPr>
        <w:t>版权内容</w:t>
      </w:r>
      <w:r>
        <w:rPr>
          <w:rFonts w:ascii="Times New Roman" w:hAnsi="Times New Roman" w:cs="Times New Roman" w:eastAsia="Times New Roman" w:hint="default"/>
          <w:spacing w:val="-2"/>
        </w:rPr>
        <w:t>”</w:t>
      </w:r>
      <w:r>
        <w:rPr>
          <w:spacing w:val="-2"/>
        </w:rPr>
        <w:t>延展至</w:t>
      </w:r>
      <w:r>
        <w:rPr>
          <w:rFonts w:ascii="Times New Roman" w:hAnsi="Times New Roman" w:cs="Times New Roman" w:eastAsia="Times New Roman" w:hint="default"/>
          <w:spacing w:val="-2"/>
        </w:rPr>
        <w:t>“</w:t>
      </w:r>
      <w:r>
        <w:rPr>
          <w:spacing w:val="-2"/>
        </w:rPr>
        <w:t>智能服务</w:t>
      </w:r>
      <w:r>
        <w:rPr>
          <w:rFonts w:ascii="Times New Roman" w:hAnsi="Times New Roman" w:cs="Times New Roman" w:eastAsia="Times New Roman" w:hint="default"/>
          <w:spacing w:val="-2"/>
        </w:rPr>
        <w:t>”</w:t>
      </w:r>
      <w:r>
        <w:rPr>
          <w:spacing w:val="-2"/>
        </w:rPr>
        <w:t>，加快从</w:t>
      </w:r>
      <w:r>
        <w:rPr>
          <w:w w:val="100"/>
        </w:rPr>
        <w:t> </w:t>
      </w:r>
      <w:r>
        <w:rPr>
          <w:spacing w:val="-3"/>
        </w:rPr>
        <w:t>内容供应商转型为服务供应商，以</w:t>
      </w:r>
      <w:r>
        <w:rPr>
          <w:rFonts w:ascii="Times New Roman" w:hAnsi="Times New Roman" w:cs="Times New Roman" w:eastAsia="Times New Roman" w:hint="default"/>
          <w:spacing w:val="-3"/>
        </w:rPr>
        <w:t>“</w:t>
      </w:r>
      <w:r>
        <w:rPr>
          <w:spacing w:val="-3"/>
        </w:rPr>
        <w:t>内容</w:t>
      </w:r>
      <w:r>
        <w:rPr>
          <w:rFonts w:ascii="Times New Roman" w:hAnsi="Times New Roman" w:cs="Times New Roman" w:eastAsia="Times New Roman" w:hint="default"/>
          <w:spacing w:val="-3"/>
        </w:rPr>
        <w:t>+</w:t>
      </w:r>
      <w:r>
        <w:rPr>
          <w:spacing w:val="-3"/>
        </w:rPr>
        <w:t>技术</w:t>
      </w:r>
      <w:r>
        <w:rPr>
          <w:rFonts w:ascii="Times New Roman" w:hAnsi="Times New Roman" w:cs="Times New Roman" w:eastAsia="Times New Roman" w:hint="default"/>
          <w:spacing w:val="-3"/>
        </w:rPr>
        <w:t>”</w:t>
      </w:r>
      <w:r>
        <w:rPr>
          <w:spacing w:val="-3"/>
        </w:rPr>
        <w:t>双轮驱动业务快速发展，完成从</w:t>
      </w:r>
      <w:r>
        <w:rPr>
          <w:rFonts w:ascii="Times New Roman" w:hAnsi="Times New Roman" w:cs="Times New Roman" w:eastAsia="Times New Roman" w:hint="default"/>
          <w:spacing w:val="-3"/>
        </w:rPr>
        <w:t>“</w:t>
      </w:r>
      <w:r>
        <w:rPr>
          <w:spacing w:val="-3"/>
        </w:rPr>
        <w:t>平台</w:t>
      </w:r>
      <w:r>
        <w:rPr>
          <w:rFonts w:ascii="Times New Roman" w:hAnsi="Times New Roman" w:cs="Times New Roman" w:eastAsia="Times New Roman" w:hint="default"/>
          <w:spacing w:val="-3"/>
        </w:rPr>
        <w:t>”</w:t>
      </w:r>
      <w:r>
        <w:rPr>
          <w:spacing w:val="-3"/>
        </w:rPr>
        <w:t>到</w:t>
      </w:r>
      <w:r>
        <w:rPr>
          <w:rFonts w:ascii="Times New Roman" w:hAnsi="Times New Roman" w:cs="Times New Roman" w:eastAsia="Times New Roman" w:hint="default"/>
          <w:spacing w:val="-3"/>
        </w:rPr>
        <w:t>“</w:t>
      </w:r>
      <w:r>
        <w:rPr>
          <w:spacing w:val="-3"/>
        </w:rPr>
        <w:t>生态</w:t>
      </w:r>
      <w:r>
        <w:rPr>
          <w:rFonts w:ascii="Times New Roman" w:hAnsi="Times New Roman" w:cs="Times New Roman" w:eastAsia="Times New Roman" w:hint="default"/>
          <w:spacing w:val="-3"/>
        </w:rPr>
        <w:t>”</w:t>
      </w:r>
      <w:r>
        <w:rPr>
          <w:spacing w:val="-3"/>
        </w:rPr>
        <w:t>的跨越，做</w:t>
      </w:r>
      <w:r>
        <w:rPr>
          <w:spacing w:val="-25"/>
        </w:rPr>
        <w:t> </w:t>
      </w:r>
      <w:r>
        <w:rPr>
          <w:spacing w:val="-25"/>
        </w:rPr>
      </w:r>
      <w:r>
        <w:rPr/>
        <w:t>大做强服务于内容生态的</w:t>
      </w:r>
      <w:r>
        <w:rPr>
          <w:rFonts w:ascii="Times New Roman" w:hAnsi="Times New Roman" w:cs="Times New Roman" w:eastAsia="Times New Roman" w:hint="default"/>
        </w:rPr>
        <w:t>“</w:t>
      </w:r>
      <w:r>
        <w:rPr/>
        <w:t>基础设施</w:t>
      </w:r>
      <w:r>
        <w:rPr>
          <w:rFonts w:ascii="Times New Roman" w:hAnsi="Times New Roman" w:cs="Times New Roman" w:eastAsia="Times New Roman" w:hint="default"/>
        </w:rPr>
        <w:t>”</w:t>
      </w:r>
      <w:r>
        <w:rPr/>
        <w:t>。</w:t>
      </w:r>
    </w:p>
    <w:p>
      <w:pPr>
        <w:pStyle w:val="Heading4"/>
        <w:tabs>
          <w:tab w:pos="3106" w:val="left" w:leader="none"/>
        </w:tabs>
        <w:spacing w:line="240" w:lineRule="auto" w:before="8"/>
        <w:ind w:left="575" w:right="0"/>
        <w:jc w:val="left"/>
        <w:rPr>
          <w:b w:val="0"/>
          <w:bCs w:val="0"/>
        </w:rPr>
      </w:pPr>
      <w:r>
        <w:rPr/>
        <w:t>深化与主流媒体战略合作</w:t>
        <w:tab/>
        <w:t>为国家工作大局做好服务</w:t>
      </w:r>
      <w:r>
        <w:rPr>
          <w:b w:val="0"/>
          <w:bCs w:val="0"/>
        </w:rPr>
      </w:r>
    </w:p>
    <w:p>
      <w:pPr>
        <w:pStyle w:val="BodyText"/>
        <w:spacing w:line="297" w:lineRule="auto" w:before="85"/>
        <w:ind w:right="1125" w:firstLine="422"/>
        <w:jc w:val="both"/>
      </w:pPr>
      <w:r>
        <w:rPr>
          <w:rFonts w:ascii="Times New Roman" w:hAnsi="Times New Roman" w:cs="Times New Roman" w:eastAsia="Times New Roman" w:hint="default"/>
          <w:spacing w:val="-2"/>
        </w:rPr>
        <w:t>2020</w:t>
      </w:r>
      <w:r>
        <w:rPr>
          <w:spacing w:val="-2"/>
        </w:rPr>
        <w:t>年，公司将依托内容、技术和渠道等方面的核心竞争力，深化与中央新闻单位、中央重点新闻网</w:t>
      </w:r>
      <w:r>
        <w:rPr>
          <w:w w:val="100"/>
        </w:rPr>
        <w:t> </w:t>
      </w:r>
      <w:r>
        <w:rPr/>
        <w:t>站、党政机构的合作关系，为党和国家工作大局做好支撑和服务。</w:t>
      </w:r>
    </w:p>
    <w:p>
      <w:pPr>
        <w:pStyle w:val="BodyText"/>
        <w:spacing w:line="307" w:lineRule="auto" w:before="34"/>
        <w:ind w:right="1118" w:firstLine="422"/>
        <w:jc w:val="both"/>
      </w:pPr>
      <w:r>
        <w:rPr>
          <w:rFonts w:ascii="Times New Roman" w:hAnsi="Times New Roman" w:cs="Times New Roman" w:eastAsia="Times New Roman" w:hint="default"/>
          <w:spacing w:val="-4"/>
        </w:rPr>
        <w:t>2020</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25</w:t>
      </w:r>
      <w:r>
        <w:rPr>
          <w:spacing w:val="-4"/>
        </w:rPr>
        <w:t>日，由人民网主办，视觉中国独家战略合作的</w:t>
      </w:r>
      <w:r>
        <w:rPr>
          <w:rFonts w:ascii="Times New Roman" w:hAnsi="Times New Roman" w:cs="Times New Roman" w:eastAsia="Times New Roman" w:hint="default"/>
          <w:spacing w:val="-4"/>
        </w:rPr>
        <w:t>“</w:t>
      </w:r>
      <w:r>
        <w:rPr>
          <w:spacing w:val="-4"/>
        </w:rPr>
        <w:t>人民视觉网</w:t>
      </w:r>
      <w:r>
        <w:rPr>
          <w:rFonts w:ascii="Times New Roman" w:hAnsi="Times New Roman" w:cs="Times New Roman" w:eastAsia="Times New Roman" w:hint="default"/>
          <w:spacing w:val="-4"/>
        </w:rPr>
        <w:t>”</w:t>
      </w:r>
      <w:r>
        <w:rPr>
          <w:spacing w:val="-4"/>
        </w:rPr>
        <w:t>正式上线。人民视觉网聚合海</w:t>
      </w:r>
      <w:r>
        <w:rPr>
          <w:w w:val="100"/>
        </w:rPr>
        <w:t> </w:t>
      </w:r>
      <w:r>
        <w:rPr>
          <w:spacing w:val="-2"/>
        </w:rPr>
        <w:t>量高品质新闻图片、漫画图表和视频素材，是集视觉内容聚合分发及交易管理运营为一体的视觉内容在线</w:t>
      </w:r>
      <w:r>
        <w:rPr>
          <w:spacing w:val="-33"/>
        </w:rPr>
        <w:t> </w:t>
      </w:r>
      <w:r>
        <w:rPr>
          <w:spacing w:val="-33"/>
        </w:rPr>
      </w:r>
      <w:r>
        <w:rPr>
          <w:spacing w:val="-2"/>
        </w:rPr>
        <w:t>智能服务平台。作为独家战略合作伙伴，公司为人民网提供独家技术平台支持与客户服务。公司将在深化</w:t>
      </w:r>
      <w:r>
        <w:rPr>
          <w:spacing w:val="-33"/>
        </w:rPr>
        <w:t> </w:t>
      </w:r>
      <w:r>
        <w:rPr>
          <w:spacing w:val="-33"/>
        </w:rPr>
      </w:r>
      <w:r>
        <w:rPr/>
        <w:t>同人民网合作的同时，继续加强与其他主流媒体的合作。</w:t>
      </w:r>
    </w:p>
    <w:p>
      <w:pPr>
        <w:pStyle w:val="BodyText"/>
        <w:spacing w:line="300" w:lineRule="auto" w:before="26"/>
        <w:ind w:right="0" w:firstLine="422"/>
        <w:jc w:val="left"/>
      </w:pPr>
      <w:r>
        <w:rPr>
          <w:rFonts w:ascii="Times New Roman" w:hAnsi="Times New Roman" w:cs="Times New Roman" w:eastAsia="Times New Roman" w:hint="default"/>
          <w:spacing w:val="-2"/>
        </w:rPr>
        <w:t>2020</w:t>
      </w:r>
      <w:r>
        <w:rPr>
          <w:spacing w:val="-2"/>
        </w:rPr>
        <w:t>年，作为人民日报智慧媒体研究院首批理事单位，公司将与人民日报以及其他理事单位在媒体融</w:t>
      </w:r>
      <w:r>
        <w:rPr>
          <w:w w:val="100"/>
        </w:rPr>
        <w:t> </w:t>
      </w:r>
      <w:r>
        <w:rPr>
          <w:spacing w:val="-2"/>
        </w:rPr>
        <w:t>合、资源整合和投资发展等方面全面展开合作。公司将继续与农民日报社共建</w:t>
      </w:r>
      <w:r>
        <w:rPr>
          <w:rFonts w:ascii="Times New Roman" w:hAnsi="Times New Roman" w:cs="Times New Roman" w:eastAsia="Times New Roman" w:hint="default"/>
          <w:spacing w:val="-2"/>
        </w:rPr>
        <w:t>“</w:t>
      </w:r>
      <w:r>
        <w:rPr>
          <w:spacing w:val="-2"/>
        </w:rPr>
        <w:t>大国三农</w:t>
      </w:r>
      <w:r>
        <w:rPr>
          <w:rFonts w:ascii="Times New Roman" w:hAnsi="Times New Roman" w:cs="Times New Roman" w:eastAsia="Times New Roman" w:hint="default"/>
          <w:spacing w:val="-2"/>
        </w:rPr>
        <w:t>”</w:t>
      </w:r>
      <w:r>
        <w:rPr>
          <w:spacing w:val="-2"/>
        </w:rPr>
        <w:t>视听资源共享平</w:t>
      </w:r>
      <w:r>
        <w:rPr>
          <w:spacing w:val="-9"/>
        </w:rPr>
        <w:t> </w:t>
      </w:r>
      <w:r>
        <w:rPr>
          <w:spacing w:val="-9"/>
        </w:rPr>
      </w:r>
      <w:r>
        <w:rPr>
          <w:spacing w:val="-2"/>
        </w:rPr>
        <w:t>台建设，支持农民日报社从内容、渠道、技术、机制等方面整合视听资源，促进实现</w:t>
      </w:r>
      <w:r>
        <w:rPr>
          <w:rFonts w:ascii="Times New Roman" w:hAnsi="Times New Roman" w:cs="Times New Roman" w:eastAsia="Times New Roman" w:hint="default"/>
          <w:spacing w:val="-2"/>
        </w:rPr>
        <w:t>“</w:t>
      </w:r>
      <w:r>
        <w:rPr>
          <w:spacing w:val="-2"/>
        </w:rPr>
        <w:t>三农</w:t>
      </w:r>
      <w:r>
        <w:rPr>
          <w:rFonts w:ascii="Times New Roman" w:hAnsi="Times New Roman" w:cs="Times New Roman" w:eastAsia="Times New Roman" w:hint="default"/>
          <w:spacing w:val="-2"/>
        </w:rPr>
        <w:t>”</w:t>
      </w:r>
      <w:r>
        <w:rPr>
          <w:spacing w:val="-2"/>
        </w:rPr>
        <w:t>新闻宣传报道</w:t>
      </w:r>
      <w:r>
        <w:rPr>
          <w:spacing w:val="-9"/>
        </w:rPr>
        <w:t> </w:t>
      </w:r>
      <w:r>
        <w:rPr>
          <w:spacing w:val="-9"/>
        </w:rPr>
      </w:r>
      <w:r>
        <w:rPr>
          <w:spacing w:val="-2"/>
        </w:rPr>
        <w:t>线上线下深度融合、为乡村振兴营造良好舆论氛围。公司还将在内容与技术上继续服务中央政法委新媒体</w:t>
      </w:r>
      <w:r>
        <w:rPr>
          <w:spacing w:val="-33"/>
        </w:rPr>
        <w:t> </w:t>
      </w:r>
      <w:r>
        <w:rPr>
          <w:spacing w:val="-33"/>
        </w:rPr>
      </w:r>
      <w:r>
        <w:rPr/>
        <w:t>中心、中央扶贫办宣教中心等党政机构。公司还将继续利用</w:t>
      </w:r>
      <w:r>
        <w:rPr>
          <w:rFonts w:ascii="Times New Roman" w:hAnsi="Times New Roman" w:cs="Times New Roman" w:eastAsia="Times New Roman" w:hint="default"/>
        </w:rPr>
        <w:t>500px</w:t>
      </w:r>
      <w:r>
        <w:rPr/>
        <w:t>全球社区、海外传播渠道优势，进一步</w:t>
      </w:r>
      <w:r>
        <w:rPr>
          <w:w w:val="100"/>
        </w:rPr>
        <w:t> </w:t>
      </w:r>
      <w:r>
        <w:rPr/>
        <w:t>与主流媒体合作，提升国际传播能力建设，为传播中国文化、讲好中国故事发挥作用。</w:t>
      </w:r>
    </w:p>
    <w:p>
      <w:pPr>
        <w:pStyle w:val="Heading4"/>
        <w:spacing w:line="240" w:lineRule="auto" w:before="32"/>
        <w:ind w:left="575" w:right="0"/>
        <w:jc w:val="left"/>
        <w:rPr>
          <w:b w:val="0"/>
          <w:bCs w:val="0"/>
        </w:rPr>
      </w:pPr>
      <w:r>
        <w:rPr/>
        <w:t>巩固传统优势客户</w:t>
      </w:r>
      <w:r>
        <w:rPr>
          <w:spacing w:val="1"/>
        </w:rPr>
        <w:t> </w:t>
      </w:r>
      <w:r>
        <w:rPr/>
        <w:t>全方位多层次开拓市场</w:t>
      </w:r>
      <w:r>
        <w:rPr>
          <w:b w:val="0"/>
          <w:bCs w:val="0"/>
        </w:rPr>
      </w:r>
    </w:p>
    <w:p>
      <w:pPr>
        <w:pStyle w:val="BodyText"/>
        <w:spacing w:line="304" w:lineRule="auto" w:before="85"/>
        <w:ind w:right="0" w:firstLine="422"/>
        <w:jc w:val="left"/>
      </w:pPr>
      <w:r>
        <w:rPr>
          <w:rFonts w:ascii="Times New Roman" w:hAnsi="Times New Roman" w:cs="Times New Roman" w:eastAsia="Times New Roman" w:hint="default"/>
          <w:spacing w:val="-4"/>
        </w:rPr>
        <w:t>2020</w:t>
      </w:r>
      <w:r>
        <w:rPr>
          <w:spacing w:val="-4"/>
        </w:rPr>
        <w:t>年，公司将继续充分发挥公司全线产品的内容优势以及一站式服务能力，巩固和开拓大客户市场。</w:t>
      </w:r>
      <w:r>
        <w:rPr>
          <w:w w:val="100"/>
        </w:rPr>
        <w:t> </w:t>
      </w:r>
      <w:r>
        <w:rPr/>
        <w:t>一方面，巩固党政与媒体、广告营销服务类客户的传统优势市场，聚焦重点行业的企业大客户的续约以及</w:t>
      </w:r>
      <w:r>
        <w:rPr>
          <w:w w:val="100"/>
        </w:rPr>
        <w:t> </w:t>
      </w:r>
      <w:r>
        <w:rPr>
          <w:spacing w:val="-4"/>
        </w:rPr>
        <w:t>提升合作层级。尤其针对年度长协大客户，满足这类客户的全方位需求，夯实公司的客户基础和行业根基。</w:t>
      </w:r>
    </w:p>
    <w:p>
      <w:pPr>
        <w:pStyle w:val="BodyText"/>
        <w:spacing w:line="302" w:lineRule="auto" w:before="28"/>
        <w:ind w:right="1124" w:firstLine="422"/>
        <w:jc w:val="both"/>
      </w:pPr>
      <w:r>
        <w:rPr>
          <w:rFonts w:ascii="Times New Roman" w:hAnsi="Times New Roman" w:cs="Times New Roman" w:eastAsia="Times New Roman" w:hint="default"/>
          <w:spacing w:val="-2"/>
        </w:rPr>
        <w:t>2020</w:t>
      </w:r>
      <w:r>
        <w:rPr>
          <w:spacing w:val="-2"/>
        </w:rPr>
        <w:t>年，公司将继续通过行业联盟营销和在线数字营销，包括搜索营销、内容营销以及社交媒体等方</w:t>
      </w:r>
      <w:r>
        <w:rPr>
          <w:w w:val="100"/>
        </w:rPr>
        <w:t> </w:t>
      </w:r>
      <w:r>
        <w:rPr>
          <w:spacing w:val="-2"/>
        </w:rPr>
        <w:t>式高性价比的方式定向高效开发中小客户群；将继续丰富和完善各种产品组合，尤其是重点打造符合中小</w:t>
      </w:r>
      <w:r>
        <w:rPr>
          <w:spacing w:val="-33"/>
        </w:rPr>
        <w:t> </w:t>
      </w:r>
      <w:r>
        <w:rPr>
          <w:spacing w:val="-33"/>
        </w:rPr>
      </w:r>
      <w:r>
        <w:rPr>
          <w:spacing w:val="-1"/>
        </w:rPr>
        <w:t>企业预算和需求的电商网站</w:t>
      </w:r>
      <w:r>
        <w:rPr>
          <w:rFonts w:ascii="Times New Roman" w:hAnsi="Times New Roman" w:cs="Times New Roman" w:eastAsia="Times New Roman" w:hint="default"/>
          <w:spacing w:val="-1"/>
        </w:rPr>
        <w:t>veer.com</w:t>
      </w:r>
      <w:r>
        <w:rPr>
          <w:spacing w:val="-1"/>
        </w:rPr>
        <w:t>。</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29</w:t>
      </w:r>
      <w:r>
        <w:rPr>
          <w:spacing w:val="-1"/>
        </w:rPr>
        <w:t>日，</w:t>
      </w:r>
      <w:r>
        <w:rPr>
          <w:rFonts w:ascii="Times New Roman" w:hAnsi="Times New Roman" w:cs="Times New Roman" w:eastAsia="Times New Roman" w:hint="default"/>
          <w:spacing w:val="-1"/>
        </w:rPr>
        <w:t>veer.com</w:t>
      </w:r>
      <w:r>
        <w:rPr>
          <w:spacing w:val="-1"/>
        </w:rPr>
        <w:t>推出</w:t>
      </w:r>
      <w:r>
        <w:rPr>
          <w:rFonts w:ascii="Times New Roman" w:hAnsi="Times New Roman" w:cs="Times New Roman" w:eastAsia="Times New Roman" w:hint="default"/>
          <w:spacing w:val="-1"/>
        </w:rPr>
        <w:t>“</w:t>
      </w:r>
      <w:r>
        <w:rPr>
          <w:spacing w:val="-1"/>
        </w:rPr>
        <w:t>免费专区</w:t>
      </w:r>
      <w:r>
        <w:rPr>
          <w:rFonts w:ascii="Times New Roman" w:hAnsi="Times New Roman" w:cs="Times New Roman" w:eastAsia="Times New Roman" w:hint="default"/>
          <w:spacing w:val="-1"/>
        </w:rPr>
        <w:t>”</w:t>
      </w:r>
      <w:r>
        <w:rPr>
          <w:spacing w:val="-1"/>
        </w:rPr>
        <w:t>，提供</w:t>
      </w:r>
      <w:r>
        <w:rPr>
          <w:rFonts w:ascii="Times New Roman" w:hAnsi="Times New Roman" w:cs="Times New Roman" w:eastAsia="Times New Roman" w:hint="default"/>
          <w:spacing w:val="-1"/>
        </w:rPr>
        <w:t>50</w:t>
      </w:r>
      <w:r>
        <w:rPr>
          <w:spacing w:val="-1"/>
        </w:rPr>
        <w:t>万张正版高清图片，所</w:t>
      </w:r>
      <w:r>
        <w:rPr>
          <w:spacing w:val="-50"/>
        </w:rPr>
        <w:t> </w:t>
      </w:r>
      <w:r>
        <w:rPr>
          <w:spacing w:val="-50"/>
        </w:rPr>
      </w:r>
      <w:r>
        <w:rPr>
          <w:spacing w:val="-2"/>
        </w:rPr>
        <w:t>有的</w:t>
      </w:r>
      <w:r>
        <w:rPr>
          <w:rFonts w:ascii="Times New Roman" w:hAnsi="Times New Roman" w:cs="Times New Roman" w:eastAsia="Times New Roman" w:hint="default"/>
          <w:spacing w:val="-2"/>
        </w:rPr>
        <w:t>veer</w:t>
      </w:r>
      <w:r>
        <w:rPr>
          <w:spacing w:val="-2"/>
        </w:rPr>
        <w:t>注册用户，无论个人、企业客户均可注册后免费下载免费专区的图片，下载图片可以用于任何商</w:t>
      </w:r>
      <w:r>
        <w:rPr>
          <w:spacing w:val="-9"/>
        </w:rPr>
        <w:t> </w:t>
      </w:r>
      <w:r>
        <w:rPr>
          <w:spacing w:val="-9"/>
        </w:rPr>
      </w:r>
      <w:r>
        <w:rPr>
          <w:spacing w:val="-2"/>
        </w:rPr>
        <w:t>业用途，并可在线获取正版授权书。公司将持续通过产品优化，提升用户体验，为中小企业提供更好的服</w:t>
      </w:r>
      <w:r>
        <w:rPr>
          <w:spacing w:val="-32"/>
        </w:rPr>
        <w:t> </w:t>
      </w:r>
      <w:r>
        <w:rPr>
          <w:spacing w:val="-32"/>
        </w:rPr>
      </w:r>
      <w:r>
        <w:rPr/>
        <w:t>务，为推动图片正版化做出自己的贡献。</w:t>
      </w:r>
    </w:p>
    <w:p>
      <w:pPr>
        <w:pStyle w:val="BodyText"/>
        <w:spacing w:line="307" w:lineRule="auto" w:before="30"/>
        <w:ind w:right="1122" w:firstLine="422"/>
        <w:jc w:val="both"/>
      </w:pPr>
      <w:r>
        <w:rPr>
          <w:rFonts w:ascii="Times New Roman" w:hAnsi="Times New Roman" w:cs="Times New Roman" w:eastAsia="Times New Roman" w:hint="default"/>
        </w:rPr>
        <w:t>2020</w:t>
      </w:r>
      <w:r>
        <w:rPr/>
        <w:t>年，公司将继续依托优质 </w:t>
      </w:r>
      <w:r>
        <w:rPr>
          <w:rFonts w:ascii="Times New Roman" w:hAnsi="Times New Roman" w:cs="Times New Roman" w:eastAsia="Times New Roman" w:hint="default"/>
        </w:rPr>
        <w:t>PGC</w:t>
      </w:r>
      <w:r>
        <w:rPr>
          <w:rFonts w:ascii="Times New Roman" w:hAnsi="Times New Roman" w:cs="Times New Roman" w:eastAsia="Times New Roman" w:hint="default"/>
          <w:spacing w:val="43"/>
        </w:rPr>
        <w:t> </w:t>
      </w:r>
      <w:r>
        <w:rPr/>
        <w:t>视觉内容核心资源，扩大夯实与互联网平台（大流量入口）的战</w:t>
      </w:r>
      <w:r>
        <w:rPr>
          <w:w w:val="100"/>
        </w:rPr>
        <w:t> </w:t>
      </w:r>
      <w:r>
        <w:rPr>
          <w:spacing w:val="-2"/>
        </w:rPr>
        <w:t>略合作，结合有效场景，将优质内容与智能服务技术相结合，提升多渠道分发交付能力，高效拓展长尾用</w:t>
      </w:r>
      <w:r>
        <w:rPr>
          <w:spacing w:val="-30"/>
        </w:rPr>
        <w:t> </w:t>
      </w:r>
      <w:r>
        <w:rPr>
          <w:spacing w:val="-30"/>
        </w:rPr>
      </w:r>
      <w:r>
        <w:rPr>
          <w:spacing w:val="-2"/>
        </w:rPr>
        <w:t>户，促进主营业务的高速增长。公司将加大在短视频、设计工具、在线办公、内容付费等新场景领域，开</w:t>
      </w:r>
      <w:r>
        <w:rPr>
          <w:spacing w:val="-33"/>
        </w:rPr>
        <w:t> </w:t>
      </w:r>
      <w:r>
        <w:rPr>
          <w:spacing w:val="-33"/>
        </w:rPr>
      </w:r>
      <w:r>
        <w:rPr/>
        <w:t>拓新的平台级战略合作。</w:t>
      </w:r>
    </w:p>
    <w:p>
      <w:pPr>
        <w:spacing w:line="309" w:lineRule="auto" w:before="26"/>
        <w:ind w:left="575" w:right="0" w:firstLine="0"/>
        <w:jc w:val="left"/>
        <w:rPr>
          <w:rFonts w:ascii="宋体" w:hAnsi="宋体" w:cs="宋体" w:eastAsia="宋体" w:hint="default"/>
          <w:sz w:val="21"/>
          <w:szCs w:val="21"/>
        </w:rPr>
      </w:pPr>
      <w:r>
        <w:rPr>
          <w:rFonts w:ascii="宋体" w:hAnsi="宋体" w:cs="宋体" w:eastAsia="宋体" w:hint="default"/>
          <w:b/>
          <w:bCs/>
          <w:sz w:val="21"/>
          <w:szCs w:val="21"/>
        </w:rPr>
        <w:t>全面开放版权保护相关技术 积极服务版权强国战略</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3"/>
          <w:sz w:val="21"/>
          <w:szCs w:val="21"/>
        </w:rPr>
        <w:t>据统计，</w:t>
      </w:r>
      <w:r>
        <w:rPr>
          <w:rFonts w:ascii="Times New Roman" w:hAnsi="Times New Roman" w:cs="Times New Roman" w:eastAsia="Times New Roman" w:hint="default"/>
          <w:spacing w:val="-3"/>
          <w:sz w:val="21"/>
          <w:szCs w:val="21"/>
        </w:rPr>
        <w:t>2018</w:t>
      </w:r>
      <w:r>
        <w:rPr>
          <w:rFonts w:ascii="宋体" w:hAnsi="宋体" w:cs="宋体" w:eastAsia="宋体" w:hint="default"/>
          <w:spacing w:val="-3"/>
          <w:sz w:val="21"/>
          <w:szCs w:val="21"/>
        </w:rPr>
        <w:t>年国内图片市场规模达</w:t>
      </w:r>
      <w:r>
        <w:rPr>
          <w:rFonts w:ascii="Times New Roman" w:hAnsi="Times New Roman" w:cs="Times New Roman" w:eastAsia="Times New Roman" w:hint="default"/>
          <w:spacing w:val="-3"/>
          <w:sz w:val="21"/>
          <w:szCs w:val="21"/>
        </w:rPr>
        <w:t>208</w:t>
      </w:r>
      <w:r>
        <w:rPr>
          <w:rFonts w:ascii="宋体" w:hAnsi="宋体" w:cs="宋体" w:eastAsia="宋体" w:hint="default"/>
          <w:spacing w:val="-3"/>
          <w:sz w:val="21"/>
          <w:szCs w:val="21"/>
        </w:rPr>
        <w:t>亿人民币，但正版化率不到</w:t>
      </w:r>
      <w:r>
        <w:rPr>
          <w:rFonts w:ascii="Times New Roman" w:hAnsi="Times New Roman" w:cs="Times New Roman" w:eastAsia="Times New Roman" w:hint="default"/>
          <w:spacing w:val="-3"/>
          <w:sz w:val="21"/>
          <w:szCs w:val="21"/>
        </w:rPr>
        <w:t>10%</w:t>
      </w:r>
      <w:r>
        <w:rPr>
          <w:rFonts w:ascii="宋体" w:hAnsi="宋体" w:cs="宋体" w:eastAsia="宋体" w:hint="default"/>
          <w:spacing w:val="-3"/>
          <w:sz w:val="21"/>
          <w:szCs w:val="21"/>
        </w:rPr>
        <w:t>，图片成为音乐、视频、文学</w:t>
      </w:r>
    </w:p>
    <w:p>
      <w:pPr>
        <w:spacing w:after="0" w:line="309" w:lineRule="auto"/>
        <w:jc w:val="left"/>
        <w:rPr>
          <w:rFonts w:ascii="宋体" w:hAnsi="宋体" w:cs="宋体" w:eastAsia="宋体" w:hint="default"/>
          <w:sz w:val="21"/>
          <w:szCs w:val="21"/>
        </w:rPr>
        <w:sectPr>
          <w:pgSz w:w="11910" w:h="16840"/>
          <w:pgMar w:header="741" w:footer="979" w:top="1060" w:bottom="1160" w:left="980" w:right="0"/>
        </w:sectPr>
      </w:pPr>
    </w:p>
    <w:p>
      <w:pPr>
        <w:spacing w:line="240" w:lineRule="auto" w:before="10"/>
        <w:rPr>
          <w:rFonts w:ascii="宋体" w:hAnsi="宋体" w:cs="宋体" w:eastAsia="宋体" w:hint="default"/>
          <w:sz w:val="26"/>
          <w:szCs w:val="26"/>
        </w:rPr>
      </w:pPr>
    </w:p>
    <w:p>
      <w:pPr>
        <w:pStyle w:val="BodyText"/>
        <w:spacing w:line="314" w:lineRule="auto" w:before="36"/>
        <w:ind w:right="0"/>
        <w:jc w:val="left"/>
      </w:pPr>
      <w:r>
        <w:rPr>
          <w:spacing w:val="-2"/>
        </w:rPr>
        <w:t>版权领域外互联网版权问题的高发区。这一方面说明图片版权保护工作大有可为，另一方面也说明图片产</w:t>
      </w:r>
      <w:r>
        <w:rPr>
          <w:spacing w:val="-33"/>
        </w:rPr>
        <w:t> </w:t>
      </w:r>
      <w:r>
        <w:rPr>
          <w:spacing w:val="-33"/>
        </w:rPr>
      </w:r>
      <w:r>
        <w:rPr/>
        <w:t>业的市场空间巨大。</w:t>
      </w:r>
    </w:p>
    <w:p>
      <w:pPr>
        <w:pStyle w:val="BodyText"/>
        <w:spacing w:line="307" w:lineRule="auto" w:before="15"/>
        <w:ind w:right="1106" w:firstLine="422"/>
        <w:jc w:val="right"/>
      </w:pPr>
      <w:r>
        <w:rPr>
          <w:rFonts w:ascii="Times New Roman" w:hAnsi="Times New Roman" w:cs="Times New Roman" w:eastAsia="Times New Roman" w:hint="default"/>
          <w:spacing w:val="-2"/>
        </w:rPr>
        <w:t>2020</w:t>
      </w:r>
      <w:r>
        <w:rPr>
          <w:spacing w:val="-2"/>
        </w:rPr>
        <w:t>年，公司将进一步加强与主管部门、行业协会和业内专家的沟通合作，继续扩大与各地版权保护</w:t>
      </w:r>
      <w:r>
        <w:rPr>
          <w:w w:val="100"/>
        </w:rPr>
        <w:t> </w:t>
      </w:r>
      <w:r>
        <w:rPr>
          <w:spacing w:val="-2"/>
        </w:rPr>
        <w:t>中心、调解中心的合作网络，共同探索符合中国市场需求的图片版权确权、授权、保护和争议解决机制。</w:t>
      </w:r>
      <w:r>
        <w:rPr>
          <w:spacing w:val="-24"/>
        </w:rPr>
        <w:t> </w:t>
      </w:r>
      <w:r>
        <w:rPr>
          <w:spacing w:val="-24"/>
        </w:rPr>
      </w:r>
      <w:r>
        <w:rPr>
          <w:rFonts w:ascii="Times New Roman" w:hAnsi="Times New Roman" w:cs="Times New Roman" w:eastAsia="Times New Roman" w:hint="default"/>
          <w:spacing w:val="-2"/>
        </w:rPr>
        <w:t>2020</w:t>
      </w:r>
      <w:r>
        <w:rPr>
          <w:spacing w:val="-2"/>
        </w:rPr>
        <w:t>年，公司将把多年版权保护实践中积累的版权确权、使用追踪、图像比对、证据保全等核心技术</w:t>
      </w:r>
    </w:p>
    <w:p>
      <w:pPr>
        <w:pStyle w:val="BodyText"/>
        <w:spacing w:line="309" w:lineRule="auto" w:before="4"/>
        <w:ind w:right="0"/>
        <w:jc w:val="left"/>
      </w:pPr>
      <w:r>
        <w:rPr>
          <w:spacing w:val="-4"/>
        </w:rPr>
        <w:t>和运营方式向内容创作者、使用者、行政调解机构以及司法系统全方位开放。同时，在有关部门的指导下，</w:t>
      </w:r>
      <w:r>
        <w:rPr>
          <w:spacing w:val="-42"/>
        </w:rPr>
        <w:t> </w:t>
      </w:r>
      <w:r>
        <w:rPr>
          <w:spacing w:val="-42"/>
        </w:rPr>
      </w:r>
      <w:r>
        <w:rPr/>
        <w:t>联合版权行业组织、技术平台、行业龙头等，共同打造公开、透明的版权保护服务平台。</w:t>
      </w:r>
    </w:p>
    <w:p>
      <w:pPr>
        <w:pStyle w:val="BodyText"/>
        <w:spacing w:line="314" w:lineRule="auto" w:before="24"/>
        <w:ind w:right="0" w:firstLine="422"/>
        <w:jc w:val="left"/>
      </w:pPr>
      <w:r>
        <w:rPr>
          <w:spacing w:val="-2"/>
        </w:rPr>
        <w:t>我们将与各方共同努力，不断扩大保护知识产权的社会共识，继续发挥公司互联网平台在保护知识产</w:t>
      </w:r>
      <w:r>
        <w:rPr>
          <w:w w:val="100"/>
        </w:rPr>
        <w:t> </w:t>
      </w:r>
      <w:r>
        <w:rPr/>
        <w:t>权、维护创作者权益中的积极作用，为中国版权行业</w:t>
      </w:r>
      <w:r>
        <w:rPr>
          <w:rFonts w:ascii="Times New Roman" w:hAnsi="Times New Roman" w:cs="Times New Roman" w:eastAsia="Times New Roman" w:hint="default"/>
        </w:rPr>
        <w:t>“</w:t>
      </w:r>
      <w:r>
        <w:rPr/>
        <w:t>生态</w:t>
      </w:r>
      <w:r>
        <w:rPr>
          <w:rFonts w:ascii="Times New Roman" w:hAnsi="Times New Roman" w:cs="Times New Roman" w:eastAsia="Times New Roman" w:hint="default"/>
        </w:rPr>
        <w:t>”</w:t>
      </w:r>
      <w:r>
        <w:rPr/>
        <w:t>的健康发展做出自己的贡献。</w:t>
      </w:r>
    </w:p>
    <w:p>
      <w:pPr>
        <w:pStyle w:val="Heading4"/>
        <w:spacing w:line="288" w:lineRule="exact"/>
        <w:ind w:left="575" w:right="0"/>
        <w:jc w:val="left"/>
        <w:rPr>
          <w:rFonts w:ascii="Times New Roman" w:hAnsi="Times New Roman" w:cs="Times New Roman" w:eastAsia="Times New Roman" w:hint="default"/>
          <w:b w:val="0"/>
          <w:bCs w:val="0"/>
        </w:rPr>
      </w:pPr>
      <w:r>
        <w:rPr/>
        <w:t>发力视频音乐</w:t>
      </w:r>
      <w:r>
        <w:rPr>
          <w:rFonts w:ascii="Times New Roman" w:hAnsi="Times New Roman" w:cs="Times New Roman" w:eastAsia="Times New Roman" w:hint="default"/>
        </w:rPr>
        <w:t>“5G”</w:t>
      </w:r>
      <w:r>
        <w:rPr/>
        <w:t>内容</w:t>
      </w:r>
      <w:r>
        <w:rPr>
          <w:spacing w:val="2"/>
        </w:rPr>
        <w:t> </w:t>
      </w:r>
      <w:r>
        <w:rPr/>
        <w:t>深度挖掘内容</w:t>
      </w:r>
      <w:r>
        <w:rPr>
          <w:rFonts w:ascii="Times New Roman" w:hAnsi="Times New Roman" w:cs="Times New Roman" w:eastAsia="Times New Roman" w:hint="default"/>
        </w:rPr>
        <w:t>“</w:t>
      </w:r>
      <w:r>
        <w:rPr/>
        <w:t>护城河</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pStyle w:val="BodyText"/>
        <w:spacing w:line="302" w:lineRule="auto" w:before="64"/>
        <w:ind w:right="0" w:firstLine="422"/>
        <w:jc w:val="left"/>
      </w:pPr>
      <w:r>
        <w:rPr>
          <w:rFonts w:ascii="Times New Roman" w:hAnsi="Times New Roman" w:cs="Times New Roman" w:eastAsia="Times New Roman" w:hint="default"/>
          <w:spacing w:val="-5"/>
        </w:rPr>
        <w:t>2020</w:t>
      </w:r>
      <w:r>
        <w:rPr>
          <w:spacing w:val="-5"/>
        </w:rPr>
        <w:t>年，除巩固图片素材的传统优势外，公司还将重点关注</w:t>
      </w:r>
      <w:r>
        <w:rPr>
          <w:rFonts w:ascii="Times New Roman" w:hAnsi="Times New Roman" w:cs="Times New Roman" w:eastAsia="Times New Roman" w:hint="default"/>
          <w:spacing w:val="-5"/>
        </w:rPr>
        <w:t>5G</w:t>
      </w:r>
      <w:r>
        <w:rPr>
          <w:spacing w:val="-5"/>
        </w:rPr>
        <w:t>带来的内容需求，从图片延展到音视频，</w:t>
      </w:r>
      <w:r>
        <w:rPr>
          <w:w w:val="100"/>
        </w:rPr>
        <w:t> </w:t>
      </w:r>
      <w:r>
        <w:rPr>
          <w:spacing w:val="-3"/>
        </w:rPr>
        <w:t>全品类覆盖提供</w:t>
      </w:r>
      <w:r>
        <w:rPr>
          <w:rFonts w:ascii="Times New Roman" w:hAnsi="Times New Roman" w:cs="Times New Roman" w:eastAsia="Times New Roman" w:hint="default"/>
          <w:spacing w:val="-3"/>
        </w:rPr>
        <w:t>“</w:t>
      </w:r>
      <w:r>
        <w:rPr>
          <w:spacing w:val="-3"/>
        </w:rPr>
        <w:t>一站式</w:t>
      </w:r>
      <w:r>
        <w:rPr>
          <w:rFonts w:ascii="Times New Roman" w:hAnsi="Times New Roman" w:cs="Times New Roman" w:eastAsia="Times New Roman" w:hint="default"/>
          <w:spacing w:val="-3"/>
        </w:rPr>
        <w:t>”</w:t>
      </w:r>
      <w:r>
        <w:rPr>
          <w:spacing w:val="-3"/>
        </w:rPr>
        <w:t>解决方案，持续构筑和巩固内容护城河。随着</w:t>
      </w:r>
      <w:r>
        <w:rPr>
          <w:rFonts w:ascii="Times New Roman" w:hAnsi="Times New Roman" w:cs="Times New Roman" w:eastAsia="Times New Roman" w:hint="default"/>
          <w:spacing w:val="-3"/>
        </w:rPr>
        <w:t>5G</w:t>
      </w:r>
      <w:r>
        <w:rPr>
          <w:spacing w:val="-3"/>
        </w:rPr>
        <w:t>时代的到来，市场对音视频内容</w:t>
      </w:r>
      <w:r>
        <w:rPr>
          <w:spacing w:val="-5"/>
        </w:rPr>
        <w:t> </w:t>
      </w:r>
      <w:r>
        <w:rPr>
          <w:spacing w:val="-5"/>
        </w:rPr>
      </w:r>
      <w:r>
        <w:rPr/>
        <w:t>需求激增，同时短视频也成为当下最受欢迎的内容形态之一。为顺应视频快速发展的趋势，公司将加大对</w:t>
      </w:r>
      <w:r>
        <w:rPr>
          <w:w w:val="100"/>
        </w:rPr>
        <w:t> </w:t>
      </w:r>
      <w:r>
        <w:rPr/>
        <w:t>视频、音乐业务的投入，积极引进全球优质视频、音乐内容供应商，满足用户对视频产品的需求。</w:t>
      </w:r>
    </w:p>
    <w:p>
      <w:pPr>
        <w:pStyle w:val="BodyText"/>
        <w:spacing w:line="304" w:lineRule="auto" w:before="25"/>
        <w:ind w:right="1127" w:firstLine="422"/>
        <w:jc w:val="left"/>
      </w:pPr>
      <w:r>
        <w:rPr>
          <w:rFonts w:ascii="Times New Roman" w:hAnsi="Times New Roman" w:cs="Times New Roman" w:eastAsia="Times New Roman" w:hint="default"/>
        </w:rPr>
        <w:t>2020</w:t>
      </w:r>
      <w:r>
        <w:rPr/>
        <w:t>年，公司将继续依托</w:t>
      </w:r>
      <w:r>
        <w:rPr>
          <w:rFonts w:ascii="Times New Roman" w:hAnsi="Times New Roman" w:cs="Times New Roman" w:eastAsia="Times New Roman" w:hint="default"/>
        </w:rPr>
        <w:t>500px</w:t>
      </w:r>
      <w:r>
        <w:rPr/>
        <w:t>摄影社区，扩大签约供稿方的数量和质量，不断提高平台经营的透明</w:t>
      </w:r>
      <w:r>
        <w:rPr>
          <w:w w:val="100"/>
        </w:rPr>
        <w:t> </w:t>
      </w:r>
      <w:r>
        <w:rPr>
          <w:spacing w:val="-2"/>
        </w:rPr>
        <w:t>度，为创作者提供内容确权、授权、内容管理、版权保护等专业全面的服务；并依据不同行业、不同使用</w:t>
      </w:r>
      <w:r>
        <w:rPr>
          <w:spacing w:val="-33"/>
        </w:rPr>
        <w:t> </w:t>
      </w:r>
      <w:r>
        <w:rPr>
          <w:spacing w:val="-33"/>
        </w:rPr>
      </w:r>
      <w:r>
        <w:rPr>
          <w:spacing w:val="-2"/>
        </w:rPr>
        <w:t>场景的客户的浏览、下载、授权等用户行为大数据，为供稿方提供行业趋势、需求分析以及创意趋势预测</w:t>
      </w:r>
      <w:r>
        <w:rPr>
          <w:spacing w:val="-33"/>
        </w:rPr>
        <w:t> </w:t>
      </w:r>
      <w:r>
        <w:rPr>
          <w:spacing w:val="-33"/>
        </w:rPr>
      </w:r>
      <w:r>
        <w:rPr/>
        <w:t>等服务，以帮助供应端生产出更多优质内容，激励内容创作者创作出更多优秀作品。</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月，公司专</w:t>
      </w:r>
      <w:r>
        <w:rPr>
          <w:spacing w:val="-103"/>
        </w:rPr>
        <w:t> </w:t>
      </w:r>
      <w:r>
        <w:rPr>
          <w:spacing w:val="-103"/>
        </w:rPr>
      </w:r>
      <w:r>
        <w:rPr/>
        <w:t>门建立</w:t>
      </w:r>
      <w:r>
        <w:rPr>
          <w:rFonts w:ascii="Times New Roman" w:hAnsi="Times New Roman" w:cs="Times New Roman" w:eastAsia="Times New Roman" w:hint="default"/>
        </w:rPr>
        <w:t>500px </w:t>
      </w:r>
      <w:r>
        <w:rPr>
          <w:rFonts w:ascii="Times New Roman" w:hAnsi="Times New Roman" w:cs="Times New Roman" w:eastAsia="Times New Roman" w:hint="default"/>
          <w:spacing w:val="-3"/>
        </w:rPr>
        <w:t>plus </w:t>
      </w:r>
      <w:r>
        <w:rPr>
          <w:rFonts w:ascii="Times New Roman" w:hAnsi="Times New Roman" w:cs="Times New Roman" w:eastAsia="Times New Roman" w:hint="default"/>
          <w:spacing w:val="16"/>
        </w:rPr>
        <w:t> </w:t>
      </w:r>
      <w:r>
        <w:rPr/>
        <w:t>高端视频品牌，收录高清</w:t>
      </w:r>
      <w:r>
        <w:rPr>
          <w:rFonts w:ascii="Times New Roman" w:hAnsi="Times New Roman" w:cs="Times New Roman" w:eastAsia="Times New Roman" w:hint="default"/>
        </w:rPr>
        <w:t>4k/8k</w:t>
      </w:r>
      <w:r>
        <w:rPr/>
        <w:t>的高质量视频素材，满足客户对高清视频的需求。</w:t>
      </w:r>
    </w:p>
    <w:p>
      <w:pPr>
        <w:pStyle w:val="BodyText"/>
        <w:spacing w:line="304" w:lineRule="auto" w:before="6"/>
        <w:ind w:right="1123" w:firstLine="422"/>
        <w:jc w:val="both"/>
      </w:pPr>
      <w:r>
        <w:rPr>
          <w:rFonts w:ascii="Times New Roman" w:hAnsi="Times New Roman" w:cs="Times New Roman" w:eastAsia="Times New Roman" w:hint="default"/>
          <w:spacing w:val="-2"/>
        </w:rPr>
        <w:t>2020</w:t>
      </w:r>
      <w:r>
        <w:rPr>
          <w:spacing w:val="-2"/>
        </w:rPr>
        <w:t>年，公司计划依托签约摄影师、设计师网络，推出按需定制互联网平台服务。由于新冠疫情的发</w:t>
      </w:r>
      <w:r>
        <w:rPr>
          <w:w w:val="100"/>
        </w:rPr>
        <w:t> </w:t>
      </w:r>
      <w:r>
        <w:rPr>
          <w:spacing w:val="-2"/>
        </w:rPr>
        <w:t>生，开展针对按需平台的就业岗位将会成为新的重要就业渠道。公司希望为创作者和客户建立按需定制的</w:t>
      </w:r>
      <w:r>
        <w:rPr>
          <w:spacing w:val="-33"/>
        </w:rPr>
        <w:t> </w:t>
      </w:r>
      <w:r>
        <w:rPr>
          <w:spacing w:val="-33"/>
        </w:rPr>
      </w:r>
      <w:r>
        <w:rPr/>
        <w:t>撮合交易平台，提高交易效率，创造更多的商业机会，更好为上下游赋能。</w:t>
      </w:r>
    </w:p>
    <w:p>
      <w:pPr>
        <w:spacing w:line="314" w:lineRule="auto" w:before="24"/>
        <w:ind w:left="575" w:right="0" w:firstLine="0"/>
        <w:jc w:val="left"/>
        <w:rPr>
          <w:rFonts w:ascii="宋体" w:hAnsi="宋体" w:cs="宋体" w:eastAsia="宋体" w:hint="default"/>
          <w:sz w:val="21"/>
          <w:szCs w:val="21"/>
        </w:rPr>
      </w:pPr>
      <w:r>
        <w:rPr>
          <w:rFonts w:ascii="宋体" w:hAnsi="宋体" w:cs="宋体" w:eastAsia="宋体" w:hint="default"/>
          <w:b/>
          <w:bCs/>
          <w:sz w:val="21"/>
          <w:szCs w:val="21"/>
        </w:rPr>
        <w:t>不断提升企业数字化水平 提高经营和运营效率</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公司在围绕客户需求导向的前提下，通过技术提升用户搜索、推荐、下载等一系列高效获得优质内容</w:t>
      </w:r>
    </w:p>
    <w:p>
      <w:pPr>
        <w:pStyle w:val="BodyText"/>
        <w:spacing w:line="297" w:lineRule="auto" w:before="20"/>
        <w:ind w:right="0"/>
        <w:jc w:val="left"/>
      </w:pPr>
      <w:r>
        <w:rPr>
          <w:spacing w:val="-2"/>
        </w:rPr>
        <w:t>的体验，通过一站式服务提高客户黏性。公司将由</w:t>
      </w:r>
      <w:r>
        <w:rPr>
          <w:rFonts w:ascii="Times New Roman" w:hAnsi="Times New Roman" w:cs="Times New Roman" w:eastAsia="Times New Roman" w:hint="default"/>
          <w:spacing w:val="-2"/>
        </w:rPr>
        <w:t>“</w:t>
      </w:r>
      <w:r>
        <w:rPr>
          <w:spacing w:val="-2"/>
        </w:rPr>
        <w:t>内容驱动</w:t>
      </w:r>
      <w:r>
        <w:rPr>
          <w:rFonts w:ascii="Times New Roman" w:hAnsi="Times New Roman" w:cs="Times New Roman" w:eastAsia="Times New Roman" w:hint="default"/>
          <w:spacing w:val="-2"/>
        </w:rPr>
        <w:t>”</w:t>
      </w:r>
      <w:r>
        <w:rPr>
          <w:spacing w:val="-2"/>
        </w:rPr>
        <w:t>延展为</w:t>
      </w:r>
      <w:r>
        <w:rPr>
          <w:rFonts w:ascii="Times New Roman" w:hAnsi="Times New Roman" w:cs="Times New Roman" w:eastAsia="Times New Roman" w:hint="default"/>
          <w:spacing w:val="-2"/>
        </w:rPr>
        <w:t>“</w:t>
      </w:r>
      <w:r>
        <w:rPr>
          <w:spacing w:val="-2"/>
        </w:rPr>
        <w:t>内容、技术</w:t>
      </w:r>
      <w:r>
        <w:rPr>
          <w:rFonts w:ascii="Times New Roman" w:hAnsi="Times New Roman" w:cs="Times New Roman" w:eastAsia="Times New Roman" w:hint="default"/>
          <w:spacing w:val="-2"/>
        </w:rPr>
        <w:t>”</w:t>
      </w:r>
      <w:r>
        <w:rPr>
          <w:spacing w:val="-2"/>
        </w:rPr>
        <w:t>双轮驱动，全方面提升</w:t>
      </w:r>
      <w:r>
        <w:rPr>
          <w:spacing w:val="-4"/>
        </w:rPr>
        <w:t> </w:t>
      </w:r>
      <w:r>
        <w:rPr>
          <w:spacing w:val="-4"/>
        </w:rPr>
      </w:r>
      <w:r>
        <w:rPr/>
        <w:t>核心竞争力，为客户做好服务，为客户创造价值。</w:t>
      </w:r>
    </w:p>
    <w:p>
      <w:pPr>
        <w:pStyle w:val="BodyText"/>
        <w:spacing w:line="309" w:lineRule="auto" w:before="30"/>
        <w:ind w:right="1123" w:firstLine="422"/>
        <w:jc w:val="both"/>
      </w:pPr>
      <w:r>
        <w:rPr>
          <w:rFonts w:ascii="Times New Roman" w:hAnsi="Times New Roman" w:cs="Times New Roman" w:eastAsia="Times New Roman" w:hint="default"/>
          <w:spacing w:val="-2"/>
        </w:rPr>
        <w:t>2020</w:t>
      </w:r>
      <w:r>
        <w:rPr>
          <w:spacing w:val="-2"/>
        </w:rPr>
        <w:t>年，公司技术研发体系将进一步优化，强化</w:t>
      </w:r>
      <w:r>
        <w:rPr>
          <w:rFonts w:ascii="Times New Roman" w:hAnsi="Times New Roman" w:cs="Times New Roman" w:eastAsia="Times New Roman" w:hint="default"/>
          <w:spacing w:val="-2"/>
        </w:rPr>
        <w:t>“</w:t>
      </w:r>
      <w:r>
        <w:rPr>
          <w:spacing w:val="-2"/>
        </w:rPr>
        <w:t>大中台，小前台</w:t>
      </w:r>
      <w:r>
        <w:rPr>
          <w:rFonts w:ascii="Times New Roman" w:hAnsi="Times New Roman" w:cs="Times New Roman" w:eastAsia="Times New Roman" w:hint="default"/>
          <w:spacing w:val="-2"/>
        </w:rPr>
        <w:t>”</w:t>
      </w:r>
      <w:r>
        <w:rPr>
          <w:spacing w:val="-2"/>
        </w:rPr>
        <w:t>的业务模式，尤其是中台的组建，</w:t>
      </w:r>
      <w:r>
        <w:rPr>
          <w:w w:val="100"/>
        </w:rPr>
        <w:t> </w:t>
      </w:r>
      <w:r>
        <w:rPr>
          <w:spacing w:val="-2"/>
        </w:rPr>
        <w:t>通过系统性输出组件化资源和技术能力包，使得公司前端的具体业务可以更加灵活地开展。在前台，公司</w:t>
      </w:r>
      <w:r>
        <w:rPr>
          <w:spacing w:val="-33"/>
        </w:rPr>
        <w:t> </w:t>
      </w:r>
      <w:r>
        <w:rPr>
          <w:spacing w:val="-33"/>
        </w:rPr>
      </w:r>
      <w:r>
        <w:rPr>
          <w:spacing w:val="-2"/>
        </w:rPr>
        <w:t>将持续不断迭代和优化版权交易平台、创作者交流平台；在中台，完善数据管理、流程效率、自动化、需</w:t>
      </w:r>
      <w:r>
        <w:rPr>
          <w:spacing w:val="-38"/>
        </w:rPr>
        <w:t> </w:t>
      </w:r>
      <w:r>
        <w:rPr>
          <w:spacing w:val="-38"/>
        </w:rPr>
      </w:r>
      <w:r>
        <w:rPr>
          <w:spacing w:val="-2"/>
        </w:rPr>
        <w:t>求预测，提升运营效率和管理能力；同时，基于拥有的核心数据资产，结合客户使用需求和应用场景，将</w:t>
      </w:r>
      <w:r>
        <w:rPr>
          <w:spacing w:val="-38"/>
        </w:rPr>
        <w:t> </w:t>
      </w:r>
      <w:r>
        <w:rPr>
          <w:spacing w:val="-38"/>
        </w:rPr>
      </w:r>
      <w:r>
        <w:rPr>
          <w:rFonts w:ascii="Times New Roman" w:hAnsi="Times New Roman" w:cs="Times New Roman" w:eastAsia="Times New Roman" w:hint="default"/>
        </w:rPr>
        <w:t>“</w:t>
      </w:r>
      <w:r>
        <w:rPr/>
        <w:t>技术能力</w:t>
      </w:r>
      <w:r>
        <w:rPr>
          <w:rFonts w:ascii="Times New Roman" w:hAnsi="Times New Roman" w:cs="Times New Roman" w:eastAsia="Times New Roman" w:hint="default"/>
        </w:rPr>
        <w:t>”</w:t>
      </w:r>
      <w:r>
        <w:rPr/>
        <w:t>向行业上下游</w:t>
      </w:r>
      <w:r>
        <w:rPr>
          <w:rFonts w:ascii="Times New Roman" w:hAnsi="Times New Roman" w:cs="Times New Roman" w:eastAsia="Times New Roman" w:hint="default"/>
        </w:rPr>
        <w:t>“</w:t>
      </w:r>
      <w:r>
        <w:rPr/>
        <w:t>赋能</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连接</w:t>
      </w:r>
      <w:r>
        <w:rPr>
          <w:rFonts w:ascii="Times New Roman" w:hAnsi="Times New Roman" w:cs="Times New Roman" w:eastAsia="Times New Roman" w:hint="default"/>
        </w:rPr>
        <w:t>”</w:t>
      </w:r>
      <w:r>
        <w:rPr/>
        <w:t>各类互联网流量平台，提升公司产品服务的市场覆盖。</w:t>
      </w:r>
    </w:p>
    <w:p>
      <w:pPr>
        <w:pStyle w:val="BodyText"/>
        <w:spacing w:line="297" w:lineRule="auto" w:before="2"/>
        <w:ind w:right="0" w:firstLine="422"/>
        <w:jc w:val="left"/>
      </w:pPr>
      <w:r>
        <w:rPr>
          <w:rFonts w:ascii="Times New Roman" w:hAnsi="Times New Roman" w:cs="Times New Roman" w:eastAsia="Times New Roman" w:hint="default"/>
        </w:rPr>
        <w:t>2020</w:t>
      </w:r>
      <w:r>
        <w:rPr/>
        <w:t>年，公司将继续不断强化基于图像大数据的人工智能技术实力，不断打造公司核心的</w:t>
      </w:r>
      <w:r>
        <w:rPr>
          <w:rFonts w:ascii="Times New Roman" w:hAnsi="Times New Roman" w:cs="Times New Roman" w:eastAsia="Times New Roman" w:hint="default"/>
        </w:rPr>
        <w:t>“</w:t>
      </w:r>
      <w:r>
        <w:rPr/>
        <w:t>数据提升</w:t>
      </w:r>
      <w:r>
        <w:rPr>
          <w:w w:val="100"/>
        </w:rPr>
        <w:t> </w:t>
      </w:r>
      <w:r>
        <w:rPr>
          <w:spacing w:val="-3"/>
        </w:rPr>
        <w:t>技术</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技术驱动服务</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服务回馈数据</w:t>
      </w:r>
      <w:r>
        <w:rPr>
          <w:rFonts w:ascii="Times New Roman" w:hAnsi="Times New Roman" w:cs="Times New Roman" w:eastAsia="Times New Roman" w:hint="default"/>
          <w:spacing w:val="-3"/>
        </w:rPr>
        <w:t>”</w:t>
      </w:r>
      <w:r>
        <w:rPr>
          <w:spacing w:val="-3"/>
        </w:rPr>
        <w:t>闭环运行模式，</w:t>
      </w:r>
      <w:r>
        <w:rPr>
          <w:rFonts w:ascii="Times New Roman" w:hAnsi="Times New Roman" w:cs="Times New Roman" w:eastAsia="Times New Roman" w:hint="default"/>
          <w:spacing w:val="-3"/>
        </w:rPr>
        <w:t>“</w:t>
      </w:r>
      <w:r>
        <w:rPr>
          <w:spacing w:val="-3"/>
        </w:rPr>
        <w:t>越服务，越懂服务</w:t>
      </w:r>
      <w:r>
        <w:rPr>
          <w:rFonts w:ascii="Times New Roman" w:hAnsi="Times New Roman" w:cs="Times New Roman" w:eastAsia="Times New Roman" w:hint="default"/>
          <w:spacing w:val="-3"/>
        </w:rPr>
        <w:t>”</w:t>
      </w:r>
      <w:r>
        <w:rPr>
          <w:spacing w:val="-3"/>
        </w:rPr>
        <w:t>，提升产品体验、服务交付</w:t>
      </w:r>
      <w:r>
        <w:rPr/>
        <w:t> </w:t>
      </w:r>
      <w:r>
        <w:rPr/>
        <w:t>和管理效率，以产品技术驱动业务快速增长。</w:t>
      </w:r>
    </w:p>
    <w:p>
      <w:pPr>
        <w:pStyle w:val="BodyText"/>
        <w:spacing w:line="309" w:lineRule="auto" w:before="30"/>
        <w:ind w:right="0" w:firstLine="422"/>
        <w:jc w:val="left"/>
      </w:pPr>
      <w:r>
        <w:rPr>
          <w:rFonts w:ascii="Times New Roman" w:hAnsi="Times New Roman" w:cs="Times New Roman" w:eastAsia="Times New Roman" w:hint="default"/>
        </w:rPr>
        <w:t>2020</w:t>
      </w:r>
      <w:r>
        <w:rPr/>
        <w:t>年，公司将重点全面提升企业数字化能力。针对前台业务，重点用于市场营销环节，全渠道多种</w:t>
      </w:r>
      <w:r>
        <w:rPr>
          <w:w w:val="100"/>
        </w:rPr>
        <w:t> </w:t>
      </w:r>
      <w:r>
        <w:rPr/>
        <w:t>营销场景覆盖，高效提升获客户能力，加强客户社群运营，提升用户体验，实现业务增长；中台的数字技</w:t>
      </w:r>
      <w:r>
        <w:rPr>
          <w:w w:val="100"/>
        </w:rPr>
        <w:t> </w:t>
      </w:r>
      <w:r>
        <w:rPr/>
        <w:t>术则关注供应链、客户渠道等方面管理效率，具备能够标准化共享的规模效应；后台的数字技术，重心在</w:t>
      </w:r>
      <w:r>
        <w:rPr>
          <w:w w:val="100"/>
        </w:rPr>
        <w:t> </w:t>
      </w:r>
      <w:r>
        <w:rPr>
          <w:spacing w:val="-4"/>
        </w:rPr>
        <w:t>于提升财务、人力、合规等部门的效率与安全。同时，充分运用第三方数字化效率工具加强内部协同沟通，</w:t>
      </w:r>
      <w:r>
        <w:rPr>
          <w:spacing w:val="-44"/>
        </w:rPr>
        <w:t> </w:t>
      </w:r>
      <w:r>
        <w:rPr>
          <w:spacing w:val="-44"/>
        </w:rPr>
      </w:r>
      <w:r>
        <w:rPr/>
        <w:t>对所有流程实现数字化。通过提升企业数字化能力，全面提高企业组织效率和管理水平。</w:t>
      </w:r>
    </w:p>
    <w:p>
      <w:pPr>
        <w:spacing w:after="0" w:line="309" w:lineRule="auto"/>
        <w:jc w:val="left"/>
        <w:sectPr>
          <w:pgSz w:w="11910" w:h="16840"/>
          <w:pgMar w:header="741" w:footer="979" w:top="1060" w:bottom="1160" w:left="980" w:right="0"/>
        </w:sectPr>
      </w:pPr>
    </w:p>
    <w:p>
      <w:pPr>
        <w:spacing w:line="240" w:lineRule="auto" w:before="10"/>
        <w:rPr>
          <w:rFonts w:ascii="宋体" w:hAnsi="宋体" w:cs="宋体" w:eastAsia="宋体" w:hint="default"/>
          <w:sz w:val="26"/>
          <w:szCs w:val="26"/>
        </w:rPr>
      </w:pPr>
    </w:p>
    <w:p>
      <w:pPr>
        <w:pStyle w:val="Heading4"/>
        <w:spacing w:line="240" w:lineRule="auto" w:before="36"/>
        <w:ind w:left="575" w:right="0"/>
        <w:jc w:val="left"/>
        <w:rPr>
          <w:b w:val="0"/>
          <w:bCs w:val="0"/>
        </w:rPr>
      </w:pPr>
      <w:r>
        <w:rPr/>
        <w:t>专注旅游和教育行业</w:t>
      </w:r>
      <w:r>
        <w:rPr>
          <w:spacing w:val="-4"/>
        </w:rPr>
        <w:t> </w:t>
      </w:r>
      <w:r>
        <w:rPr/>
        <w:t>实践</w:t>
      </w:r>
      <w:r>
        <w:rPr>
          <w:rFonts w:ascii="Times New Roman" w:hAnsi="Times New Roman" w:cs="Times New Roman" w:eastAsia="Times New Roman" w:hint="default"/>
        </w:rPr>
        <w:t>“</w:t>
      </w:r>
      <w:r>
        <w:rPr/>
        <w:t>视觉</w:t>
      </w:r>
      <w:r>
        <w:rPr>
          <w:rFonts w:ascii="Times New Roman" w:hAnsi="Times New Roman" w:cs="Times New Roman" w:eastAsia="Times New Roman" w:hint="default"/>
        </w:rPr>
        <w:t>+</w:t>
      </w:r>
      <w:r>
        <w:rPr/>
        <w:t>行业</w:t>
      </w:r>
      <w:r>
        <w:rPr>
          <w:rFonts w:ascii="Times New Roman" w:hAnsi="Times New Roman" w:cs="Times New Roman" w:eastAsia="Times New Roman" w:hint="default"/>
        </w:rPr>
        <w:t>”</w:t>
      </w:r>
      <w:r>
        <w:rPr/>
        <w:t>战略</w:t>
      </w:r>
      <w:r>
        <w:rPr>
          <w:b w:val="0"/>
          <w:bCs w:val="0"/>
        </w:rPr>
      </w:r>
    </w:p>
    <w:p>
      <w:pPr>
        <w:pStyle w:val="BodyText"/>
        <w:spacing w:line="302" w:lineRule="auto" w:before="69"/>
        <w:ind w:right="1124" w:firstLine="422"/>
        <w:jc w:val="both"/>
      </w:pPr>
      <w:r>
        <w:rPr>
          <w:rFonts w:ascii="Times New Roman" w:hAnsi="Times New Roman" w:cs="Times New Roman" w:eastAsia="Times New Roman" w:hint="default"/>
          <w:spacing w:val="-2"/>
        </w:rPr>
        <w:t>2020</w:t>
      </w:r>
      <w:r>
        <w:rPr>
          <w:spacing w:val="-2"/>
        </w:rPr>
        <w:t>年，唱游公司将在文化和旅游部的指导下，持续优化完善两大平台的功能，继续深入推进两大平</w:t>
      </w:r>
      <w:r>
        <w:rPr>
          <w:w w:val="100"/>
        </w:rPr>
        <w:t> </w:t>
      </w:r>
      <w:r>
        <w:rPr>
          <w:spacing w:val="-2"/>
        </w:rPr>
        <w:t>台在各省市的全覆盖使用，实现大数据</w:t>
      </w:r>
      <w:r>
        <w:rPr>
          <w:rFonts w:ascii="Times New Roman" w:hAnsi="Times New Roman" w:cs="Times New Roman" w:eastAsia="Times New Roman" w:hint="default"/>
          <w:spacing w:val="-2"/>
        </w:rPr>
        <w:t>SaaS</w:t>
      </w:r>
      <w:r>
        <w:rPr>
          <w:spacing w:val="-2"/>
        </w:rPr>
        <w:t>平台更广泛的应用服务，促进营业收入不断增长。同时，还将</w:t>
      </w:r>
      <w:r>
        <w:rPr>
          <w:spacing w:val="-29"/>
        </w:rPr>
        <w:t> </w:t>
      </w:r>
      <w:r>
        <w:rPr>
          <w:spacing w:val="-29"/>
        </w:rPr>
      </w:r>
      <w:r>
        <w:rPr>
          <w:spacing w:val="-2"/>
        </w:rPr>
        <w:t>加强视觉核心业务和旅游行业的紧密结合，为各级旅游主管部门及涉旅企业（如旅行社、景区和酒店集团</w:t>
      </w:r>
      <w:r>
        <w:rPr>
          <w:spacing w:val="-33"/>
        </w:rPr>
        <w:t> </w:t>
      </w:r>
      <w:r>
        <w:rPr>
          <w:spacing w:val="-33"/>
        </w:rPr>
      </w:r>
      <w:r>
        <w:rPr/>
        <w:t>等）提供高质量的视觉内容及增值服务。</w:t>
      </w:r>
    </w:p>
    <w:p>
      <w:pPr>
        <w:pStyle w:val="BodyText"/>
        <w:spacing w:line="307" w:lineRule="auto" w:before="30"/>
        <w:ind w:right="1124" w:firstLine="422"/>
        <w:jc w:val="both"/>
      </w:pPr>
      <w:r>
        <w:rPr>
          <w:rFonts w:ascii="Times New Roman" w:hAnsi="Times New Roman" w:cs="Times New Roman" w:eastAsia="Times New Roman" w:hint="default"/>
          <w:spacing w:val="-2"/>
        </w:rPr>
        <w:t>2020</w:t>
      </w:r>
      <w:r>
        <w:rPr>
          <w:spacing w:val="-2"/>
        </w:rPr>
        <w:t>年，国家开放大学旅游学院将依照相关合作要求，继续加强学历教育工作，开展酒店管理和旅游</w:t>
      </w:r>
      <w:r>
        <w:rPr>
          <w:w w:val="100"/>
        </w:rPr>
        <w:t> </w:t>
      </w:r>
      <w:r>
        <w:rPr>
          <w:spacing w:val="-2"/>
        </w:rPr>
        <w:t>管理两个专科的招生工作以及推进酒店管理本科的建设工作；在非学历教育方面，学院和中国旅行社协会</w:t>
      </w:r>
      <w:r>
        <w:rPr>
          <w:spacing w:val="-33"/>
        </w:rPr>
        <w:t> </w:t>
      </w:r>
      <w:r>
        <w:rPr>
          <w:spacing w:val="-33"/>
        </w:rPr>
      </w:r>
      <w:r>
        <w:rPr>
          <w:spacing w:val="-2"/>
        </w:rPr>
        <w:t>合作建立研学旅游指导师培训基地，开展研学旅游指导师培训工作，编制旅游规划师等级标准，并在此基</w:t>
      </w:r>
      <w:r>
        <w:rPr>
          <w:spacing w:val="-33"/>
        </w:rPr>
        <w:t> </w:t>
      </w:r>
      <w:r>
        <w:rPr>
          <w:spacing w:val="-33"/>
        </w:rPr>
      </w:r>
      <w:r>
        <w:rPr/>
        <w:t>础上开展相关的职业认证工作。</w:t>
      </w:r>
    </w:p>
    <w:p>
      <w:pPr>
        <w:pStyle w:val="BodyText"/>
        <w:spacing w:line="295" w:lineRule="auto" w:before="26"/>
        <w:ind w:right="0" w:firstLine="422"/>
        <w:jc w:val="left"/>
      </w:pPr>
      <w:r>
        <w:rPr>
          <w:rFonts w:ascii="Times New Roman" w:hAnsi="Times New Roman" w:cs="Times New Roman" w:eastAsia="Times New Roman" w:hint="default"/>
          <w:spacing w:val="-2"/>
        </w:rPr>
        <w:t>2020</w:t>
      </w:r>
      <w:r>
        <w:rPr>
          <w:spacing w:val="-2"/>
        </w:rPr>
        <w:t>年，司马彦科技将利用公司优质的视觉内容并借助于人工智能、大数据等技术手段整合线下客户</w:t>
      </w:r>
      <w:r>
        <w:rPr>
          <w:w w:val="100"/>
        </w:rPr>
        <w:t> </w:t>
      </w:r>
      <w:r>
        <w:rPr/>
        <w:t>流量资源。并将包括字帖在内的</w:t>
      </w:r>
      <w:r>
        <w:rPr>
          <w:rFonts w:ascii="Times New Roman" w:hAnsi="Times New Roman" w:cs="Times New Roman" w:eastAsia="Times New Roman" w:hint="default"/>
        </w:rPr>
        <w:t>K12</w:t>
      </w:r>
      <w:r>
        <w:rPr/>
        <w:t>教育资源数字化、视觉化，形成高效的线上线下互动模式，为</w:t>
      </w:r>
      <w:r>
        <w:rPr>
          <w:rFonts w:ascii="Times New Roman" w:hAnsi="Times New Roman" w:cs="Times New Roman" w:eastAsia="Times New Roman" w:hint="default"/>
        </w:rPr>
        <w:t>K12</w:t>
      </w:r>
      <w:r>
        <w:rPr/>
        <w:t>群</w:t>
      </w:r>
      <w:r>
        <w:rPr>
          <w:spacing w:val="-102"/>
        </w:rPr>
        <w:t> </w:t>
      </w:r>
      <w:r>
        <w:rPr/>
        <w:t>体提供基于专业视觉内容的增值服务，完成</w:t>
      </w:r>
      <w:r>
        <w:rPr>
          <w:rFonts w:ascii="Times New Roman" w:hAnsi="Times New Roman" w:cs="Times New Roman" w:eastAsia="Times New Roman" w:hint="default"/>
        </w:rPr>
        <w:t>2B</w:t>
      </w:r>
      <w:r>
        <w:rPr/>
        <w:t>向</w:t>
      </w:r>
      <w:r>
        <w:rPr>
          <w:rFonts w:ascii="Times New Roman" w:hAnsi="Times New Roman" w:cs="Times New Roman" w:eastAsia="Times New Roman" w:hint="default"/>
        </w:rPr>
        <w:t>2C</w:t>
      </w:r>
      <w:r>
        <w:rPr/>
        <w:t>业务的延伸。</w:t>
      </w:r>
    </w:p>
    <w:p>
      <w:pPr>
        <w:pStyle w:val="BodyText"/>
        <w:spacing w:line="297" w:lineRule="auto" w:before="16"/>
        <w:ind w:right="1125" w:firstLine="422"/>
        <w:jc w:val="both"/>
      </w:pPr>
      <w:r>
        <w:rPr>
          <w:rFonts w:ascii="Times New Roman" w:hAnsi="Times New Roman" w:cs="Times New Roman" w:eastAsia="Times New Roman" w:hint="default"/>
          <w:spacing w:val="-2"/>
        </w:rPr>
        <w:t>2020</w:t>
      </w:r>
      <w:r>
        <w:rPr>
          <w:spacing w:val="-2"/>
        </w:rPr>
        <w:t>年，易教优培计划完成技术平台和产品的重构，专注于在线培训。并计划以公司优质的视觉内容</w:t>
      </w:r>
      <w:r>
        <w:rPr>
          <w:w w:val="100"/>
        </w:rPr>
        <w:t> </w:t>
      </w:r>
      <w:r>
        <w:rPr/>
        <w:t>资源为基础，打造基于</w:t>
      </w:r>
      <w:r>
        <w:rPr>
          <w:rFonts w:ascii="Times New Roman" w:hAnsi="Times New Roman" w:cs="Times New Roman" w:eastAsia="Times New Roman" w:hint="default"/>
        </w:rPr>
        <w:t>K12</w:t>
      </w:r>
      <w:r>
        <w:rPr/>
        <w:t>教师群体的专业视觉内容素材库。</w:t>
      </w:r>
    </w:p>
    <w:p>
      <w:pPr>
        <w:pStyle w:val="BodyText"/>
        <w:spacing w:line="314" w:lineRule="auto" w:before="8"/>
        <w:ind w:right="1125" w:firstLine="422"/>
        <w:jc w:val="both"/>
      </w:pPr>
      <w:r>
        <w:rPr>
          <w:spacing w:val="-2"/>
        </w:rPr>
        <w:t>公司在旅游及教育行业的持续关注和深入，助力参股公司成为各自细分行业的龙头企业，并推动视觉</w:t>
      </w:r>
      <w:r>
        <w:rPr>
          <w:w w:val="100"/>
        </w:rPr>
        <w:t> </w:t>
      </w:r>
      <w:r>
        <w:rPr/>
        <w:t>核心主业进入行业的蓝海市场。</w:t>
      </w:r>
    </w:p>
    <w:p>
      <w:pPr>
        <w:pStyle w:val="Heading4"/>
        <w:spacing w:line="240" w:lineRule="auto" w:before="20"/>
        <w:ind w:left="575" w:right="0"/>
        <w:jc w:val="left"/>
        <w:rPr>
          <w:b w:val="0"/>
          <w:bCs w:val="0"/>
        </w:rPr>
      </w:pPr>
      <w:r>
        <w:rPr/>
        <w:t>聚焦核心主业 积极整合外部资源</w:t>
      </w:r>
      <w:r>
        <w:rPr>
          <w:b w:val="0"/>
          <w:bCs w:val="0"/>
        </w:rPr>
      </w:r>
    </w:p>
    <w:p>
      <w:pPr>
        <w:pStyle w:val="BodyText"/>
        <w:spacing w:line="304" w:lineRule="auto" w:before="85"/>
        <w:ind w:right="1124" w:firstLine="422"/>
        <w:jc w:val="both"/>
      </w:pPr>
      <w:r>
        <w:rPr>
          <w:rFonts w:ascii="Times New Roman" w:hAnsi="Times New Roman" w:cs="Times New Roman" w:eastAsia="Times New Roman" w:hint="default"/>
          <w:spacing w:val="-4"/>
        </w:rPr>
        <w:t>2020</w:t>
      </w:r>
      <w:r>
        <w:rPr>
          <w:spacing w:val="-4"/>
        </w:rPr>
        <w:t>年，公司将进一步聚焦核心主营业务</w:t>
      </w:r>
      <w:r>
        <w:rPr>
          <w:rFonts w:ascii="Times New Roman" w:hAnsi="Times New Roman" w:cs="Times New Roman" w:eastAsia="Times New Roman" w:hint="default"/>
          <w:spacing w:val="-4"/>
        </w:rPr>
        <w:t>-</w:t>
      </w:r>
      <w:r>
        <w:rPr>
          <w:spacing w:val="-4"/>
        </w:rPr>
        <w:t>“视觉内容与服务”，加速整合公司核心业务的上下游优势</w:t>
      </w:r>
      <w:r>
        <w:rPr>
          <w:w w:val="100"/>
        </w:rPr>
        <w:t> </w:t>
      </w:r>
      <w:r>
        <w:rPr/>
        <w:t>资源，在核心主业领域开展投资并购或战略合作，打造围绕公司核心主业的“视觉</w:t>
      </w:r>
      <w:r>
        <w:rPr>
          <w:rFonts w:ascii="Times New Roman" w:hAnsi="Times New Roman" w:cs="Times New Roman" w:eastAsia="Times New Roman" w:hint="default"/>
        </w:rPr>
        <w:t>+</w:t>
      </w:r>
      <w:r>
        <w:rPr/>
        <w:t>生态”，进一步强化</w:t>
      </w:r>
      <w:r>
        <w:rPr>
          <w:spacing w:val="-103"/>
        </w:rPr>
        <w:t> </w:t>
      </w:r>
      <w:r>
        <w:rPr>
          <w:spacing w:val="-103"/>
        </w:rPr>
      </w:r>
      <w:r>
        <w:rPr>
          <w:spacing w:val="-2"/>
        </w:rPr>
        <w:t>竞争壁垒。同时，公司还将积极寻找具有政策优势、资本优势或行业积累的优质投资者，为公司引入领先</w:t>
      </w:r>
      <w:r>
        <w:rPr>
          <w:spacing w:val="-33"/>
        </w:rPr>
        <w:t> </w:t>
      </w:r>
      <w:r>
        <w:rPr>
          <w:spacing w:val="-33"/>
        </w:rPr>
      </w:r>
      <w:r>
        <w:rPr>
          <w:spacing w:val="-2"/>
        </w:rPr>
        <w:t>的技术、市场、渠道、品牌等战略性资源，努力优化公司股东结构，提升公司价值和治理水平，增强公司</w:t>
      </w:r>
      <w:r>
        <w:rPr>
          <w:spacing w:val="-33"/>
        </w:rPr>
        <w:t> </w:t>
      </w:r>
      <w:r>
        <w:rPr>
          <w:spacing w:val="-33"/>
        </w:rPr>
      </w:r>
      <w:r>
        <w:rPr/>
        <w:t>核心竞争力。</w:t>
      </w:r>
    </w:p>
    <w:p>
      <w:pPr>
        <w:spacing w:line="240" w:lineRule="auto" w:before="5"/>
        <w:rPr>
          <w:rFonts w:ascii="宋体" w:hAnsi="宋体" w:cs="宋体" w:eastAsia="宋体" w:hint="default"/>
          <w:sz w:val="29"/>
          <w:szCs w:val="29"/>
        </w:rPr>
      </w:pPr>
    </w:p>
    <w:p>
      <w:pPr>
        <w:pStyle w:val="Heading4"/>
        <w:spacing w:line="240" w:lineRule="auto"/>
        <w:ind w:left="575" w:right="0"/>
        <w:jc w:val="left"/>
        <w:rPr>
          <w:b w:val="0"/>
          <w:bCs w:val="0"/>
        </w:rPr>
      </w:pPr>
      <w:r>
        <w:rPr/>
        <w:t>（二）公司面临的风险和应对措施</w:t>
      </w:r>
      <w:r>
        <w:rPr>
          <w:b w:val="0"/>
          <w:bCs w:val="0"/>
        </w:rPr>
      </w:r>
    </w:p>
    <w:p>
      <w:pPr>
        <w:pStyle w:val="BodyText"/>
        <w:tabs>
          <w:tab w:pos="993" w:val="left" w:leader="none"/>
        </w:tabs>
        <w:spacing w:line="297" w:lineRule="auto" w:before="85"/>
        <w:ind w:left="575" w:right="1127"/>
        <w:jc w:val="left"/>
      </w:pPr>
      <w:r>
        <w:rPr>
          <w:rFonts w:ascii="Times New Roman" w:hAnsi="Times New Roman" w:cs="Times New Roman" w:eastAsia="Times New Roman" w:hint="default"/>
        </w:rPr>
        <w:t>1.</w:t>
        <w:tab/>
      </w:r>
      <w:r>
        <w:rPr/>
        <w:t>版权保护风险</w:t>
      </w:r>
      <w:r>
        <w:rPr>
          <w:spacing w:val="-103"/>
        </w:rPr>
        <w:t> </w:t>
      </w:r>
      <w:r>
        <w:rPr>
          <w:spacing w:val="-103"/>
        </w:rPr>
      </w:r>
      <w:r>
        <w:rPr>
          <w:spacing w:val="-2"/>
        </w:rPr>
        <w:t>目前图片市场</w:t>
      </w:r>
      <w:r>
        <w:rPr>
          <w:rFonts w:ascii="Times New Roman" w:hAnsi="Times New Roman" w:cs="Times New Roman" w:eastAsia="Times New Roman" w:hint="default"/>
          <w:spacing w:val="-2"/>
        </w:rPr>
        <w:t>“</w:t>
      </w:r>
      <w:r>
        <w:rPr>
          <w:spacing w:val="-2"/>
        </w:rPr>
        <w:t>侵权</w:t>
      </w:r>
      <w:r>
        <w:rPr>
          <w:rFonts w:ascii="Times New Roman" w:hAnsi="Times New Roman" w:cs="Times New Roman" w:eastAsia="Times New Roman" w:hint="default"/>
          <w:spacing w:val="-2"/>
        </w:rPr>
        <w:t>”</w:t>
      </w:r>
      <w:r>
        <w:rPr>
          <w:spacing w:val="-2"/>
        </w:rPr>
        <w:t>现象仍然比较普遍。公司将继续与政府主管部门、司法机关紧密配合，继续依靠</w:t>
      </w:r>
    </w:p>
    <w:p>
      <w:pPr>
        <w:pStyle w:val="BodyText"/>
        <w:spacing w:line="314" w:lineRule="auto" w:before="9"/>
        <w:ind w:right="1126"/>
        <w:jc w:val="both"/>
      </w:pPr>
      <w:r>
        <w:rPr>
          <w:spacing w:val="-2"/>
        </w:rPr>
        <w:t>专业的版权合规团队，并通过不断完善版权管理体系，运用技术创新手段，为市场提供全面、优质的版权</w:t>
      </w:r>
      <w:r>
        <w:rPr>
          <w:spacing w:val="-33"/>
        </w:rPr>
        <w:t> </w:t>
      </w:r>
      <w:r>
        <w:rPr>
          <w:spacing w:val="-33"/>
        </w:rPr>
      </w:r>
      <w:r>
        <w:rPr/>
        <w:t>服务，持续提高公司版权变现以及保护的能力。</w:t>
      </w:r>
    </w:p>
    <w:p>
      <w:pPr>
        <w:pStyle w:val="BodyText"/>
        <w:tabs>
          <w:tab w:pos="993" w:val="left" w:leader="none"/>
        </w:tabs>
        <w:spacing w:line="297" w:lineRule="auto" w:before="20"/>
        <w:ind w:left="575" w:right="1127"/>
        <w:jc w:val="left"/>
      </w:pPr>
      <w:r>
        <w:rPr>
          <w:rFonts w:ascii="Times New Roman" w:hAnsi="Times New Roman" w:cs="Times New Roman" w:eastAsia="Times New Roman" w:hint="default"/>
        </w:rPr>
        <w:t>2.</w:t>
        <w:tab/>
      </w:r>
      <w:r>
        <w:rPr/>
        <w:t>内容安全审核风险</w:t>
      </w:r>
      <w:r>
        <w:rPr>
          <w:spacing w:val="-101"/>
        </w:rPr>
        <w:t> </w:t>
      </w:r>
      <w:r>
        <w:rPr>
          <w:spacing w:val="-101"/>
        </w:rPr>
      </w:r>
      <w:r>
        <w:rPr>
          <w:spacing w:val="-2"/>
        </w:rPr>
        <w:t>公司整合了全球及本土海量优质全面的图片、视频、音乐、矢量、插画、字体等版权素材内容，合作</w:t>
      </w:r>
    </w:p>
    <w:p>
      <w:pPr>
        <w:pStyle w:val="BodyText"/>
        <w:spacing w:line="314" w:lineRule="auto" w:before="30"/>
        <w:ind w:right="1125"/>
        <w:jc w:val="both"/>
      </w:pPr>
      <w:r>
        <w:rPr>
          <w:spacing w:val="-2"/>
        </w:rPr>
        <w:t>供稿人、专业版权内容机构众多，相关素材涉及的内容审核难度不断提高，对技术、流程等方面的挑战不</w:t>
      </w:r>
      <w:r>
        <w:rPr>
          <w:spacing w:val="-33"/>
        </w:rPr>
        <w:t> </w:t>
      </w:r>
      <w:r>
        <w:rPr>
          <w:spacing w:val="-33"/>
        </w:rPr>
      </w:r>
      <w:r>
        <w:rPr>
          <w:spacing w:val="-2"/>
        </w:rPr>
        <w:t>断加大。对此，公司完善了机器审核、人工审核以及用户举报的内容审核制度与流程，成立了独立的内容</w:t>
      </w:r>
      <w:r>
        <w:rPr>
          <w:spacing w:val="-33"/>
        </w:rPr>
        <w:t> </w:t>
      </w:r>
      <w:r>
        <w:rPr>
          <w:spacing w:val="-33"/>
        </w:rPr>
      </w:r>
      <w:r>
        <w:rPr>
          <w:spacing w:val="-2"/>
        </w:rPr>
        <w:t>安全审核团队，并与人民网建立内容审核合作，对平台内容和产品服务进行全面筛查审核，整体提升公司</w:t>
      </w:r>
      <w:r>
        <w:rPr>
          <w:spacing w:val="-33"/>
        </w:rPr>
        <w:t> </w:t>
      </w:r>
      <w:r>
        <w:rPr>
          <w:spacing w:val="-33"/>
        </w:rPr>
      </w:r>
      <w:r>
        <w:rPr/>
        <w:t>内容质量与合规服务能力。</w:t>
      </w:r>
    </w:p>
    <w:p>
      <w:pPr>
        <w:pStyle w:val="BodyText"/>
        <w:tabs>
          <w:tab w:pos="1099" w:val="left" w:leader="none"/>
        </w:tabs>
        <w:spacing w:line="297" w:lineRule="auto" w:before="15"/>
        <w:ind w:left="575" w:right="1127"/>
        <w:jc w:val="left"/>
      </w:pPr>
      <w:r>
        <w:rPr>
          <w:rFonts w:ascii="Times New Roman" w:hAnsi="Times New Roman" w:cs="Times New Roman" w:eastAsia="Times New Roman" w:hint="default"/>
        </w:rPr>
        <w:t>3.</w:t>
        <w:tab/>
      </w:r>
      <w:r>
        <w:rPr/>
        <w:t>管理风险</w:t>
      </w:r>
      <w:r>
        <w:rPr>
          <w:spacing w:val="-101"/>
        </w:rPr>
        <w:t> </w:t>
      </w:r>
      <w:r>
        <w:rPr>
          <w:spacing w:val="-2"/>
        </w:rPr>
        <w:t>公司业务增长迅速，参、控股公司达四十余家，公司内部管理的复杂度和难度将不断提高；地域扩展</w:t>
      </w:r>
    </w:p>
    <w:p>
      <w:pPr>
        <w:pStyle w:val="BodyText"/>
        <w:spacing w:line="312" w:lineRule="auto" w:before="35"/>
        <w:ind w:right="1105"/>
        <w:jc w:val="both"/>
      </w:pPr>
      <w:r>
        <w:rPr>
          <w:spacing w:val="-2"/>
        </w:rPr>
        <w:t>到北美地区、北京、常州、深圳、上海、大连、广州、香港等，这些因素令公司在战略规划、制度建设、</w:t>
      </w:r>
      <w:r>
        <w:rPr>
          <w:spacing w:val="-12"/>
        </w:rPr>
        <w:t> </w:t>
      </w:r>
      <w:r>
        <w:rPr>
          <w:spacing w:val="-12"/>
        </w:rPr>
      </w:r>
      <w:r>
        <w:rPr>
          <w:spacing w:val="-2"/>
        </w:rPr>
        <w:t>组织机构设置、运营管理和内部控制等方面面临更大的挑战。公司将通过完善管理制度、规范流程、加强</w:t>
      </w:r>
      <w:r>
        <w:rPr>
          <w:spacing w:val="-33"/>
        </w:rPr>
        <w:t> </w:t>
      </w:r>
      <w:r>
        <w:rPr>
          <w:spacing w:val="-33"/>
        </w:rPr>
      </w:r>
      <w:r>
        <w:rPr/>
        <w:t>财务管控、加强人才培训、加强投后管理以及信息化建设等手段改善和提升管理及内部控制能力。</w:t>
      </w:r>
    </w:p>
    <w:p>
      <w:pPr>
        <w:spacing w:after="0" w:line="312" w:lineRule="auto"/>
        <w:jc w:val="both"/>
        <w:sectPr>
          <w:pgSz w:w="11910" w:h="16840"/>
          <w:pgMar w:header="741" w:footer="979" w:top="1060" w:bottom="1160" w:left="980" w:right="0"/>
        </w:sectPr>
      </w:pPr>
    </w:p>
    <w:p>
      <w:pPr>
        <w:spacing w:line="240" w:lineRule="auto" w:before="10"/>
        <w:rPr>
          <w:rFonts w:ascii="宋体" w:hAnsi="宋体" w:cs="宋体" w:eastAsia="宋体" w:hint="default"/>
          <w:sz w:val="26"/>
          <w:szCs w:val="26"/>
        </w:rPr>
      </w:pPr>
    </w:p>
    <w:p>
      <w:pPr>
        <w:pStyle w:val="BodyText"/>
        <w:tabs>
          <w:tab w:pos="993" w:val="left" w:leader="none"/>
        </w:tabs>
        <w:spacing w:line="297" w:lineRule="auto" w:before="36"/>
        <w:ind w:left="575" w:right="1127"/>
        <w:jc w:val="left"/>
      </w:pPr>
      <w:r>
        <w:rPr>
          <w:rFonts w:ascii="Times New Roman" w:hAnsi="Times New Roman" w:cs="Times New Roman" w:eastAsia="Times New Roman" w:hint="default"/>
        </w:rPr>
        <w:t>4.</w:t>
        <w:tab/>
      </w:r>
      <w:r>
        <w:rPr/>
        <w:t>股权投资子公司业绩承诺的风险</w:t>
      </w:r>
      <w:r>
        <w:rPr>
          <w:w w:val="100"/>
        </w:rPr>
        <w:t> </w:t>
      </w:r>
      <w:r>
        <w:rPr>
          <w:spacing w:val="-2"/>
        </w:rPr>
        <w:t>公司部分股权投资参、控股公司的存在业绩承诺，受宏观经济政策和行业监管因素的影响，在业绩承</w:t>
      </w:r>
    </w:p>
    <w:p>
      <w:pPr>
        <w:pStyle w:val="BodyText"/>
        <w:spacing w:line="314" w:lineRule="auto" w:before="30"/>
        <w:ind w:right="1106"/>
        <w:jc w:val="both"/>
      </w:pPr>
      <w:r>
        <w:rPr>
          <w:spacing w:val="-2"/>
        </w:rPr>
        <w:t>诺期内，若出现子公司无法于正常状态运营的情况，当期完成净利润可能低于对应年度的业绩承诺金额。</w:t>
      </w:r>
      <w:r>
        <w:rPr>
          <w:spacing w:val="-13"/>
        </w:rPr>
        <w:t> </w:t>
      </w:r>
      <w:r>
        <w:rPr>
          <w:spacing w:val="-13"/>
        </w:rPr>
      </w:r>
      <w:r>
        <w:rPr>
          <w:spacing w:val="-2"/>
        </w:rPr>
        <w:t>业绩补偿义务人如不能履行业绩补偿承诺，可能会对公司现金流产生不利影响，从而影响投资股权回报的</w:t>
      </w:r>
      <w:r>
        <w:rPr>
          <w:spacing w:val="-31"/>
        </w:rPr>
        <w:t> </w:t>
      </w:r>
      <w:r>
        <w:rPr>
          <w:spacing w:val="-31"/>
        </w:rPr>
      </w:r>
      <w:r>
        <w:rPr/>
        <w:t>实现。公司将加大投后管理力度，对参、控股公司实现实时关注、指导，保障信息通畅。</w:t>
      </w:r>
    </w:p>
    <w:p>
      <w:pPr>
        <w:pStyle w:val="BodyText"/>
        <w:tabs>
          <w:tab w:pos="993" w:val="left" w:leader="none"/>
        </w:tabs>
        <w:spacing w:line="292" w:lineRule="auto" w:before="20"/>
        <w:ind w:left="575" w:right="1127"/>
        <w:jc w:val="left"/>
      </w:pPr>
      <w:r>
        <w:rPr>
          <w:rFonts w:ascii="Times New Roman" w:hAnsi="Times New Roman" w:cs="Times New Roman" w:eastAsia="Times New Roman" w:hint="default"/>
        </w:rPr>
        <w:t>5.</w:t>
        <w:tab/>
      </w:r>
      <w:r>
        <w:rPr/>
        <w:t>人才管理的风险</w:t>
      </w:r>
      <w:r>
        <w:rPr>
          <w:spacing w:val="-102"/>
        </w:rPr>
        <w:t> </w:t>
      </w:r>
      <w:r>
        <w:rPr>
          <w:spacing w:val="-102"/>
        </w:rPr>
      </w:r>
      <w:r>
        <w:rPr>
          <w:spacing w:val="-2"/>
        </w:rPr>
        <w:t>公司目前拥有稳定的管理团队和人才储备库，通过专业的人才管理措施稳定和壮大优秀人才队伍，但</w:t>
      </w:r>
    </w:p>
    <w:p>
      <w:pPr>
        <w:pStyle w:val="BodyText"/>
        <w:spacing w:line="314" w:lineRule="auto" w:before="39"/>
        <w:ind w:right="1126"/>
        <w:jc w:val="both"/>
      </w:pPr>
      <w:r>
        <w:rPr>
          <w:spacing w:val="-2"/>
        </w:rPr>
        <w:t>与公司发展战略和发展目标的要求相比目前人才储备规模仍有待进一步加强。公司将积极采取多种人才管</w:t>
      </w:r>
      <w:r>
        <w:rPr>
          <w:spacing w:val="-33"/>
        </w:rPr>
        <w:t> </w:t>
      </w:r>
      <w:r>
        <w:rPr>
          <w:spacing w:val="-33"/>
        </w:rPr>
      </w:r>
      <w:r>
        <w:rPr/>
        <w:t>理措施，加强激励措施，加强公司人才储备，减少核心专业人才变动给公司经营业务带来的负面影响。</w:t>
      </w:r>
    </w:p>
    <w:p>
      <w:pPr>
        <w:pStyle w:val="BodyText"/>
        <w:tabs>
          <w:tab w:pos="993" w:val="left" w:leader="none"/>
        </w:tabs>
        <w:spacing w:line="292" w:lineRule="auto" w:before="20"/>
        <w:ind w:left="575" w:right="1127"/>
        <w:jc w:val="left"/>
      </w:pPr>
      <w:r>
        <w:rPr>
          <w:rFonts w:ascii="Times New Roman" w:hAnsi="Times New Roman" w:cs="Times New Roman" w:eastAsia="Times New Roman" w:hint="default"/>
        </w:rPr>
        <w:t>6.</w:t>
        <w:tab/>
      </w:r>
      <w:r>
        <w:rPr/>
        <w:t>汇率变化风险</w:t>
      </w:r>
      <w:r>
        <w:rPr>
          <w:spacing w:val="-103"/>
        </w:rPr>
        <w:t> </w:t>
      </w:r>
      <w:r>
        <w:rPr>
          <w:spacing w:val="-103"/>
        </w:rPr>
      </w:r>
      <w:r>
        <w:rPr>
          <w:spacing w:val="-2"/>
        </w:rPr>
        <w:t>公司预计</w:t>
      </w:r>
      <w:r>
        <w:rPr>
          <w:rFonts w:ascii="Times New Roman" w:hAnsi="Times New Roman" w:cs="Times New Roman" w:eastAsia="Times New Roman" w:hint="default"/>
          <w:spacing w:val="-2"/>
        </w:rPr>
        <w:t>2020</w:t>
      </w:r>
      <w:r>
        <w:rPr>
          <w:spacing w:val="-2"/>
        </w:rPr>
        <w:t>年境外业务面临一定的汇率风险。为规避经营及融资所产生的汇率风险，公司将对外币</w:t>
      </w:r>
    </w:p>
    <w:p>
      <w:pPr>
        <w:pStyle w:val="BodyText"/>
        <w:spacing w:line="314" w:lineRule="auto" w:before="18"/>
        <w:ind w:right="1125"/>
        <w:jc w:val="both"/>
      </w:pPr>
      <w:r>
        <w:rPr>
          <w:spacing w:val="-2"/>
        </w:rPr>
        <w:t>做分类管理，尽量降低外币风险敞口。同时公司也将积极的关注人民币汇率波动情况，必要时将通过调整</w:t>
      </w:r>
      <w:r>
        <w:rPr>
          <w:spacing w:val="-33"/>
        </w:rPr>
        <w:t> </w:t>
      </w:r>
      <w:r>
        <w:rPr>
          <w:spacing w:val="-33"/>
        </w:rPr>
      </w:r>
      <w:r>
        <w:rPr/>
        <w:t>外币存款结构和余额降低汇率波动风险。</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Heading2"/>
        <w:spacing w:line="240" w:lineRule="auto"/>
        <w:ind w:right="0"/>
        <w:jc w:val="both"/>
        <w:rPr>
          <w:b w:val="0"/>
          <w:bCs w:val="0"/>
        </w:rPr>
      </w:pPr>
      <w:bookmarkStart w:name="十、接待调研、沟通、采访等活动情况" w:id="59"/>
      <w:bookmarkEnd w:id="59"/>
      <w:r>
        <w:rPr>
          <w:b w:val="0"/>
          <w:bCs w:val="0"/>
        </w:rPr>
      </w:r>
      <w:r>
        <w:rPr/>
        <w:t>十、接待调研、沟通、采访等活动情况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180"/>
        <w:gridCol w:w="1527"/>
        <w:gridCol w:w="648"/>
        <w:gridCol w:w="2180"/>
        <w:gridCol w:w="3040"/>
      </w:tblGrid>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24"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21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2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4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06" w:right="0"/>
              <w:jc w:val="left"/>
              <w:rPr>
                <w:rFonts w:ascii="宋体" w:hAnsi="宋体" w:cs="宋体" w:eastAsia="宋体" w:hint="default"/>
                <w:sz w:val="18"/>
                <w:szCs w:val="18"/>
              </w:rPr>
            </w:pPr>
            <w:r>
              <w:rPr>
                <w:rFonts w:ascii="宋体" w:hAnsi="宋体" w:cs="宋体" w:eastAsia="宋体" w:hint="default"/>
                <w:spacing w:val="-3"/>
                <w:sz w:val="18"/>
                <w:szCs w:val="18"/>
              </w:rPr>
              <w:t>调研的基本情况索引</w:t>
            </w:r>
          </w:p>
        </w:tc>
      </w:tr>
      <w:tr>
        <w:trPr>
          <w:trHeight w:val="1028"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日披露的《视觉中</w:t>
            </w:r>
          </w:p>
          <w:p>
            <w:pPr>
              <w:pStyle w:val="TableParagraph"/>
              <w:spacing w:line="304" w:lineRule="auto" w:before="58"/>
              <w:ind w:left="23" w:right="74"/>
              <w:jc w:val="left"/>
              <w:rPr>
                <w:rFonts w:ascii="宋体" w:hAnsi="宋体" w:cs="宋体" w:eastAsia="宋体" w:hint="default"/>
                <w:sz w:val="18"/>
                <w:szCs w:val="18"/>
              </w:rPr>
            </w:pPr>
            <w:r>
              <w:rPr>
                <w:rFonts w:ascii="宋体" w:hAnsi="宋体" w:cs="宋体" w:eastAsia="宋体" w:hint="default"/>
                <w:sz w:val="18"/>
                <w:szCs w:val="18"/>
              </w:rPr>
              <w:t>国：</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日投资者关系活动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记录表》</w:t>
            </w:r>
          </w:p>
        </w:tc>
      </w:tr>
      <w:tr>
        <w:trPr>
          <w:trHeight w:val="1022"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日披露的《视觉</w:t>
            </w:r>
          </w:p>
          <w:p>
            <w:pPr>
              <w:pStyle w:val="TableParagraph"/>
              <w:spacing w:line="304" w:lineRule="auto" w:before="58"/>
              <w:ind w:left="23" w:right="74"/>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日投资者关系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活动记录表》</w:t>
            </w:r>
          </w:p>
        </w:tc>
      </w:tr>
      <w:tr>
        <w:trPr>
          <w:trHeight w:val="404" w:hRule="exact"/>
        </w:trPr>
        <w:tc>
          <w:tcPr>
            <w:tcW w:w="37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5868"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r>
        <w:trPr>
          <w:trHeight w:val="403" w:hRule="exact"/>
        </w:trPr>
        <w:tc>
          <w:tcPr>
            <w:tcW w:w="37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5868"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168</w:t>
            </w:r>
          </w:p>
        </w:tc>
      </w:tr>
      <w:tr>
        <w:trPr>
          <w:trHeight w:val="403" w:hRule="exact"/>
        </w:trPr>
        <w:tc>
          <w:tcPr>
            <w:tcW w:w="37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5868"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37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5868"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4" w:hRule="exact"/>
        </w:trPr>
        <w:tc>
          <w:tcPr>
            <w:tcW w:w="37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是否披露、透露或泄露未公开重大信息</w:t>
            </w:r>
          </w:p>
        </w:tc>
        <w:tc>
          <w:tcPr>
            <w:tcW w:w="5868"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right="1104"/>
        <w:jc w:val="center"/>
        <w:rPr>
          <w:b w:val="0"/>
          <w:bCs w:val="0"/>
        </w:rPr>
      </w:pPr>
      <w:bookmarkStart w:name="第五节重要事项" w:id="61"/>
      <w:bookmarkEnd w:id="61"/>
      <w:r>
        <w:rPr>
          <w:b w:val="0"/>
          <w:bCs w:val="0"/>
        </w:rPr>
      </w:r>
      <w:bookmarkStart w:name="_bookmark4" w:id="62"/>
      <w:bookmarkEnd w:id="62"/>
      <w:r>
        <w:rPr>
          <w:b w:val="0"/>
          <w:bCs w:val="0"/>
        </w:rPr>
      </w:r>
      <w:r>
        <w:rPr/>
        <w:t>第五节重要事项</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0"/>
        <w:jc w:val="both"/>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pacing w:val="-3"/>
          <w:sz w:val="18"/>
          <w:szCs w:val="18"/>
        </w:rPr>
        <w:t>报告期内普通股利润分配政策，特别是现金分红政策的制定、执行或调整情况</w:t>
      </w:r>
    </w:p>
    <w:p>
      <w:pPr>
        <w:spacing w:line="333" w:lineRule="auto" w:before="115"/>
        <w:ind w:left="446" w:right="1127" w:hanging="293"/>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根据中国证监会、深圳证券交易所及其他相关法律法规的规定，公司已在《公司章程》第一百五十九条中明确的规定了</w:t>
      </w:r>
    </w:p>
    <w:p>
      <w:pPr>
        <w:spacing w:line="316" w:lineRule="auto" w:before="6"/>
        <w:ind w:left="153" w:right="1123" w:firstLine="0"/>
        <w:jc w:val="both"/>
        <w:rPr>
          <w:rFonts w:ascii="宋体" w:hAnsi="宋体" w:cs="宋体" w:eastAsia="宋体" w:hint="default"/>
          <w:sz w:val="18"/>
          <w:szCs w:val="18"/>
        </w:rPr>
      </w:pPr>
      <w:r>
        <w:rPr>
          <w:rFonts w:ascii="宋体" w:hAnsi="宋体" w:cs="宋体" w:eastAsia="宋体" w:hint="default"/>
          <w:spacing w:val="-4"/>
          <w:sz w:val="18"/>
          <w:szCs w:val="18"/>
        </w:rPr>
        <w:t>公司利润分配原则、政策和方案的审议程序，以及利润分配政策调整机制等。目前，公司现金分红政策的制定及执行情况符</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4"/>
          <w:sz w:val="18"/>
          <w:szCs w:val="18"/>
        </w:rPr>
        <w:t>合《公司章程》的规定，分红标准和比例明确清晰。公司利润分配预案经董事会审议后提交股东大会审议通过方可实施，决</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策程序完整，机制完备。</w:t>
      </w: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398"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pacing w:val="-3"/>
                <w:sz w:val="18"/>
                <w:szCs w:val="18"/>
              </w:rPr>
              <w:t>现金分红政策的专项说明</w:t>
            </w:r>
          </w:p>
        </w:tc>
      </w:tr>
      <w:tr>
        <w:trPr>
          <w:trHeight w:val="409"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pacing w:val="-3"/>
                <w:sz w:val="18"/>
                <w:szCs w:val="18"/>
              </w:rPr>
              <w:t>是否符合公司章程的规定或股东大会决议的要求：</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9"/>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分红标准和比例是否明确和清晰：</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pacing w:val="-3"/>
                <w:sz w:val="18"/>
                <w:szCs w:val="18"/>
              </w:rPr>
              <w:t>相关的决策程序和机制是否完备：</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独立董事是否履职尽责并发挥了应有的作用：</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53"/>
              <w:jc w:val="left"/>
              <w:rPr>
                <w:rFonts w:ascii="宋体" w:hAnsi="宋体" w:cs="宋体" w:eastAsia="宋体" w:hint="default"/>
                <w:sz w:val="18"/>
                <w:szCs w:val="18"/>
              </w:rPr>
            </w:pPr>
            <w:r>
              <w:rPr>
                <w:rFonts w:ascii="宋体" w:hAnsi="宋体" w:cs="宋体" w:eastAsia="宋体" w:hint="default"/>
                <w:spacing w:val="-3"/>
                <w:sz w:val="18"/>
                <w:szCs w:val="18"/>
              </w:rPr>
              <w:t>中小股东是否有充分表达意见和诉求的机会，其合法权益是</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否得到了充分保护：</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4"/>
              <w:jc w:val="left"/>
              <w:rPr>
                <w:rFonts w:ascii="宋体" w:hAnsi="宋体" w:cs="宋体" w:eastAsia="宋体" w:hint="default"/>
                <w:sz w:val="18"/>
                <w:szCs w:val="18"/>
              </w:rPr>
            </w:pPr>
            <w:r>
              <w:rPr>
                <w:rFonts w:ascii="宋体" w:hAnsi="宋体" w:cs="宋体" w:eastAsia="宋体" w:hint="default"/>
                <w:spacing w:val="-3"/>
                <w:sz w:val="18"/>
                <w:szCs w:val="18"/>
              </w:rPr>
              <w:t>现金分红政策进行调整或变更的，条件及程序是否合规、透</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明：</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line="333" w:lineRule="auto" w:before="62"/>
        <w:ind w:left="446" w:right="0" w:hanging="293"/>
        <w:jc w:val="left"/>
        <w:rPr>
          <w:rFonts w:ascii="宋体" w:hAnsi="宋体" w:cs="宋体" w:eastAsia="宋体" w:hint="default"/>
          <w:sz w:val="18"/>
          <w:szCs w:val="18"/>
        </w:rPr>
      </w:pPr>
      <w:r>
        <w:rPr>
          <w:rFonts w:ascii="宋体" w:hAnsi="宋体" w:cs="宋体" w:eastAsia="宋体" w:hint="default"/>
          <w:w w:val="101"/>
          <w:sz w:val="18"/>
          <w:szCs w:val="18"/>
        </w:rPr>
        <w:t>公司近</w:t>
      </w:r>
      <w:r>
        <w:rPr>
          <w:rFonts w:ascii="宋体" w:hAnsi="宋体" w:cs="宋体" w:eastAsia="宋体" w:hint="default"/>
          <w:spacing w:val="-48"/>
          <w:w w:val="101"/>
          <w:sz w:val="18"/>
          <w:szCs w:val="18"/>
        </w:rPr>
        <w:t> </w:t>
      </w:r>
      <w:r>
        <w:rPr>
          <w:rFonts w:ascii="Times New Roman" w:hAnsi="Times New Roman" w:cs="Times New Roman" w:eastAsia="Times New Roman" w:hint="default"/>
          <w:w w:val="101"/>
          <w:sz w:val="18"/>
          <w:szCs w:val="18"/>
        </w:rPr>
        <w:t>3</w:t>
      </w:r>
      <w:r>
        <w:rPr>
          <w:rFonts w:ascii="Times New Roman" w:hAnsi="Times New Roman" w:cs="Times New Roman" w:eastAsia="Times New Roman" w:hint="default"/>
          <w:spacing w:val="-8"/>
          <w:w w:val="101"/>
          <w:sz w:val="18"/>
          <w:szCs w:val="18"/>
        </w:rPr>
        <w:t> </w:t>
      </w:r>
      <w:r>
        <w:rPr>
          <w:rFonts w:ascii="宋体" w:hAnsi="宋体" w:cs="宋体" w:eastAsia="宋体" w:hint="default"/>
          <w:spacing w:val="-5"/>
          <w:w w:val="101"/>
          <w:sz w:val="18"/>
          <w:szCs w:val="18"/>
        </w:rPr>
        <w:t>年（包括本报告期）的普通股股利分配方案（预案）、资本公积金转增股本方案（预案）情况</w:t>
      </w:r>
      <w:r>
        <w:rPr>
          <w:rFonts w:ascii="宋体" w:hAnsi="宋体" w:cs="宋体" w:eastAsia="宋体" w:hint="default"/>
          <w:spacing w:val="-74"/>
          <w:w w:val="101"/>
          <w:sz w:val="18"/>
          <w:szCs w:val="18"/>
        </w:rPr>
        <w:t> </w:t>
      </w:r>
      <w:r>
        <w:rPr>
          <w:rFonts w:ascii="宋体" w:hAnsi="宋体" w:cs="宋体" w:eastAsia="宋体" w:hint="default"/>
          <w:spacing w:val="-74"/>
          <w:w w:val="101"/>
          <w:sz w:val="18"/>
          <w:szCs w:val="18"/>
        </w:rPr>
      </w:r>
      <w:r>
        <w:rPr>
          <w:rFonts w:ascii="宋体" w:hAnsi="宋体" w:cs="宋体" w:eastAsia="宋体" w:hint="default"/>
          <w:spacing w:val="-4"/>
          <w:sz w:val="18"/>
          <w:szCs w:val="18"/>
        </w:rPr>
        <w:t>按中国会计准则，经审计，</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年度公司实现归属于上市公司股东的净利润</w:t>
      </w:r>
      <w:r>
        <w:rPr>
          <w:rFonts w:ascii="Times New Roman" w:hAnsi="Times New Roman" w:cs="Times New Roman" w:eastAsia="Times New Roman" w:hint="default"/>
          <w:spacing w:val="-4"/>
          <w:sz w:val="18"/>
          <w:szCs w:val="18"/>
        </w:rPr>
        <w:t>219,048,159.38</w:t>
      </w:r>
      <w:r>
        <w:rPr>
          <w:rFonts w:ascii="宋体" w:hAnsi="宋体" w:cs="宋体" w:eastAsia="宋体" w:hint="default"/>
          <w:spacing w:val="-4"/>
          <w:sz w:val="18"/>
          <w:szCs w:val="18"/>
        </w:rPr>
        <w:t>元。根据《公司法》、《深圳</w:t>
      </w:r>
    </w:p>
    <w:p>
      <w:pPr>
        <w:spacing w:line="234" w:lineRule="exact" w:before="0"/>
        <w:ind w:left="153" w:right="0" w:firstLine="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证券交易所上市公司规范运作指引》、《公司章程》等有关规定，公司</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年度利润分配预案为：以公司总股本</w:t>
      </w:r>
      <w:r>
        <w:rPr>
          <w:rFonts w:ascii="Times New Roman" w:hAnsi="Times New Roman" w:cs="Times New Roman" w:eastAsia="Times New Roman" w:hint="default"/>
          <w:spacing w:val="-4"/>
          <w:sz w:val="18"/>
          <w:szCs w:val="18"/>
        </w:rPr>
        <w:t>700,577,436</w:t>
      </w:r>
    </w:p>
    <w:p>
      <w:pPr>
        <w:spacing w:line="300" w:lineRule="auto" w:before="6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股为基数，本期按照每</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股派现金</w:t>
      </w:r>
      <w:r>
        <w:rPr>
          <w:rFonts w:ascii="Times New Roman" w:hAnsi="Times New Roman" w:cs="Times New Roman" w:eastAsia="Times New Roman" w:hint="default"/>
          <w:spacing w:val="-3"/>
          <w:sz w:val="18"/>
          <w:szCs w:val="18"/>
        </w:rPr>
        <w:t>0.32</w:t>
      </w:r>
      <w:r>
        <w:rPr>
          <w:rFonts w:ascii="宋体" w:hAnsi="宋体" w:cs="宋体" w:eastAsia="宋体" w:hint="default"/>
          <w:spacing w:val="-3"/>
          <w:sz w:val="18"/>
          <w:szCs w:val="18"/>
        </w:rPr>
        <w:t>元（含税）向全体股东实施利润分配，共计分配利润</w:t>
      </w:r>
      <w:r>
        <w:rPr>
          <w:rFonts w:ascii="Times New Roman" w:hAnsi="Times New Roman" w:cs="Times New Roman" w:eastAsia="Times New Roman" w:hint="default"/>
          <w:spacing w:val="-3"/>
          <w:sz w:val="18"/>
          <w:szCs w:val="18"/>
        </w:rPr>
        <w:t>22,418,477.95</w:t>
      </w:r>
      <w:r>
        <w:rPr>
          <w:rFonts w:ascii="宋体" w:hAnsi="宋体" w:cs="宋体" w:eastAsia="宋体" w:hint="default"/>
          <w:spacing w:val="-3"/>
          <w:sz w:val="18"/>
          <w:szCs w:val="18"/>
        </w:rPr>
        <w:t>元。除此之外，不</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再进行送股或资本公积金转增股本。</w:t>
      </w:r>
    </w:p>
    <w:p>
      <w:pPr>
        <w:spacing w:line="300" w:lineRule="auto" w:before="31"/>
        <w:ind w:left="153" w:right="1122" w:firstLine="292"/>
        <w:jc w:val="both"/>
        <w:rPr>
          <w:rFonts w:ascii="宋体" w:hAnsi="宋体" w:cs="宋体" w:eastAsia="宋体" w:hint="default"/>
          <w:sz w:val="18"/>
          <w:szCs w:val="18"/>
        </w:rPr>
      </w:pPr>
      <w:r>
        <w:rPr>
          <w:rFonts w:ascii="宋体" w:hAnsi="宋体" w:cs="宋体" w:eastAsia="宋体" w:hint="default"/>
          <w:spacing w:val="-4"/>
          <w:sz w:val="18"/>
          <w:szCs w:val="18"/>
        </w:rPr>
        <w:t>按中国会计准则，经审计，</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年度公司实现归属于上市公司股东的净利润</w:t>
      </w:r>
      <w:r>
        <w:rPr>
          <w:rFonts w:ascii="Times New Roman" w:hAnsi="Times New Roman" w:cs="Times New Roman" w:eastAsia="Times New Roman" w:hint="default"/>
          <w:spacing w:val="-4"/>
          <w:sz w:val="18"/>
          <w:szCs w:val="18"/>
        </w:rPr>
        <w:t>321,211,367.56</w:t>
      </w:r>
      <w:r>
        <w:rPr>
          <w:rFonts w:ascii="宋体" w:hAnsi="宋体" w:cs="宋体" w:eastAsia="宋体" w:hint="default"/>
          <w:spacing w:val="-4"/>
          <w:sz w:val="18"/>
          <w:szCs w:val="18"/>
        </w:rPr>
        <w:t>元。根据《公司法》、《深圳</w:t>
      </w:r>
      <w:r>
        <w:rPr>
          <w:rFonts w:ascii="宋体" w:hAnsi="宋体" w:cs="宋体" w:eastAsia="宋体" w:hint="default"/>
          <w:w w:val="101"/>
          <w:sz w:val="18"/>
          <w:szCs w:val="18"/>
        </w:rPr>
        <w:t> </w:t>
      </w:r>
      <w:r>
        <w:rPr>
          <w:rFonts w:ascii="宋体" w:hAnsi="宋体" w:cs="宋体" w:eastAsia="宋体" w:hint="default"/>
          <w:spacing w:val="-4"/>
          <w:sz w:val="18"/>
          <w:szCs w:val="18"/>
        </w:rPr>
        <w:t>证券交易所主板上市公司规范运作指引（</w:t>
      </w:r>
      <w:r>
        <w:rPr>
          <w:rFonts w:ascii="Times New Roman" w:hAnsi="Times New Roman" w:cs="Times New Roman" w:eastAsia="Times New Roman" w:hint="default"/>
          <w:spacing w:val="-4"/>
          <w:sz w:val="18"/>
          <w:szCs w:val="18"/>
        </w:rPr>
        <w:t>2015</w:t>
      </w:r>
      <w:r>
        <w:rPr>
          <w:rFonts w:ascii="宋体" w:hAnsi="宋体" w:cs="宋体" w:eastAsia="宋体" w:hint="default"/>
          <w:spacing w:val="-4"/>
          <w:sz w:val="18"/>
          <w:szCs w:val="18"/>
        </w:rPr>
        <w:t>年修订）》、《公司章程》等有关规定，公司</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年度利润分配预案为：以公</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5"/>
          <w:sz w:val="18"/>
          <w:szCs w:val="18"/>
        </w:rPr>
        <w:t>司总股本</w:t>
      </w:r>
      <w:r>
        <w:rPr>
          <w:rFonts w:ascii="Times New Roman" w:hAnsi="Times New Roman" w:cs="Times New Roman" w:eastAsia="Times New Roman" w:hint="default"/>
          <w:spacing w:val="-5"/>
          <w:sz w:val="18"/>
          <w:szCs w:val="18"/>
        </w:rPr>
        <w:t>700,577,436</w:t>
      </w:r>
      <w:r>
        <w:rPr>
          <w:rFonts w:ascii="宋体" w:hAnsi="宋体" w:cs="宋体" w:eastAsia="宋体" w:hint="default"/>
          <w:spacing w:val="-5"/>
          <w:sz w:val="18"/>
          <w:szCs w:val="18"/>
        </w:rPr>
        <w:t>股为基数，本期按照每</w:t>
      </w:r>
      <w:r>
        <w:rPr>
          <w:rFonts w:ascii="Times New Roman" w:hAnsi="Times New Roman" w:cs="Times New Roman" w:eastAsia="Times New Roman" w:hint="default"/>
          <w:spacing w:val="-5"/>
          <w:sz w:val="18"/>
          <w:szCs w:val="18"/>
        </w:rPr>
        <w:t>10</w:t>
      </w:r>
      <w:r>
        <w:rPr>
          <w:rFonts w:ascii="宋体" w:hAnsi="宋体" w:cs="宋体" w:eastAsia="宋体" w:hint="default"/>
          <w:spacing w:val="-5"/>
          <w:sz w:val="18"/>
          <w:szCs w:val="18"/>
        </w:rPr>
        <w:t>股派现金</w:t>
      </w:r>
      <w:r>
        <w:rPr>
          <w:rFonts w:ascii="Times New Roman" w:hAnsi="Times New Roman" w:cs="Times New Roman" w:eastAsia="Times New Roman" w:hint="default"/>
          <w:spacing w:val="-5"/>
          <w:sz w:val="18"/>
          <w:szCs w:val="18"/>
        </w:rPr>
        <w:t>0.46</w:t>
      </w:r>
      <w:r>
        <w:rPr>
          <w:rFonts w:ascii="宋体" w:hAnsi="宋体" w:cs="宋体" w:eastAsia="宋体" w:hint="default"/>
          <w:spacing w:val="-5"/>
          <w:sz w:val="18"/>
          <w:szCs w:val="18"/>
        </w:rPr>
        <w:t>元（含税）向全体股东实施利润分配，共计分配利润</w:t>
      </w:r>
      <w:r>
        <w:rPr>
          <w:rFonts w:ascii="Times New Roman" w:hAnsi="Times New Roman" w:cs="Times New Roman" w:eastAsia="Times New Roman" w:hint="default"/>
          <w:spacing w:val="-5"/>
          <w:sz w:val="18"/>
          <w:szCs w:val="18"/>
        </w:rPr>
        <w:t>32,226,562.06</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pacing w:val="11"/>
          <w:sz w:val="18"/>
          <w:szCs w:val="18"/>
        </w:rPr>
      </w:r>
      <w:r>
        <w:rPr>
          <w:rFonts w:ascii="宋体" w:hAnsi="宋体" w:cs="宋体" w:eastAsia="宋体" w:hint="default"/>
          <w:spacing w:val="-3"/>
          <w:sz w:val="18"/>
          <w:szCs w:val="18"/>
        </w:rPr>
        <w:t>元。除此之外，不再进行送股或资本公积金转增股本。</w:t>
      </w:r>
    </w:p>
    <w:p>
      <w:pPr>
        <w:spacing w:line="302" w:lineRule="auto" w:before="74"/>
        <w:ind w:left="153" w:right="1122" w:firstLine="292"/>
        <w:jc w:val="both"/>
        <w:rPr>
          <w:rFonts w:ascii="宋体" w:hAnsi="宋体" w:cs="宋体" w:eastAsia="宋体" w:hint="default"/>
          <w:sz w:val="18"/>
          <w:szCs w:val="18"/>
        </w:rPr>
      </w:pPr>
      <w:r>
        <w:rPr>
          <w:rFonts w:ascii="宋体" w:hAnsi="宋体" w:cs="宋体" w:eastAsia="宋体" w:hint="default"/>
          <w:spacing w:val="-4"/>
          <w:sz w:val="18"/>
          <w:szCs w:val="18"/>
        </w:rPr>
        <w:t>按中国会计准则，经审计，</w:t>
      </w:r>
      <w:r>
        <w:rPr>
          <w:rFonts w:ascii="Times New Roman" w:hAnsi="Times New Roman" w:cs="Times New Roman" w:eastAsia="Times New Roman" w:hint="default"/>
          <w:spacing w:val="-4"/>
          <w:sz w:val="18"/>
          <w:szCs w:val="18"/>
        </w:rPr>
        <w:t>2017</w:t>
      </w:r>
      <w:r>
        <w:rPr>
          <w:rFonts w:ascii="宋体" w:hAnsi="宋体" w:cs="宋体" w:eastAsia="宋体" w:hint="default"/>
          <w:spacing w:val="-4"/>
          <w:sz w:val="18"/>
          <w:szCs w:val="18"/>
        </w:rPr>
        <w:t>年度公司实现归属于上市公司股东的净利润</w:t>
      </w:r>
      <w:r>
        <w:rPr>
          <w:rFonts w:ascii="Times New Roman" w:hAnsi="Times New Roman" w:cs="Times New Roman" w:eastAsia="Times New Roman" w:hint="default"/>
          <w:spacing w:val="-4"/>
          <w:sz w:val="18"/>
          <w:szCs w:val="18"/>
        </w:rPr>
        <w:t>290,820,917.16</w:t>
      </w:r>
      <w:r>
        <w:rPr>
          <w:rFonts w:ascii="宋体" w:hAnsi="宋体" w:cs="宋体" w:eastAsia="宋体" w:hint="default"/>
          <w:spacing w:val="-4"/>
          <w:sz w:val="18"/>
          <w:szCs w:val="18"/>
        </w:rPr>
        <w:t>元。根据《公司法》、《深圳</w:t>
      </w:r>
      <w:r>
        <w:rPr>
          <w:rFonts w:ascii="宋体" w:hAnsi="宋体" w:cs="宋体" w:eastAsia="宋体" w:hint="default"/>
          <w:w w:val="101"/>
          <w:sz w:val="18"/>
          <w:szCs w:val="18"/>
        </w:rPr>
        <w:t> </w:t>
      </w:r>
      <w:r>
        <w:rPr>
          <w:rFonts w:ascii="宋体" w:hAnsi="宋体" w:cs="宋体" w:eastAsia="宋体" w:hint="default"/>
          <w:sz w:val="18"/>
          <w:szCs w:val="18"/>
        </w:rPr>
        <w:t>证券 </w:t>
      </w:r>
      <w:r>
        <w:rPr>
          <w:rFonts w:ascii="宋体" w:hAnsi="宋体" w:cs="宋体" w:eastAsia="宋体" w:hint="default"/>
          <w:spacing w:val="-2"/>
          <w:sz w:val="18"/>
          <w:szCs w:val="18"/>
        </w:rPr>
        <w:t>交易所主板上市公司规范运作指引（</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年修订）》、《公司章程》等有关规定，公司</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年度利润分配预案为：以</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7"/>
          <w:sz w:val="18"/>
          <w:szCs w:val="18"/>
        </w:rPr>
        <w:t>公司总股</w:t>
      </w:r>
      <w:r>
        <w:rPr>
          <w:rFonts w:ascii="宋体" w:hAnsi="宋体" w:cs="宋体" w:eastAsia="宋体" w:hint="default"/>
          <w:spacing w:val="23"/>
          <w:sz w:val="18"/>
          <w:szCs w:val="18"/>
        </w:rPr>
        <w:t> </w:t>
      </w:r>
      <w:r>
        <w:rPr>
          <w:rFonts w:ascii="宋体" w:hAnsi="宋体" w:cs="宋体" w:eastAsia="宋体" w:hint="default"/>
          <w:spacing w:val="4"/>
          <w:sz w:val="18"/>
          <w:szCs w:val="18"/>
        </w:rPr>
        <w:t>本</w:t>
      </w:r>
      <w:r>
        <w:rPr>
          <w:rFonts w:ascii="Times New Roman" w:hAnsi="Times New Roman" w:cs="Times New Roman" w:eastAsia="Times New Roman" w:hint="default"/>
          <w:spacing w:val="4"/>
          <w:sz w:val="18"/>
          <w:szCs w:val="18"/>
        </w:rPr>
        <w:t>700,577,436</w:t>
      </w:r>
      <w:r>
        <w:rPr>
          <w:rFonts w:ascii="宋体" w:hAnsi="宋体" w:cs="宋体" w:eastAsia="宋体" w:hint="default"/>
          <w:spacing w:val="4"/>
          <w:sz w:val="18"/>
          <w:szCs w:val="18"/>
        </w:rPr>
        <w:t>股为基数，本期按照每</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10</w:t>
      </w:r>
      <w:r>
        <w:rPr>
          <w:rFonts w:ascii="宋体" w:hAnsi="宋体" w:cs="宋体" w:eastAsia="宋体" w:hint="default"/>
          <w:spacing w:val="8"/>
          <w:sz w:val="18"/>
          <w:szCs w:val="18"/>
        </w:rPr>
        <w:t>股派现金</w:t>
      </w:r>
      <w:r>
        <w:rPr>
          <w:rFonts w:ascii="Times New Roman" w:hAnsi="Times New Roman" w:cs="Times New Roman" w:eastAsia="Times New Roman" w:hint="default"/>
          <w:spacing w:val="8"/>
          <w:sz w:val="18"/>
          <w:szCs w:val="18"/>
        </w:rPr>
        <w:t>0.42</w:t>
      </w:r>
      <w:r>
        <w:rPr>
          <w:rFonts w:ascii="宋体" w:hAnsi="宋体" w:cs="宋体" w:eastAsia="宋体" w:hint="default"/>
          <w:spacing w:val="8"/>
          <w:sz w:val="18"/>
          <w:szCs w:val="18"/>
        </w:rPr>
        <w:t>元（含税）向全体股东实施利润分配，共计分配利润</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Times New Roman" w:hAnsi="Times New Roman" w:cs="Times New Roman" w:eastAsia="Times New Roman" w:hint="default"/>
          <w:sz w:val="18"/>
          <w:szCs w:val="18"/>
        </w:rPr>
        <w:t>29,424,252.31</w:t>
      </w:r>
      <w:r>
        <w:rPr>
          <w:rFonts w:ascii="宋体" w:hAnsi="宋体" w:cs="宋体" w:eastAsia="宋体" w:hint="default"/>
          <w:sz w:val="18"/>
          <w:szCs w:val="18"/>
        </w:rPr>
        <w:t>元。</w:t>
      </w:r>
      <w:r>
        <w:rPr>
          <w:rFonts w:ascii="宋体" w:hAnsi="宋体" w:cs="宋体" w:eastAsia="宋体" w:hint="default"/>
          <w:spacing w:val="46"/>
          <w:sz w:val="18"/>
          <w:szCs w:val="18"/>
        </w:rPr>
        <w:t> </w:t>
      </w:r>
      <w:r>
        <w:rPr>
          <w:rFonts w:ascii="宋体" w:hAnsi="宋体" w:cs="宋体" w:eastAsia="宋体" w:hint="default"/>
          <w:spacing w:val="-3"/>
          <w:sz w:val="18"/>
          <w:szCs w:val="18"/>
        </w:rPr>
        <w:t>除此之外，不再进行送股或资本公积金转增股本。</w:t>
      </w:r>
    </w:p>
    <w:p>
      <w:pPr>
        <w:spacing w:line="240" w:lineRule="auto" w:before="13"/>
        <w:rPr>
          <w:rFonts w:ascii="宋体" w:hAnsi="宋体" w:cs="宋体" w:eastAsia="宋体" w:hint="default"/>
          <w:sz w:val="26"/>
          <w:szCs w:val="26"/>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公司近三年（包括本报告期）普通股现金分红情况表</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196"/>
        <w:gridCol w:w="1196"/>
        <w:gridCol w:w="1201"/>
        <w:gridCol w:w="1196"/>
        <w:gridCol w:w="1196"/>
        <w:gridCol w:w="1196"/>
        <w:gridCol w:w="1196"/>
        <w:gridCol w:w="1186"/>
      </w:tblGrid>
      <w:tr>
        <w:trPr>
          <w:trHeight w:val="1018"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5"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68"/>
              <w:ind w:left="52" w:right="51"/>
              <w:jc w:val="both"/>
              <w:rPr>
                <w:rFonts w:ascii="宋体" w:hAnsi="宋体" w:cs="宋体" w:eastAsia="宋体" w:hint="default"/>
                <w:sz w:val="18"/>
                <w:szCs w:val="18"/>
              </w:rPr>
            </w:pPr>
            <w:r>
              <w:rPr>
                <w:rFonts w:ascii="宋体" w:hAnsi="宋体" w:cs="宋体" w:eastAsia="宋体" w:hint="default"/>
                <w:spacing w:val="-2"/>
                <w:sz w:val="18"/>
                <w:szCs w:val="18"/>
              </w:rPr>
              <w:t>分红年度合并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报表中归属于</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上市公司普通</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68"/>
              <w:ind w:left="52" w:right="46"/>
              <w:jc w:val="both"/>
              <w:rPr>
                <w:rFonts w:ascii="宋体" w:hAnsi="宋体" w:cs="宋体" w:eastAsia="宋体" w:hint="default"/>
                <w:sz w:val="18"/>
                <w:szCs w:val="18"/>
              </w:rPr>
            </w:pPr>
            <w:r>
              <w:rPr>
                <w:rFonts w:ascii="宋体" w:hAnsi="宋体" w:cs="宋体" w:eastAsia="宋体" w:hint="default"/>
                <w:spacing w:val="-2"/>
                <w:sz w:val="18"/>
                <w:szCs w:val="18"/>
              </w:rPr>
              <w:t>现金分红金额</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占合并报表中</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归属于上市公</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43" w:right="0"/>
              <w:jc w:val="left"/>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1"/>
              <w:ind w:left="52" w:right="46" w:firstLine="91"/>
              <w:jc w:val="left"/>
              <w:rPr>
                <w:rFonts w:ascii="宋体" w:hAnsi="宋体" w:cs="宋体" w:eastAsia="宋体" w:hint="default"/>
                <w:sz w:val="18"/>
                <w:szCs w:val="18"/>
              </w:rPr>
            </w:pPr>
            <w:r>
              <w:rPr>
                <w:rFonts w:ascii="宋体" w:hAnsi="宋体" w:cs="宋体" w:eastAsia="宋体" w:hint="default"/>
                <w:sz w:val="18"/>
                <w:szCs w:val="18"/>
              </w:rPr>
              <w:t>（如回购股</w:t>
            </w:r>
            <w:r>
              <w:rPr>
                <w:rFonts w:ascii="宋体" w:hAnsi="宋体" w:cs="宋体" w:eastAsia="宋体" w:hint="default"/>
                <w:w w:val="101"/>
                <w:sz w:val="18"/>
                <w:szCs w:val="18"/>
              </w:rPr>
              <w:t> </w:t>
            </w:r>
            <w:r>
              <w:rPr>
                <w:rFonts w:ascii="宋体" w:hAnsi="宋体" w:cs="宋体" w:eastAsia="宋体" w:hint="default"/>
                <w:spacing w:val="-2"/>
                <w:sz w:val="18"/>
                <w:szCs w:val="18"/>
              </w:rPr>
              <w:t>份）现金分红</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68"/>
              <w:ind w:left="52" w:right="46"/>
              <w:jc w:val="both"/>
              <w:rPr>
                <w:rFonts w:ascii="宋体" w:hAnsi="宋体" w:cs="宋体" w:eastAsia="宋体" w:hint="default"/>
                <w:sz w:val="18"/>
                <w:szCs w:val="18"/>
              </w:rPr>
            </w:pPr>
            <w:r>
              <w:rPr>
                <w:rFonts w:ascii="宋体" w:hAnsi="宋体" w:cs="宋体" w:eastAsia="宋体" w:hint="default"/>
                <w:spacing w:val="-2"/>
                <w:sz w:val="18"/>
                <w:szCs w:val="18"/>
              </w:rPr>
              <w:t>以其他方式现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金分红金额占</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合并报表中归</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21" w:lineRule="auto" w:before="71"/>
              <w:ind w:left="412" w:right="137" w:hanging="269"/>
              <w:jc w:val="left"/>
              <w:rPr>
                <w:rFonts w:ascii="宋体" w:hAnsi="宋体" w:cs="宋体" w:eastAsia="宋体" w:hint="default"/>
                <w:sz w:val="18"/>
                <w:szCs w:val="18"/>
              </w:rPr>
            </w:pPr>
            <w:r>
              <w:rPr>
                <w:rFonts w:ascii="宋体" w:hAnsi="宋体" w:cs="宋体" w:eastAsia="宋体" w:hint="default"/>
                <w:spacing w:val="-2"/>
                <w:sz w:val="18"/>
                <w:szCs w:val="18"/>
              </w:rPr>
              <w:t>（含其他方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式）</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1"/>
              <w:ind w:left="52" w:right="36" w:firstLine="91"/>
              <w:jc w:val="left"/>
              <w:rPr>
                <w:rFonts w:ascii="宋体" w:hAnsi="宋体" w:cs="宋体" w:eastAsia="宋体" w:hint="default"/>
                <w:sz w:val="18"/>
                <w:szCs w:val="18"/>
              </w:rPr>
            </w:pPr>
            <w:r>
              <w:rPr>
                <w:rFonts w:ascii="宋体" w:hAnsi="宋体" w:cs="宋体" w:eastAsia="宋体" w:hint="default"/>
                <w:sz w:val="18"/>
                <w:szCs w:val="18"/>
              </w:rPr>
              <w:t>（含其他方</w:t>
            </w:r>
            <w:r>
              <w:rPr>
                <w:rFonts w:ascii="宋体" w:hAnsi="宋体" w:cs="宋体" w:eastAsia="宋体" w:hint="default"/>
                <w:w w:val="101"/>
                <w:sz w:val="18"/>
                <w:szCs w:val="18"/>
              </w:rPr>
              <w:t> </w:t>
            </w:r>
            <w:r>
              <w:rPr>
                <w:rFonts w:ascii="宋体" w:hAnsi="宋体" w:cs="宋体" w:eastAsia="宋体" w:hint="default"/>
                <w:spacing w:val="-2"/>
                <w:sz w:val="18"/>
                <w:szCs w:val="18"/>
              </w:rPr>
              <w:t>式）占合并报</w:t>
            </w:r>
          </w:p>
        </w:tc>
      </w:tr>
    </w:tbl>
    <w:p>
      <w:pPr>
        <w:spacing w:after="0" w:line="316"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96"/>
        <w:gridCol w:w="1196"/>
        <w:gridCol w:w="1201"/>
        <w:gridCol w:w="1196"/>
        <w:gridCol w:w="1196"/>
        <w:gridCol w:w="1196"/>
        <w:gridCol w:w="1196"/>
        <w:gridCol w:w="1195"/>
      </w:tblGrid>
      <w:tr>
        <w:trPr>
          <w:trHeight w:val="355"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10"/>
              <w:ind w:left="503" w:right="51" w:hanging="452"/>
              <w:jc w:val="left"/>
              <w:rPr>
                <w:rFonts w:ascii="宋体" w:hAnsi="宋体" w:cs="宋体" w:eastAsia="宋体" w:hint="default"/>
                <w:sz w:val="18"/>
                <w:szCs w:val="18"/>
              </w:rPr>
            </w:pPr>
            <w:r>
              <w:rPr>
                <w:rFonts w:ascii="宋体" w:hAnsi="宋体" w:cs="宋体" w:eastAsia="宋体" w:hint="default"/>
                <w:spacing w:val="-2"/>
                <w:sz w:val="18"/>
                <w:szCs w:val="18"/>
              </w:rPr>
              <w:t>股股东的净利</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润</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
              <w:ind w:left="52" w:right="46"/>
              <w:jc w:val="center"/>
              <w:rPr>
                <w:rFonts w:ascii="宋体" w:hAnsi="宋体" w:cs="宋体" w:eastAsia="宋体" w:hint="default"/>
                <w:sz w:val="18"/>
                <w:szCs w:val="18"/>
              </w:rPr>
            </w:pPr>
            <w:r>
              <w:rPr>
                <w:rFonts w:ascii="宋体" w:hAnsi="宋体" w:cs="宋体" w:eastAsia="宋体" w:hint="default"/>
                <w:spacing w:val="-2"/>
                <w:sz w:val="18"/>
                <w:szCs w:val="18"/>
              </w:rPr>
              <w:t>司普通股股东</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的净利润的比</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率</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5"/>
              <w:ind w:left="326"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
              <w:ind w:left="52" w:right="46"/>
              <w:jc w:val="both"/>
              <w:rPr>
                <w:rFonts w:ascii="宋体" w:hAnsi="宋体" w:cs="宋体" w:eastAsia="宋体" w:hint="default"/>
                <w:sz w:val="18"/>
                <w:szCs w:val="18"/>
              </w:rPr>
            </w:pPr>
            <w:r>
              <w:rPr>
                <w:rFonts w:ascii="宋体" w:hAnsi="宋体" w:cs="宋体" w:eastAsia="宋体" w:hint="default"/>
                <w:spacing w:val="-2"/>
                <w:sz w:val="18"/>
                <w:szCs w:val="18"/>
              </w:rPr>
              <w:t>属于上市公司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普通股股东的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净利润的比例</w:t>
            </w: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
              <w:ind w:left="52" w:right="45"/>
              <w:jc w:val="center"/>
              <w:rPr>
                <w:rFonts w:ascii="宋体" w:hAnsi="宋体" w:cs="宋体" w:eastAsia="宋体" w:hint="default"/>
                <w:sz w:val="18"/>
                <w:szCs w:val="18"/>
              </w:rPr>
            </w:pPr>
            <w:r>
              <w:rPr>
                <w:rFonts w:ascii="宋体" w:hAnsi="宋体" w:cs="宋体" w:eastAsia="宋体" w:hint="default"/>
                <w:spacing w:val="-2"/>
                <w:sz w:val="18"/>
                <w:szCs w:val="18"/>
              </w:rPr>
              <w:t>表中归属于上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市公司普通股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股东的净利润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的比率</w:t>
            </w:r>
          </w:p>
        </w:tc>
      </w:tr>
      <w:tr>
        <w:trPr>
          <w:trHeight w:val="312"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312"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317"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01"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22,418,477.95</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219,048,159.38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10.23%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22,418,477.95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10.23%</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32,226,562.06</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321,211,367.56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32,226,562.06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10.03%</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29,424,252.31</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290,820,917.16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29,424,252.31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10.12%</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公司报告期内盈利且母公司可供普通股股东分配利润为正但未提出普通股现金红利分配预案</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二、本报告期利润分配及资本公积金转增股本情况" w:id="64"/>
      <w:bookmarkEnd w:id="64"/>
      <w:r>
        <w:rPr>
          <w:b w:val="0"/>
          <w:bCs w:val="0"/>
        </w:rPr>
      </w:r>
      <w:r>
        <w:rPr/>
        <w:t>二、本报告期利润分配及资本公积金转增股本情况</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774"/>
        <w:gridCol w:w="5783"/>
      </w:tblGrid>
      <w:tr>
        <w:trPr>
          <w:trHeight w:val="403" w:hRule="exact"/>
        </w:trPr>
        <w:tc>
          <w:tcPr>
            <w:tcW w:w="3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股送红股数（股）</w:t>
            </w:r>
          </w:p>
        </w:tc>
        <w:tc>
          <w:tcPr>
            <w:tcW w:w="57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w w:val="101"/>
                <w:sz w:val="18"/>
                <w:szCs w:val="18"/>
              </w:rPr>
              <w:t>每</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股</w:t>
            </w:r>
            <w:r>
              <w:rPr>
                <w:rFonts w:ascii="宋体" w:hAnsi="宋体" w:cs="宋体" w:eastAsia="宋体" w:hint="default"/>
                <w:spacing w:val="-5"/>
                <w:w w:val="101"/>
                <w:sz w:val="18"/>
                <w:szCs w:val="18"/>
              </w:rPr>
              <w:t>派</w:t>
            </w:r>
            <w:r>
              <w:rPr>
                <w:rFonts w:ascii="宋体" w:hAnsi="宋体" w:cs="宋体" w:eastAsia="宋体" w:hint="default"/>
                <w:w w:val="101"/>
                <w:sz w:val="18"/>
                <w:szCs w:val="18"/>
              </w:rPr>
              <w:t>息</w:t>
            </w:r>
            <w:r>
              <w:rPr>
                <w:rFonts w:ascii="宋体" w:hAnsi="宋体" w:cs="宋体" w:eastAsia="宋体" w:hint="default"/>
                <w:spacing w:val="-5"/>
                <w:w w:val="101"/>
                <w:sz w:val="18"/>
                <w:szCs w:val="18"/>
              </w:rPr>
              <w:t>数</w:t>
            </w:r>
            <w:r>
              <w:rPr>
                <w:rFonts w:ascii="宋体" w:hAnsi="宋体" w:cs="宋体" w:eastAsia="宋体" w:hint="default"/>
                <w:w w:val="101"/>
                <w:sz w:val="18"/>
                <w:szCs w:val="18"/>
              </w:rPr>
              <w:t>（</w:t>
            </w:r>
            <w:r>
              <w:rPr>
                <w:rFonts w:ascii="宋体" w:hAnsi="宋体" w:cs="宋体" w:eastAsia="宋体" w:hint="default"/>
                <w:spacing w:val="-5"/>
                <w:w w:val="101"/>
                <w:sz w:val="18"/>
                <w:szCs w:val="18"/>
              </w:rPr>
              <w:t>元</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含</w:t>
            </w:r>
            <w:r>
              <w:rPr>
                <w:rFonts w:ascii="宋体" w:hAnsi="宋体" w:cs="宋体" w:eastAsia="宋体" w:hint="default"/>
                <w:spacing w:val="-5"/>
                <w:w w:val="101"/>
                <w:sz w:val="18"/>
                <w:szCs w:val="18"/>
              </w:rPr>
              <w:t>税</w:t>
            </w:r>
            <w:r>
              <w:rPr>
                <w:rFonts w:ascii="宋体" w:hAnsi="宋体" w:cs="宋体" w:eastAsia="宋体" w:hint="default"/>
                <w:w w:val="101"/>
                <w:sz w:val="18"/>
                <w:szCs w:val="18"/>
              </w:rPr>
              <w:t>）</w:t>
            </w:r>
            <w:r>
              <w:rPr>
                <w:rFonts w:ascii="宋体" w:hAnsi="宋体" w:cs="宋体" w:eastAsia="宋体" w:hint="default"/>
                <w:sz w:val="18"/>
                <w:szCs w:val="18"/>
              </w:rPr>
            </w:r>
          </w:p>
        </w:tc>
        <w:tc>
          <w:tcPr>
            <w:tcW w:w="57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0.32</w:t>
            </w:r>
          </w:p>
        </w:tc>
      </w:tr>
      <w:tr>
        <w:trPr>
          <w:trHeight w:val="398" w:hRule="exact"/>
        </w:trPr>
        <w:tc>
          <w:tcPr>
            <w:tcW w:w="3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每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股转增数（股）</w:t>
            </w:r>
          </w:p>
        </w:tc>
        <w:tc>
          <w:tcPr>
            <w:tcW w:w="57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分配预案的股本基数（股）</w:t>
            </w:r>
          </w:p>
        </w:tc>
        <w:tc>
          <w:tcPr>
            <w:tcW w:w="57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700,577,436</w:t>
            </w:r>
          </w:p>
        </w:tc>
      </w:tr>
      <w:tr>
        <w:trPr>
          <w:trHeight w:val="404" w:hRule="exact"/>
        </w:trPr>
        <w:tc>
          <w:tcPr>
            <w:tcW w:w="3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分</w:t>
            </w:r>
            <w:r>
              <w:rPr>
                <w:rFonts w:ascii="宋体" w:hAnsi="宋体" w:cs="宋体" w:eastAsia="宋体" w:hint="default"/>
                <w:spacing w:val="-5"/>
                <w:w w:val="101"/>
                <w:sz w:val="18"/>
                <w:szCs w:val="18"/>
              </w:rPr>
              <w:t>红</w:t>
            </w:r>
            <w:r>
              <w:rPr>
                <w:rFonts w:ascii="宋体" w:hAnsi="宋体" w:cs="宋体" w:eastAsia="宋体" w:hint="default"/>
                <w:w w:val="101"/>
                <w:sz w:val="18"/>
                <w:szCs w:val="18"/>
              </w:rPr>
              <w:t>金</w:t>
            </w:r>
            <w:r>
              <w:rPr>
                <w:rFonts w:ascii="宋体" w:hAnsi="宋体" w:cs="宋体" w:eastAsia="宋体" w:hint="default"/>
                <w:spacing w:val="-5"/>
                <w:w w:val="101"/>
                <w:sz w:val="18"/>
                <w:szCs w:val="18"/>
              </w:rPr>
              <w:t>额</w:t>
            </w:r>
            <w:r>
              <w:rPr>
                <w:rFonts w:ascii="宋体" w:hAnsi="宋体" w:cs="宋体" w:eastAsia="宋体" w:hint="default"/>
                <w:w w:val="101"/>
                <w:sz w:val="18"/>
                <w:szCs w:val="18"/>
              </w:rPr>
              <w:t>（元</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税）</w:t>
            </w:r>
            <w:r>
              <w:rPr>
                <w:rFonts w:ascii="宋体" w:hAnsi="宋体" w:cs="宋体" w:eastAsia="宋体" w:hint="default"/>
                <w:sz w:val="18"/>
                <w:szCs w:val="18"/>
              </w:rPr>
            </w:r>
          </w:p>
        </w:tc>
        <w:tc>
          <w:tcPr>
            <w:tcW w:w="57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22,418,477.95</w:t>
            </w:r>
          </w:p>
        </w:tc>
      </w:tr>
      <w:tr>
        <w:trPr>
          <w:trHeight w:val="403" w:hRule="exact"/>
        </w:trPr>
        <w:tc>
          <w:tcPr>
            <w:tcW w:w="3774"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53"/>
              <w:ind w:left="11" w:right="-43"/>
              <w:jc w:val="left"/>
              <w:rPr>
                <w:rFonts w:ascii="宋体" w:hAnsi="宋体" w:cs="宋体" w:eastAsia="宋体" w:hint="default"/>
                <w:sz w:val="18"/>
                <w:szCs w:val="18"/>
              </w:rPr>
            </w:pPr>
            <w:r>
              <w:rPr>
                <w:rFonts w:ascii="宋体" w:hAnsi="宋体" w:cs="宋体" w:eastAsia="宋体" w:hint="default"/>
                <w:spacing w:val="-3"/>
                <w:sz w:val="18"/>
                <w:szCs w:val="18"/>
              </w:rPr>
              <w:t>以其他方式（如回购股份）现金分红金额（元）</w:t>
            </w:r>
          </w:p>
        </w:tc>
        <w:tc>
          <w:tcPr>
            <w:tcW w:w="5783"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r>
        <w:trPr>
          <w:trHeight w:val="398" w:hRule="exact"/>
        </w:trPr>
        <w:tc>
          <w:tcPr>
            <w:tcW w:w="3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分</w:t>
            </w:r>
            <w:r>
              <w:rPr>
                <w:rFonts w:ascii="宋体" w:hAnsi="宋体" w:cs="宋体" w:eastAsia="宋体" w:hint="default"/>
                <w:spacing w:val="-5"/>
                <w:w w:val="101"/>
                <w:sz w:val="18"/>
                <w:szCs w:val="18"/>
              </w:rPr>
              <w:t>红</w:t>
            </w:r>
            <w:r>
              <w:rPr>
                <w:rFonts w:ascii="宋体" w:hAnsi="宋体" w:cs="宋体" w:eastAsia="宋体" w:hint="default"/>
                <w:w w:val="101"/>
                <w:sz w:val="18"/>
                <w:szCs w:val="18"/>
              </w:rPr>
              <w:t>总</w:t>
            </w:r>
            <w:r>
              <w:rPr>
                <w:rFonts w:ascii="宋体" w:hAnsi="宋体" w:cs="宋体" w:eastAsia="宋体" w:hint="default"/>
                <w:spacing w:val="-5"/>
                <w:w w:val="101"/>
                <w:sz w:val="18"/>
                <w:szCs w:val="18"/>
              </w:rPr>
              <w:t>额</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其</w:t>
            </w:r>
            <w:r>
              <w:rPr>
                <w:rFonts w:ascii="宋体" w:hAnsi="宋体" w:cs="宋体" w:eastAsia="宋体" w:hint="default"/>
                <w:spacing w:val="-5"/>
                <w:w w:val="101"/>
                <w:sz w:val="18"/>
                <w:szCs w:val="18"/>
              </w:rPr>
              <w:t>他</w:t>
            </w:r>
            <w:r>
              <w:rPr>
                <w:rFonts w:ascii="宋体" w:hAnsi="宋体" w:cs="宋体" w:eastAsia="宋体" w:hint="default"/>
                <w:w w:val="101"/>
                <w:sz w:val="18"/>
                <w:szCs w:val="18"/>
              </w:rPr>
              <w:t>方式</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元</w:t>
            </w:r>
            <w:r>
              <w:rPr>
                <w:rFonts w:ascii="宋体" w:hAnsi="宋体" w:cs="宋体" w:eastAsia="宋体" w:hint="default"/>
                <w:w w:val="101"/>
                <w:sz w:val="18"/>
                <w:szCs w:val="18"/>
              </w:rPr>
              <w:t>）</w:t>
            </w:r>
            <w:r>
              <w:rPr>
                <w:rFonts w:ascii="宋体" w:hAnsi="宋体" w:cs="宋体" w:eastAsia="宋体" w:hint="default"/>
                <w:sz w:val="18"/>
                <w:szCs w:val="18"/>
              </w:rPr>
            </w:r>
          </w:p>
        </w:tc>
        <w:tc>
          <w:tcPr>
            <w:tcW w:w="57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22,418,477.95</w:t>
            </w:r>
          </w:p>
        </w:tc>
      </w:tr>
      <w:tr>
        <w:trPr>
          <w:trHeight w:val="403" w:hRule="exact"/>
        </w:trPr>
        <w:tc>
          <w:tcPr>
            <w:tcW w:w="3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45,392,581.22</w:t>
            </w:r>
          </w:p>
        </w:tc>
      </w:tr>
      <w:tr>
        <w:trPr>
          <w:trHeight w:val="716" w:hRule="exact"/>
        </w:trPr>
        <w:tc>
          <w:tcPr>
            <w:tcW w:w="3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6"/>
              <w:jc w:val="left"/>
              <w:rPr>
                <w:rFonts w:ascii="宋体" w:hAnsi="宋体" w:cs="宋体" w:eastAsia="宋体" w:hint="default"/>
                <w:sz w:val="18"/>
                <w:szCs w:val="18"/>
              </w:rPr>
            </w:pPr>
            <w:r>
              <w:rPr>
                <w:rFonts w:ascii="宋体" w:hAnsi="宋体" w:cs="宋体" w:eastAsia="宋体" w:hint="default"/>
                <w:spacing w:val="-5"/>
                <w:sz w:val="18"/>
                <w:szCs w:val="18"/>
              </w:rPr>
              <w:t>现金分红总额（含其他方式）占利润分配总额的</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比例</w:t>
            </w:r>
          </w:p>
        </w:tc>
        <w:tc>
          <w:tcPr>
            <w:tcW w:w="57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w:t>
            </w:r>
          </w:p>
        </w:tc>
      </w:tr>
      <w:tr>
        <w:trPr>
          <w:trHeight w:val="403"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398" w:hRule="exact"/>
        </w:trPr>
        <w:tc>
          <w:tcPr>
            <w:tcW w:w="9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4"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78" w:right="0"/>
              <w:jc w:val="left"/>
              <w:rPr>
                <w:rFonts w:ascii="宋体" w:hAnsi="宋体" w:cs="宋体" w:eastAsia="宋体" w:hint="default"/>
                <w:sz w:val="18"/>
                <w:szCs w:val="18"/>
              </w:rPr>
            </w:pPr>
            <w:r>
              <w:rPr>
                <w:rFonts w:ascii="宋体" w:hAnsi="宋体" w:cs="宋体" w:eastAsia="宋体" w:hint="default"/>
                <w:spacing w:val="-3"/>
                <w:sz w:val="18"/>
                <w:szCs w:val="18"/>
              </w:rPr>
              <w:t>利润分配或资本公积金转增预案的详细情况说明</w:t>
            </w:r>
            <w:r>
              <w:rPr>
                <w:rFonts w:ascii="宋体" w:hAnsi="宋体" w:cs="宋体" w:eastAsia="宋体" w:hint="default"/>
                <w:sz w:val="18"/>
                <w:szCs w:val="18"/>
              </w:rPr>
            </w:r>
          </w:p>
        </w:tc>
      </w:tr>
      <w:tr>
        <w:trPr>
          <w:trHeight w:val="1339" w:hRule="exact"/>
        </w:trPr>
        <w:tc>
          <w:tcPr>
            <w:tcW w:w="9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11" w:right="17"/>
              <w:jc w:val="both"/>
              <w:rPr>
                <w:rFonts w:ascii="宋体" w:hAnsi="宋体" w:cs="宋体" w:eastAsia="宋体" w:hint="default"/>
                <w:sz w:val="18"/>
                <w:szCs w:val="18"/>
              </w:rPr>
            </w:pPr>
            <w:r>
              <w:rPr>
                <w:rFonts w:ascii="宋体" w:hAnsi="宋体" w:cs="宋体" w:eastAsia="宋体" w:hint="default"/>
                <w:spacing w:val="-3"/>
                <w:w w:val="101"/>
                <w:sz w:val="18"/>
                <w:szCs w:val="18"/>
              </w:rPr>
              <w:t>按中国会计准则，经审计，</w:t>
            </w:r>
            <w:r>
              <w:rPr>
                <w:rFonts w:ascii="宋体" w:hAnsi="宋体" w:cs="宋体" w:eastAsia="宋体" w:hint="default"/>
                <w:w w:val="101"/>
                <w:sz w:val="18"/>
                <w:szCs w:val="18"/>
              </w:rPr>
              <w:t> </w:t>
            </w:r>
            <w:r>
              <w:rPr>
                <w:rFonts w:ascii="Times New Roman" w:hAnsi="Times New Roman" w:cs="Times New Roman" w:eastAsia="Times New Roman" w:hint="default"/>
                <w:spacing w:val="-2"/>
                <w:w w:val="101"/>
                <w:sz w:val="18"/>
                <w:szCs w:val="18"/>
              </w:rPr>
              <w:t>2019</w:t>
            </w:r>
            <w:r>
              <w:rPr>
                <w:rFonts w:ascii="Times New Roman" w:hAnsi="Times New Roman" w:cs="Times New Roman" w:eastAsia="Times New Roman" w:hint="default"/>
                <w:w w:val="101"/>
                <w:sz w:val="18"/>
                <w:szCs w:val="18"/>
              </w:rPr>
              <w:t> </w:t>
            </w:r>
            <w:r>
              <w:rPr>
                <w:rFonts w:ascii="宋体" w:hAnsi="宋体" w:cs="宋体" w:eastAsia="宋体" w:hint="default"/>
                <w:spacing w:val="-3"/>
                <w:w w:val="101"/>
                <w:sz w:val="18"/>
                <w:szCs w:val="18"/>
              </w:rPr>
              <w:t>年度公司实现归属于上市公司股东的净利润</w:t>
            </w:r>
            <w:r>
              <w:rPr>
                <w:rFonts w:ascii="宋体" w:hAnsi="宋体" w:cs="宋体" w:eastAsia="宋体" w:hint="default"/>
                <w:w w:val="101"/>
                <w:sz w:val="18"/>
                <w:szCs w:val="18"/>
              </w:rPr>
              <w:t> </w:t>
            </w:r>
            <w:r>
              <w:rPr>
                <w:rFonts w:ascii="Times New Roman" w:hAnsi="Times New Roman" w:cs="Times New Roman" w:eastAsia="Times New Roman" w:hint="default"/>
                <w:spacing w:val="-1"/>
                <w:w w:val="101"/>
                <w:sz w:val="18"/>
                <w:szCs w:val="18"/>
              </w:rPr>
              <w:t>219,048,159.38</w:t>
            </w:r>
            <w:r>
              <w:rPr>
                <w:rFonts w:ascii="Times New Roman" w:hAnsi="Times New Roman" w:cs="Times New Roman" w:eastAsia="Times New Roman" w:hint="default"/>
                <w:spacing w:val="5"/>
                <w:w w:val="101"/>
                <w:sz w:val="18"/>
                <w:szCs w:val="18"/>
              </w:rPr>
              <w:t> </w:t>
            </w:r>
            <w:r>
              <w:rPr>
                <w:rFonts w:ascii="宋体" w:hAnsi="宋体" w:cs="宋体" w:eastAsia="宋体" w:hint="default"/>
                <w:spacing w:val="-18"/>
                <w:w w:val="101"/>
                <w:sz w:val="18"/>
                <w:szCs w:val="18"/>
              </w:rPr>
              <w:t>元。根据《公司法》、《深圳</w:t>
            </w:r>
            <w:r>
              <w:rPr>
                <w:rFonts w:ascii="宋体" w:hAnsi="宋体" w:cs="宋体" w:eastAsia="宋体" w:hint="default"/>
                <w:w w:val="101"/>
                <w:sz w:val="18"/>
                <w:szCs w:val="18"/>
              </w:rPr>
              <w:t> </w:t>
            </w:r>
            <w:r>
              <w:rPr>
                <w:rFonts w:ascii="宋体" w:hAnsi="宋体" w:cs="宋体" w:eastAsia="宋体" w:hint="default"/>
                <w:spacing w:val="-2"/>
                <w:w w:val="101"/>
                <w:sz w:val="18"/>
                <w:szCs w:val="18"/>
              </w:rPr>
              <w:t>证券交易所上市公司规范运作指引（</w:t>
            </w:r>
            <w:r>
              <w:rPr>
                <w:rFonts w:ascii="Times New Roman" w:hAnsi="Times New Roman" w:cs="Times New Roman" w:eastAsia="Times New Roman" w:hint="default"/>
                <w:spacing w:val="-2"/>
                <w:w w:val="101"/>
                <w:sz w:val="18"/>
                <w:szCs w:val="18"/>
              </w:rPr>
              <w:t>2020</w:t>
            </w:r>
            <w:r>
              <w:rPr>
                <w:rFonts w:ascii="Times New Roman" w:hAnsi="Times New Roman" w:cs="Times New Roman" w:eastAsia="Times New Roman" w:hint="default"/>
                <w:w w:val="101"/>
                <w:sz w:val="18"/>
                <w:szCs w:val="18"/>
              </w:rPr>
              <w:t> </w:t>
            </w:r>
            <w:r>
              <w:rPr>
                <w:rFonts w:ascii="宋体" w:hAnsi="宋体" w:cs="宋体" w:eastAsia="宋体" w:hint="default"/>
                <w:spacing w:val="-16"/>
                <w:w w:val="101"/>
                <w:sz w:val="18"/>
                <w:szCs w:val="18"/>
              </w:rPr>
              <w:t>年修订）》、《公司章程》等有关规定，公司</w:t>
            </w:r>
            <w:r>
              <w:rPr>
                <w:rFonts w:ascii="宋体" w:hAnsi="宋体" w:cs="宋体" w:eastAsia="宋体" w:hint="default"/>
                <w:w w:val="101"/>
                <w:sz w:val="18"/>
                <w:szCs w:val="18"/>
              </w:rPr>
              <w:t> </w:t>
            </w: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pacing w:val="41"/>
                <w:w w:val="101"/>
                <w:sz w:val="18"/>
                <w:szCs w:val="18"/>
              </w:rPr>
              <w:t> </w:t>
            </w:r>
            <w:r>
              <w:rPr>
                <w:rFonts w:ascii="宋体" w:hAnsi="宋体" w:cs="宋体" w:eastAsia="宋体" w:hint="default"/>
                <w:spacing w:val="-3"/>
                <w:w w:val="101"/>
                <w:sz w:val="18"/>
                <w:szCs w:val="18"/>
              </w:rPr>
              <w:t>年度利润分配预案为：以公司</w:t>
            </w:r>
            <w:r>
              <w:rPr>
                <w:rFonts w:ascii="宋体" w:hAnsi="宋体" w:cs="宋体" w:eastAsia="宋体" w:hint="default"/>
                <w:w w:val="101"/>
                <w:sz w:val="18"/>
                <w:szCs w:val="18"/>
              </w:rPr>
              <w:t> </w:t>
            </w:r>
            <w:r>
              <w:rPr>
                <w:rFonts w:ascii="宋体" w:hAnsi="宋体" w:cs="宋体" w:eastAsia="宋体" w:hint="default"/>
                <w:sz w:val="18"/>
                <w:szCs w:val="18"/>
              </w:rPr>
              <w:t>总股本 </w:t>
            </w:r>
            <w:r>
              <w:rPr>
                <w:rFonts w:ascii="Times New Roman" w:hAnsi="Times New Roman" w:cs="Times New Roman" w:eastAsia="Times New Roman" w:hint="default"/>
                <w:sz w:val="18"/>
                <w:szCs w:val="18"/>
              </w:rPr>
              <w:t>700,577,436  </w:t>
            </w:r>
            <w:r>
              <w:rPr>
                <w:rFonts w:ascii="宋体" w:hAnsi="宋体" w:cs="宋体" w:eastAsia="宋体" w:hint="default"/>
                <w:spacing w:val="-3"/>
                <w:sz w:val="18"/>
                <w:szCs w:val="18"/>
              </w:rPr>
              <w:t>股为基数，本期按照每 </w:t>
            </w:r>
            <w:r>
              <w:rPr>
                <w:rFonts w:ascii="Times New Roman" w:hAnsi="Times New Roman" w:cs="Times New Roman" w:eastAsia="Times New Roman" w:hint="default"/>
                <w:sz w:val="18"/>
                <w:szCs w:val="18"/>
              </w:rPr>
              <w:t>10  </w:t>
            </w:r>
            <w:r>
              <w:rPr>
                <w:rFonts w:ascii="宋体" w:hAnsi="宋体" w:cs="宋体" w:eastAsia="宋体" w:hint="default"/>
                <w:spacing w:val="-3"/>
                <w:sz w:val="18"/>
                <w:szCs w:val="18"/>
              </w:rPr>
              <w:t>股派现金 </w:t>
            </w:r>
            <w:r>
              <w:rPr>
                <w:rFonts w:ascii="Times New Roman" w:hAnsi="Times New Roman" w:cs="Times New Roman" w:eastAsia="Times New Roman" w:hint="default"/>
                <w:sz w:val="18"/>
                <w:szCs w:val="18"/>
              </w:rPr>
              <w:t>0.32   </w:t>
            </w:r>
            <w:r>
              <w:rPr>
                <w:rFonts w:ascii="Times New Roman" w:hAnsi="Times New Roman" w:cs="Times New Roman" w:eastAsia="Times New Roman" w:hint="default"/>
                <w:spacing w:val="24"/>
                <w:sz w:val="18"/>
                <w:szCs w:val="18"/>
              </w:rPr>
              <w:t> </w:t>
            </w:r>
            <w:r>
              <w:rPr>
                <w:rFonts w:ascii="宋体" w:hAnsi="宋体" w:cs="宋体" w:eastAsia="宋体" w:hint="default"/>
                <w:spacing w:val="-3"/>
                <w:sz w:val="18"/>
                <w:szCs w:val="18"/>
              </w:rPr>
              <w:t>元（含税）向全体股东实施利润分配，共计分配利润</w:t>
            </w:r>
          </w:p>
          <w:p>
            <w:pPr>
              <w:pStyle w:val="TableParagraph"/>
              <w:spacing w:line="240" w:lineRule="auto" w:before="19"/>
              <w:ind w:left="11"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22,418,477.95 </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元。除此之外，不再进行送股或资本公积金转增股本。</w:t>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三、承诺事项履行情况" w:id="65"/>
      <w:bookmarkEnd w:id="65"/>
      <w:r>
        <w:rPr>
          <w:b w:val="0"/>
          <w:bCs w:val="0"/>
        </w:rPr>
      </w:r>
      <w:r>
        <w:rPr/>
        <w:t>三、承诺事项履行情况</w:t>
      </w:r>
      <w:r>
        <w:rPr>
          <w:b w:val="0"/>
          <w:bCs w:val="0"/>
        </w:rPr>
      </w:r>
    </w:p>
    <w:p>
      <w:pPr>
        <w:spacing w:line="240" w:lineRule="auto" w:before="3"/>
        <w:rPr>
          <w:rFonts w:ascii="宋体" w:hAnsi="宋体" w:cs="宋体" w:eastAsia="宋体" w:hint="default"/>
          <w:b/>
          <w:bCs/>
          <w:sz w:val="25"/>
          <w:szCs w:val="25"/>
        </w:rPr>
      </w:pPr>
    </w:p>
    <w:p>
      <w:pPr>
        <w:pStyle w:val="Heading4"/>
        <w:spacing w:line="254" w:lineRule="auto"/>
        <w:ind w:right="0"/>
        <w:jc w:val="left"/>
        <w:rPr>
          <w:b w:val="0"/>
          <w:bCs w:val="0"/>
        </w:rPr>
      </w:pPr>
      <w:bookmarkStart w:name="1、公司实际控制人、股东、关联方、收购人以及公司等承诺相关方在报告期内履行完毕及" w:id="66"/>
      <w:bookmarkEnd w:id="66"/>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4"/>
        </w:rPr>
        <w:t> </w:t>
      </w:r>
      <w:r>
        <w:rPr>
          <w:spacing w:val="-64"/>
        </w:rPr>
      </w:r>
      <w:r>
        <w:rPr/>
        <w:t>尚未履行完毕的承诺事项</w:t>
      </w:r>
      <w:r>
        <w:rPr>
          <w:b w:val="0"/>
          <w:bCs w:val="0"/>
        </w:rPr>
      </w:r>
    </w:p>
    <w:p>
      <w:pPr>
        <w:spacing w:line="240" w:lineRule="auto" w:before="5"/>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702"/>
        <w:gridCol w:w="1275"/>
        <w:gridCol w:w="994"/>
        <w:gridCol w:w="2838"/>
        <w:gridCol w:w="850"/>
        <w:gridCol w:w="989"/>
        <w:gridCol w:w="922"/>
      </w:tblGrid>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84"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9"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9"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z w:val="18"/>
                <w:szCs w:val="18"/>
              </w:rPr>
              <w:t>履行情况</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91.316803pt;margin-top:128.449982pt;width:48.05pt;height:265.3pt;mso-position-horizontal-relative:page;mso-position-vertical-relative:page;z-index:-11681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0"/>
        <w:gridCol w:w="1277"/>
        <w:gridCol w:w="994"/>
        <w:gridCol w:w="2838"/>
        <w:gridCol w:w="850"/>
        <w:gridCol w:w="989"/>
        <w:gridCol w:w="922"/>
      </w:tblGrid>
      <w:tr>
        <w:trPr>
          <w:trHeight w:val="403"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28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1"/>
              <w:jc w:val="left"/>
              <w:rPr>
                <w:rFonts w:ascii="宋体" w:hAnsi="宋体" w:cs="宋体" w:eastAsia="宋体" w:hint="default"/>
                <w:sz w:val="18"/>
                <w:szCs w:val="18"/>
              </w:rPr>
            </w:pPr>
            <w:r>
              <w:rPr>
                <w:rFonts w:ascii="宋体" w:hAnsi="宋体" w:cs="宋体" w:eastAsia="宋体" w:hint="default"/>
                <w:spacing w:val="-3"/>
                <w:sz w:val="18"/>
                <w:szCs w:val="18"/>
              </w:rPr>
              <w:t>收购报告书或权益变</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动报告书中所作承诺</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28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11326" w:hRule="exact"/>
        </w:trPr>
        <w:tc>
          <w:tcPr>
            <w:tcW w:w="17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资产重组时所作承诺</w:t>
            </w:r>
          </w:p>
        </w:tc>
        <w:tc>
          <w:tcPr>
            <w:tcW w:w="1277" w:type="dxa"/>
            <w:tcBorders>
              <w:top w:val="single" w:sz="4" w:space="0" w:color="000000"/>
              <w:left w:val="single" w:sz="4" w:space="0" w:color="000000"/>
              <w:bottom w:val="single" w:sz="4" w:space="0" w:color="000000"/>
              <w:right w:val="single" w:sz="8"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4" w:right="-24"/>
              <w:jc w:val="left"/>
              <w:rPr>
                <w:rFonts w:ascii="宋体" w:hAnsi="宋体" w:cs="宋体" w:eastAsia="宋体" w:hint="default"/>
                <w:sz w:val="18"/>
                <w:szCs w:val="18"/>
              </w:rPr>
            </w:pPr>
            <w:r>
              <w:rPr>
                <w:rFonts w:ascii="宋体" w:hAnsi="宋体" w:cs="宋体" w:eastAsia="宋体" w:hint="default"/>
                <w:sz w:val="18"/>
                <w:szCs w:val="18"/>
              </w:rPr>
              <w:t>廖道训、吴玉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瑞、吴春红、柴</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继军、姜海林、</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陈智华、袁闯、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李学凌、高玮、</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梁世平</w:t>
            </w:r>
          </w:p>
        </w:tc>
        <w:tc>
          <w:tcPr>
            <w:tcW w:w="994" w:type="dxa"/>
            <w:tcBorders>
              <w:top w:val="single" w:sz="4" w:space="0" w:color="000000"/>
              <w:left w:val="single" w:sz="8"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6" w:lineRule="auto"/>
              <w:ind w:left="19" w:right="56"/>
              <w:jc w:val="left"/>
              <w:rPr>
                <w:rFonts w:ascii="宋体" w:hAnsi="宋体" w:cs="宋体" w:eastAsia="宋体" w:hint="default"/>
                <w:sz w:val="18"/>
                <w:szCs w:val="18"/>
              </w:rPr>
            </w:pPr>
            <w:r>
              <w:rPr>
                <w:rFonts w:ascii="宋体" w:hAnsi="宋体" w:cs="宋体" w:eastAsia="宋体" w:hint="default"/>
                <w:sz w:val="18"/>
                <w:szCs w:val="18"/>
              </w:rPr>
              <w:t>股份限售承</w:t>
            </w:r>
            <w:r>
              <w:rPr>
                <w:rFonts w:ascii="宋体" w:hAnsi="宋体" w:cs="宋体" w:eastAsia="宋体" w:hint="default"/>
                <w:w w:val="101"/>
                <w:sz w:val="18"/>
                <w:szCs w:val="18"/>
              </w:rPr>
              <w:t> </w:t>
            </w:r>
            <w:r>
              <w:rPr>
                <w:rFonts w:ascii="宋体" w:hAnsi="宋体" w:cs="宋体" w:eastAsia="宋体" w:hint="default"/>
                <w:sz w:val="18"/>
                <w:szCs w:val="18"/>
              </w:rPr>
              <w:t>诺</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根据廖道训等 </w:t>
            </w:r>
            <w:r>
              <w:rPr>
                <w:rFonts w:ascii="Times New Roman" w:hAnsi="Times New Roman" w:cs="Times New Roman" w:eastAsia="Times New Roman" w:hint="default"/>
                <w:sz w:val="18"/>
                <w:szCs w:val="18"/>
              </w:rPr>
              <w:t>10 </w:t>
            </w:r>
            <w:r>
              <w:rPr>
                <w:rFonts w:ascii="Times New Roman" w:hAnsi="Times New Roman" w:cs="Times New Roman" w:eastAsia="Times New Roman" w:hint="default"/>
                <w:spacing w:val="21"/>
                <w:sz w:val="18"/>
                <w:szCs w:val="18"/>
              </w:rPr>
              <w:t> </w:t>
            </w:r>
            <w:r>
              <w:rPr>
                <w:rFonts w:ascii="宋体" w:hAnsi="宋体" w:cs="宋体" w:eastAsia="宋体" w:hint="default"/>
                <w:spacing w:val="-3"/>
                <w:sz w:val="18"/>
                <w:szCs w:val="18"/>
              </w:rPr>
              <w:t>名一致行动人出</w:t>
            </w:r>
          </w:p>
          <w:p>
            <w:pPr>
              <w:pStyle w:val="TableParagraph"/>
              <w:spacing w:line="312" w:lineRule="auto" w:before="58"/>
              <w:ind w:left="23" w:right="98"/>
              <w:jc w:val="both"/>
              <w:rPr>
                <w:rFonts w:ascii="宋体" w:hAnsi="宋体" w:cs="宋体" w:eastAsia="宋体" w:hint="default"/>
                <w:sz w:val="18"/>
                <w:szCs w:val="18"/>
              </w:rPr>
            </w:pPr>
            <w:r>
              <w:rPr>
                <w:rFonts w:ascii="宋体" w:hAnsi="宋体" w:cs="宋体" w:eastAsia="宋体" w:hint="default"/>
                <w:spacing w:val="-3"/>
                <w:sz w:val="18"/>
                <w:szCs w:val="18"/>
              </w:rPr>
              <w:t>具的承诺，廖道训等</w:t>
            </w:r>
            <w:r>
              <w:rPr>
                <w:rFonts w:ascii="宋体" w:hAnsi="宋体" w:cs="宋体" w:eastAsia="宋体" w:hint="default"/>
                <w:spacing w:val="2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名一致行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动人在本次交易中认购上市公司股</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9"/>
                <w:w w:val="101"/>
                <w:sz w:val="18"/>
                <w:szCs w:val="18"/>
              </w:rPr>
              <w:t>份的锁定期满足下述条件：（</w:t>
            </w:r>
            <w:r>
              <w:rPr>
                <w:rFonts w:ascii="Times New Roman" w:hAnsi="Times New Roman" w:cs="Times New Roman" w:eastAsia="Times New Roman" w:hint="default"/>
                <w:spacing w:val="-9"/>
                <w:w w:val="101"/>
                <w:sz w:val="18"/>
                <w:szCs w:val="18"/>
              </w:rPr>
              <w:t>1</w:t>
            </w:r>
            <w:r>
              <w:rPr>
                <w:rFonts w:ascii="宋体" w:hAnsi="宋体" w:cs="宋体" w:eastAsia="宋体" w:hint="default"/>
                <w:spacing w:val="-9"/>
                <w:w w:val="101"/>
                <w:sz w:val="18"/>
                <w:szCs w:val="18"/>
              </w:rPr>
              <w:t>）廖</w:t>
            </w:r>
            <w:r>
              <w:rPr>
                <w:rFonts w:ascii="宋体" w:hAnsi="宋体" w:cs="宋体" w:eastAsia="宋体" w:hint="default"/>
                <w:spacing w:val="-80"/>
                <w:w w:val="101"/>
                <w:sz w:val="18"/>
                <w:szCs w:val="18"/>
              </w:rPr>
              <w:t> </w:t>
            </w:r>
            <w:r>
              <w:rPr>
                <w:rFonts w:ascii="宋体" w:hAnsi="宋体" w:cs="宋体" w:eastAsia="宋体" w:hint="default"/>
                <w:sz w:val="18"/>
                <w:szCs w:val="18"/>
              </w:rPr>
              <w:t>道训等</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名一致行动人在本次发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行中所认购的远东股份的股票自上</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市之日起六十个月内不进行任何转</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12"/>
                <w:w w:val="101"/>
                <w:sz w:val="18"/>
                <w:szCs w:val="18"/>
              </w:rPr>
              <w:t>让。（</w:t>
            </w:r>
            <w:r>
              <w:rPr>
                <w:rFonts w:ascii="Times New Roman" w:hAnsi="Times New Roman" w:cs="Times New Roman" w:eastAsia="Times New Roman" w:hint="default"/>
                <w:spacing w:val="-12"/>
                <w:w w:val="101"/>
                <w:sz w:val="18"/>
                <w:szCs w:val="18"/>
              </w:rPr>
              <w:t>2</w:t>
            </w:r>
            <w:r>
              <w:rPr>
                <w:rFonts w:ascii="宋体" w:hAnsi="宋体" w:cs="宋体" w:eastAsia="宋体" w:hint="default"/>
                <w:spacing w:val="-12"/>
                <w:w w:val="101"/>
                <w:sz w:val="18"/>
                <w:szCs w:val="18"/>
              </w:rPr>
              <w:t>）若远东股份</w:t>
            </w:r>
            <w:r>
              <w:rPr>
                <w:rFonts w:ascii="宋体" w:hAnsi="宋体" w:cs="宋体" w:eastAsia="宋体" w:hint="default"/>
                <w:w w:val="101"/>
                <w:sz w:val="18"/>
                <w:szCs w:val="18"/>
              </w:rPr>
              <w:t> </w:t>
            </w:r>
            <w:r>
              <w:rPr>
                <w:rFonts w:ascii="Times New Roman" w:hAnsi="Times New Roman" w:cs="Times New Roman" w:eastAsia="Times New Roman" w:hint="default"/>
                <w:spacing w:val="-2"/>
                <w:w w:val="101"/>
                <w:sz w:val="18"/>
                <w:szCs w:val="18"/>
              </w:rPr>
              <w:t>2018</w:t>
            </w:r>
            <w:r>
              <w:rPr>
                <w:rFonts w:ascii="Times New Roman" w:hAnsi="Times New Roman" w:cs="Times New Roman" w:eastAsia="Times New Roman" w:hint="default"/>
                <w:spacing w:val="5"/>
                <w:w w:val="101"/>
                <w:sz w:val="18"/>
                <w:szCs w:val="18"/>
              </w:rPr>
              <w:t> </w:t>
            </w:r>
            <w:r>
              <w:rPr>
                <w:rFonts w:ascii="宋体" w:hAnsi="宋体" w:cs="宋体" w:eastAsia="宋体" w:hint="default"/>
                <w:spacing w:val="-2"/>
                <w:w w:val="101"/>
                <w:sz w:val="18"/>
                <w:szCs w:val="18"/>
              </w:rPr>
              <w:t>年度专</w:t>
            </w:r>
            <w:r>
              <w:rPr>
                <w:rFonts w:ascii="宋体" w:hAnsi="宋体" w:cs="宋体" w:eastAsia="宋体" w:hint="default"/>
                <w:w w:val="101"/>
                <w:sz w:val="18"/>
                <w:szCs w:val="18"/>
              </w:rPr>
              <w:t> </w:t>
            </w:r>
            <w:r>
              <w:rPr>
                <w:rFonts w:ascii="宋体" w:hAnsi="宋体" w:cs="宋体" w:eastAsia="宋体" w:hint="default"/>
                <w:spacing w:val="-3"/>
                <w:sz w:val="18"/>
                <w:szCs w:val="18"/>
              </w:rPr>
              <w:t>项审计报告、减值测试报告等相关</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文件（名称以实际出具报告名称为</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准）出具的日期晚于上述股份的限</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售期届满日，则廖道训等 </w:t>
            </w:r>
            <w:r>
              <w:rPr>
                <w:rFonts w:ascii="Times New Roman" w:hAnsi="Times New Roman" w:cs="Times New Roman" w:eastAsia="Times New Roman" w:hint="default"/>
                <w:sz w:val="18"/>
                <w:szCs w:val="18"/>
              </w:rPr>
              <w:t>10 </w:t>
            </w:r>
            <w:r>
              <w:rPr>
                <w:rFonts w:ascii="Times New Roman" w:hAnsi="Times New Roman" w:cs="Times New Roman" w:eastAsia="Times New Roman" w:hint="default"/>
                <w:spacing w:val="41"/>
                <w:sz w:val="18"/>
                <w:szCs w:val="18"/>
              </w:rPr>
              <w:t> </w:t>
            </w:r>
            <w:r>
              <w:rPr>
                <w:rFonts w:ascii="宋体" w:hAnsi="宋体" w:cs="宋体" w:eastAsia="宋体" w:hint="default"/>
                <w:spacing w:val="-5"/>
                <w:sz w:val="18"/>
                <w:szCs w:val="18"/>
              </w:rPr>
              <w:t>名一</w:t>
            </w:r>
            <w:r>
              <w:rPr>
                <w:rFonts w:ascii="宋体" w:hAnsi="宋体" w:cs="宋体" w:eastAsia="宋体" w:hint="default"/>
                <w:sz w:val="18"/>
                <w:szCs w:val="18"/>
              </w:rPr>
            </w:r>
          </w:p>
          <w:p>
            <w:pPr>
              <w:pStyle w:val="TableParagraph"/>
              <w:spacing w:line="312" w:lineRule="auto" w:before="3"/>
              <w:ind w:left="23" w:right="36"/>
              <w:jc w:val="left"/>
              <w:rPr>
                <w:rFonts w:ascii="宋体" w:hAnsi="宋体" w:cs="宋体" w:eastAsia="宋体" w:hint="default"/>
                <w:sz w:val="18"/>
                <w:szCs w:val="18"/>
              </w:rPr>
            </w:pPr>
            <w:r>
              <w:rPr>
                <w:rFonts w:ascii="宋体" w:hAnsi="宋体" w:cs="宋体" w:eastAsia="宋体" w:hint="default"/>
                <w:spacing w:val="-3"/>
                <w:sz w:val="18"/>
                <w:szCs w:val="18"/>
              </w:rPr>
              <w:t>致行动人承诺，待远东股份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年度的审计报告出具以及减值测试</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完成后，视是否需要实行股份补偿</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3"/>
                <w:sz w:val="18"/>
                <w:szCs w:val="18"/>
              </w:rPr>
              <w:t>扣减需进行股份补偿部分。期间廖</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道训等 </w:t>
            </w:r>
            <w:r>
              <w:rPr>
                <w:rFonts w:ascii="Times New Roman" w:hAnsi="Times New Roman" w:cs="Times New Roman" w:eastAsia="Times New Roman" w:hint="default"/>
                <w:sz w:val="18"/>
                <w:szCs w:val="18"/>
              </w:rPr>
              <w:t>10 </w:t>
            </w:r>
            <w:r>
              <w:rPr>
                <w:rFonts w:ascii="宋体" w:hAnsi="宋体" w:cs="宋体" w:eastAsia="宋体" w:hint="default"/>
                <w:spacing w:val="-3"/>
                <w:sz w:val="18"/>
                <w:szCs w:val="18"/>
              </w:rPr>
              <w:t>名一致行动人继续履行</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3"/>
                <w:sz w:val="18"/>
                <w:szCs w:val="18"/>
              </w:rPr>
              <w:t>第一条的承诺义务，不转让所认购</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8"/>
                <w:w w:val="101"/>
                <w:sz w:val="18"/>
                <w:szCs w:val="18"/>
              </w:rPr>
              <w:t>的远东股份的股票。（</w:t>
            </w:r>
            <w:r>
              <w:rPr>
                <w:rFonts w:ascii="Times New Roman" w:hAnsi="Times New Roman" w:cs="Times New Roman" w:eastAsia="Times New Roman" w:hint="default"/>
                <w:spacing w:val="-8"/>
                <w:w w:val="101"/>
                <w:sz w:val="18"/>
                <w:szCs w:val="18"/>
              </w:rPr>
              <w:t>3</w:t>
            </w:r>
            <w:r>
              <w:rPr>
                <w:rFonts w:ascii="宋体" w:hAnsi="宋体" w:cs="宋体" w:eastAsia="宋体" w:hint="default"/>
                <w:spacing w:val="-8"/>
                <w:w w:val="101"/>
                <w:sz w:val="18"/>
                <w:szCs w:val="18"/>
              </w:rPr>
              <w:t>）廖道训等</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Times New Roman" w:hAnsi="Times New Roman" w:cs="Times New Roman" w:eastAsia="Times New Roman" w:hint="default"/>
                <w:sz w:val="18"/>
                <w:szCs w:val="18"/>
              </w:rPr>
              <w:t>10 </w:t>
            </w:r>
            <w:r>
              <w:rPr>
                <w:rFonts w:ascii="宋体" w:hAnsi="宋体" w:cs="宋体" w:eastAsia="宋体" w:hint="default"/>
                <w:spacing w:val="-3"/>
                <w:sz w:val="18"/>
                <w:szCs w:val="18"/>
              </w:rPr>
              <w:t>名一致行动人中存在部分人员</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担任远东股份董事、监事或高级管</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理人员，在任职期间，除遵守上述</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股份限售的承诺外，上述人员承诺</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每年转让的股份不超过其所持公司</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股份总数的</w:t>
            </w:r>
            <w:r>
              <w:rPr>
                <w:rFonts w:ascii="宋体" w:hAnsi="宋体" w:cs="宋体" w:eastAsia="宋体" w:hint="default"/>
                <w:spacing w:val="30"/>
                <w:sz w:val="18"/>
                <w:szCs w:val="18"/>
              </w:rPr>
              <w:t> </w:t>
            </w:r>
            <w:r>
              <w:rPr>
                <w:rFonts w:ascii="Times New Roman" w:hAnsi="Times New Roman" w:cs="Times New Roman" w:eastAsia="Times New Roman" w:hint="default"/>
                <w:spacing w:val="-3"/>
                <w:sz w:val="18"/>
                <w:szCs w:val="18"/>
              </w:rPr>
              <w:t>25%</w:t>
            </w:r>
            <w:r>
              <w:rPr>
                <w:rFonts w:ascii="宋体" w:hAnsi="宋体" w:cs="宋体" w:eastAsia="宋体" w:hint="default"/>
                <w:spacing w:val="-3"/>
                <w:sz w:val="18"/>
                <w:szCs w:val="18"/>
              </w:rPr>
              <w:t>；离职后半年内，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承诺不转让其所持公司股份；申报</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离任六个月后的十二个月内，承诺</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通过证券交易所挂牌交易出售公司</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股票数量不超过其所持公司股份总</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数的</w:t>
            </w:r>
            <w:r>
              <w:rPr>
                <w:rFonts w:ascii="宋体" w:hAnsi="宋体" w:cs="宋体" w:eastAsia="宋体" w:hint="default"/>
                <w:spacing w:val="38"/>
                <w:sz w:val="18"/>
                <w:szCs w:val="18"/>
              </w:rPr>
              <w:t> </w:t>
            </w:r>
            <w:r>
              <w:rPr>
                <w:rFonts w:ascii="Times New Roman" w:hAnsi="Times New Roman" w:cs="Times New Roman" w:eastAsia="Times New Roman" w:hint="default"/>
                <w:spacing w:val="-3"/>
                <w:sz w:val="18"/>
                <w:szCs w:val="18"/>
              </w:rPr>
              <w:t>50%</w:t>
            </w:r>
            <w:r>
              <w:rPr>
                <w:rFonts w:ascii="宋体" w:hAnsi="宋体" w:cs="宋体" w:eastAsia="宋体" w:hint="default"/>
                <w:spacing w:val="-3"/>
                <w:sz w:val="18"/>
                <w:szCs w:val="18"/>
              </w:rPr>
              <w:t>。本次交易前，廖道训等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0"/>
                <w:sz w:val="18"/>
                <w:szCs w:val="18"/>
              </w:rPr>
              <w:t> </w:t>
            </w:r>
            <w:r>
              <w:rPr>
                <w:rFonts w:ascii="宋体" w:hAnsi="宋体" w:cs="宋体" w:eastAsia="宋体" w:hint="default"/>
                <w:spacing w:val="-3"/>
                <w:sz w:val="18"/>
                <w:szCs w:val="18"/>
              </w:rPr>
              <w:t>名一致行动人持有标的公司</w:t>
            </w:r>
          </w:p>
          <w:p>
            <w:pPr>
              <w:pStyle w:val="TableParagraph"/>
              <w:spacing w:line="307" w:lineRule="auto" w:before="3"/>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82.35%</w:t>
            </w:r>
            <w:r>
              <w:rPr>
                <w:rFonts w:ascii="宋体" w:hAnsi="宋体" w:cs="宋体" w:eastAsia="宋体" w:hint="default"/>
                <w:sz w:val="18"/>
                <w:szCs w:val="18"/>
              </w:rPr>
              <w:t>股权；交易完成后，廖道训</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等</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名一致行动人合计持有上市公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57.92%</w:t>
            </w:r>
            <w:r>
              <w:rPr>
                <w:rFonts w:ascii="宋体" w:hAnsi="宋体" w:cs="宋体" w:eastAsia="宋体" w:hint="default"/>
                <w:sz w:val="18"/>
                <w:szCs w:val="18"/>
              </w:rPr>
              <w:t>股权。如果由于上市公司</w:t>
            </w:r>
            <w:r>
              <w:rPr>
                <w:rFonts w:ascii="宋体" w:hAnsi="宋体" w:cs="宋体" w:eastAsia="宋体" w:hint="default"/>
                <w:w w:val="101"/>
                <w:sz w:val="18"/>
                <w:szCs w:val="18"/>
              </w:rPr>
              <w:t> </w:t>
            </w:r>
            <w:r>
              <w:rPr>
                <w:rFonts w:ascii="宋体" w:hAnsi="宋体" w:cs="宋体" w:eastAsia="宋体" w:hint="default"/>
                <w:spacing w:val="-3"/>
                <w:sz w:val="18"/>
                <w:szCs w:val="18"/>
              </w:rPr>
              <w:t>送红股、转增股本等原因增持的股</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份，亦应遵守上述锁定期的约定。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5305"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5"/>
                <w:sz w:val="20"/>
                <w:szCs w:val="20"/>
              </w:rPr>
              <w:pict>
                <v:group style="width:42.05pt;height:265.3pt;mso-position-horizontal-relative:char;mso-position-vertical-relative:line" coordorigin="0,0" coordsize="841,5306">
                  <v:group style="position:absolute;left:0;top:0;width:841;height:5306" coordorigin="0,0" coordsize="841,5306">
                    <v:shape style="position:absolute;left:0;top:0;width:841;height:5306" coordorigin="0,0" coordsize="841,5306" path="m0,5305l840,5305,840,0,0,0,0,5305xe" filled="true" fillcolor="#ffffff" stroked="false">
                      <v:path arrowok="t"/>
                      <v:fill type="solid"/>
                    </v:shape>
                  </v:group>
                </v:group>
              </w:pict>
            </w:r>
            <w:r>
              <w:rPr>
                <w:rFonts w:ascii="Times New Roman" w:hAnsi="Times New Roman" w:cs="Times New Roman" w:eastAsia="Times New Roman" w:hint="default"/>
                <w:position w:val="-105"/>
                <w:sz w:val="20"/>
                <w:szCs w:val="20"/>
              </w:rPr>
            </w:r>
          </w:p>
          <w:p>
            <w:pPr>
              <w:pStyle w:val="TableParagraph"/>
              <w:spacing w:line="240" w:lineRule="auto" w:before="5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4"/>
                <w:szCs w:val="24"/>
              </w:rPr>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4" w:lineRule="auto"/>
              <w:ind w:left="24" w:right="12"/>
              <w:jc w:val="left"/>
              <w:rPr>
                <w:rFonts w:ascii="宋体" w:hAnsi="宋体" w:cs="宋体" w:eastAsia="宋体" w:hint="default"/>
                <w:sz w:val="18"/>
                <w:szCs w:val="18"/>
              </w:rPr>
            </w:pPr>
            <w:r>
              <w:rPr>
                <w:rFonts w:ascii="宋体" w:hAnsi="宋体" w:cs="宋体" w:eastAsia="宋体" w:hint="default"/>
                <w:sz w:val="18"/>
                <w:szCs w:val="18"/>
              </w:rPr>
              <w:t>该承诺履行</w:t>
            </w:r>
            <w:r>
              <w:rPr>
                <w:rFonts w:ascii="宋体" w:hAnsi="宋体" w:cs="宋体" w:eastAsia="宋体" w:hint="default"/>
                <w:w w:val="101"/>
                <w:sz w:val="18"/>
                <w:szCs w:val="18"/>
              </w:rPr>
              <w:t> </w:t>
            </w:r>
            <w:r>
              <w:rPr>
                <w:rFonts w:ascii="宋体" w:hAnsi="宋体" w:cs="宋体" w:eastAsia="宋体" w:hint="default"/>
                <w:sz w:val="18"/>
                <w:szCs w:val="18"/>
              </w:rPr>
              <w:t>时间为至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年度的</w:t>
            </w:r>
            <w:r>
              <w:rPr>
                <w:rFonts w:ascii="宋体" w:hAnsi="宋体" w:cs="宋体" w:eastAsia="宋体" w:hint="default"/>
                <w:w w:val="101"/>
                <w:sz w:val="18"/>
                <w:szCs w:val="18"/>
              </w:rPr>
              <w:t> </w:t>
            </w:r>
            <w:r>
              <w:rPr>
                <w:rFonts w:ascii="宋体" w:hAnsi="宋体" w:cs="宋体" w:eastAsia="宋体" w:hint="default"/>
                <w:sz w:val="18"/>
                <w:szCs w:val="18"/>
              </w:rPr>
              <w:t>审计报告出</w:t>
            </w:r>
            <w:r>
              <w:rPr>
                <w:rFonts w:ascii="宋体" w:hAnsi="宋体" w:cs="宋体" w:eastAsia="宋体" w:hint="default"/>
                <w:w w:val="101"/>
                <w:sz w:val="18"/>
                <w:szCs w:val="18"/>
              </w:rPr>
              <w:t> </w:t>
            </w:r>
            <w:r>
              <w:rPr>
                <w:rFonts w:ascii="宋体" w:hAnsi="宋体" w:cs="宋体" w:eastAsia="宋体" w:hint="default"/>
                <w:sz w:val="18"/>
                <w:szCs w:val="18"/>
              </w:rPr>
              <w:t>具以及减值</w:t>
            </w:r>
            <w:r>
              <w:rPr>
                <w:rFonts w:ascii="宋体" w:hAnsi="宋体" w:cs="宋体" w:eastAsia="宋体" w:hint="default"/>
                <w:w w:val="101"/>
                <w:sz w:val="18"/>
                <w:szCs w:val="18"/>
              </w:rPr>
              <w:t> </w:t>
            </w:r>
            <w:r>
              <w:rPr>
                <w:rFonts w:ascii="宋体" w:hAnsi="宋体" w:cs="宋体" w:eastAsia="宋体" w:hint="default"/>
                <w:sz w:val="18"/>
                <w:szCs w:val="18"/>
              </w:rPr>
              <w:t>测试完成后</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9"/>
              <w:ind w:left="28" w:right="-2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pacing w:val="-3"/>
                <w:w w:val="101"/>
                <w:sz w:val="18"/>
                <w:szCs w:val="18"/>
              </w:rPr>
              <w:t> </w:t>
            </w:r>
            <w:r>
              <w:rPr>
                <w:rFonts w:ascii="宋体" w:hAnsi="宋体" w:cs="宋体" w:eastAsia="宋体" w:hint="default"/>
                <w:spacing w:val="-29"/>
                <w:w w:val="101"/>
                <w:sz w:val="18"/>
                <w:szCs w:val="18"/>
              </w:rPr>
              <w:t>年，公</w:t>
            </w:r>
            <w:r>
              <w:rPr>
                <w:rFonts w:ascii="宋体" w:hAnsi="宋体" w:cs="宋体" w:eastAsia="宋体" w:hint="default"/>
                <w:w w:val="101"/>
                <w:sz w:val="18"/>
                <w:szCs w:val="18"/>
              </w:rPr>
              <w:t> </w:t>
            </w:r>
            <w:r>
              <w:rPr>
                <w:rFonts w:ascii="宋体" w:hAnsi="宋体" w:cs="宋体" w:eastAsia="宋体" w:hint="default"/>
                <w:sz w:val="18"/>
                <w:szCs w:val="18"/>
              </w:rPr>
              <w:t>司出具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2018 </w:t>
            </w:r>
            <w:r>
              <w:rPr>
                <w:rFonts w:ascii="宋体" w:hAnsi="宋体" w:cs="宋体" w:eastAsia="宋体" w:hint="default"/>
                <w:spacing w:val="-5"/>
                <w:sz w:val="18"/>
                <w:szCs w:val="18"/>
              </w:rPr>
              <w:t>年度</w:t>
            </w:r>
            <w:r>
              <w:rPr>
                <w:rFonts w:ascii="宋体" w:hAnsi="宋体" w:cs="宋体" w:eastAsia="宋体" w:hint="default"/>
                <w:spacing w:val="-83"/>
                <w:sz w:val="18"/>
                <w:szCs w:val="18"/>
              </w:rPr>
              <w:t> </w:t>
            </w:r>
            <w:r>
              <w:rPr>
                <w:rFonts w:ascii="宋体" w:hAnsi="宋体" w:cs="宋体" w:eastAsia="宋体" w:hint="default"/>
                <w:sz w:val="18"/>
                <w:szCs w:val="18"/>
              </w:rPr>
              <w:t>的审计报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告并完成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减值测试，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该承诺履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行完毕。详</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见公司于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9</w:t>
            </w:r>
          </w:p>
          <w:p>
            <w:pPr>
              <w:pStyle w:val="TableParagraph"/>
              <w:spacing w:line="314" w:lineRule="auto" w:before="1"/>
              <w:ind w:left="28" w:right="1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日披</w:t>
            </w:r>
            <w:r>
              <w:rPr>
                <w:rFonts w:ascii="宋体" w:hAnsi="宋体" w:cs="宋体" w:eastAsia="宋体" w:hint="default"/>
                <w:spacing w:val="-86"/>
                <w:sz w:val="18"/>
                <w:szCs w:val="18"/>
              </w:rPr>
              <w:t> </w:t>
            </w:r>
            <w:r>
              <w:rPr>
                <w:rFonts w:ascii="宋体" w:hAnsi="宋体" w:cs="宋体" w:eastAsia="宋体" w:hint="default"/>
                <w:spacing w:val="-9"/>
                <w:sz w:val="18"/>
                <w:szCs w:val="18"/>
              </w:rPr>
              <w:t>露的《视觉</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9"/>
                <w:sz w:val="18"/>
                <w:szCs w:val="18"/>
              </w:rPr>
              <w:t>中国：关于</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部分限售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股份解除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限售的提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示性公</w:t>
            </w:r>
          </w:p>
          <w:p>
            <w:pPr>
              <w:pStyle w:val="TableParagraph"/>
              <w:spacing w:line="319" w:lineRule="auto" w:before="20"/>
              <w:ind w:left="28" w:right="7"/>
              <w:jc w:val="left"/>
              <w:rPr>
                <w:rFonts w:ascii="宋体" w:hAnsi="宋体" w:cs="宋体" w:eastAsia="宋体" w:hint="default"/>
                <w:sz w:val="18"/>
                <w:szCs w:val="18"/>
              </w:rPr>
            </w:pPr>
            <w:r>
              <w:rPr>
                <w:rFonts w:ascii="宋体" w:hAnsi="宋体" w:cs="宋体" w:eastAsia="宋体" w:hint="default"/>
                <w:w w:val="101"/>
                <w:sz w:val="18"/>
                <w:szCs w:val="18"/>
              </w:rPr>
              <w:t>告 </w:t>
            </w:r>
            <w:r>
              <w:rPr>
                <w:rFonts w:ascii="宋体" w:hAnsi="宋体" w:cs="宋体" w:eastAsia="宋体" w:hint="default"/>
                <w:spacing w:val="-34"/>
                <w:w w:val="101"/>
                <w:sz w:val="18"/>
                <w:szCs w:val="18"/>
              </w:rPr>
              <w:t>》（公告</w:t>
            </w:r>
            <w:r>
              <w:rPr>
                <w:rFonts w:ascii="宋体" w:hAnsi="宋体" w:cs="宋体" w:eastAsia="宋体" w:hint="default"/>
                <w:w w:val="101"/>
                <w:sz w:val="18"/>
                <w:szCs w:val="18"/>
              </w:rPr>
              <w:t> </w:t>
            </w:r>
            <w:r>
              <w:rPr>
                <w:rFonts w:ascii="宋体" w:hAnsi="宋体" w:cs="宋体" w:eastAsia="宋体" w:hint="default"/>
                <w:sz w:val="18"/>
                <w:szCs w:val="18"/>
              </w:rPr>
              <w:t>编号：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2019-049</w:t>
            </w:r>
            <w:r>
              <w:rPr>
                <w:rFonts w:ascii="宋体" w:hAnsi="宋体" w:cs="宋体" w:eastAsia="宋体" w:hint="default"/>
                <w:sz w:val="18"/>
                <w:szCs w:val="18"/>
              </w:rPr>
              <w:t>）</w:t>
            </w:r>
          </w:p>
          <w:p>
            <w:pPr>
              <w:pStyle w:val="TableParagraph"/>
              <w:spacing w:line="240" w:lineRule="auto" w:before="2"/>
              <w:ind w:left="28"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r>
      <w:tr>
        <w:trPr>
          <w:trHeight w:val="1340" w:hRule="exact"/>
        </w:trPr>
        <w:tc>
          <w:tcPr>
            <w:tcW w:w="1700"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73"/>
              <w:ind w:left="24" w:right="-31"/>
              <w:jc w:val="left"/>
              <w:rPr>
                <w:rFonts w:ascii="宋体" w:hAnsi="宋体" w:cs="宋体" w:eastAsia="宋体" w:hint="default"/>
                <w:sz w:val="18"/>
                <w:szCs w:val="18"/>
              </w:rPr>
            </w:pPr>
            <w:r>
              <w:rPr>
                <w:rFonts w:ascii="宋体" w:hAnsi="宋体" w:cs="宋体" w:eastAsia="宋体" w:hint="default"/>
                <w:sz w:val="18"/>
                <w:szCs w:val="18"/>
              </w:rPr>
              <w:t>廖道训、吴玉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瑞、吴春红、柴</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继军、姜海林、</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陈智华、袁闯、</w:t>
            </w:r>
          </w:p>
        </w:tc>
        <w:tc>
          <w:tcPr>
            <w:tcW w:w="99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9"/>
              <w:ind w:left="12" w:right="56"/>
              <w:jc w:val="left"/>
              <w:rPr>
                <w:rFonts w:ascii="宋体" w:hAnsi="宋体" w:cs="宋体" w:eastAsia="宋体" w:hint="default"/>
                <w:sz w:val="18"/>
                <w:szCs w:val="18"/>
              </w:rPr>
            </w:pPr>
            <w:r>
              <w:rPr>
                <w:rFonts w:ascii="宋体" w:hAnsi="宋体" w:cs="宋体" w:eastAsia="宋体" w:hint="default"/>
                <w:sz w:val="18"/>
                <w:szCs w:val="18"/>
              </w:rPr>
              <w:t>业绩承诺及</w:t>
            </w:r>
            <w:r>
              <w:rPr>
                <w:rFonts w:ascii="宋体" w:hAnsi="宋体" w:cs="宋体" w:eastAsia="宋体" w:hint="default"/>
                <w:w w:val="101"/>
                <w:sz w:val="18"/>
                <w:szCs w:val="18"/>
              </w:rPr>
              <w:t> </w:t>
            </w:r>
            <w:r>
              <w:rPr>
                <w:rFonts w:ascii="宋体" w:hAnsi="宋体" w:cs="宋体" w:eastAsia="宋体" w:hint="default"/>
                <w:sz w:val="18"/>
                <w:szCs w:val="18"/>
              </w:rPr>
              <w:t>补偿安排</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73"/>
              <w:ind w:left="23" w:right="99"/>
              <w:jc w:val="both"/>
              <w:rPr>
                <w:rFonts w:ascii="宋体" w:hAnsi="宋体" w:cs="宋体" w:eastAsia="宋体" w:hint="default"/>
                <w:sz w:val="18"/>
                <w:szCs w:val="18"/>
              </w:rPr>
            </w:pPr>
            <w:r>
              <w:rPr>
                <w:rFonts w:ascii="宋体" w:hAnsi="宋体" w:cs="宋体" w:eastAsia="宋体" w:hint="default"/>
                <w:spacing w:val="-3"/>
                <w:sz w:val="18"/>
                <w:szCs w:val="18"/>
              </w:rPr>
              <w:t>根据远东股份于廖道训等</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4"/>
                <w:sz w:val="18"/>
                <w:szCs w:val="18"/>
              </w:rPr>
              <w:t> </w:t>
            </w:r>
            <w:r>
              <w:rPr>
                <w:rFonts w:ascii="宋体" w:hAnsi="宋体" w:cs="宋体" w:eastAsia="宋体" w:hint="default"/>
                <w:spacing w:val="-5"/>
                <w:sz w:val="18"/>
                <w:szCs w:val="18"/>
              </w:rPr>
              <w:t>名自</w:t>
            </w:r>
            <w:r>
              <w:rPr>
                <w:rFonts w:ascii="宋体" w:hAnsi="宋体" w:cs="宋体" w:eastAsia="宋体" w:hint="default"/>
                <w:spacing w:val="-86"/>
                <w:sz w:val="18"/>
                <w:szCs w:val="18"/>
              </w:rPr>
              <w:t> </w:t>
            </w:r>
            <w:r>
              <w:rPr>
                <w:rFonts w:ascii="宋体" w:hAnsi="宋体" w:cs="宋体" w:eastAsia="宋体" w:hint="default"/>
                <w:spacing w:val="-3"/>
                <w:sz w:val="18"/>
                <w:szCs w:val="18"/>
              </w:rPr>
              <w:t>然人签署的《发行股份购买资产的</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14"/>
                <w:w w:val="101"/>
                <w:sz w:val="18"/>
                <w:szCs w:val="18"/>
              </w:rPr>
              <w:t>利润补偿协议》、《发行股份购买资</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pacing w:val="-3"/>
                <w:sz w:val="18"/>
                <w:szCs w:val="18"/>
              </w:rPr>
              <w:t>产的利润预测补偿协议的补充协</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年年报</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w:t>
            </w:r>
          </w:p>
          <w:p>
            <w:pPr>
              <w:pStyle w:val="TableParagraph"/>
              <w:spacing w:line="321" w:lineRule="auto" w:before="63"/>
              <w:ind w:left="24" w:right="51"/>
              <w:jc w:val="left"/>
              <w:rPr>
                <w:rFonts w:ascii="宋体" w:hAnsi="宋体" w:cs="宋体" w:eastAsia="宋体" w:hint="default"/>
                <w:sz w:val="18"/>
                <w:szCs w:val="18"/>
              </w:rPr>
            </w:pPr>
            <w:r>
              <w:rPr>
                <w:rFonts w:ascii="宋体" w:hAnsi="宋体" w:cs="宋体" w:eastAsia="宋体" w:hint="default"/>
                <w:spacing w:val="-2"/>
                <w:sz w:val="18"/>
                <w:szCs w:val="18"/>
              </w:rPr>
              <w:t>报后至该承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诺实施日。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73"/>
              <w:ind w:left="28" w:right="12"/>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pacing w:val="-3"/>
                <w:w w:val="101"/>
                <w:sz w:val="18"/>
                <w:szCs w:val="18"/>
              </w:rPr>
              <w:t> </w:t>
            </w:r>
            <w:r>
              <w:rPr>
                <w:rFonts w:ascii="宋体" w:hAnsi="宋体" w:cs="宋体" w:eastAsia="宋体" w:hint="default"/>
                <w:spacing w:val="-29"/>
                <w:w w:val="101"/>
                <w:sz w:val="18"/>
                <w:szCs w:val="18"/>
              </w:rPr>
              <w:t>年，公</w:t>
            </w:r>
            <w:r>
              <w:rPr>
                <w:rFonts w:ascii="宋体" w:hAnsi="宋体" w:cs="宋体" w:eastAsia="宋体" w:hint="default"/>
                <w:w w:val="101"/>
                <w:sz w:val="18"/>
                <w:szCs w:val="18"/>
              </w:rPr>
              <w:t> </w:t>
            </w:r>
            <w:r>
              <w:rPr>
                <w:rFonts w:ascii="宋体" w:hAnsi="宋体" w:cs="宋体" w:eastAsia="宋体" w:hint="default"/>
                <w:sz w:val="18"/>
                <w:szCs w:val="18"/>
              </w:rPr>
              <w:t>司出具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2018 </w:t>
            </w:r>
            <w:r>
              <w:rPr>
                <w:rFonts w:ascii="宋体" w:hAnsi="宋体" w:cs="宋体" w:eastAsia="宋体" w:hint="default"/>
                <w:spacing w:val="-5"/>
                <w:sz w:val="18"/>
                <w:szCs w:val="18"/>
              </w:rPr>
              <w:t>年度</w:t>
            </w:r>
            <w:r>
              <w:rPr>
                <w:rFonts w:ascii="宋体" w:hAnsi="宋体" w:cs="宋体" w:eastAsia="宋体" w:hint="default"/>
                <w:spacing w:val="-83"/>
                <w:sz w:val="18"/>
                <w:szCs w:val="18"/>
              </w:rPr>
              <w:t> </w:t>
            </w:r>
            <w:r>
              <w:rPr>
                <w:rFonts w:ascii="宋体" w:hAnsi="宋体" w:cs="宋体" w:eastAsia="宋体" w:hint="default"/>
                <w:sz w:val="18"/>
                <w:szCs w:val="18"/>
              </w:rPr>
              <w:t>的审计报</w:t>
            </w:r>
          </w:p>
        </w:tc>
      </w:tr>
    </w:tbl>
    <w:p>
      <w:pPr>
        <w:spacing w:after="0" w:line="307"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91.316803pt;margin-top:72.509979pt;width:48.05pt;height:657.35pt;mso-position-horizontal-relative:page;mso-position-vertical-relative:page;z-index:-11681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48"/>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5"/>
                      <w:szCs w:val="2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p>
    <w:p>
      <w:pPr>
        <w:spacing w:line="240" w:lineRule="auto" w:before="3"/>
        <w:rPr>
          <w:rFonts w:ascii="Times New Roman" w:hAnsi="Times New Roman" w:cs="Times New Roman" w:eastAsia="Times New Roman"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1700"/>
        <w:gridCol w:w="1277"/>
        <w:gridCol w:w="994"/>
        <w:gridCol w:w="2838"/>
        <w:gridCol w:w="850"/>
        <w:gridCol w:w="989"/>
        <w:gridCol w:w="929"/>
      </w:tblGrid>
      <w:tr>
        <w:trPr>
          <w:trHeight w:val="13156" w:hRule="exact"/>
        </w:trPr>
        <w:tc>
          <w:tcPr>
            <w:tcW w:w="1700" w:type="dxa"/>
            <w:vMerge w:val="restart"/>
            <w:tcBorders>
              <w:top w:val="single" w:sz="4" w:space="0" w:color="000000"/>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24" w:right="-19"/>
              <w:jc w:val="left"/>
              <w:rPr>
                <w:rFonts w:ascii="宋体" w:hAnsi="宋体" w:cs="宋体" w:eastAsia="宋体" w:hint="default"/>
                <w:sz w:val="18"/>
                <w:szCs w:val="18"/>
              </w:rPr>
            </w:pPr>
            <w:r>
              <w:rPr>
                <w:rFonts w:ascii="宋体" w:hAnsi="宋体" w:cs="宋体" w:eastAsia="宋体" w:hint="default"/>
                <w:spacing w:val="-3"/>
                <w:sz w:val="18"/>
                <w:szCs w:val="18"/>
              </w:rPr>
              <w:t>李学凌、高玮、</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梁世平</w:t>
            </w:r>
          </w:p>
        </w:tc>
        <w:tc>
          <w:tcPr>
            <w:tcW w:w="994" w:type="dxa"/>
            <w:tcBorders>
              <w:top w:val="single" w:sz="4" w:space="0" w:color="000000"/>
              <w:left w:val="single" w:sz="4" w:space="0" w:color="000000"/>
              <w:bottom w:val="single" w:sz="4" w:space="0" w:color="000000"/>
              <w:right w:val="single" w:sz="4" w:space="0" w:color="000000"/>
            </w:tcBorders>
          </w:tcPr>
          <w:p>
            <w:pP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7"/>
              <w:jc w:val="left"/>
              <w:rPr>
                <w:rFonts w:ascii="宋体" w:hAnsi="宋体" w:cs="宋体" w:eastAsia="宋体" w:hint="default"/>
                <w:sz w:val="18"/>
                <w:szCs w:val="18"/>
              </w:rPr>
            </w:pPr>
            <w:r>
              <w:rPr>
                <w:rFonts w:ascii="宋体" w:hAnsi="宋体" w:cs="宋体" w:eastAsia="宋体" w:hint="default"/>
                <w:spacing w:val="-14"/>
                <w:w w:val="101"/>
                <w:sz w:val="18"/>
                <w:szCs w:val="18"/>
              </w:rPr>
              <w:t>议》、《发行股份购买资产的利润预</w:t>
            </w:r>
            <w:r>
              <w:rPr>
                <w:rFonts w:ascii="宋体" w:hAnsi="宋体" w:cs="宋体" w:eastAsia="宋体" w:hint="default"/>
                <w:spacing w:val="-5"/>
                <w:w w:val="101"/>
                <w:sz w:val="18"/>
                <w:szCs w:val="18"/>
              </w:rPr>
              <w:t> </w:t>
            </w:r>
            <w:r>
              <w:rPr>
                <w:rFonts w:ascii="宋体" w:hAnsi="宋体" w:cs="宋体" w:eastAsia="宋体" w:hint="default"/>
                <w:spacing w:val="-9"/>
                <w:w w:val="101"/>
                <w:sz w:val="18"/>
                <w:szCs w:val="18"/>
              </w:rPr>
              <w:t>测补偿协议的补充协议二》，以及廖</w:t>
            </w:r>
            <w:r>
              <w:rPr>
                <w:rFonts w:ascii="宋体" w:hAnsi="宋体" w:cs="宋体" w:eastAsia="宋体" w:hint="default"/>
                <w:spacing w:val="-84"/>
                <w:w w:val="101"/>
                <w:sz w:val="18"/>
                <w:szCs w:val="18"/>
              </w:rPr>
              <w:t> </w:t>
            </w:r>
            <w:r>
              <w:rPr>
                <w:rFonts w:ascii="宋体" w:hAnsi="宋体" w:cs="宋体" w:eastAsia="宋体" w:hint="default"/>
                <w:spacing w:val="-84"/>
                <w:w w:val="101"/>
                <w:sz w:val="18"/>
                <w:szCs w:val="18"/>
              </w:rPr>
            </w:r>
            <w:r>
              <w:rPr>
                <w:rFonts w:ascii="宋体" w:hAnsi="宋体" w:cs="宋体" w:eastAsia="宋体" w:hint="default"/>
                <w:sz w:val="18"/>
                <w:szCs w:val="18"/>
              </w:rPr>
              <w:t>道训等 </w:t>
            </w:r>
            <w:r>
              <w:rPr>
                <w:rFonts w:ascii="Times New Roman" w:hAnsi="Times New Roman" w:cs="Times New Roman" w:eastAsia="Times New Roman" w:hint="default"/>
                <w:sz w:val="18"/>
                <w:szCs w:val="18"/>
              </w:rPr>
              <w:t>17 </w:t>
            </w:r>
            <w:r>
              <w:rPr>
                <w:rFonts w:ascii="Times New Roman" w:hAnsi="Times New Roman" w:cs="Times New Roman" w:eastAsia="Times New Roman" w:hint="default"/>
                <w:spacing w:val="30"/>
                <w:sz w:val="18"/>
                <w:szCs w:val="18"/>
              </w:rPr>
              <w:t> </w:t>
            </w:r>
            <w:r>
              <w:rPr>
                <w:rFonts w:ascii="宋体" w:hAnsi="宋体" w:cs="宋体" w:eastAsia="宋体" w:hint="default"/>
                <w:spacing w:val="-3"/>
                <w:sz w:val="18"/>
                <w:szCs w:val="18"/>
              </w:rPr>
              <w:t>名自然人出具的承诺，</w:t>
            </w:r>
          </w:p>
          <w:p>
            <w:pPr>
              <w:pStyle w:val="TableParagraph"/>
              <w:spacing w:line="249" w:lineRule="exact"/>
              <w:ind w:left="23" w:right="0"/>
              <w:jc w:val="left"/>
              <w:rPr>
                <w:rFonts w:ascii="宋体" w:hAnsi="宋体" w:cs="宋体" w:eastAsia="宋体" w:hint="default"/>
                <w:sz w:val="18"/>
                <w:szCs w:val="18"/>
              </w:rPr>
            </w:pPr>
            <w:r>
              <w:rPr>
                <w:rFonts w:ascii="宋体" w:hAnsi="宋体" w:cs="宋体" w:eastAsia="宋体" w:hint="default"/>
                <w:sz w:val="18"/>
                <w:szCs w:val="18"/>
              </w:rPr>
              <w:t>廖道训等 </w:t>
            </w:r>
            <w:r>
              <w:rPr>
                <w:rFonts w:ascii="Times New Roman" w:hAnsi="Times New Roman" w:cs="Times New Roman" w:eastAsia="Times New Roman" w:hint="default"/>
                <w:sz w:val="18"/>
                <w:szCs w:val="18"/>
              </w:rPr>
              <w:t>17 </w:t>
            </w:r>
            <w:r>
              <w:rPr>
                <w:rFonts w:ascii="Times New Roman" w:hAnsi="Times New Roman" w:cs="Times New Roman" w:eastAsia="Times New Roman" w:hint="default"/>
                <w:spacing w:val="27"/>
                <w:sz w:val="18"/>
                <w:szCs w:val="18"/>
              </w:rPr>
              <w:t> </w:t>
            </w:r>
            <w:r>
              <w:rPr>
                <w:rFonts w:ascii="宋体" w:hAnsi="宋体" w:cs="宋体" w:eastAsia="宋体" w:hint="default"/>
                <w:spacing w:val="-3"/>
                <w:sz w:val="18"/>
                <w:szCs w:val="18"/>
              </w:rPr>
              <w:t>名自然人对上市公司</w:t>
            </w:r>
          </w:p>
          <w:p>
            <w:pPr>
              <w:pStyle w:val="TableParagraph"/>
              <w:spacing w:line="307" w:lineRule="auto" w:before="63"/>
              <w:ind w:left="23" w:right="17"/>
              <w:jc w:val="left"/>
              <w:rPr>
                <w:rFonts w:ascii="宋体" w:hAnsi="宋体" w:cs="宋体" w:eastAsia="宋体" w:hint="default"/>
                <w:sz w:val="18"/>
                <w:szCs w:val="18"/>
              </w:rPr>
            </w:pPr>
            <w:r>
              <w:rPr>
                <w:rFonts w:ascii="宋体" w:hAnsi="宋体" w:cs="宋体" w:eastAsia="宋体" w:hint="default"/>
                <w:sz w:val="18"/>
                <w:szCs w:val="18"/>
              </w:rPr>
              <w:t>的利润补偿期间为</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年、</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w w:val="101"/>
                <w:sz w:val="18"/>
                <w:szCs w:val="18"/>
              </w:rPr>
              <w:t> </w:t>
            </w:r>
            <w:r>
              <w:rPr>
                <w:rFonts w:ascii="宋体" w:hAnsi="宋体" w:cs="宋体" w:eastAsia="宋体" w:hint="default"/>
                <w:sz w:val="18"/>
                <w:szCs w:val="18"/>
              </w:rPr>
              <w:t>标的资产 </w:t>
            </w:r>
            <w:r>
              <w:rPr>
                <w:rFonts w:ascii="Times New Roman" w:hAnsi="Times New Roman" w:cs="Times New Roman" w:eastAsia="Times New Roman" w:hint="default"/>
                <w:sz w:val="18"/>
                <w:szCs w:val="18"/>
              </w:rPr>
              <w:t>2014 </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2015</w:t>
            </w:r>
            <w:r>
              <w:rPr>
                <w:rFonts w:ascii="Times New Roman" w:hAnsi="Times New Roman" w:cs="Times New Roman" w:eastAsia="Times New Roman" w:hint="default"/>
                <w:spacing w:val="28"/>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2016</w:t>
            </w:r>
            <w:r>
              <w:rPr>
                <w:rFonts w:ascii="Times New Roman" w:hAnsi="Times New Roman" w:cs="Times New Roman" w:eastAsia="Times New Roman" w:hint="default"/>
                <w:w w:val="101"/>
                <w:sz w:val="18"/>
                <w:szCs w:val="18"/>
              </w:rPr>
              <w:t> </w:t>
            </w:r>
            <w:r>
              <w:rPr>
                <w:rFonts w:ascii="宋体" w:hAnsi="宋体" w:cs="宋体" w:eastAsia="宋体" w:hint="default"/>
                <w:spacing w:val="-6"/>
                <w:sz w:val="18"/>
                <w:szCs w:val="18"/>
              </w:rPr>
              <w:t>年、</w:t>
            </w:r>
            <w:r>
              <w:rPr>
                <w:rFonts w:ascii="Times New Roman" w:hAnsi="Times New Roman" w:cs="Times New Roman" w:eastAsia="Times New Roman" w:hint="default"/>
                <w:spacing w:val="-6"/>
                <w:sz w:val="18"/>
                <w:szCs w:val="18"/>
              </w:rPr>
              <w:t>2017</w:t>
            </w:r>
            <w:r>
              <w:rPr>
                <w:rFonts w:ascii="Times New Roman" w:hAnsi="Times New Roman" w:cs="Times New Roman" w:eastAsia="Times New Roman" w:hint="default"/>
                <w:spacing w:val="29"/>
                <w:sz w:val="18"/>
                <w:szCs w:val="18"/>
              </w:rPr>
              <w:t> </w:t>
            </w:r>
            <w:r>
              <w:rPr>
                <w:rFonts w:ascii="宋体" w:hAnsi="宋体" w:cs="宋体" w:eastAsia="宋体" w:hint="default"/>
                <w:spacing w:val="-6"/>
                <w:sz w:val="18"/>
                <w:szCs w:val="18"/>
              </w:rPr>
              <w:t>年、</w:t>
            </w:r>
            <w:r>
              <w:rPr>
                <w:rFonts w:ascii="Times New Roman" w:hAnsi="Times New Roman" w:cs="Times New Roman" w:eastAsia="Times New Roman" w:hint="default"/>
                <w:spacing w:val="-6"/>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年经审计的扣除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非经常性损益后的归属于母公司净</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利润（合并计算）分别不低于</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Times New Roman" w:hAnsi="Times New Roman" w:cs="Times New Roman" w:eastAsia="Times New Roman" w:hint="default"/>
                <w:sz w:val="18"/>
                <w:szCs w:val="18"/>
              </w:rPr>
              <w:t>11,487.38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16,328.02</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万元、</w:t>
            </w:r>
          </w:p>
          <w:p>
            <w:pPr>
              <w:pStyle w:val="TableParagraph"/>
              <w:spacing w:line="240" w:lineRule="auto" w:before="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22,341.27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27,741.00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万元和</w:t>
            </w:r>
          </w:p>
          <w:p>
            <w:pPr>
              <w:pStyle w:val="TableParagraph"/>
              <w:spacing w:line="312" w:lineRule="auto" w:before="63"/>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32,856.00</w:t>
            </w:r>
            <w:r>
              <w:rPr>
                <w:rFonts w:ascii="Times New Roman" w:hAnsi="Times New Roman" w:cs="Times New Roman" w:eastAsia="Times New Roman" w:hint="default"/>
                <w:spacing w:val="30"/>
                <w:sz w:val="18"/>
                <w:szCs w:val="18"/>
              </w:rPr>
              <w:t> </w:t>
            </w:r>
            <w:r>
              <w:rPr>
                <w:rFonts w:ascii="宋体" w:hAnsi="宋体" w:cs="宋体" w:eastAsia="宋体" w:hint="default"/>
                <w:spacing w:val="-4"/>
                <w:sz w:val="18"/>
                <w:szCs w:val="18"/>
              </w:rPr>
              <w:t>万元。如果标的资产实际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盈利数不足利润承诺数的，则按照</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远东股份与廖道训等</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17</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名自然人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签署的《发行股份购买资产的利润</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14"/>
                <w:w w:val="101"/>
                <w:sz w:val="18"/>
                <w:szCs w:val="18"/>
              </w:rPr>
              <w:t>补偿协议》、《发行股份购买资产的</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pacing w:val="-9"/>
                <w:w w:val="101"/>
                <w:sz w:val="18"/>
                <w:szCs w:val="18"/>
              </w:rPr>
              <w:t>利润预测补偿协议的补充协议》、</w:t>
            </w:r>
            <w:r>
              <w:rPr>
                <w:rFonts w:ascii="宋体" w:hAnsi="宋体" w:cs="宋体" w:eastAsia="宋体" w:hint="default"/>
                <w:spacing w:val="-9"/>
                <w:sz w:val="18"/>
                <w:szCs w:val="18"/>
              </w:rPr>
            </w:r>
          </w:p>
          <w:p>
            <w:pPr>
              <w:pStyle w:val="TableParagraph"/>
              <w:spacing w:line="312" w:lineRule="auto" w:before="22"/>
              <w:ind w:left="23" w:right="7"/>
              <w:jc w:val="left"/>
              <w:rPr>
                <w:rFonts w:ascii="宋体" w:hAnsi="宋体" w:cs="宋体" w:eastAsia="宋体" w:hint="default"/>
                <w:sz w:val="18"/>
                <w:szCs w:val="18"/>
              </w:rPr>
            </w:pPr>
            <w:r>
              <w:rPr>
                <w:rFonts w:ascii="宋体" w:hAnsi="宋体" w:cs="宋体" w:eastAsia="宋体" w:hint="default"/>
                <w:spacing w:val="-3"/>
                <w:sz w:val="18"/>
                <w:szCs w:val="18"/>
              </w:rPr>
              <w:t>《发行股份购买资产的利润预测补</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偿协议的补充协议二》的规定进行</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6"/>
                <w:sz w:val="18"/>
                <w:szCs w:val="18"/>
              </w:rPr>
              <w:t>补偿。补偿期间为</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年、</w:t>
            </w:r>
            <w:r>
              <w:rPr>
                <w:rFonts w:ascii="Times New Roman" w:hAnsi="Times New Roman" w:cs="Times New Roman" w:eastAsia="Times New Roman" w:hint="default"/>
                <w:spacing w:val="-6"/>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83"/>
                <w:sz w:val="18"/>
                <w:szCs w:val="18"/>
              </w:rPr>
              <w:t> </w:t>
            </w:r>
            <w:r>
              <w:rPr>
                <w:rFonts w:ascii="宋体" w:hAnsi="宋体" w:cs="宋体" w:eastAsia="宋体" w:hint="default"/>
                <w:w w:val="101"/>
                <w:sz w:val="18"/>
                <w:szCs w:val="18"/>
              </w:rPr>
              <w:t>和</w:t>
            </w:r>
            <w:r>
              <w:rPr>
                <w:rFonts w:ascii="宋体" w:hAnsi="宋体" w:cs="宋体" w:eastAsia="宋体" w:hint="default"/>
                <w:spacing w:val="-53"/>
                <w:w w:val="101"/>
                <w:sz w:val="18"/>
                <w:szCs w:val="18"/>
              </w:rPr>
              <w:t> </w:t>
            </w:r>
            <w:r>
              <w:rPr>
                <w:rFonts w:ascii="Times New Roman" w:hAnsi="Times New Roman" w:cs="Times New Roman" w:eastAsia="Times New Roman" w:hint="default"/>
                <w:w w:val="101"/>
                <w:sz w:val="18"/>
                <w:szCs w:val="18"/>
              </w:rPr>
              <w:t>2016</w:t>
            </w:r>
            <w:r>
              <w:rPr>
                <w:rFonts w:ascii="Times New Roman" w:hAnsi="Times New Roman" w:cs="Times New Roman" w:eastAsia="Times New Roman" w:hint="default"/>
                <w:spacing w:val="-11"/>
                <w:w w:val="101"/>
                <w:sz w:val="18"/>
                <w:szCs w:val="18"/>
              </w:rPr>
              <w:t> </w:t>
            </w:r>
            <w:r>
              <w:rPr>
                <w:rFonts w:ascii="宋体" w:hAnsi="宋体" w:cs="宋体" w:eastAsia="宋体" w:hint="default"/>
                <w:spacing w:val="-10"/>
                <w:w w:val="101"/>
                <w:sz w:val="18"/>
                <w:szCs w:val="18"/>
              </w:rPr>
              <w:t>年时，如需履行补偿义务的</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3"/>
                <w:sz w:val="18"/>
                <w:szCs w:val="18"/>
              </w:rPr>
              <w:t>首先由乙方中的廖道训、吴玉瑞、</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吴春红和柴继军履行补偿义务，当</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前述</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名自然人根据《发行股份购</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买资产的框架协议》所获得的视觉</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中国股份不足以补偿时，不足部分</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由乙方中的其他</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名自然人以其根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据《发行股份购买资产的框架协议</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3"/>
                <w:sz w:val="18"/>
                <w:szCs w:val="18"/>
              </w:rPr>
              <w:t>所获得的甲方全部股份履行补偿义</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务。补偿期间为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年和</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83"/>
                <w:sz w:val="18"/>
                <w:szCs w:val="18"/>
              </w:rPr>
              <w:t> </w:t>
            </w:r>
            <w:r>
              <w:rPr>
                <w:rFonts w:ascii="宋体" w:hAnsi="宋体" w:cs="宋体" w:eastAsia="宋体" w:hint="default"/>
                <w:spacing w:val="-3"/>
                <w:sz w:val="18"/>
                <w:szCs w:val="18"/>
              </w:rPr>
              <w:t>时，若应履行补偿义务的，由廖道</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训、吴玉瑞、吴春红、柴继军、姜</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海林、陈智华、袁闯、李学凌、高</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玮、梁世平</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名自然人履行全部补</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偿义务（十人内部按照交付日前各</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自所持华夏视觉股权占其合计所持</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华夏视觉全部股权的比例承担补偿</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16"/>
                <w:w w:val="101"/>
                <w:sz w:val="18"/>
                <w:szCs w:val="18"/>
              </w:rPr>
              <w:t>义务），其他</w:t>
            </w:r>
            <w:r>
              <w:rPr>
                <w:rFonts w:ascii="宋体" w:hAnsi="宋体" w:cs="宋体" w:eastAsia="宋体" w:hint="default"/>
                <w:spacing w:val="-46"/>
                <w:w w:val="101"/>
                <w:sz w:val="18"/>
                <w:szCs w:val="18"/>
              </w:rPr>
              <w:t> </w:t>
            </w:r>
            <w:r>
              <w:rPr>
                <w:rFonts w:ascii="Times New Roman" w:hAnsi="Times New Roman" w:cs="Times New Roman" w:eastAsia="Times New Roman" w:hint="default"/>
                <w:w w:val="101"/>
                <w:sz w:val="18"/>
                <w:szCs w:val="18"/>
              </w:rPr>
              <w:t>7</w:t>
            </w:r>
            <w:r>
              <w:rPr>
                <w:rFonts w:ascii="Times New Roman" w:hAnsi="Times New Roman" w:cs="Times New Roman" w:eastAsia="Times New Roman" w:hint="default"/>
                <w:spacing w:val="-5"/>
                <w:w w:val="101"/>
                <w:sz w:val="18"/>
                <w:szCs w:val="18"/>
              </w:rPr>
              <w:t> </w:t>
            </w:r>
            <w:r>
              <w:rPr>
                <w:rFonts w:ascii="宋体" w:hAnsi="宋体" w:cs="宋体" w:eastAsia="宋体" w:hint="default"/>
                <w:spacing w:val="-3"/>
                <w:w w:val="101"/>
                <w:sz w:val="18"/>
                <w:szCs w:val="18"/>
              </w:rPr>
              <w:t>名自然人即黄厄文、</w:t>
            </w:r>
            <w:r>
              <w:rPr>
                <w:rFonts w:ascii="宋体" w:hAnsi="宋体" w:cs="宋体" w:eastAsia="宋体" w:hint="default"/>
                <w:w w:val="101"/>
                <w:sz w:val="18"/>
                <w:szCs w:val="18"/>
              </w:rPr>
              <w:t> </w:t>
            </w:r>
            <w:r>
              <w:rPr>
                <w:rFonts w:ascii="宋体" w:hAnsi="宋体" w:cs="宋体" w:eastAsia="宋体" w:hint="default"/>
                <w:spacing w:val="-3"/>
                <w:sz w:val="18"/>
                <w:szCs w:val="18"/>
              </w:rPr>
              <w:t>谢志辉、秦弦、马文佳、王广平、</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张向宁、喻建军不需要履行补偿义</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3146"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62"/>
                <w:sz w:val="20"/>
                <w:szCs w:val="20"/>
              </w:rPr>
              <w:pict>
                <v:group style="width:42.05pt;height:657.35pt;mso-position-horizontal-relative:char;mso-position-vertical-relative:line" coordorigin="0,0" coordsize="841,13147">
                  <v:group style="position:absolute;left:0;top:0;width:841;height:13147" coordorigin="0,0" coordsize="841,13147">
                    <v:shape style="position:absolute;left:0;top:0;width:841;height:13147" coordorigin="0,0" coordsize="841,13147" path="m0,13146l840,13146,840,0,0,0,0,13146xe" filled="true" fillcolor="#ffffff" stroked="false">
                      <v:path arrowok="t"/>
                      <v:fill type="solid"/>
                    </v:shape>
                  </v:group>
                </v:group>
              </w:pict>
            </w:r>
            <w:r>
              <w:rPr>
                <w:rFonts w:ascii="Times New Roman" w:hAnsi="Times New Roman" w:cs="Times New Roman" w:eastAsia="Times New Roman" w:hint="default"/>
                <w:position w:val="-262"/>
                <w:sz w:val="20"/>
                <w:szCs w:val="20"/>
              </w:rPr>
            </w:r>
          </w:p>
        </w:tc>
        <w:tc>
          <w:tcPr>
            <w:tcW w:w="98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8" w:right="-13"/>
              <w:jc w:val="left"/>
              <w:rPr>
                <w:rFonts w:ascii="Times New Roman" w:hAnsi="Times New Roman" w:cs="Times New Roman" w:eastAsia="Times New Roman" w:hint="default"/>
                <w:sz w:val="18"/>
                <w:szCs w:val="18"/>
              </w:rPr>
            </w:pPr>
            <w:r>
              <w:rPr>
                <w:rFonts w:ascii="宋体" w:hAnsi="宋体" w:cs="宋体" w:eastAsia="宋体" w:hint="default"/>
                <w:sz w:val="18"/>
                <w:szCs w:val="18"/>
              </w:rPr>
              <w:t>告并完成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减值测试，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该承诺履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行完毕。详</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见公司于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9</w:t>
            </w:r>
          </w:p>
          <w:p>
            <w:pPr>
              <w:pStyle w:val="TableParagraph"/>
              <w:spacing w:line="314" w:lineRule="auto"/>
              <w:ind w:left="28" w:right="19"/>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日披</w:t>
            </w:r>
            <w:r>
              <w:rPr>
                <w:rFonts w:ascii="宋体" w:hAnsi="宋体" w:cs="宋体" w:eastAsia="宋体" w:hint="default"/>
                <w:spacing w:val="-86"/>
                <w:sz w:val="18"/>
                <w:szCs w:val="18"/>
              </w:rPr>
              <w:t> </w:t>
            </w:r>
            <w:r>
              <w:rPr>
                <w:rFonts w:ascii="宋体" w:hAnsi="宋体" w:cs="宋体" w:eastAsia="宋体" w:hint="default"/>
                <w:spacing w:val="-9"/>
                <w:sz w:val="18"/>
                <w:szCs w:val="18"/>
              </w:rPr>
              <w:t>露的《视觉</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9"/>
                <w:sz w:val="18"/>
                <w:szCs w:val="18"/>
              </w:rPr>
              <w:t>中国：关于</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部分限售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股份解除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限售的提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示性公</w:t>
            </w:r>
          </w:p>
          <w:p>
            <w:pPr>
              <w:pStyle w:val="TableParagraph"/>
              <w:spacing w:line="319" w:lineRule="auto" w:before="20"/>
              <w:ind w:left="28" w:right="14"/>
              <w:jc w:val="left"/>
              <w:rPr>
                <w:rFonts w:ascii="宋体" w:hAnsi="宋体" w:cs="宋体" w:eastAsia="宋体" w:hint="default"/>
                <w:sz w:val="18"/>
                <w:szCs w:val="18"/>
              </w:rPr>
            </w:pPr>
            <w:r>
              <w:rPr>
                <w:rFonts w:ascii="宋体" w:hAnsi="宋体" w:cs="宋体" w:eastAsia="宋体" w:hint="default"/>
                <w:w w:val="101"/>
                <w:sz w:val="18"/>
                <w:szCs w:val="18"/>
              </w:rPr>
              <w:t>告 </w:t>
            </w:r>
            <w:r>
              <w:rPr>
                <w:rFonts w:ascii="宋体" w:hAnsi="宋体" w:cs="宋体" w:eastAsia="宋体" w:hint="default"/>
                <w:spacing w:val="-34"/>
                <w:w w:val="101"/>
                <w:sz w:val="18"/>
                <w:szCs w:val="18"/>
              </w:rPr>
              <w:t>》（公告</w:t>
            </w:r>
            <w:r>
              <w:rPr>
                <w:rFonts w:ascii="宋体" w:hAnsi="宋体" w:cs="宋体" w:eastAsia="宋体" w:hint="default"/>
                <w:w w:val="101"/>
                <w:sz w:val="18"/>
                <w:szCs w:val="18"/>
              </w:rPr>
              <w:t> </w:t>
            </w:r>
            <w:r>
              <w:rPr>
                <w:rFonts w:ascii="宋体" w:hAnsi="宋体" w:cs="宋体" w:eastAsia="宋体" w:hint="default"/>
                <w:sz w:val="18"/>
                <w:szCs w:val="18"/>
              </w:rPr>
              <w:t>编号：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2019-049</w:t>
            </w:r>
            <w:r>
              <w:rPr>
                <w:rFonts w:ascii="宋体" w:hAnsi="宋体" w:cs="宋体" w:eastAsia="宋体" w:hint="default"/>
                <w:sz w:val="18"/>
                <w:szCs w:val="18"/>
              </w:rPr>
              <w:t>）</w:t>
            </w:r>
          </w:p>
          <w:p>
            <w:pPr>
              <w:pStyle w:val="TableParagraph"/>
              <w:spacing w:line="240" w:lineRule="auto" w:before="2"/>
              <w:ind w:left="28"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r>
      <w:tr>
        <w:trPr>
          <w:trHeight w:val="715" w:hRule="exact"/>
        </w:trPr>
        <w:tc>
          <w:tcPr>
            <w:tcW w:w="1700"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77"/>
              <w:ind w:left="24" w:right="17"/>
              <w:jc w:val="left"/>
              <w:rPr>
                <w:rFonts w:ascii="宋体" w:hAnsi="宋体" w:cs="宋体" w:eastAsia="宋体" w:hint="default"/>
                <w:sz w:val="18"/>
                <w:szCs w:val="18"/>
              </w:rPr>
            </w:pPr>
            <w:r>
              <w:rPr>
                <w:rFonts w:ascii="宋体" w:hAnsi="宋体" w:cs="宋体" w:eastAsia="宋体" w:hint="default"/>
                <w:sz w:val="18"/>
                <w:szCs w:val="18"/>
              </w:rPr>
              <w:t>廖道训、吴玉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瑞、吴春红、柴</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77"/>
              <w:ind w:left="23" w:right="56"/>
              <w:jc w:val="left"/>
              <w:rPr>
                <w:rFonts w:ascii="宋体" w:hAnsi="宋体" w:cs="宋体" w:eastAsia="宋体" w:hint="default"/>
                <w:sz w:val="18"/>
                <w:szCs w:val="18"/>
              </w:rPr>
            </w:pPr>
            <w:r>
              <w:rPr>
                <w:rFonts w:ascii="宋体" w:hAnsi="宋体" w:cs="宋体" w:eastAsia="宋体" w:hint="default"/>
                <w:spacing w:val="-2"/>
                <w:sz w:val="18"/>
                <w:szCs w:val="18"/>
              </w:rPr>
              <w:t>关于同业竞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争、关联交</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77"/>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8"/>
                <w:sz w:val="18"/>
                <w:szCs w:val="18"/>
              </w:rPr>
              <w:t> </w:t>
            </w:r>
            <w:r>
              <w:rPr>
                <w:rFonts w:ascii="宋体" w:hAnsi="宋体" w:cs="宋体" w:eastAsia="宋体" w:hint="default"/>
                <w:spacing w:val="-3"/>
                <w:sz w:val="18"/>
                <w:szCs w:val="18"/>
              </w:rPr>
              <w:t>关于避免同业竞争的承诺：廖道</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训、吴玉瑞、吴春红、柴继军、姜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77"/>
              <w:ind w:left="28" w:right="-13"/>
              <w:jc w:val="left"/>
              <w:rPr>
                <w:rFonts w:ascii="宋体" w:hAnsi="宋体" w:cs="宋体" w:eastAsia="宋体" w:hint="default"/>
                <w:sz w:val="18"/>
                <w:szCs w:val="18"/>
              </w:rPr>
            </w:pPr>
            <w:r>
              <w:rPr>
                <w:rFonts w:ascii="宋体" w:hAnsi="宋体" w:cs="宋体" w:eastAsia="宋体" w:hint="default"/>
                <w:spacing w:val="-2"/>
                <w:sz w:val="18"/>
                <w:szCs w:val="18"/>
              </w:rPr>
              <w:t>正在履行，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目前没有</w:t>
            </w:r>
          </w:p>
        </w:tc>
      </w:tr>
    </w:tbl>
    <w:p>
      <w:pPr>
        <w:spacing w:after="0" w:line="312"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40"/>
          <w:pgMar w:header="741" w:footer="979" w:top="1060" w:bottom="1160" w:left="980" w:right="0"/>
        </w:sectPr>
      </w:pPr>
    </w:p>
    <w:p>
      <w:pPr>
        <w:spacing w:line="240" w:lineRule="auto" w:before="6"/>
        <w:rPr>
          <w:rFonts w:ascii="Times New Roman" w:hAnsi="Times New Roman" w:cs="Times New Roman" w:eastAsia="Times New Roman" w:hint="default"/>
          <w:sz w:val="14"/>
          <w:szCs w:val="14"/>
        </w:rPr>
      </w:pPr>
    </w:p>
    <w:p>
      <w:pPr>
        <w:spacing w:line="316" w:lineRule="auto" w:before="0"/>
        <w:ind w:left="1881" w:right="-1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继军、姜海林、易、资金占 </w:t>
      </w:r>
      <w:r>
        <w:rPr>
          <w:rFonts w:ascii="宋体" w:hAnsi="宋体" w:cs="宋体" w:eastAsia="宋体" w:hint="default"/>
          <w:spacing w:val="-3"/>
          <w:sz w:val="18"/>
          <w:szCs w:val="18"/>
        </w:rPr>
        <w:t>海林、陈智华、袁闯、李学凌、高</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z w:val="18"/>
          <w:szCs w:val="18"/>
        </w:rPr>
        <w:t>陈智华、袁闯、用方面的承 </w:t>
      </w:r>
      <w:r>
        <w:rPr>
          <w:rFonts w:ascii="宋体" w:hAnsi="宋体" w:cs="宋体" w:eastAsia="宋体" w:hint="default"/>
          <w:spacing w:val="-6"/>
          <w:sz w:val="18"/>
          <w:szCs w:val="18"/>
        </w:rPr>
        <w:t>玮、梁世平（以下简称</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廖道训等</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10</w:t>
      </w:r>
    </w:p>
    <w:p>
      <w:pPr>
        <w:spacing w:line="240" w:lineRule="auto" w:before="6"/>
        <w:rPr>
          <w:rFonts w:ascii="Times New Roman" w:hAnsi="Times New Roman" w:cs="Times New Roman" w:eastAsia="Times New Roman" w:hint="default"/>
          <w:sz w:val="14"/>
          <w:szCs w:val="14"/>
        </w:rPr>
      </w:pPr>
      <w:r>
        <w:rPr/>
        <w:br w:type="column"/>
      </w:r>
      <w:r>
        <w:rPr>
          <w:rFonts w:ascii="Times New Roman"/>
          <w:sz w:val="14"/>
        </w:rPr>
      </w:r>
    </w:p>
    <w:p>
      <w:pPr>
        <w:spacing w:line="321" w:lineRule="auto" w:before="0"/>
        <w:ind w:left="1856" w:right="1362" w:firstLine="0"/>
        <w:jc w:val="center"/>
        <w:rPr>
          <w:rFonts w:ascii="宋体" w:hAnsi="宋体" w:cs="宋体" w:eastAsia="宋体" w:hint="default"/>
          <w:sz w:val="18"/>
          <w:szCs w:val="18"/>
        </w:rPr>
      </w:pPr>
      <w:r>
        <w:rPr>
          <w:rFonts w:ascii="宋体" w:hAnsi="宋体" w:cs="宋体" w:eastAsia="宋体" w:hint="default"/>
          <w:spacing w:val="-2"/>
          <w:sz w:val="18"/>
          <w:szCs w:val="18"/>
        </w:rPr>
        <w:t>违反承诺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的行为。</w:t>
      </w:r>
    </w:p>
    <w:p>
      <w:pPr>
        <w:spacing w:after="0" w:line="321" w:lineRule="auto"/>
        <w:jc w:val="center"/>
        <w:rPr>
          <w:rFonts w:ascii="宋体" w:hAnsi="宋体" w:cs="宋体" w:eastAsia="宋体" w:hint="default"/>
          <w:sz w:val="18"/>
          <w:szCs w:val="18"/>
        </w:rPr>
        <w:sectPr>
          <w:type w:val="continuous"/>
          <w:pgSz w:w="11910" w:h="16840"/>
          <w:pgMar w:top="1060" w:bottom="1160" w:left="980" w:right="0"/>
          <w:cols w:num="2" w:equalWidth="0">
            <w:col w:w="6939" w:space="40"/>
            <w:col w:w="3951"/>
          </w:cols>
        </w:sectPr>
      </w:pPr>
    </w:p>
    <w:p>
      <w:pPr>
        <w:spacing w:line="319" w:lineRule="auto" w:before="4"/>
        <w:ind w:left="1881" w:right="0" w:firstLine="0"/>
        <w:jc w:val="left"/>
        <w:rPr>
          <w:rFonts w:ascii="宋体" w:hAnsi="宋体" w:cs="宋体" w:eastAsia="宋体" w:hint="default"/>
          <w:sz w:val="18"/>
          <w:szCs w:val="18"/>
        </w:rPr>
      </w:pPr>
      <w:r>
        <w:rPr/>
        <w:pict>
          <v:shape style="position:absolute;margin-left:391.316803pt;margin-top:72.505981pt;width:48.05pt;height:686.6pt;mso-position-horizontal-relative:page;mso-position-vertical-relative:page;z-index:-116812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group style="position:absolute;margin-left:56.424pt;margin-top:71.779961pt;width:479pt;height:688.05pt;mso-position-horizontal-relative:page;mso-position-vertical-relative:page;z-index:-1168096" coordorigin="1128,1436" coordsize="9580,13761">
            <v:group style="position:absolute;left:1138;top:1450;width:1695;height:13732" coordorigin="1138,1450" coordsize="1695,13732">
              <v:shape style="position:absolute;left:1138;top:1450;width:1695;height:13732" coordorigin="1138,1450" coordsize="1695,13732" path="m1138,15182l2833,15182,2833,1450,1138,1450,1138,15182xe" filled="true" fillcolor="#d2d2d2" stroked="false">
                <v:path arrowok="t"/>
                <v:fill type="solid"/>
              </v:shape>
            </v:group>
            <v:group style="position:absolute;left:1138;top:1445;width:1691;height:2" coordorigin="1138,1445" coordsize="1691,2">
              <v:shape style="position:absolute;left:1138;top:1445;width:1691;height:2" coordorigin="1138,1445" coordsize="1691,0" path="m1138,1445l2828,1445e" filled="false" stroked="true" strokeweight=".48pt" strokecolor="#000000">
                <v:path arrowok="t"/>
              </v:shape>
            </v:group>
            <v:group style="position:absolute;left:4129;top:1450;width:2;height:975" coordorigin="4129,1450" coordsize="2,975">
              <v:shape style="position:absolute;left:4129;top:1450;width:2;height:975" coordorigin="4129,1450" coordsize="0,975" path="m4129,1450l4129,2424e" filled="false" stroked="true" strokeweight=".95999pt" strokecolor="#ffffff">
                <v:path arrowok="t"/>
              </v:shape>
            </v:group>
            <v:group style="position:absolute;left:2838;top:1445;width:1268;height:2" coordorigin="2838,1445" coordsize="1268,2">
              <v:shape style="position:absolute;left:2838;top:1445;width:1268;height:2" coordorigin="2838,1445" coordsize="1268,0" path="m2838,1445l4105,1445e" filled="false" stroked="true" strokeweight=".48pt" strokecolor="#000000">
                <v:path arrowok="t"/>
              </v:shape>
            </v:group>
            <v:group style="position:absolute;left:4115;top:1445;width:985;height:2" coordorigin="4115,1445" coordsize="985,2">
              <v:shape style="position:absolute;left:4115;top:1445;width:985;height:2" coordorigin="4115,1445" coordsize="985,0" path="m4115,1445l5099,1445e" filled="false" stroked="true" strokeweight=".48pt" strokecolor="#000000">
                <v:path arrowok="t"/>
              </v:shape>
            </v:group>
            <v:group style="position:absolute;left:7947;top:1450;width:841;height:13732" coordorigin="7947,1450" coordsize="841,13732">
              <v:shape style="position:absolute;left:7947;top:1450;width:841;height:13732" coordorigin="7947,1450" coordsize="841,13732" path="m7947,15182l8787,15182,8787,1450,7947,1450,7947,15182xe" filled="true" fillcolor="#ffffff" stroked="false">
                <v:path arrowok="t"/>
                <v:fill type="solid"/>
              </v:shape>
            </v:group>
            <v:group style="position:absolute;left:5109;top:1445;width:2829;height:2" coordorigin="5109,1445" coordsize="2829,2">
              <v:shape style="position:absolute;left:5109;top:1445;width:2829;height:2" coordorigin="5109,1445" coordsize="2829,0" path="m5109,1445l7937,1445e" filled="false" stroked="true" strokeweight=".48pt" strokecolor="#000000">
                <v:path arrowok="t"/>
              </v:shape>
            </v:group>
            <v:group style="position:absolute;left:7947;top:1445;width:841;height:2" coordorigin="7947,1445" coordsize="841,2">
              <v:shape style="position:absolute;left:7947;top:1445;width:841;height:2" coordorigin="7947,1445" coordsize="841,0" path="m7947,1445l8787,1445e" filled="false" stroked="true" strokeweight=".48pt" strokecolor="#000000">
                <v:path arrowok="t"/>
              </v:shape>
            </v:group>
            <v:group style="position:absolute;left:8797;top:1445;width:980;height:2" coordorigin="8797,1445" coordsize="980,2">
              <v:shape style="position:absolute;left:8797;top:1445;width:980;height:2" coordorigin="8797,1445" coordsize="980,0" path="m8797,1445l9777,1445e" filled="false" stroked="true" strokeweight=".48pt" strokecolor="#000000">
                <v:path arrowok="t"/>
              </v:shape>
            </v:group>
            <v:group style="position:absolute;left:9786;top:1445;width:912;height:2" coordorigin="9786,1445" coordsize="912,2">
              <v:shape style="position:absolute;left:9786;top:1445;width:912;height:2" coordorigin="9786,1445" coordsize="912,0" path="m9786,1445l10698,1445e" filled="false" stroked="true" strokeweight=".48pt" strokecolor="#000000">
                <v:path arrowok="t"/>
              </v:shape>
            </v:group>
            <v:group style="position:absolute;left:1133;top:1440;width:2;height:13752" coordorigin="1133,1440" coordsize="2,13752">
              <v:shape style="position:absolute;left:1133;top:1440;width:2;height:13752" coordorigin="1133,1440" coordsize="0,13752" path="m1133,1440l1133,15192e" filled="false" stroked="true" strokeweight=".48pt" strokecolor="#000000">
                <v:path arrowok="t"/>
              </v:shape>
            </v:group>
            <v:group style="position:absolute;left:1138;top:15187;width:1691;height:2" coordorigin="1138,15187" coordsize="1691,2">
              <v:shape style="position:absolute;left:1138;top:15187;width:1691;height:2" coordorigin="1138,15187" coordsize="1691,0" path="m1138,15187l2828,15187e" filled="false" stroked="true" strokeweight=".47998pt" strokecolor="#000000">
                <v:path arrowok="t"/>
              </v:shape>
            </v:group>
            <v:group style="position:absolute;left:2833;top:1440;width:2;height:13752" coordorigin="2833,1440" coordsize="2,13752">
              <v:shape style="position:absolute;left:2833;top:1440;width:2;height:13752" coordorigin="2833,1440" coordsize="0,13752" path="m2833,1440l2833,15192e" filled="false" stroked="true" strokeweight=".48pt" strokecolor="#000000">
                <v:path arrowok="t"/>
              </v:shape>
            </v:group>
            <v:group style="position:absolute;left:2838;top:15187;width:1268;height:2" coordorigin="2838,15187" coordsize="1268,2">
              <v:shape style="position:absolute;left:2838;top:15187;width:1268;height:2" coordorigin="2838,15187" coordsize="1268,0" path="m2838,15187l4105,15187e" filled="false" stroked="true" strokeweight=".47998pt" strokecolor="#000000">
                <v:path arrowok="t"/>
              </v:shape>
            </v:group>
            <v:group style="position:absolute;left:4110;top:1440;width:2;height:13752" coordorigin="4110,1440" coordsize="2,13752">
              <v:shape style="position:absolute;left:4110;top:1440;width:2;height:13752" coordorigin="4110,1440" coordsize="0,13752" path="m4110,1440l4110,15192e" filled="false" stroked="true" strokeweight=".48pt" strokecolor="#000000">
                <v:path arrowok="t"/>
              </v:shape>
            </v:group>
            <v:group style="position:absolute;left:4115;top:15187;width:985;height:2" coordorigin="4115,15187" coordsize="985,2">
              <v:shape style="position:absolute;left:4115;top:15187;width:985;height:2" coordorigin="4115,15187" coordsize="985,0" path="m4115,15187l5099,15187e" filled="false" stroked="true" strokeweight=".47998pt" strokecolor="#000000">
                <v:path arrowok="t"/>
              </v:shape>
            </v:group>
            <v:group style="position:absolute;left:5104;top:1440;width:2;height:13752" coordorigin="5104,1440" coordsize="2,13752">
              <v:shape style="position:absolute;left:5104;top:1440;width:2;height:13752" coordorigin="5104,1440" coordsize="0,13752" path="m5104,1440l5104,15192e" filled="false" stroked="true" strokeweight=".48001pt" strokecolor="#000000">
                <v:path arrowok="t"/>
              </v:shape>
            </v:group>
            <v:group style="position:absolute;left:5109;top:15187;width:2829;height:2" coordorigin="5109,15187" coordsize="2829,2">
              <v:shape style="position:absolute;left:5109;top:15187;width:2829;height:2" coordorigin="5109,15187" coordsize="2829,0" path="m5109,15187l7937,15187e" filled="false" stroked="true" strokeweight=".47998pt" strokecolor="#000000">
                <v:path arrowok="t"/>
              </v:shape>
            </v:group>
            <v:group style="position:absolute;left:7942;top:1440;width:2;height:13752" coordorigin="7942,1440" coordsize="2,13752">
              <v:shape style="position:absolute;left:7942;top:1440;width:2;height:13752" coordorigin="7942,1440" coordsize="0,13752" path="m7942,1440l7942,15192e" filled="false" stroked="true" strokeweight=".47998pt" strokecolor="#000000">
                <v:path arrowok="t"/>
              </v:shape>
            </v:group>
            <v:group style="position:absolute;left:7947;top:15187;width:841;height:2" coordorigin="7947,15187" coordsize="841,2">
              <v:shape style="position:absolute;left:7947;top:15187;width:841;height:2" coordorigin="7947,15187" coordsize="841,0" path="m7947,15187l8787,15187e" filled="false" stroked="true" strokeweight=".47998pt" strokecolor="#000000">
                <v:path arrowok="t"/>
              </v:shape>
            </v:group>
            <v:group style="position:absolute;left:8792;top:1440;width:2;height:13752" coordorigin="8792,1440" coordsize="2,13752">
              <v:shape style="position:absolute;left:8792;top:1440;width:2;height:13752" coordorigin="8792,1440" coordsize="0,13752" path="m8792,1440l8792,15192e" filled="false" stroked="true" strokeweight=".47998pt" strokecolor="#000000">
                <v:path arrowok="t"/>
              </v:shape>
            </v:group>
            <v:group style="position:absolute;left:8797;top:15187;width:980;height:2" coordorigin="8797,15187" coordsize="980,2">
              <v:shape style="position:absolute;left:8797;top:15187;width:980;height:2" coordorigin="8797,15187" coordsize="980,0" path="m8797,15187l9777,15187e" filled="false" stroked="true" strokeweight=".47998pt" strokecolor="#000000">
                <v:path arrowok="t"/>
              </v:shape>
            </v:group>
            <v:group style="position:absolute;left:9781;top:1440;width:2;height:13752" coordorigin="9781,1440" coordsize="2,13752">
              <v:shape style="position:absolute;left:9781;top:1440;width:2;height:13752" coordorigin="9781,1440" coordsize="0,13752" path="m9781,1440l9781,15192e" filled="false" stroked="true" strokeweight=".48001pt" strokecolor="#000000">
                <v:path arrowok="t"/>
              </v:shape>
            </v:group>
            <v:group style="position:absolute;left:9786;top:15187;width:912;height:2" coordorigin="9786,15187" coordsize="912,2">
              <v:shape style="position:absolute;left:9786;top:15187;width:912;height:2" coordorigin="9786,15187" coordsize="912,0" path="m9786,15187l10698,15187e" filled="false" stroked="true" strokeweight=".47998pt" strokecolor="#000000">
                <v:path arrowok="t"/>
              </v:shape>
            </v:group>
            <v:group style="position:absolute;left:10703;top:1440;width:2;height:13752" coordorigin="10703,1440" coordsize="2,13752">
              <v:shape style="position:absolute;left:10703;top:1440;width:2;height:13752" coordorigin="10703,1440" coordsize="0,13752" path="m10703,1440l10703,15192e" filled="false" stroked="true" strokeweight=".48004pt" strokecolor="#000000">
                <v:path arrowok="t"/>
              </v:shape>
            </v:group>
            <w10:wrap type="none"/>
          </v:group>
        </w:pict>
      </w:r>
      <w:r>
        <w:rPr>
          <w:rFonts w:ascii="宋体" w:hAnsi="宋体" w:cs="宋体" w:eastAsia="宋体" w:hint="default"/>
          <w:sz w:val="18"/>
          <w:szCs w:val="18"/>
        </w:rPr>
        <w:t>李学凌、高玮、诺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梁世平</w:t>
      </w:r>
    </w:p>
    <w:p>
      <w:pPr>
        <w:spacing w:line="309" w:lineRule="auto" w:before="0"/>
        <w:ind w:left="771" w:right="3973" w:firstLine="0"/>
        <w:jc w:val="left"/>
        <w:rPr>
          <w:rFonts w:ascii="宋体" w:hAnsi="宋体" w:cs="宋体" w:eastAsia="宋体" w:hint="default"/>
          <w:sz w:val="18"/>
          <w:szCs w:val="18"/>
        </w:rPr>
      </w:pPr>
      <w:r>
        <w:rPr/>
        <w:br w:type="column"/>
      </w:r>
      <w:r>
        <w:rPr>
          <w:rFonts w:ascii="宋体" w:hAnsi="宋体" w:cs="宋体" w:eastAsia="宋体" w:hint="default"/>
          <w:sz w:val="18"/>
          <w:szCs w:val="18"/>
        </w:rPr>
        <w:t>名一致行动人</w:t>
      </w:r>
      <w:r>
        <w:rPr>
          <w:rFonts w:ascii="Times New Roman" w:hAnsi="Times New Roman" w:cs="Times New Roman" w:eastAsia="Times New Roman" w:hint="default"/>
          <w:sz w:val="18"/>
          <w:szCs w:val="18"/>
        </w:rPr>
        <w:t>”</w:t>
      </w:r>
      <w:r>
        <w:rPr>
          <w:rFonts w:ascii="宋体" w:hAnsi="宋体" w:cs="宋体" w:eastAsia="宋体" w:hint="default"/>
          <w:sz w:val="18"/>
          <w:szCs w:val="18"/>
        </w:rPr>
        <w:t>）针对同业竞争事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项，做出如下承诺：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）本人及</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3"/>
          <w:sz w:val="18"/>
          <w:szCs w:val="18"/>
        </w:rPr>
        <w:t>本人所控制的其他子公司、分公司</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3"/>
          <w:sz w:val="18"/>
          <w:szCs w:val="18"/>
        </w:rPr>
        <w:t>合营或联营公司及其他任何类型企</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7"/>
          <w:sz w:val="18"/>
          <w:szCs w:val="18"/>
        </w:rPr>
        <w:t>业（以下统称为</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相关企业</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）目前均</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未从事任何与上市公司构成直接或</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间接竞争的生产经营业务或活动。</w:t>
      </w:r>
    </w:p>
    <w:p>
      <w:pPr>
        <w:spacing w:line="314" w:lineRule="auto" w:before="24"/>
        <w:ind w:left="771" w:right="3973" w:firstLine="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）本人及相关企业将来亦不直接</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或间接从事任何与上市公司及其子</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公司相同或类似的业务，不直接或</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间接从事、参与或进行与上市公司</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及其子公司的生产经营构成竞争的</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任何生产经营业务或活动，且不再</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对具有与上市公司及其子公司有相</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9"/>
          <w:w w:val="101"/>
          <w:sz w:val="18"/>
          <w:szCs w:val="18"/>
        </w:rPr>
        <w:t>同或类似业务的企业进行投资。（</w:t>
      </w:r>
      <w:r>
        <w:rPr>
          <w:rFonts w:ascii="Times New Roman" w:hAnsi="Times New Roman" w:cs="Times New Roman" w:eastAsia="Times New Roman" w:hint="default"/>
          <w:spacing w:val="-9"/>
          <w:w w:val="101"/>
          <w:sz w:val="18"/>
          <w:szCs w:val="18"/>
        </w:rPr>
        <w:t>3</w:t>
      </w:r>
      <w:r>
        <w:rPr>
          <w:rFonts w:ascii="Times New Roman" w:hAnsi="Times New Roman" w:cs="Times New Roman" w:eastAsia="Times New Roman" w:hint="default"/>
          <w:spacing w:val="-38"/>
          <w:w w:val="101"/>
          <w:sz w:val="18"/>
          <w:szCs w:val="18"/>
        </w:rPr>
        <w:t> </w:t>
      </w:r>
      <w:r>
        <w:rPr>
          <w:rFonts w:ascii="宋体" w:hAnsi="宋体" w:cs="宋体" w:eastAsia="宋体" w:hint="default"/>
          <w:spacing w:val="-3"/>
          <w:sz w:val="18"/>
          <w:szCs w:val="18"/>
        </w:rPr>
        <w:t>本人将对自身及相关企业的生产经</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营活动进行监督和约束，如果将来</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本人及相关企业的产品或业务与上</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市公司及其子公司的产品或业务出</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现相同或类似的情况，本人承诺将</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采取以下措施解决：①上市公司认</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为必要时，承诺人及相关企业将减</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持直至全部转让所持有的有关资产</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和业务；②上市公司认为必要时，</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可以通过适当方式优先收购承诺人</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及相关企业持有的有关资产和业</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务；③本人及相关企业与上市公司</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及其子公司因同业竞争产生利益冲</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突时，则无条件将相关利益让与上</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市公司；</w:t>
      </w:r>
      <w:r>
        <w:rPr>
          <w:rFonts w:ascii="宋体" w:hAnsi="宋体" w:cs="宋体" w:eastAsia="宋体" w:hint="default"/>
          <w:spacing w:val="21"/>
          <w:sz w:val="18"/>
          <w:szCs w:val="18"/>
        </w:rPr>
        <w:t> </w:t>
      </w:r>
      <w:r>
        <w:rPr>
          <w:rFonts w:ascii="宋体" w:hAnsi="宋体" w:cs="宋体" w:eastAsia="宋体" w:hint="default"/>
          <w:spacing w:val="-3"/>
          <w:sz w:val="18"/>
          <w:szCs w:val="18"/>
        </w:rPr>
        <w:t>④无条件接受上市公司提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w w:val="101"/>
          <w:sz w:val="18"/>
          <w:szCs w:val="18"/>
        </w:rPr>
        <w:t>出的可消除竞争的其他措施。（</w:t>
      </w:r>
      <w:r>
        <w:rPr>
          <w:rFonts w:ascii="Times New Roman" w:hAnsi="Times New Roman" w:cs="Times New Roman" w:eastAsia="Times New Roman" w:hint="default"/>
          <w:spacing w:val="-8"/>
          <w:w w:val="101"/>
          <w:sz w:val="18"/>
          <w:szCs w:val="18"/>
        </w:rPr>
        <w:t>4</w:t>
      </w:r>
      <w:r>
        <w:rPr>
          <w:rFonts w:ascii="宋体" w:hAnsi="宋体" w:cs="宋体" w:eastAsia="宋体" w:hint="default"/>
          <w:spacing w:val="-8"/>
          <w:w w:val="101"/>
          <w:sz w:val="18"/>
          <w:szCs w:val="18"/>
        </w:rPr>
        <w:t>）</w:t>
      </w:r>
      <w:r>
        <w:rPr>
          <w:rFonts w:ascii="宋体" w:hAnsi="宋体" w:cs="宋体" w:eastAsia="宋体" w:hint="default"/>
          <w:spacing w:val="-90"/>
          <w:w w:val="101"/>
          <w:sz w:val="18"/>
          <w:szCs w:val="18"/>
        </w:rPr>
        <w:t> </w:t>
      </w:r>
      <w:r>
        <w:rPr>
          <w:rFonts w:ascii="宋体" w:hAnsi="宋体" w:cs="宋体" w:eastAsia="宋体" w:hint="default"/>
          <w:spacing w:val="-3"/>
          <w:sz w:val="18"/>
          <w:szCs w:val="18"/>
        </w:rPr>
        <w:t>如本人或相关企业违反本承诺函，</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应负责赔偿上市公司及其子公司因</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同业竞争行为而导致的损失，并且</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本人及相关企业从事与上市公司及</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其子公司竞争业务所产生的全部收</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益均归上市公司所有。</w:t>
      </w:r>
      <w:r>
        <w:rPr>
          <w:rFonts w:ascii="Times New Roman" w:hAnsi="Times New Roman" w:cs="Times New Roman" w:eastAsia="Times New Roman" w:hint="default"/>
          <w:spacing w:val="-3"/>
          <w:sz w:val="18"/>
          <w:szCs w:val="18"/>
        </w:rPr>
        <w:t>2. </w:t>
      </w:r>
      <w:r>
        <w:rPr>
          <w:rFonts w:ascii="宋体" w:hAnsi="宋体" w:cs="宋体" w:eastAsia="宋体" w:hint="default"/>
          <w:sz w:val="18"/>
          <w:szCs w:val="18"/>
        </w:rPr>
        <w:t>关于减少</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和规范关联交易的承诺：廖道训等</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Times New Roman" w:hAnsi="Times New Roman" w:cs="Times New Roman" w:eastAsia="Times New Roman" w:hint="default"/>
          <w:sz w:val="18"/>
          <w:szCs w:val="18"/>
        </w:rPr>
        <w:t>10 </w:t>
      </w:r>
      <w:r>
        <w:rPr>
          <w:rFonts w:ascii="宋体" w:hAnsi="宋体" w:cs="宋体" w:eastAsia="宋体" w:hint="default"/>
          <w:spacing w:val="-3"/>
          <w:sz w:val="18"/>
          <w:szCs w:val="18"/>
        </w:rPr>
        <w:t>名一致行动人针对规范关联交易</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8"/>
          <w:w w:val="101"/>
          <w:sz w:val="18"/>
          <w:szCs w:val="18"/>
        </w:rPr>
        <w:t>事项，做出如下承诺：（</w:t>
      </w:r>
      <w:r>
        <w:rPr>
          <w:rFonts w:ascii="Times New Roman" w:hAnsi="Times New Roman" w:cs="Times New Roman" w:eastAsia="Times New Roman" w:hint="default"/>
          <w:spacing w:val="-8"/>
          <w:w w:val="101"/>
          <w:sz w:val="18"/>
          <w:szCs w:val="18"/>
        </w:rPr>
        <w:t>1</w:t>
      </w:r>
      <w:r>
        <w:rPr>
          <w:rFonts w:ascii="宋体" w:hAnsi="宋体" w:cs="宋体" w:eastAsia="宋体" w:hint="default"/>
          <w:spacing w:val="-8"/>
          <w:w w:val="101"/>
          <w:sz w:val="18"/>
          <w:szCs w:val="18"/>
        </w:rPr>
        <w:t>）尽量避</w:t>
      </w:r>
      <w:r>
        <w:rPr>
          <w:rFonts w:ascii="宋体" w:hAnsi="宋体" w:cs="宋体" w:eastAsia="宋体" w:hint="default"/>
          <w:w w:val="101"/>
          <w:sz w:val="18"/>
          <w:szCs w:val="18"/>
        </w:rPr>
        <w:t> </w:t>
      </w:r>
      <w:r>
        <w:rPr>
          <w:rFonts w:ascii="宋体" w:hAnsi="宋体" w:cs="宋体" w:eastAsia="宋体" w:hint="default"/>
          <w:spacing w:val="-3"/>
          <w:sz w:val="18"/>
          <w:szCs w:val="18"/>
        </w:rPr>
        <w:t>免或减少实际控制人、控股股东所</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控制的其他子公司、分公司、合营</w:t>
      </w:r>
    </w:p>
    <w:p>
      <w:pPr>
        <w:spacing w:after="0" w:line="314" w:lineRule="auto"/>
        <w:jc w:val="left"/>
        <w:rPr>
          <w:rFonts w:ascii="宋体" w:hAnsi="宋体" w:cs="宋体" w:eastAsia="宋体" w:hint="default"/>
          <w:sz w:val="18"/>
          <w:szCs w:val="18"/>
        </w:rPr>
        <w:sectPr>
          <w:type w:val="continuous"/>
          <w:pgSz w:w="11910" w:h="16840"/>
          <w:pgMar w:top="1060" w:bottom="1160" w:left="980" w:right="0"/>
          <w:cols w:num="2" w:equalWidth="0">
            <w:col w:w="3342" w:space="40"/>
            <w:col w:w="7548"/>
          </w:cols>
        </w:sectPr>
      </w:pPr>
    </w:p>
    <w:p>
      <w:pPr>
        <w:spacing w:line="240" w:lineRule="auto" w:before="0"/>
        <w:rPr>
          <w:rFonts w:ascii="Times New Roman" w:hAnsi="Times New Roman" w:cs="Times New Roman" w:eastAsia="Times New Roman" w:hint="default"/>
          <w:sz w:val="20"/>
          <w:szCs w:val="20"/>
        </w:rPr>
      </w:pPr>
      <w:r>
        <w:rPr/>
        <w:pict>
          <v:shape style="position:absolute;margin-left:391.316803pt;margin-top:72.509979pt;width:48.05pt;height:298.4pt;mso-position-horizontal-relative:page;mso-position-vertical-relative:page;z-index:-11680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391.316803pt;margin-top:371.379974pt;width:48.05pt;height:178.65pt;mso-position-horizontal-relative:page;mso-position-vertical-relative:page;z-index:-11680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391.334412pt;margin-top:585.045959pt;width:48.05pt;height:178.65pt;mso-position-horizontal-relative:page;mso-position-vertical-relative:page;z-index:-11680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group style="position:absolute;margin-left:397.339996pt;margin-top:72.509979pt;width:42.05pt;height:477.5pt;mso-position-horizontal-relative:page;mso-position-vertical-relative:page;z-index:-1168000" coordorigin="7947,1450" coordsize="841,9550">
            <v:group style="position:absolute;left:7947;top:1450;width:841;height:5968" coordorigin="7947,1450" coordsize="841,5968">
              <v:shape style="position:absolute;left:7947;top:1450;width:841;height:5968" coordorigin="7947,1450" coordsize="841,5968" path="m7947,7418l8787,7418,8787,1450,7947,1450,7947,7418xe" filled="true" fillcolor="#ffffff" stroked="false">
                <v:path arrowok="t"/>
                <v:fill type="solid"/>
              </v:shape>
            </v:group>
            <v:group style="position:absolute;left:7947;top:7428;width:841;height:3573" coordorigin="7947,7428" coordsize="841,3573">
              <v:shape style="position:absolute;left:7947;top:7428;width:841;height:3573" coordorigin="7947,7428" coordsize="841,3573" path="m7947,11000l8787,11000,8787,7428,7947,7428,7947,11000xe" filled="true" fillcolor="#ffffff" stroked="false">
                <v:path arrowok="t"/>
                <v:fill type="solid"/>
              </v:shape>
            </v:group>
            <w10:wrap type="none"/>
          </v:group>
        </w:pict>
      </w:r>
      <w:r>
        <w:rPr/>
        <w:pict>
          <v:group style="position:absolute;margin-left:397.339996pt;margin-top:585.045959pt;width:42.05pt;height:178.65pt;mso-position-horizontal-relative:page;mso-position-vertical-relative:page;z-index:-1167976" coordorigin="7947,11701" coordsize="841,3573">
            <v:shape style="position:absolute;left:7947;top:11701;width:841;height:3573" coordorigin="7947,11701" coordsize="841,3573" path="m7947,15273l8787,15273,8787,11701,7947,11701,7947,15273xe" filled="true" fillcolor="#ffffff" stroked="false">
              <v:path arrowok="t"/>
              <v:fill type="solid"/>
            </v:shape>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0"/>
        <w:gridCol w:w="1277"/>
        <w:gridCol w:w="994"/>
        <w:gridCol w:w="2838"/>
        <w:gridCol w:w="850"/>
        <w:gridCol w:w="989"/>
        <w:gridCol w:w="922"/>
      </w:tblGrid>
      <w:tr>
        <w:trPr>
          <w:trHeight w:val="316" w:hRule="exact"/>
        </w:trPr>
        <w:tc>
          <w:tcPr>
            <w:tcW w:w="1700"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28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或联营公司与上市公司及其子公司</w:t>
            </w:r>
          </w:p>
        </w:tc>
        <w:tc>
          <w:tcPr>
            <w:tcW w:w="850" w:type="dxa"/>
            <w:vMerge w:val="restart"/>
            <w:tcBorders>
              <w:top w:val="single" w:sz="4" w:space="0" w:color="000000"/>
              <w:left w:val="single" w:sz="4" w:space="0" w:color="000000"/>
              <w:right w:val="single" w:sz="4" w:space="0" w:color="000000"/>
            </w:tcBorders>
          </w:tcPr>
          <w:p>
            <w:pPr/>
          </w:p>
        </w:tc>
        <w:tc>
          <w:tcPr>
            <w:tcW w:w="989" w:type="dxa"/>
            <w:vMerge w:val="restart"/>
            <w:tcBorders>
              <w:top w:val="single" w:sz="4" w:space="0" w:color="000000"/>
              <w:left w:val="single" w:sz="4" w:space="0" w:color="000000"/>
              <w:right w:val="single" w:sz="4" w:space="0" w:color="000000"/>
            </w:tcBorders>
          </w:tcPr>
          <w:p>
            <w:pPr/>
          </w:p>
        </w:tc>
        <w:tc>
          <w:tcPr>
            <w:tcW w:w="922" w:type="dxa"/>
            <w:vMerge w:val="restart"/>
            <w:tcBorders>
              <w:top w:val="single" w:sz="4" w:space="0" w:color="000000"/>
              <w:left w:val="single" w:sz="4" w:space="0" w:color="000000"/>
              <w:right w:val="single" w:sz="4" w:space="0" w:color="000000"/>
            </w:tcBorders>
          </w:tcPr>
          <w:p>
            <w:pPr/>
          </w:p>
        </w:tc>
      </w:tr>
      <w:tr>
        <w:trPr>
          <w:trHeight w:val="317" w:hRule="exact"/>
        </w:trPr>
        <w:tc>
          <w:tcPr>
            <w:tcW w:w="170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之</w:t>
            </w:r>
            <w:r>
              <w:rPr>
                <w:rFonts w:ascii="宋体" w:hAnsi="宋体" w:cs="宋体" w:eastAsia="宋体" w:hint="default"/>
                <w:spacing w:val="-5"/>
                <w:w w:val="101"/>
                <w:sz w:val="18"/>
                <w:szCs w:val="18"/>
              </w:rPr>
              <w:t>间</w:t>
            </w:r>
            <w:r>
              <w:rPr>
                <w:rFonts w:ascii="宋体" w:hAnsi="宋体" w:cs="宋体" w:eastAsia="宋体" w:hint="default"/>
                <w:w w:val="101"/>
                <w:sz w:val="18"/>
                <w:szCs w:val="18"/>
              </w:rPr>
              <w:t>发</w:t>
            </w:r>
            <w:r>
              <w:rPr>
                <w:rFonts w:ascii="宋体" w:hAnsi="宋体" w:cs="宋体" w:eastAsia="宋体" w:hint="default"/>
                <w:spacing w:val="-5"/>
                <w:w w:val="101"/>
                <w:sz w:val="18"/>
                <w:szCs w:val="18"/>
              </w:rPr>
              <w:t>生</w:t>
            </w:r>
            <w:r>
              <w:rPr>
                <w:rFonts w:ascii="宋体" w:hAnsi="宋体" w:cs="宋体" w:eastAsia="宋体" w:hint="default"/>
                <w:w w:val="101"/>
                <w:sz w:val="18"/>
                <w:szCs w:val="18"/>
              </w:rPr>
              <w:t>关</w:t>
            </w:r>
            <w:r>
              <w:rPr>
                <w:rFonts w:ascii="宋体" w:hAnsi="宋体" w:cs="宋体" w:eastAsia="宋体" w:hint="default"/>
                <w:spacing w:val="-5"/>
                <w:w w:val="101"/>
                <w:sz w:val="18"/>
                <w:szCs w:val="18"/>
              </w:rPr>
              <w:t>联</w:t>
            </w:r>
            <w:r>
              <w:rPr>
                <w:rFonts w:ascii="宋体" w:hAnsi="宋体" w:cs="宋体" w:eastAsia="宋体" w:hint="default"/>
                <w:w w:val="101"/>
                <w:sz w:val="18"/>
                <w:szCs w:val="18"/>
              </w:rPr>
              <w:t>交易</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Times New Roman" w:hAnsi="Times New Roman" w:cs="Times New Roman" w:eastAsia="Times New Roman" w:hint="default"/>
                <w:spacing w:val="-5"/>
                <w:w w:val="101"/>
                <w:sz w:val="18"/>
                <w:szCs w:val="18"/>
              </w:rPr>
              <w:t>2</w:t>
            </w:r>
            <w:r>
              <w:rPr>
                <w:rFonts w:ascii="宋体" w:hAnsi="宋体" w:cs="宋体" w:eastAsia="宋体" w:hint="default"/>
                <w:w w:val="101"/>
                <w:sz w:val="18"/>
                <w:szCs w:val="18"/>
              </w:rPr>
              <w:t>）</w:t>
            </w:r>
            <w:r>
              <w:rPr>
                <w:rFonts w:ascii="宋体" w:hAnsi="宋体" w:cs="宋体" w:eastAsia="宋体" w:hint="default"/>
                <w:spacing w:val="-5"/>
                <w:w w:val="101"/>
                <w:sz w:val="18"/>
                <w:szCs w:val="18"/>
              </w:rPr>
              <w:t>不</w:t>
            </w:r>
            <w:r>
              <w:rPr>
                <w:rFonts w:ascii="宋体" w:hAnsi="宋体" w:cs="宋体" w:eastAsia="宋体" w:hint="default"/>
                <w:w w:val="101"/>
                <w:sz w:val="18"/>
                <w:szCs w:val="18"/>
              </w:rPr>
              <w:t>利</w:t>
            </w:r>
            <w:r>
              <w:rPr>
                <w:rFonts w:ascii="宋体" w:hAnsi="宋体" w:cs="宋体" w:eastAsia="宋体" w:hint="default"/>
                <w:spacing w:val="-5"/>
                <w:w w:val="101"/>
                <w:sz w:val="18"/>
                <w:szCs w:val="18"/>
              </w:rPr>
              <w:t>用</w:t>
            </w:r>
            <w:r>
              <w:rPr>
                <w:rFonts w:ascii="宋体" w:hAnsi="宋体" w:cs="宋体" w:eastAsia="宋体" w:hint="default"/>
                <w:w w:val="101"/>
                <w:sz w:val="18"/>
                <w:szCs w:val="18"/>
              </w:rPr>
              <w:t>实</w:t>
            </w:r>
            <w:r>
              <w:rPr>
                <w:rFonts w:ascii="宋体" w:hAnsi="宋体" w:cs="宋体" w:eastAsia="宋体" w:hint="default"/>
                <w:sz w:val="18"/>
                <w:szCs w:val="18"/>
              </w:rPr>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07" w:hRule="exact"/>
        </w:trPr>
        <w:tc>
          <w:tcPr>
            <w:tcW w:w="170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际控制和股东地位及影响谋求上市</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公司在业务合作等方面给予优于市</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7" w:hRule="exact"/>
        </w:trPr>
        <w:tc>
          <w:tcPr>
            <w:tcW w:w="170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场</w:t>
            </w:r>
            <w:r>
              <w:rPr>
                <w:rFonts w:ascii="宋体" w:hAnsi="宋体" w:cs="宋体" w:eastAsia="宋体" w:hint="default"/>
                <w:spacing w:val="-5"/>
                <w:w w:val="101"/>
                <w:sz w:val="18"/>
                <w:szCs w:val="18"/>
              </w:rPr>
              <w:t>第</w:t>
            </w:r>
            <w:r>
              <w:rPr>
                <w:rFonts w:ascii="宋体" w:hAnsi="宋体" w:cs="宋体" w:eastAsia="宋体" w:hint="default"/>
                <w:w w:val="101"/>
                <w:sz w:val="18"/>
                <w:szCs w:val="18"/>
              </w:rPr>
              <w:t>三</w:t>
            </w:r>
            <w:r>
              <w:rPr>
                <w:rFonts w:ascii="宋体" w:hAnsi="宋体" w:cs="宋体" w:eastAsia="宋体" w:hint="default"/>
                <w:spacing w:val="-5"/>
                <w:w w:val="101"/>
                <w:sz w:val="18"/>
                <w:szCs w:val="18"/>
              </w:rPr>
              <w:t>方</w:t>
            </w:r>
            <w:r>
              <w:rPr>
                <w:rFonts w:ascii="宋体" w:hAnsi="宋体" w:cs="宋体" w:eastAsia="宋体" w:hint="default"/>
                <w:w w:val="101"/>
                <w:sz w:val="18"/>
                <w:szCs w:val="18"/>
              </w:rPr>
              <w:t>的</w:t>
            </w:r>
            <w:r>
              <w:rPr>
                <w:rFonts w:ascii="宋体" w:hAnsi="宋体" w:cs="宋体" w:eastAsia="宋体" w:hint="default"/>
                <w:spacing w:val="-5"/>
                <w:w w:val="101"/>
                <w:sz w:val="18"/>
                <w:szCs w:val="18"/>
              </w:rPr>
              <w:t>权</w:t>
            </w:r>
            <w:r>
              <w:rPr>
                <w:rFonts w:ascii="宋体" w:hAnsi="宋体" w:cs="宋体" w:eastAsia="宋体" w:hint="default"/>
                <w:w w:val="101"/>
                <w:sz w:val="18"/>
                <w:szCs w:val="18"/>
              </w:rPr>
              <w:t>利</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Times New Roman" w:hAnsi="Times New Roman" w:cs="Times New Roman" w:eastAsia="Times New Roman" w:hint="default"/>
                <w:w w:val="101"/>
                <w:sz w:val="18"/>
                <w:szCs w:val="18"/>
              </w:rPr>
              <w:t>3</w:t>
            </w:r>
            <w:r>
              <w:rPr>
                <w:rFonts w:ascii="宋体" w:hAnsi="宋体" w:cs="宋体" w:eastAsia="宋体" w:hint="default"/>
                <w:spacing w:val="-5"/>
                <w:w w:val="101"/>
                <w:sz w:val="18"/>
                <w:szCs w:val="18"/>
              </w:rPr>
              <w:t>）</w:t>
            </w:r>
            <w:r>
              <w:rPr>
                <w:rFonts w:ascii="宋体" w:hAnsi="宋体" w:cs="宋体" w:eastAsia="宋体" w:hint="default"/>
                <w:w w:val="101"/>
                <w:sz w:val="18"/>
                <w:szCs w:val="18"/>
              </w:rPr>
              <w:t>不</w:t>
            </w:r>
            <w:r>
              <w:rPr>
                <w:rFonts w:ascii="宋体" w:hAnsi="宋体" w:cs="宋体" w:eastAsia="宋体" w:hint="default"/>
                <w:spacing w:val="-5"/>
                <w:w w:val="101"/>
                <w:sz w:val="18"/>
                <w:szCs w:val="18"/>
              </w:rPr>
              <w:t>利</w:t>
            </w:r>
            <w:r>
              <w:rPr>
                <w:rFonts w:ascii="宋体" w:hAnsi="宋体" w:cs="宋体" w:eastAsia="宋体" w:hint="default"/>
                <w:w w:val="101"/>
                <w:sz w:val="18"/>
                <w:szCs w:val="18"/>
              </w:rPr>
              <w:t>用</w:t>
            </w:r>
            <w:r>
              <w:rPr>
                <w:rFonts w:ascii="宋体" w:hAnsi="宋体" w:cs="宋体" w:eastAsia="宋体" w:hint="default"/>
                <w:spacing w:val="-5"/>
                <w:w w:val="101"/>
                <w:sz w:val="18"/>
                <w:szCs w:val="18"/>
              </w:rPr>
              <w:t>实</w:t>
            </w:r>
            <w:r>
              <w:rPr>
                <w:rFonts w:ascii="宋体" w:hAnsi="宋体" w:cs="宋体" w:eastAsia="宋体" w:hint="default"/>
                <w:w w:val="101"/>
                <w:sz w:val="18"/>
                <w:szCs w:val="18"/>
              </w:rPr>
              <w:t>际</w:t>
            </w:r>
            <w:r>
              <w:rPr>
                <w:rFonts w:ascii="宋体" w:hAnsi="宋体" w:cs="宋体" w:eastAsia="宋体" w:hint="default"/>
                <w:sz w:val="18"/>
                <w:szCs w:val="18"/>
              </w:rPr>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07" w:hRule="exact"/>
        </w:trPr>
        <w:tc>
          <w:tcPr>
            <w:tcW w:w="170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控制和股东地位及影响谋求与上市</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7" w:hRule="exact"/>
        </w:trPr>
        <w:tc>
          <w:tcPr>
            <w:tcW w:w="170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达</w:t>
            </w:r>
            <w:r>
              <w:rPr>
                <w:rFonts w:ascii="宋体" w:hAnsi="宋体" w:cs="宋体" w:eastAsia="宋体" w:hint="default"/>
                <w:spacing w:val="-5"/>
                <w:w w:val="101"/>
                <w:sz w:val="18"/>
                <w:szCs w:val="18"/>
              </w:rPr>
              <w:t>成</w:t>
            </w:r>
            <w:r>
              <w:rPr>
                <w:rFonts w:ascii="宋体" w:hAnsi="宋体" w:cs="宋体" w:eastAsia="宋体" w:hint="default"/>
                <w:w w:val="101"/>
                <w:sz w:val="18"/>
                <w:szCs w:val="18"/>
              </w:rPr>
              <w:t>交</w:t>
            </w:r>
            <w:r>
              <w:rPr>
                <w:rFonts w:ascii="宋体" w:hAnsi="宋体" w:cs="宋体" w:eastAsia="宋体" w:hint="default"/>
                <w:spacing w:val="-5"/>
                <w:w w:val="101"/>
                <w:sz w:val="18"/>
                <w:szCs w:val="18"/>
              </w:rPr>
              <w:t>易</w:t>
            </w:r>
            <w:r>
              <w:rPr>
                <w:rFonts w:ascii="宋体" w:hAnsi="宋体" w:cs="宋体" w:eastAsia="宋体" w:hint="default"/>
                <w:w w:val="101"/>
                <w:sz w:val="18"/>
                <w:szCs w:val="18"/>
              </w:rPr>
              <w:t>的</w:t>
            </w:r>
            <w:r>
              <w:rPr>
                <w:rFonts w:ascii="宋体" w:hAnsi="宋体" w:cs="宋体" w:eastAsia="宋体" w:hint="default"/>
                <w:spacing w:val="-5"/>
                <w:w w:val="101"/>
                <w:sz w:val="18"/>
                <w:szCs w:val="18"/>
              </w:rPr>
              <w:t>优</w:t>
            </w:r>
            <w:r>
              <w:rPr>
                <w:rFonts w:ascii="宋体" w:hAnsi="宋体" w:cs="宋体" w:eastAsia="宋体" w:hint="default"/>
                <w:w w:val="101"/>
                <w:sz w:val="18"/>
                <w:szCs w:val="18"/>
              </w:rPr>
              <w:t>先</w:t>
            </w:r>
            <w:r>
              <w:rPr>
                <w:rFonts w:ascii="宋体" w:hAnsi="宋体" w:cs="宋体" w:eastAsia="宋体" w:hint="default"/>
                <w:spacing w:val="-5"/>
                <w:w w:val="101"/>
                <w:sz w:val="18"/>
                <w:szCs w:val="18"/>
              </w:rPr>
              <w:t>权</w:t>
            </w:r>
            <w:r>
              <w:rPr>
                <w:rFonts w:ascii="宋体" w:hAnsi="宋体" w:cs="宋体" w:eastAsia="宋体" w:hint="default"/>
                <w:w w:val="101"/>
                <w:sz w:val="18"/>
                <w:szCs w:val="18"/>
              </w:rPr>
              <w:t>利</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Times New Roman" w:hAnsi="Times New Roman" w:cs="Times New Roman" w:eastAsia="Times New Roman" w:hint="default"/>
                <w:w w:val="101"/>
                <w:sz w:val="18"/>
                <w:szCs w:val="18"/>
              </w:rPr>
              <w:t>4</w:t>
            </w:r>
            <w:r>
              <w:rPr>
                <w:rFonts w:ascii="宋体" w:hAnsi="宋体" w:cs="宋体" w:eastAsia="宋体" w:hint="default"/>
                <w:spacing w:val="-5"/>
                <w:w w:val="101"/>
                <w:sz w:val="18"/>
                <w:szCs w:val="18"/>
              </w:rPr>
              <w:t>）将</w:t>
            </w:r>
            <w:r>
              <w:rPr>
                <w:rFonts w:ascii="宋体" w:hAnsi="宋体" w:cs="宋体" w:eastAsia="宋体" w:hint="default"/>
                <w:sz w:val="18"/>
                <w:szCs w:val="18"/>
              </w:rPr>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07" w:hRule="exact"/>
        </w:trPr>
        <w:tc>
          <w:tcPr>
            <w:tcW w:w="170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以市场公允价格与上市公司进行交</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易，不利用该类交易从事任何损害</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7" w:hRule="exact"/>
        </w:trPr>
        <w:tc>
          <w:tcPr>
            <w:tcW w:w="170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公司利益的行为；</w:t>
            </w:r>
            <w:r>
              <w:rPr>
                <w:rFonts w:ascii="宋体" w:hAnsi="宋体" w:cs="宋体" w:eastAsia="宋体" w:hint="default"/>
                <w:spacing w:val="21"/>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）就实际控</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07" w:hRule="exact"/>
        </w:trPr>
        <w:tc>
          <w:tcPr>
            <w:tcW w:w="170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制人、控股股东及其下属子公司与</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公司之间将来可能发生的关联交</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易，将督促公司履行合法决策程序</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按照《深圳证券交易所股票上市规</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则》和公司章程的相关要求及时详</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细进行信息披露；对于正常商业项</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目合作均严格按照市场经济原则，</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4" w:hRule="exact"/>
        </w:trPr>
        <w:tc>
          <w:tcPr>
            <w:tcW w:w="170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采用公开招标或者市场定价等方</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54" w:hRule="exact"/>
        </w:trPr>
        <w:tc>
          <w:tcPr>
            <w:tcW w:w="170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28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式。</w:t>
            </w:r>
          </w:p>
        </w:tc>
        <w:tc>
          <w:tcPr>
            <w:tcW w:w="850" w:type="dxa"/>
            <w:vMerge/>
            <w:tcBorders>
              <w:left w:val="single" w:sz="4" w:space="0" w:color="000000"/>
              <w:bottom w:val="single" w:sz="4" w:space="0" w:color="000000"/>
              <w:right w:val="single" w:sz="4" w:space="0" w:color="000000"/>
            </w:tcBorders>
          </w:tcPr>
          <w:p>
            <w:pPr/>
          </w:p>
        </w:tc>
        <w:tc>
          <w:tcPr>
            <w:tcW w:w="989" w:type="dxa"/>
            <w:vMerge/>
            <w:tcBorders>
              <w:left w:val="single" w:sz="4" w:space="0" w:color="000000"/>
              <w:bottom w:val="single" w:sz="4" w:space="0" w:color="000000"/>
              <w:right w:val="single" w:sz="4" w:space="0" w:color="000000"/>
            </w:tcBorders>
          </w:tcPr>
          <w:p>
            <w:pPr/>
          </w:p>
        </w:tc>
        <w:tc>
          <w:tcPr>
            <w:tcW w:w="922" w:type="dxa"/>
            <w:vMerge/>
            <w:tcBorders>
              <w:left w:val="single" w:sz="4" w:space="0" w:color="000000"/>
              <w:bottom w:val="single" w:sz="4" w:space="0" w:color="000000"/>
              <w:right w:val="single" w:sz="4" w:space="0" w:color="000000"/>
            </w:tcBorders>
          </w:tcPr>
          <w:p>
            <w:pPr/>
          </w:p>
        </w:tc>
      </w:tr>
      <w:tr>
        <w:trPr>
          <w:trHeight w:val="360" w:hRule="exact"/>
        </w:trPr>
        <w:tc>
          <w:tcPr>
            <w:tcW w:w="1700" w:type="dxa"/>
            <w:vMerge/>
            <w:tcBorders>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28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保证上市公司独立性的承诺：为了</w:t>
            </w:r>
          </w:p>
        </w:tc>
        <w:tc>
          <w:tcPr>
            <w:tcW w:w="850" w:type="dxa"/>
            <w:tcBorders>
              <w:top w:val="single" w:sz="4" w:space="0" w:color="000000"/>
              <w:left w:val="single" w:sz="4" w:space="0" w:color="000000"/>
              <w:bottom w:val="nil" w:sz="6" w:space="0" w:color="auto"/>
              <w:right w:val="single" w:sz="4" w:space="0" w:color="000000"/>
            </w:tcBorders>
          </w:tcPr>
          <w:p>
            <w:pPr/>
          </w:p>
        </w:tc>
        <w:tc>
          <w:tcPr>
            <w:tcW w:w="989" w:type="dxa"/>
            <w:tcBorders>
              <w:top w:val="single" w:sz="4" w:space="0" w:color="000000"/>
              <w:left w:val="single" w:sz="4" w:space="0" w:color="000000"/>
              <w:bottom w:val="nil" w:sz="6" w:space="0" w:color="auto"/>
              <w:right w:val="single" w:sz="4" w:space="0" w:color="000000"/>
            </w:tcBorders>
          </w:tcPr>
          <w:p>
            <w:pPr/>
          </w:p>
        </w:tc>
        <w:tc>
          <w:tcPr>
            <w:tcW w:w="92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保护中小股东利益，作为本次交易</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完成后的实际控制人（廖道训、吴</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玉瑞、吴春红、柴继军、姜海林、</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陈智华、袁闯、李学凌、高玮、梁</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700"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世平，简称</w:t>
            </w:r>
            <w:r>
              <w:rPr>
                <w:rFonts w:ascii="Times New Roman" w:hAnsi="Times New Roman" w:cs="Times New Roman" w:eastAsia="Times New Roman" w:hint="default"/>
                <w:sz w:val="18"/>
                <w:szCs w:val="18"/>
              </w:rPr>
              <w:t>“</w:t>
            </w:r>
            <w:r>
              <w:rPr>
                <w:rFonts w:ascii="宋体" w:hAnsi="宋体" w:cs="宋体" w:eastAsia="宋体" w:hint="default"/>
                <w:sz w:val="18"/>
                <w:szCs w:val="18"/>
              </w:rPr>
              <w:t>廖道训等</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名一致行</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动人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实际控制人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）针对保证上</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700"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市公司独立性事项，做出如下承诺</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保证做到远东股份人员独立、财务</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2185" w:hRule="exact"/>
        </w:trPr>
        <w:tc>
          <w:tcPr>
            <w:tcW w:w="1700"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13" w:space="0" w:color="FFFFFF"/>
            </w:tcBorders>
          </w:tcPr>
          <w:p>
            <w:pPr>
              <w:pStyle w:val="TableParagraph"/>
              <w:spacing w:line="319" w:lineRule="auto" w:before="150"/>
              <w:ind w:left="24" w:right="-31"/>
              <w:jc w:val="left"/>
              <w:rPr>
                <w:rFonts w:ascii="宋体" w:hAnsi="宋体" w:cs="宋体" w:eastAsia="宋体" w:hint="default"/>
                <w:sz w:val="18"/>
                <w:szCs w:val="18"/>
              </w:rPr>
            </w:pPr>
            <w:r>
              <w:rPr>
                <w:rFonts w:ascii="宋体" w:hAnsi="宋体" w:cs="宋体" w:eastAsia="宋体" w:hint="default"/>
                <w:sz w:val="18"/>
                <w:szCs w:val="18"/>
              </w:rPr>
              <w:t>廖道训、吴玉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瑞、吴春红、柴</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继军、姜海林、</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陈智华、袁闯、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李学凌、高玮、</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梁世平</w:t>
            </w:r>
          </w:p>
        </w:tc>
        <w:tc>
          <w:tcPr>
            <w:tcW w:w="994" w:type="dxa"/>
            <w:tcBorders>
              <w:top w:val="nil" w:sz="6" w:space="0" w:color="auto"/>
              <w:left w:val="single" w:sz="13" w:space="0" w:color="FFFFFF"/>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2" w:right="56"/>
              <w:jc w:val="left"/>
              <w:rPr>
                <w:rFonts w:ascii="宋体" w:hAnsi="宋体" w:cs="宋体" w:eastAsia="宋体" w:hint="default"/>
                <w:sz w:val="18"/>
                <w:szCs w:val="18"/>
              </w:rPr>
            </w:pPr>
            <w:r>
              <w:rPr>
                <w:rFonts w:ascii="宋体" w:hAnsi="宋体" w:cs="宋体" w:eastAsia="宋体" w:hint="default"/>
                <w:sz w:val="18"/>
                <w:szCs w:val="18"/>
              </w:rPr>
              <w:t>股东一致行</w:t>
            </w:r>
            <w:r>
              <w:rPr>
                <w:rFonts w:ascii="宋体" w:hAnsi="宋体" w:cs="宋体" w:eastAsia="宋体" w:hint="default"/>
                <w:w w:val="101"/>
                <w:sz w:val="18"/>
                <w:szCs w:val="18"/>
              </w:rPr>
              <w:t> </w:t>
            </w:r>
            <w:r>
              <w:rPr>
                <w:rFonts w:ascii="宋体" w:hAnsi="宋体" w:cs="宋体" w:eastAsia="宋体" w:hint="default"/>
                <w:sz w:val="18"/>
                <w:szCs w:val="18"/>
              </w:rPr>
              <w:t>动承诺</w:t>
            </w: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314" w:lineRule="auto" w:before="11"/>
              <w:ind w:left="23" w:right="17"/>
              <w:jc w:val="left"/>
              <w:rPr>
                <w:rFonts w:ascii="宋体" w:hAnsi="宋体" w:cs="宋体" w:eastAsia="宋体" w:hint="default"/>
                <w:sz w:val="18"/>
                <w:szCs w:val="18"/>
              </w:rPr>
            </w:pPr>
            <w:r>
              <w:rPr>
                <w:rFonts w:ascii="宋体" w:hAnsi="宋体" w:cs="宋体" w:eastAsia="宋体" w:hint="default"/>
                <w:spacing w:val="-3"/>
                <w:sz w:val="18"/>
                <w:szCs w:val="18"/>
              </w:rPr>
              <w:t>独立、机构独立、资产独立完整、</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5"/>
                <w:sz w:val="18"/>
                <w:szCs w:val="18"/>
              </w:rPr>
              <w:t>业务独立，具体如下：</w:t>
            </w:r>
            <w:r>
              <w:rPr>
                <w:rFonts w:ascii="宋体" w:hAnsi="宋体" w:cs="宋体" w:eastAsia="宋体" w:hint="default"/>
                <w:spacing w:val="-15"/>
                <w:sz w:val="18"/>
                <w:szCs w:val="18"/>
              </w:rPr>
              <w:t> </w:t>
            </w:r>
            <w:r>
              <w:rPr>
                <w:rFonts w:ascii="Times New Roman" w:hAnsi="Times New Roman" w:cs="Times New Roman" w:eastAsia="Times New Roman" w:hint="default"/>
                <w:spacing w:val="-3"/>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保证上市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公司人员独立①上市公司的总经</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理、副总经理和其他高级管理人员</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专职在上市公司任职、并在上市公</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司领取薪酬，不会在承诺人及其关</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联方兼任除董事外的其他任何职</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92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316" w:lineRule="auto"/>
              <w:ind w:left="28" w:right="-20"/>
              <w:jc w:val="left"/>
              <w:rPr>
                <w:rFonts w:ascii="宋体" w:hAnsi="宋体" w:cs="宋体" w:eastAsia="宋体" w:hint="default"/>
                <w:sz w:val="18"/>
                <w:szCs w:val="18"/>
              </w:rPr>
            </w:pPr>
            <w:r>
              <w:rPr>
                <w:rFonts w:ascii="宋体" w:hAnsi="宋体" w:cs="宋体" w:eastAsia="宋体" w:hint="default"/>
                <w:spacing w:val="-2"/>
                <w:sz w:val="18"/>
                <w:szCs w:val="18"/>
              </w:rPr>
              <w:t>正在履行，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目前没有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违反承诺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的行为。</w:t>
            </w: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务，继续保持上市公司人员的独立</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pacing w:val="31"/>
                <w:sz w:val="18"/>
                <w:szCs w:val="18"/>
              </w:rPr>
              <w:t> </w:t>
            </w:r>
            <w:r>
              <w:rPr>
                <w:rFonts w:ascii="宋体" w:hAnsi="宋体" w:cs="宋体" w:eastAsia="宋体" w:hint="default"/>
                <w:spacing w:val="-3"/>
                <w:sz w:val="18"/>
                <w:szCs w:val="18"/>
              </w:rPr>
              <w:t>②上市公司具有完整的独立的</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劳动、人事管理体系，该等体系独</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立于承诺人；</w:t>
            </w:r>
            <w:r>
              <w:rPr>
                <w:rFonts w:ascii="宋体" w:hAnsi="宋体" w:cs="宋体" w:eastAsia="宋体" w:hint="default"/>
                <w:spacing w:val="20"/>
                <w:sz w:val="18"/>
                <w:szCs w:val="18"/>
              </w:rPr>
              <w:t> </w:t>
            </w:r>
            <w:r>
              <w:rPr>
                <w:rFonts w:ascii="宋体" w:hAnsi="宋体" w:cs="宋体" w:eastAsia="宋体" w:hint="default"/>
                <w:spacing w:val="-3"/>
                <w:sz w:val="18"/>
                <w:szCs w:val="18"/>
              </w:rPr>
              <w:t>③承诺人及其关联方</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推荐出任上市公司董事和高级管理</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人员的人选均通过合法程序进行，</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承诺人及其关联方不干预上市公司</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董事会和股东大会已做出的人事任</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700"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28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12"/>
                <w:sz w:val="18"/>
                <w:szCs w:val="18"/>
              </w:rPr>
              <w:t>免决定。</w:t>
            </w:r>
            <w:r>
              <w:rPr>
                <w:rFonts w:ascii="Times New Roman" w:hAnsi="Times New Roman" w:cs="Times New Roman" w:eastAsia="Times New Roman" w:hint="default"/>
                <w:spacing w:val="-12"/>
                <w:sz w:val="18"/>
                <w:szCs w:val="18"/>
              </w:rPr>
              <w:t>2.   </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保证上市公司资产独立</w:t>
            </w:r>
          </w:p>
        </w:tc>
        <w:tc>
          <w:tcPr>
            <w:tcW w:w="850" w:type="dxa"/>
            <w:tcBorders>
              <w:top w:val="nil" w:sz="6" w:space="0" w:color="auto"/>
              <w:left w:val="single" w:sz="4" w:space="0" w:color="000000"/>
              <w:bottom w:val="single" w:sz="4" w:space="0" w:color="000000"/>
              <w:right w:val="single" w:sz="4" w:space="0" w:color="000000"/>
            </w:tcBorders>
          </w:tcPr>
          <w:p>
            <w:pPr/>
          </w:p>
        </w:tc>
        <w:tc>
          <w:tcPr>
            <w:tcW w:w="989" w:type="dxa"/>
            <w:tcBorders>
              <w:top w:val="nil" w:sz="6" w:space="0" w:color="auto"/>
              <w:left w:val="single" w:sz="4" w:space="0" w:color="000000"/>
              <w:bottom w:val="single" w:sz="4" w:space="0" w:color="000000"/>
              <w:right w:val="single" w:sz="4" w:space="0" w:color="000000"/>
            </w:tcBorders>
          </w:tcPr>
          <w:p>
            <w:pPr/>
          </w:p>
        </w:tc>
        <w:tc>
          <w:tcPr>
            <w:tcW w:w="922"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91.316803pt;margin-top:72.509979pt;width:48.05pt;height:532.5pt;mso-position-horizontal-relative:page;mso-position-vertical-relative:page;z-index:-11679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0"/>
        <w:gridCol w:w="1277"/>
        <w:gridCol w:w="994"/>
        <w:gridCol w:w="2838"/>
        <w:gridCol w:w="850"/>
        <w:gridCol w:w="989"/>
        <w:gridCol w:w="922"/>
      </w:tblGrid>
      <w:tr>
        <w:trPr>
          <w:trHeight w:val="316" w:hRule="exact"/>
        </w:trPr>
        <w:tc>
          <w:tcPr>
            <w:tcW w:w="1700"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28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完整①上市公司具有完整的经营性</w:t>
            </w:r>
          </w:p>
        </w:tc>
        <w:tc>
          <w:tcPr>
            <w:tcW w:w="850" w:type="dxa"/>
            <w:vMerge w:val="restart"/>
            <w:tcBorders>
              <w:top w:val="single" w:sz="4" w:space="0" w:color="000000"/>
              <w:left w:val="single" w:sz="4" w:space="0" w:color="000000"/>
              <w:right w:val="single" w:sz="4" w:space="0" w:color="000000"/>
            </w:tcBorders>
          </w:tcPr>
          <w:p>
            <w:pPr>
              <w:pStyle w:val="TableParagraph"/>
              <w:spacing w:line="1064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2"/>
                <w:sz w:val="20"/>
                <w:szCs w:val="20"/>
              </w:rPr>
              <w:pict>
                <v:group style="width:42.05pt;height:532.5pt;mso-position-horizontal-relative:char;mso-position-vertical-relative:line" coordorigin="0,0" coordsize="841,10650">
                  <v:group style="position:absolute;left:0;top:0;width:841;height:10650" coordorigin="0,0" coordsize="841,10650">
                    <v:shape style="position:absolute;left:0;top:0;width:841;height:10650" coordorigin="0,0" coordsize="841,10650" path="m0,10649l840,10649,840,0,0,0,0,10649xe" filled="true" fillcolor="#ffffff" stroked="false">
                      <v:path arrowok="t"/>
                      <v:fill type="solid"/>
                    </v:shape>
                  </v:group>
                </v:group>
              </w:pict>
            </w:r>
            <w:r>
              <w:rPr>
                <w:rFonts w:ascii="Times New Roman" w:hAnsi="Times New Roman" w:cs="Times New Roman" w:eastAsia="Times New Roman" w:hint="default"/>
                <w:position w:val="-212"/>
                <w:sz w:val="20"/>
                <w:szCs w:val="20"/>
              </w:rPr>
            </w:r>
          </w:p>
        </w:tc>
        <w:tc>
          <w:tcPr>
            <w:tcW w:w="989" w:type="dxa"/>
            <w:vMerge w:val="restart"/>
            <w:tcBorders>
              <w:top w:val="single" w:sz="4" w:space="0" w:color="000000"/>
              <w:left w:val="single" w:sz="4" w:space="0" w:color="000000"/>
              <w:right w:val="single" w:sz="4" w:space="0" w:color="000000"/>
            </w:tcBorders>
          </w:tcPr>
          <w:p>
            <w:pPr/>
          </w:p>
        </w:tc>
        <w:tc>
          <w:tcPr>
            <w:tcW w:w="922" w:type="dxa"/>
            <w:vMerge w:val="restart"/>
            <w:tcBorders>
              <w:top w:val="single" w:sz="4" w:space="0" w:color="000000"/>
              <w:left w:val="single" w:sz="4" w:space="0" w:color="000000"/>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资产；</w:t>
            </w:r>
            <w:r>
              <w:rPr>
                <w:rFonts w:ascii="宋体" w:hAnsi="宋体" w:cs="宋体" w:eastAsia="宋体" w:hint="default"/>
                <w:spacing w:val="29"/>
                <w:sz w:val="18"/>
                <w:szCs w:val="18"/>
              </w:rPr>
              <w:t> </w:t>
            </w:r>
            <w:r>
              <w:rPr>
                <w:rFonts w:ascii="宋体" w:hAnsi="宋体" w:cs="宋体" w:eastAsia="宋体" w:hint="default"/>
                <w:spacing w:val="-3"/>
                <w:sz w:val="18"/>
                <w:szCs w:val="18"/>
              </w:rPr>
              <w:t>②本人控制的其他企业不违</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规占用上市公司的资金、资产及其</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7" w:hRule="exact"/>
        </w:trPr>
        <w:tc>
          <w:tcPr>
            <w:tcW w:w="170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他资源。</w:t>
            </w: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保证上市公司机构独立</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07" w:hRule="exact"/>
        </w:trPr>
        <w:tc>
          <w:tcPr>
            <w:tcW w:w="170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①上市公司依法建立和完善法人治</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理结构，建立独立、完整的组织机</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构；</w:t>
            </w:r>
            <w:r>
              <w:rPr>
                <w:rFonts w:ascii="宋体" w:hAnsi="宋体" w:cs="宋体" w:eastAsia="宋体" w:hint="default"/>
                <w:spacing w:val="31"/>
                <w:sz w:val="18"/>
                <w:szCs w:val="18"/>
              </w:rPr>
              <w:t> </w:t>
            </w:r>
            <w:r>
              <w:rPr>
                <w:rFonts w:ascii="宋体" w:hAnsi="宋体" w:cs="宋体" w:eastAsia="宋体" w:hint="default"/>
                <w:spacing w:val="-3"/>
                <w:sz w:val="18"/>
                <w:szCs w:val="18"/>
              </w:rPr>
              <w:t>②上市公司与本人控制的其他</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企业之间在办公机构和生产经营场</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7" w:hRule="exact"/>
        </w:trPr>
        <w:tc>
          <w:tcPr>
            <w:tcW w:w="170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所等方面完全分开。</w:t>
            </w: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保证上市公</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07" w:hRule="exact"/>
        </w:trPr>
        <w:tc>
          <w:tcPr>
            <w:tcW w:w="170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司业务独立①上市公司拥有独立开</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展经营活动的资产、人员、资质以</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及具有独立面向市场自主经营的能</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力，在经营业务方面具有独立运作</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②除通过行使合法的股东权利外，</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不干预上市公司的经营业务活动；</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③依据减少并规范关联交易的原则</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并采取合法方式减少或消除承诺人</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及其关联方与公司之间的关联交</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易；对于确有必要存在的关联交易</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其关联交易价格按照公平合理及市</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场化原则确定，确保上市公司及其</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他股东利益不受到损害并及时履行</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7" w:hRule="exact"/>
        </w:trPr>
        <w:tc>
          <w:tcPr>
            <w:tcW w:w="170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信息披露义务。</w:t>
            </w: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24"/>
                <w:sz w:val="18"/>
                <w:szCs w:val="18"/>
              </w:rPr>
              <w:t> </w:t>
            </w:r>
            <w:r>
              <w:rPr>
                <w:rFonts w:ascii="宋体" w:hAnsi="宋体" w:cs="宋体" w:eastAsia="宋体" w:hint="default"/>
                <w:spacing w:val="-3"/>
                <w:sz w:val="18"/>
                <w:szCs w:val="18"/>
              </w:rPr>
              <w:t>保证公司财务独</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07" w:hRule="exact"/>
        </w:trPr>
        <w:tc>
          <w:tcPr>
            <w:tcW w:w="170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立①上市公司拥有独立的财务会计</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部门，建立独立的财务核算体系和</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财务管理制度；②上市公司独立在</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银行开户，不与本人控制的其他企</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业共用一个银行账户；</w:t>
            </w:r>
            <w:r>
              <w:rPr>
                <w:rFonts w:ascii="宋体" w:hAnsi="宋体" w:cs="宋体" w:eastAsia="宋体" w:hint="default"/>
                <w:spacing w:val="-7"/>
                <w:sz w:val="18"/>
                <w:szCs w:val="18"/>
              </w:rPr>
              <w:t> </w:t>
            </w:r>
            <w:r>
              <w:rPr>
                <w:rFonts w:ascii="宋体" w:hAnsi="宋体" w:cs="宋体" w:eastAsia="宋体" w:hint="default"/>
                <w:sz w:val="18"/>
                <w:szCs w:val="18"/>
              </w:rPr>
              <w:t>③上市公司</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独立作出财务决策，本人控制的其</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他企业不干预上市公司的资金使</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用；④上市公司依法独立纳税；</w:t>
            </w:r>
            <w:r>
              <w:rPr>
                <w:rFonts w:ascii="宋体" w:hAnsi="宋体" w:cs="宋体" w:eastAsia="宋体" w:hint="default"/>
                <w:spacing w:val="34"/>
                <w:sz w:val="18"/>
                <w:szCs w:val="18"/>
              </w:rPr>
              <w:t> </w:t>
            </w:r>
            <w:r>
              <w:rPr>
                <w:rFonts w:ascii="宋体" w:hAnsi="宋体" w:cs="宋体" w:eastAsia="宋体" w:hint="default"/>
                <w:sz w:val="18"/>
                <w:szCs w:val="18"/>
              </w:rPr>
              <w:t>⑤</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上市公司的财务人员独立，不在本</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4" w:hRule="exact"/>
        </w:trPr>
        <w:tc>
          <w:tcPr>
            <w:tcW w:w="170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人控制的其他企业兼职和领取报</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54" w:hRule="exact"/>
        </w:trPr>
        <w:tc>
          <w:tcPr>
            <w:tcW w:w="170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28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酬。</w:t>
            </w:r>
          </w:p>
        </w:tc>
        <w:tc>
          <w:tcPr>
            <w:tcW w:w="850" w:type="dxa"/>
            <w:vMerge/>
            <w:tcBorders>
              <w:left w:val="single" w:sz="4" w:space="0" w:color="000000"/>
              <w:bottom w:val="single" w:sz="4" w:space="0" w:color="000000"/>
              <w:right w:val="single" w:sz="4" w:space="0" w:color="000000"/>
            </w:tcBorders>
          </w:tcPr>
          <w:p>
            <w:pPr/>
          </w:p>
        </w:tc>
        <w:tc>
          <w:tcPr>
            <w:tcW w:w="989" w:type="dxa"/>
            <w:vMerge/>
            <w:tcBorders>
              <w:left w:val="single" w:sz="4" w:space="0" w:color="000000"/>
              <w:bottom w:val="single" w:sz="4" w:space="0" w:color="000000"/>
              <w:right w:val="single" w:sz="4" w:space="0" w:color="000000"/>
            </w:tcBorders>
          </w:tcPr>
          <w:p>
            <w:pPr/>
          </w:p>
        </w:tc>
        <w:tc>
          <w:tcPr>
            <w:tcW w:w="922" w:type="dxa"/>
            <w:vMerge/>
            <w:tcBorders>
              <w:left w:val="single" w:sz="4" w:space="0" w:color="000000"/>
              <w:bottom w:val="single" w:sz="4" w:space="0" w:color="000000"/>
              <w:right w:val="single" w:sz="4" w:space="0" w:color="000000"/>
            </w:tcBorders>
          </w:tcPr>
          <w:p>
            <w:pPr/>
          </w:p>
        </w:tc>
      </w:tr>
      <w:tr>
        <w:trPr>
          <w:trHeight w:val="359" w:hRule="exact"/>
        </w:trPr>
        <w:tc>
          <w:tcPr>
            <w:tcW w:w="1700" w:type="dxa"/>
            <w:vMerge/>
            <w:tcBorders>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28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针对标的资产评估假设不能实现时</w:t>
            </w:r>
          </w:p>
        </w:tc>
        <w:tc>
          <w:tcPr>
            <w:tcW w:w="850" w:type="dxa"/>
            <w:tcBorders>
              <w:top w:val="single" w:sz="4" w:space="0" w:color="000000"/>
              <w:left w:val="single" w:sz="4" w:space="0" w:color="000000"/>
              <w:bottom w:val="nil" w:sz="6" w:space="0" w:color="auto"/>
              <w:right w:val="single" w:sz="4" w:space="0" w:color="000000"/>
            </w:tcBorders>
          </w:tcPr>
          <w:p>
            <w:pPr/>
          </w:p>
        </w:tc>
        <w:tc>
          <w:tcPr>
            <w:tcW w:w="989" w:type="dxa"/>
            <w:tcBorders>
              <w:top w:val="single" w:sz="4" w:space="0" w:color="000000"/>
              <w:left w:val="single" w:sz="4" w:space="0" w:color="000000"/>
              <w:bottom w:val="nil" w:sz="6" w:space="0" w:color="auto"/>
              <w:right w:val="single" w:sz="4" w:space="0" w:color="000000"/>
            </w:tcBorders>
          </w:tcPr>
          <w:p>
            <w:pPr/>
          </w:p>
        </w:tc>
        <w:tc>
          <w:tcPr>
            <w:tcW w:w="9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8" w:right="-20"/>
              <w:jc w:val="left"/>
              <w:rPr>
                <w:rFonts w:ascii="宋体" w:hAnsi="宋体" w:cs="宋体" w:eastAsia="宋体" w:hint="default"/>
                <w:sz w:val="18"/>
                <w:szCs w:val="18"/>
              </w:rPr>
            </w:pPr>
            <w:r>
              <w:rPr>
                <w:rFonts w:ascii="宋体" w:hAnsi="宋体" w:cs="宋体" w:eastAsia="宋体" w:hint="default"/>
                <w:spacing w:val="-2"/>
                <w:sz w:val="18"/>
                <w:szCs w:val="18"/>
              </w:rPr>
              <w:t>华盖创意、</w:t>
            </w:r>
          </w:p>
        </w:tc>
      </w:tr>
      <w:tr>
        <w:trPr>
          <w:trHeight w:val="303" w:hRule="exact"/>
        </w:trPr>
        <w:tc>
          <w:tcPr>
            <w:tcW w:w="1700"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的承诺：针对本次交易中评估机构</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z w:val="18"/>
                <w:szCs w:val="18"/>
              </w:rPr>
              <w:t>汉华易美</w:t>
            </w:r>
          </w:p>
        </w:tc>
      </w:tr>
      <w:tr>
        <w:trPr>
          <w:trHeight w:val="312" w:hRule="exact"/>
        </w:trPr>
        <w:tc>
          <w:tcPr>
            <w:tcW w:w="1700"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廖道训、吴玉</w:t>
            </w:r>
          </w:p>
        </w:tc>
        <w:tc>
          <w:tcPr>
            <w:tcW w:w="994" w:type="dxa"/>
            <w:tcBorders>
              <w:top w:val="nil" w:sz="6" w:space="0" w:color="auto"/>
              <w:left w:val="single" w:sz="4" w:space="0" w:color="000000"/>
              <w:bottom w:val="nil" w:sz="6" w:space="0" w:color="auto"/>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pacing w:val="-3"/>
                <w:sz w:val="18"/>
                <w:szCs w:val="18"/>
              </w:rPr>
              <w:t>对标的资产所作的针对性评估假</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分别通过</w:t>
            </w:r>
          </w:p>
        </w:tc>
      </w:tr>
      <w:tr>
        <w:trPr>
          <w:trHeight w:val="317" w:hRule="exact"/>
        </w:trPr>
        <w:tc>
          <w:tcPr>
            <w:tcW w:w="1700"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13" w:space="0" w:color="FFFFFF"/>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pacing w:val="-8"/>
                <w:sz w:val="18"/>
                <w:szCs w:val="18"/>
              </w:rPr>
              <w:t>瑞、吴春红、柴</w:t>
            </w:r>
          </w:p>
        </w:tc>
        <w:tc>
          <w:tcPr>
            <w:tcW w:w="994" w:type="dxa"/>
            <w:tcBorders>
              <w:top w:val="nil" w:sz="6" w:space="0" w:color="auto"/>
              <w:left w:val="single" w:sz="13" w:space="0" w:color="FFFFFF"/>
              <w:bottom w:val="nil" w:sz="6" w:space="0" w:color="auto"/>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pacing w:val="-3"/>
                <w:sz w:val="18"/>
                <w:szCs w:val="18"/>
              </w:rPr>
              <w:t>设，廖道训等 </w:t>
            </w:r>
            <w:r>
              <w:rPr>
                <w:rFonts w:ascii="Times New Roman" w:hAnsi="Times New Roman" w:cs="Times New Roman" w:eastAsia="Times New Roman" w:hint="default"/>
                <w:sz w:val="18"/>
                <w:szCs w:val="18"/>
              </w:rPr>
              <w:t>10 </w:t>
            </w:r>
            <w:r>
              <w:rPr>
                <w:rFonts w:ascii="宋体" w:hAnsi="宋体" w:cs="宋体" w:eastAsia="宋体" w:hint="default"/>
                <w:spacing w:val="-4"/>
                <w:sz w:val="18"/>
                <w:szCs w:val="18"/>
              </w:rPr>
              <w:t>名一致行动人（廖</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其全资子</w:t>
            </w:r>
          </w:p>
        </w:tc>
      </w:tr>
      <w:tr>
        <w:trPr>
          <w:trHeight w:val="619" w:hRule="exact"/>
        </w:trPr>
        <w:tc>
          <w:tcPr>
            <w:tcW w:w="1700"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13" w:space="0" w:color="FFFFFF"/>
            </w:tcBorders>
          </w:tcPr>
          <w:p>
            <w:pPr>
              <w:pStyle w:val="TableParagraph"/>
              <w:spacing w:line="316" w:lineRule="auto"/>
              <w:ind w:left="24" w:right="-31"/>
              <w:jc w:val="left"/>
              <w:rPr>
                <w:rFonts w:ascii="宋体" w:hAnsi="宋体" w:cs="宋体" w:eastAsia="宋体" w:hint="default"/>
                <w:sz w:val="18"/>
                <w:szCs w:val="18"/>
              </w:rPr>
            </w:pPr>
            <w:r>
              <w:rPr>
                <w:rFonts w:ascii="宋体" w:hAnsi="宋体" w:cs="宋体" w:eastAsia="宋体" w:hint="default"/>
                <w:spacing w:val="-3"/>
                <w:sz w:val="18"/>
                <w:szCs w:val="18"/>
              </w:rPr>
              <w:t>继军、姜海林、</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陈智华、袁闯、</w:t>
            </w:r>
          </w:p>
        </w:tc>
        <w:tc>
          <w:tcPr>
            <w:tcW w:w="994" w:type="dxa"/>
            <w:tcBorders>
              <w:top w:val="nil" w:sz="6" w:space="0" w:color="auto"/>
              <w:left w:val="single" w:sz="13" w:space="0" w:color="FFFFFF"/>
              <w:bottom w:val="nil" w:sz="6" w:space="0" w:color="auto"/>
              <w:right w:val="single" w:sz="4" w:space="0" w:color="000000"/>
            </w:tcBorders>
          </w:tcPr>
          <w:p>
            <w:pPr>
              <w:pStyle w:val="TableParagraph"/>
              <w:spacing w:line="321" w:lineRule="auto"/>
              <w:ind w:left="12" w:right="56"/>
              <w:jc w:val="left"/>
              <w:rPr>
                <w:rFonts w:ascii="宋体" w:hAnsi="宋体" w:cs="宋体" w:eastAsia="宋体" w:hint="default"/>
                <w:sz w:val="18"/>
                <w:szCs w:val="18"/>
              </w:rPr>
            </w:pPr>
            <w:r>
              <w:rPr>
                <w:rFonts w:ascii="宋体" w:hAnsi="宋体" w:cs="宋体" w:eastAsia="宋体" w:hint="default"/>
                <w:sz w:val="18"/>
                <w:szCs w:val="18"/>
              </w:rPr>
              <w:t>股东一致行</w:t>
            </w:r>
            <w:r>
              <w:rPr>
                <w:rFonts w:ascii="宋体" w:hAnsi="宋体" w:cs="宋体" w:eastAsia="宋体" w:hint="default"/>
                <w:w w:val="101"/>
                <w:sz w:val="18"/>
                <w:szCs w:val="18"/>
              </w:rPr>
              <w:t> </w:t>
            </w:r>
            <w:r>
              <w:rPr>
                <w:rFonts w:ascii="宋体" w:hAnsi="宋体" w:cs="宋体" w:eastAsia="宋体" w:hint="default"/>
                <w:sz w:val="18"/>
                <w:szCs w:val="18"/>
              </w:rPr>
              <w:t>动承诺</w:t>
            </w: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316" w:lineRule="auto" w:before="16"/>
              <w:ind w:left="23" w:right="99"/>
              <w:jc w:val="left"/>
              <w:rPr>
                <w:rFonts w:ascii="宋体" w:hAnsi="宋体" w:cs="宋体" w:eastAsia="宋体" w:hint="default"/>
                <w:sz w:val="18"/>
                <w:szCs w:val="18"/>
              </w:rPr>
            </w:pPr>
            <w:r>
              <w:rPr>
                <w:rFonts w:ascii="宋体" w:hAnsi="宋体" w:cs="宋体" w:eastAsia="宋体" w:hint="default"/>
                <w:spacing w:val="-3"/>
                <w:sz w:val="18"/>
                <w:szCs w:val="18"/>
              </w:rPr>
              <w:t>道训、吴玉瑞、吴春红、柴继军、</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姜海林、陈智华、袁闯、李学凌、</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6"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left="24"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922"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8" w:right="0"/>
              <w:jc w:val="left"/>
              <w:rPr>
                <w:rFonts w:ascii="宋体" w:hAnsi="宋体" w:cs="宋体" w:eastAsia="宋体" w:hint="default"/>
                <w:sz w:val="18"/>
                <w:szCs w:val="18"/>
              </w:rPr>
            </w:pPr>
            <w:r>
              <w:rPr>
                <w:rFonts w:ascii="宋体" w:hAnsi="宋体" w:cs="宋体" w:eastAsia="宋体" w:hint="default"/>
                <w:sz w:val="18"/>
                <w:szCs w:val="18"/>
              </w:rPr>
              <w:t>公司取得</w:t>
            </w:r>
          </w:p>
          <w:p>
            <w:pPr>
              <w:pStyle w:val="TableParagraph"/>
              <w:spacing w:line="240" w:lineRule="auto" w:before="76"/>
              <w:ind w:left="28" w:right="0"/>
              <w:jc w:val="left"/>
              <w:rPr>
                <w:rFonts w:ascii="宋体" w:hAnsi="宋体" w:cs="宋体" w:eastAsia="宋体" w:hint="default"/>
                <w:sz w:val="18"/>
                <w:szCs w:val="18"/>
              </w:rPr>
            </w:pPr>
            <w:r>
              <w:rPr>
                <w:rFonts w:ascii="宋体" w:hAnsi="宋体" w:cs="宋体" w:eastAsia="宋体" w:hint="default"/>
                <w:sz w:val="18"/>
                <w:szCs w:val="18"/>
              </w:rPr>
              <w:t>《高新技</w:t>
            </w:r>
          </w:p>
        </w:tc>
      </w:tr>
      <w:tr>
        <w:trPr>
          <w:trHeight w:val="315" w:hRule="exact"/>
        </w:trPr>
        <w:tc>
          <w:tcPr>
            <w:tcW w:w="1700"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19"/>
              <w:jc w:val="left"/>
              <w:rPr>
                <w:rFonts w:ascii="宋体" w:hAnsi="宋体" w:cs="宋体" w:eastAsia="宋体" w:hint="default"/>
                <w:sz w:val="18"/>
                <w:szCs w:val="18"/>
              </w:rPr>
            </w:pPr>
            <w:r>
              <w:rPr>
                <w:rFonts w:ascii="宋体" w:hAnsi="宋体" w:cs="宋体" w:eastAsia="宋体" w:hint="default"/>
                <w:spacing w:val="-3"/>
                <w:sz w:val="18"/>
                <w:szCs w:val="18"/>
              </w:rPr>
              <w:t>李学凌、高玮、</w:t>
            </w:r>
          </w:p>
        </w:tc>
        <w:tc>
          <w:tcPr>
            <w:tcW w:w="994" w:type="dxa"/>
            <w:tcBorders>
              <w:top w:val="nil" w:sz="6" w:space="0" w:color="auto"/>
              <w:left w:val="single" w:sz="4" w:space="0" w:color="000000"/>
              <w:bottom w:val="nil" w:sz="6" w:space="0" w:color="auto"/>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pacing w:val="-3"/>
                <w:sz w:val="18"/>
                <w:szCs w:val="18"/>
              </w:rPr>
              <w:t>高玮、梁世平）已作出承诺：</w:t>
            </w:r>
            <w:r>
              <w:rPr>
                <w:rFonts w:ascii="宋体" w:hAnsi="宋体" w:cs="宋体" w:eastAsia="宋体" w:hint="default"/>
                <w:spacing w:val="32"/>
                <w:sz w:val="18"/>
                <w:szCs w:val="18"/>
              </w:rPr>
              <w:t> </w:t>
            </w:r>
            <w:r>
              <w:rPr>
                <w:rFonts w:ascii="宋体" w:hAnsi="宋体" w:cs="宋体" w:eastAsia="宋体" w:hint="default"/>
                <w:sz w:val="18"/>
                <w:szCs w:val="18"/>
              </w:rPr>
              <w:t>华盖</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术企业证</w:t>
            </w:r>
          </w:p>
        </w:tc>
      </w:tr>
      <w:tr>
        <w:trPr>
          <w:trHeight w:val="319" w:hRule="exact"/>
        </w:trPr>
        <w:tc>
          <w:tcPr>
            <w:tcW w:w="1700"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梁世平</w:t>
            </w:r>
          </w:p>
        </w:tc>
        <w:tc>
          <w:tcPr>
            <w:tcW w:w="994" w:type="dxa"/>
            <w:tcBorders>
              <w:top w:val="nil" w:sz="6" w:space="0" w:color="auto"/>
              <w:left w:val="single" w:sz="4" w:space="0" w:color="000000"/>
              <w:bottom w:val="nil" w:sz="6" w:space="0" w:color="auto"/>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pacing w:val="-3"/>
                <w:sz w:val="18"/>
                <w:szCs w:val="18"/>
              </w:rPr>
              <w:t>创意、汉华易美的高新技术企业认</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8" w:right="0"/>
              <w:jc w:val="left"/>
              <w:rPr>
                <w:rFonts w:ascii="宋体" w:hAnsi="宋体" w:cs="宋体" w:eastAsia="宋体" w:hint="default"/>
                <w:sz w:val="18"/>
                <w:szCs w:val="18"/>
              </w:rPr>
            </w:pPr>
            <w:r>
              <w:rPr>
                <w:rFonts w:ascii="宋体" w:hAnsi="宋体" w:cs="宋体" w:eastAsia="宋体" w:hint="default"/>
                <w:w w:val="101"/>
                <w:sz w:val="18"/>
                <w:szCs w:val="18"/>
              </w:rPr>
              <w:t>书</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与</w:t>
            </w:r>
            <w:r>
              <w:rPr>
                <w:rFonts w:ascii="宋体" w:hAnsi="宋体" w:cs="宋体" w:eastAsia="宋体" w:hint="default"/>
                <w:sz w:val="18"/>
                <w:szCs w:val="18"/>
              </w:rPr>
            </w:r>
          </w:p>
        </w:tc>
      </w:tr>
      <w:tr>
        <w:trPr>
          <w:trHeight w:val="317" w:hRule="exact"/>
        </w:trPr>
        <w:tc>
          <w:tcPr>
            <w:tcW w:w="1700"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证到期后如未能继续取得，或与</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Getty</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的采</w:t>
            </w:r>
          </w:p>
        </w:tc>
      </w:tr>
      <w:tr>
        <w:trPr>
          <w:trHeight w:val="313" w:hRule="exact"/>
        </w:trPr>
        <w:tc>
          <w:tcPr>
            <w:tcW w:w="1700"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28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Getty</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的采购合同在</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年到期后</w:t>
            </w:r>
          </w:p>
        </w:tc>
        <w:tc>
          <w:tcPr>
            <w:tcW w:w="850" w:type="dxa"/>
            <w:tcBorders>
              <w:top w:val="nil" w:sz="6" w:space="0" w:color="auto"/>
              <w:left w:val="single" w:sz="4" w:space="0" w:color="000000"/>
              <w:bottom w:val="single" w:sz="4" w:space="0" w:color="000000"/>
              <w:right w:val="single" w:sz="4" w:space="0" w:color="000000"/>
            </w:tcBorders>
          </w:tcPr>
          <w:p>
            <w:pPr/>
          </w:p>
        </w:tc>
        <w:tc>
          <w:tcPr>
            <w:tcW w:w="989" w:type="dxa"/>
            <w:tcBorders>
              <w:top w:val="nil" w:sz="6" w:space="0" w:color="auto"/>
              <w:left w:val="single" w:sz="4" w:space="0" w:color="000000"/>
              <w:bottom w:val="single" w:sz="4" w:space="0" w:color="000000"/>
              <w:right w:val="single" w:sz="4" w:space="0" w:color="000000"/>
            </w:tcBorders>
          </w:tcPr>
          <w:p>
            <w:pPr/>
          </w:p>
        </w:tc>
        <w:tc>
          <w:tcPr>
            <w:tcW w:w="9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8" w:right="0"/>
              <w:jc w:val="left"/>
              <w:rPr>
                <w:rFonts w:ascii="宋体" w:hAnsi="宋体" w:cs="宋体" w:eastAsia="宋体" w:hint="default"/>
                <w:sz w:val="18"/>
                <w:szCs w:val="18"/>
              </w:rPr>
            </w:pPr>
            <w:r>
              <w:rPr>
                <w:rFonts w:ascii="宋体" w:hAnsi="宋体" w:cs="宋体" w:eastAsia="宋体" w:hint="default"/>
                <w:sz w:val="18"/>
                <w:szCs w:val="18"/>
              </w:rPr>
              <w:t>购合同已</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0"/>
        <w:gridCol w:w="1277"/>
        <w:gridCol w:w="994"/>
        <w:gridCol w:w="2838"/>
        <w:gridCol w:w="850"/>
        <w:gridCol w:w="989"/>
        <w:gridCol w:w="922"/>
      </w:tblGrid>
      <w:tr>
        <w:trPr>
          <w:trHeight w:val="1609"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3" w:right="17"/>
              <w:jc w:val="left"/>
              <w:rPr>
                <w:rFonts w:ascii="宋体" w:hAnsi="宋体" w:cs="宋体" w:eastAsia="宋体" w:hint="default"/>
                <w:sz w:val="18"/>
                <w:szCs w:val="18"/>
              </w:rPr>
            </w:pPr>
            <w:r>
              <w:rPr>
                <w:rFonts w:ascii="宋体" w:hAnsi="宋体" w:cs="宋体" w:eastAsia="宋体" w:hint="default"/>
                <w:spacing w:val="-3"/>
                <w:sz w:val="18"/>
                <w:szCs w:val="18"/>
              </w:rPr>
              <w:t>无法完成续签工作，廖道训等</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名</w:t>
            </w:r>
            <w:r>
              <w:rPr>
                <w:rFonts w:ascii="宋体" w:hAnsi="宋体" w:cs="宋体" w:eastAsia="宋体" w:hint="default"/>
                <w:spacing w:val="-84"/>
                <w:sz w:val="18"/>
                <w:szCs w:val="18"/>
              </w:rPr>
              <w:t> </w:t>
            </w:r>
            <w:r>
              <w:rPr>
                <w:rFonts w:ascii="宋体" w:hAnsi="宋体" w:cs="宋体" w:eastAsia="宋体" w:hint="default"/>
                <w:spacing w:val="-3"/>
                <w:sz w:val="18"/>
                <w:szCs w:val="18"/>
              </w:rPr>
              <w:t>一致行动人将聘请专业机构就上述</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事项对上市公司的影响进行测算，</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并就因上述事项带来的损失对上市</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公司进行补偿。</w:t>
            </w:r>
          </w:p>
        </w:tc>
        <w:tc>
          <w:tcPr>
            <w:tcW w:w="850"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8" w:right="12"/>
              <w:jc w:val="left"/>
              <w:rPr>
                <w:rFonts w:ascii="宋体" w:hAnsi="宋体" w:cs="宋体" w:eastAsia="宋体" w:hint="default"/>
                <w:sz w:val="18"/>
                <w:szCs w:val="18"/>
              </w:rPr>
            </w:pPr>
            <w:r>
              <w:rPr>
                <w:rFonts w:ascii="宋体" w:hAnsi="宋体" w:cs="宋体" w:eastAsia="宋体" w:hint="default"/>
                <w:spacing w:val="-9"/>
                <w:sz w:val="18"/>
                <w:szCs w:val="18"/>
              </w:rPr>
              <w:t>续签，目前</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没有违反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承诺的行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为。</w:t>
            </w:r>
          </w:p>
        </w:tc>
      </w:tr>
      <w:tr>
        <w:trPr>
          <w:trHeight w:val="4773" w:hRule="exact"/>
        </w:trPr>
        <w:tc>
          <w:tcPr>
            <w:tcW w:w="17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4" w:right="41"/>
              <w:jc w:val="left"/>
              <w:rPr>
                <w:rFonts w:ascii="宋体" w:hAnsi="宋体" w:cs="宋体" w:eastAsia="宋体" w:hint="default"/>
                <w:sz w:val="18"/>
                <w:szCs w:val="18"/>
              </w:rPr>
            </w:pPr>
            <w:r>
              <w:rPr>
                <w:rFonts w:ascii="宋体" w:hAnsi="宋体" w:cs="宋体" w:eastAsia="宋体" w:hint="default"/>
                <w:spacing w:val="-3"/>
                <w:sz w:val="18"/>
                <w:szCs w:val="18"/>
              </w:rPr>
              <w:t>首次公开发行或再融</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资时所作承诺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4" w:right="156"/>
              <w:jc w:val="left"/>
              <w:rPr>
                <w:rFonts w:ascii="宋体" w:hAnsi="宋体" w:cs="宋体" w:eastAsia="宋体" w:hint="default"/>
                <w:sz w:val="18"/>
                <w:szCs w:val="18"/>
              </w:rPr>
            </w:pPr>
            <w:r>
              <w:rPr>
                <w:rFonts w:ascii="宋体" w:hAnsi="宋体" w:cs="宋体" w:eastAsia="宋体" w:hint="default"/>
                <w:spacing w:val="-2"/>
                <w:sz w:val="18"/>
                <w:szCs w:val="18"/>
              </w:rPr>
              <w:t>柴继军、廖道</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训、吴春红</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3" w:right="56"/>
              <w:jc w:val="left"/>
              <w:rPr>
                <w:rFonts w:ascii="宋体" w:hAnsi="宋体" w:cs="宋体" w:eastAsia="宋体" w:hint="default"/>
                <w:sz w:val="18"/>
                <w:szCs w:val="18"/>
              </w:rPr>
            </w:pPr>
            <w:r>
              <w:rPr>
                <w:rFonts w:ascii="宋体" w:hAnsi="宋体" w:cs="宋体" w:eastAsia="宋体" w:hint="default"/>
                <w:spacing w:val="-2"/>
                <w:sz w:val="18"/>
                <w:szCs w:val="18"/>
              </w:rPr>
              <w:t>股东一致行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动承诺</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99"/>
              <w:jc w:val="both"/>
              <w:rPr>
                <w:rFonts w:ascii="宋体" w:hAnsi="宋体" w:cs="宋体" w:eastAsia="宋体" w:hint="default"/>
                <w:sz w:val="18"/>
                <w:szCs w:val="18"/>
              </w:rPr>
            </w:pPr>
            <w:r>
              <w:rPr>
                <w:rFonts w:ascii="宋体" w:hAnsi="宋体" w:cs="宋体" w:eastAsia="宋体" w:hint="default"/>
                <w:spacing w:val="-3"/>
                <w:sz w:val="18"/>
                <w:szCs w:val="18"/>
              </w:rPr>
              <w:t>本人与</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华泰柏瑞</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视觉中国特定多</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z w:val="18"/>
                <w:szCs w:val="18"/>
              </w:rPr>
              <w:t>客户资产管理计划</w:t>
            </w:r>
            <w:r>
              <w:rPr>
                <w:rFonts w:ascii="Times New Roman" w:hAnsi="Times New Roman" w:cs="Times New Roman" w:eastAsia="Times New Roman" w:hint="default"/>
                <w:sz w:val="18"/>
                <w:szCs w:val="18"/>
              </w:rPr>
              <w:t>”</w:t>
            </w:r>
            <w:r>
              <w:rPr>
                <w:rFonts w:ascii="宋体" w:hAnsi="宋体" w:cs="宋体" w:eastAsia="宋体" w:hint="default"/>
                <w:sz w:val="18"/>
                <w:szCs w:val="18"/>
              </w:rPr>
              <w:t>的其他委托人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均为视觉中国的实际控制人，依照</w:t>
            </w:r>
          </w:p>
          <w:p>
            <w:pPr>
              <w:pStyle w:val="TableParagraph"/>
              <w:spacing w:line="312" w:lineRule="auto" w:before="32"/>
              <w:ind w:left="23" w:right="99"/>
              <w:jc w:val="left"/>
              <w:rPr>
                <w:rFonts w:ascii="宋体" w:hAnsi="宋体" w:cs="宋体" w:eastAsia="宋体" w:hint="default"/>
                <w:sz w:val="18"/>
                <w:szCs w:val="18"/>
              </w:rPr>
            </w:pPr>
            <w:r>
              <w:rPr>
                <w:rFonts w:ascii="宋体" w:hAnsi="宋体" w:cs="宋体" w:eastAsia="宋体" w:hint="default"/>
                <w:spacing w:val="-3"/>
                <w:sz w:val="18"/>
                <w:szCs w:val="18"/>
              </w:rPr>
              <w:t>《上市公司收购管理办法》第八十</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三条等有关法规和视觉中国章程的</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规定，在视觉中国的实际控制人履</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行重大权益变动信息披露、要约收</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购等法定义务时，视觉中国的实际</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控制人与</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华泰柏瑞</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视觉中国特定</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z w:val="18"/>
                <w:szCs w:val="18"/>
              </w:rPr>
              <w:t>多客户资产管理计划</w:t>
            </w:r>
            <w:r>
              <w:rPr>
                <w:rFonts w:ascii="Times New Roman" w:hAnsi="Times New Roman" w:cs="Times New Roman" w:eastAsia="Times New Roman" w:hint="default"/>
                <w:sz w:val="18"/>
                <w:szCs w:val="18"/>
              </w:rPr>
              <w:t>”</w:t>
            </w:r>
            <w:r>
              <w:rPr>
                <w:rFonts w:ascii="宋体" w:hAnsi="宋体" w:cs="宋体" w:eastAsia="宋体" w:hint="default"/>
                <w:sz w:val="18"/>
                <w:szCs w:val="18"/>
              </w:rPr>
              <w:t>为一致行动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人，视觉中国实际控制人直接持有</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的视觉中国股票数量与</w:t>
            </w:r>
            <w:r>
              <w:rPr>
                <w:rFonts w:ascii="Times New Roman" w:hAnsi="Times New Roman" w:cs="Times New Roman" w:eastAsia="Times New Roman" w:hint="default"/>
                <w:sz w:val="18"/>
                <w:szCs w:val="18"/>
              </w:rPr>
              <w:t>“</w:t>
            </w:r>
            <w:r>
              <w:rPr>
                <w:rFonts w:ascii="宋体" w:hAnsi="宋体" w:cs="宋体" w:eastAsia="宋体" w:hint="default"/>
                <w:sz w:val="18"/>
                <w:szCs w:val="18"/>
              </w:rPr>
              <w:t>华泰柏瑞</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pacing w:val="-3"/>
                <w:sz w:val="18"/>
                <w:szCs w:val="18"/>
              </w:rPr>
              <w:t>视觉中国特定多客户资产管理计</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划</w:t>
            </w:r>
            <w:r>
              <w:rPr>
                <w:rFonts w:ascii="Times New Roman" w:hAnsi="Times New Roman" w:cs="Times New Roman" w:eastAsia="Times New Roman" w:hint="default"/>
                <w:sz w:val="18"/>
                <w:szCs w:val="18"/>
              </w:rPr>
              <w:t>”</w:t>
            </w:r>
            <w:r>
              <w:rPr>
                <w:rFonts w:ascii="宋体" w:hAnsi="宋体" w:cs="宋体" w:eastAsia="宋体" w:hint="default"/>
                <w:sz w:val="18"/>
                <w:szCs w:val="18"/>
              </w:rPr>
              <w:t>持有的视觉中国股票数量将合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并计算。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pacing w:val="-2"/>
                <w:sz w:val="18"/>
                <w:szCs w:val="18"/>
              </w:rPr>
              <w:t>正常履行。</w:t>
            </w:r>
          </w:p>
        </w:tc>
      </w:tr>
      <w:tr>
        <w:trPr>
          <w:trHeight w:val="4772" w:hRule="exact"/>
        </w:trPr>
        <w:tc>
          <w:tcPr>
            <w:tcW w:w="1700" w:type="dxa"/>
            <w:vMerge/>
            <w:tcBorders>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4" w:right="-19"/>
              <w:jc w:val="left"/>
              <w:rPr>
                <w:rFonts w:ascii="宋体" w:hAnsi="宋体" w:cs="宋体" w:eastAsia="宋体" w:hint="default"/>
                <w:sz w:val="18"/>
                <w:szCs w:val="18"/>
              </w:rPr>
            </w:pPr>
            <w:r>
              <w:rPr>
                <w:rFonts w:ascii="宋体" w:hAnsi="宋体" w:cs="宋体" w:eastAsia="宋体" w:hint="default"/>
                <w:spacing w:val="-3"/>
                <w:sz w:val="18"/>
                <w:szCs w:val="18"/>
              </w:rPr>
              <w:t>陈智华、高玮、</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姜海林、李学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凌、梁世平、吴</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玉瑞、袁闯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3" w:right="56"/>
              <w:jc w:val="left"/>
              <w:rPr>
                <w:rFonts w:ascii="宋体" w:hAnsi="宋体" w:cs="宋体" w:eastAsia="宋体" w:hint="default"/>
                <w:sz w:val="18"/>
                <w:szCs w:val="18"/>
              </w:rPr>
            </w:pPr>
            <w:r>
              <w:rPr>
                <w:rFonts w:ascii="宋体" w:hAnsi="宋体" w:cs="宋体" w:eastAsia="宋体" w:hint="default"/>
                <w:spacing w:val="-2"/>
                <w:sz w:val="18"/>
                <w:szCs w:val="18"/>
              </w:rPr>
              <w:t>股东一致行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动承诺</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1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华泰柏瑞</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视觉中国特定多客户资</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3"/>
                <w:sz w:val="18"/>
                <w:szCs w:val="18"/>
              </w:rPr>
              <w:t>产管理计划</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的委托人廖道训、吴春</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红、柴继军均为视觉中国的实际控</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制人，依照《上市公司收购管理办</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法》第八十三条等有关法规和视觉</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中国章程的规定，在视觉中国的实</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际控制人履行重大权益变动信息披</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露、要约收购等法定义务时，视觉</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中国的实际控制人与</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华泰柏瑞</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视</w:t>
            </w:r>
            <w:r>
              <w:rPr>
                <w:rFonts w:ascii="宋体" w:hAnsi="宋体" w:cs="宋体" w:eastAsia="宋体" w:hint="default"/>
                <w:spacing w:val="-41"/>
                <w:sz w:val="18"/>
                <w:szCs w:val="18"/>
              </w:rPr>
              <w:t> </w:t>
            </w:r>
            <w:r>
              <w:rPr>
                <w:rFonts w:ascii="宋体" w:hAnsi="宋体" w:cs="宋体" w:eastAsia="宋体" w:hint="default"/>
                <w:sz w:val="18"/>
                <w:szCs w:val="18"/>
              </w:rPr>
              <w:t>觉中国特定多客户资产管理计划</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pacing w:val="-3"/>
                <w:sz w:val="18"/>
                <w:szCs w:val="18"/>
              </w:rPr>
              <w:t>为一致行动人，视觉中国实际控制</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人直接持有的视觉中国股票数量与</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华泰柏瑞</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视觉中国特定多客户资</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z w:val="18"/>
                <w:szCs w:val="18"/>
              </w:rPr>
              <w:t>产管理计划</w:t>
            </w:r>
            <w:r>
              <w:rPr>
                <w:rFonts w:ascii="Times New Roman" w:hAnsi="Times New Roman" w:cs="Times New Roman" w:eastAsia="Times New Roman" w:hint="default"/>
                <w:sz w:val="18"/>
                <w:szCs w:val="18"/>
              </w:rPr>
              <w:t>”</w:t>
            </w:r>
            <w:r>
              <w:rPr>
                <w:rFonts w:ascii="宋体" w:hAnsi="宋体" w:cs="宋体" w:eastAsia="宋体" w:hint="default"/>
                <w:sz w:val="18"/>
                <w:szCs w:val="18"/>
              </w:rPr>
              <w:t>持有的视觉中国股票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数量将合并计算。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pacing w:val="-2"/>
                <w:sz w:val="18"/>
                <w:szCs w:val="18"/>
              </w:rPr>
              <w:t>正常履行。</w:t>
            </w:r>
          </w:p>
        </w:tc>
      </w:tr>
      <w:tr>
        <w:trPr>
          <w:trHeight w:val="2545" w:hRule="exact"/>
        </w:trPr>
        <w:tc>
          <w:tcPr>
            <w:tcW w:w="1700"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3"/>
              <w:ind w:left="24" w:right="156"/>
              <w:jc w:val="left"/>
              <w:rPr>
                <w:rFonts w:ascii="宋体" w:hAnsi="宋体" w:cs="宋体" w:eastAsia="宋体" w:hint="default"/>
                <w:sz w:val="18"/>
                <w:szCs w:val="18"/>
              </w:rPr>
            </w:pPr>
            <w:r>
              <w:rPr>
                <w:rFonts w:ascii="宋体" w:hAnsi="宋体" w:cs="宋体" w:eastAsia="宋体" w:hint="default"/>
                <w:spacing w:val="-2"/>
                <w:sz w:val="18"/>
                <w:szCs w:val="18"/>
              </w:rPr>
              <w:t>柴继军、廖道</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训、吴春红</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98"/>
              <w:jc w:val="both"/>
              <w:rPr>
                <w:rFonts w:ascii="宋体" w:hAnsi="宋体" w:cs="宋体" w:eastAsia="宋体" w:hint="default"/>
                <w:sz w:val="18"/>
                <w:szCs w:val="18"/>
              </w:rPr>
            </w:pPr>
            <w:r>
              <w:rPr>
                <w:rFonts w:ascii="宋体" w:hAnsi="宋体" w:cs="宋体" w:eastAsia="宋体" w:hint="default"/>
                <w:spacing w:val="-3"/>
                <w:sz w:val="18"/>
                <w:szCs w:val="18"/>
              </w:rPr>
              <w:t>本人将遵守短线交易、内幕交易和</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高管持股变动管理规则等相关规定</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的义务，减持视觉中国股份时，不</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利用减持操纵股价。本人将严格按</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14"/>
                <w:w w:val="101"/>
                <w:sz w:val="18"/>
                <w:szCs w:val="18"/>
              </w:rPr>
              <w:t>照《证券法》、《上市公司收购管理</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pacing w:val="-3"/>
                <w:sz w:val="18"/>
                <w:szCs w:val="18"/>
              </w:rPr>
              <w:t>办法》等法律法规及中国证监会、</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深圳证券交易所的相关规定履行因</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权益变动产生的信息披露义务。如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pacing w:val="-2"/>
                <w:sz w:val="18"/>
                <w:szCs w:val="18"/>
              </w:rPr>
              <w:t>正常履行。</w:t>
            </w:r>
          </w:p>
        </w:tc>
      </w:tr>
    </w:tbl>
    <w:p>
      <w:pPr>
        <w:spacing w:after="0" w:line="240" w:lineRule="auto"/>
        <w:jc w:val="righ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91.339996pt;margin-top:106.099983pt;width:48.05pt;height:164pt;mso-position-horizontal-relative:page;mso-position-vertical-relative:page;z-index:-116785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391.316803pt;margin-top:305.369995pt;width:48.05pt;height:163.75pt;mso-position-horizontal-relative:page;mso-position-vertical-relative:page;z-index:-116783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0"/>
        <w:gridCol w:w="1277"/>
        <w:gridCol w:w="994"/>
        <w:gridCol w:w="2838"/>
        <w:gridCol w:w="850"/>
        <w:gridCol w:w="989"/>
        <w:gridCol w:w="922"/>
      </w:tblGrid>
      <w:tr>
        <w:trPr>
          <w:trHeight w:val="672" w:hRule="exact"/>
        </w:trPr>
        <w:tc>
          <w:tcPr>
            <w:tcW w:w="1700" w:type="dxa"/>
            <w:vMerge w:val="restart"/>
            <w:tcBorders>
              <w:top w:val="single" w:sz="4" w:space="0" w:color="000000"/>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23" w:right="99"/>
              <w:jc w:val="left"/>
              <w:rPr>
                <w:rFonts w:ascii="宋体" w:hAnsi="宋体" w:cs="宋体" w:eastAsia="宋体" w:hint="default"/>
                <w:sz w:val="18"/>
                <w:szCs w:val="18"/>
              </w:rPr>
            </w:pPr>
            <w:r>
              <w:rPr>
                <w:rFonts w:ascii="宋体" w:hAnsi="宋体" w:cs="宋体" w:eastAsia="宋体" w:hint="default"/>
                <w:spacing w:val="-3"/>
                <w:sz w:val="18"/>
                <w:szCs w:val="18"/>
              </w:rPr>
              <w:t>届时相关法律法规发生变化，以届</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时有效的法律法规为准。</w:t>
            </w:r>
          </w:p>
        </w:tc>
        <w:tc>
          <w:tcPr>
            <w:tcW w:w="850"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7270" w:hRule="exact"/>
        </w:trPr>
        <w:tc>
          <w:tcPr>
            <w:tcW w:w="1700"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21" w:lineRule="auto"/>
              <w:ind w:left="24" w:right="17"/>
              <w:jc w:val="left"/>
              <w:rPr>
                <w:rFonts w:ascii="宋体" w:hAnsi="宋体" w:cs="宋体" w:eastAsia="宋体" w:hint="default"/>
                <w:sz w:val="18"/>
                <w:szCs w:val="18"/>
              </w:rPr>
            </w:pPr>
            <w:r>
              <w:rPr>
                <w:rFonts w:ascii="宋体" w:hAnsi="宋体" w:cs="宋体" w:eastAsia="宋体" w:hint="default"/>
                <w:spacing w:val="-8"/>
                <w:sz w:val="18"/>
                <w:szCs w:val="18"/>
              </w:rPr>
              <w:t>视觉（中国）文</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化发展股份有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7"/>
              <w:jc w:val="left"/>
              <w:rPr>
                <w:rFonts w:ascii="宋体" w:hAnsi="宋体" w:cs="宋体" w:eastAsia="宋体" w:hint="default"/>
                <w:sz w:val="18"/>
                <w:szCs w:val="18"/>
              </w:rPr>
            </w:pPr>
            <w:r>
              <w:rPr>
                <w:rFonts w:ascii="宋体" w:hAnsi="宋体" w:cs="宋体" w:eastAsia="宋体" w:hint="default"/>
                <w:spacing w:val="-3"/>
                <w:sz w:val="18"/>
                <w:szCs w:val="18"/>
              </w:rPr>
              <w:t>视觉（中国）文化发展股份有限公</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19"/>
                <w:w w:val="101"/>
                <w:sz w:val="18"/>
                <w:szCs w:val="18"/>
              </w:rPr>
              <w:t>司董事会将严格遵守《公司法》、《证</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宋体" w:hAnsi="宋体" w:cs="宋体" w:eastAsia="宋体" w:hint="default"/>
                <w:spacing w:val="-14"/>
                <w:w w:val="101"/>
                <w:sz w:val="18"/>
                <w:szCs w:val="18"/>
              </w:rPr>
              <w:t>券法》、《上市公司证券发行管理办</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pacing w:val="-3"/>
                <w:sz w:val="18"/>
                <w:szCs w:val="18"/>
              </w:rPr>
              <w:t>法》等法律、法规和中国证监会的</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有关规定，承诺自本公司非公开发</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行股票新增股份上市之日起：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承诺真实、准确、完整、公平和及</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时地公布定期报告、披露所有对投</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资者有重大影响的信息，并接受中</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国证监会和深圳证券交易所的监督</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管理。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）承诺本公司在知悉可</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3"/>
                <w:sz w:val="18"/>
                <w:szCs w:val="18"/>
              </w:rPr>
              <w:t>能对股票价格产生误导性影响的任</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何公共传播媒体出现的消息后，将</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及时予以公开澄清。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）承诺本</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3"/>
                <w:sz w:val="18"/>
                <w:szCs w:val="18"/>
              </w:rPr>
              <w:t>公司董事、监事和高级管理人员将</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认真听取社会公众的意见和批评，</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不利用已获得的内幕消息和其他不</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正当手段直接或间接从事本公司股</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票的买卖活动。本公司保证向深圳</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证券交易所提交的文件没有虚假陈</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述或者重大遗漏，并在提出上市申</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请期间，未经深圳证券交易所同意</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不擅自披露有关信息。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27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5"/>
                <w:sz w:val="20"/>
                <w:szCs w:val="20"/>
              </w:rPr>
              <w:pict>
                <v:group style="width:42.05pt;height:164pt;mso-position-horizontal-relative:char;mso-position-vertical-relative:line" coordorigin="0,0" coordsize="841,3280">
                  <v:group style="position:absolute;left:0;top:0;width:841;height:3280" coordorigin="0,0" coordsize="841,3280">
                    <v:shape style="position:absolute;left:0;top:0;width:841;height:3280" coordorigin="0,0" coordsize="841,3280" path="m0,3279l840,3279,840,0,0,0,0,3279xe" filled="true" fillcolor="#ffffff" stroked="false">
                      <v:path arrowok="t"/>
                      <v:fill type="solid"/>
                    </v:shape>
                  </v:group>
                </v:group>
              </w:pict>
            </w:r>
            <w:r>
              <w:rPr>
                <w:rFonts w:ascii="Times New Roman" w:hAnsi="Times New Roman" w:cs="Times New Roman" w:eastAsia="Times New Roman" w:hint="default"/>
                <w:position w:val="-65"/>
                <w:sz w:val="20"/>
                <w:szCs w:val="20"/>
              </w:rPr>
            </w:r>
          </w:p>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27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4"/>
                <w:sz w:val="20"/>
                <w:szCs w:val="20"/>
              </w:rPr>
              <w:pict>
                <v:group style="width:42.05pt;height:163.75pt;mso-position-horizontal-relative:char;mso-position-vertical-relative:line" coordorigin="0,0" coordsize="841,3275">
                  <v:group style="position:absolute;left:0;top:0;width:841;height:3275" coordorigin="0,0" coordsize="841,3275">
                    <v:shape style="position:absolute;left:0;top:0;width:841;height:3275" coordorigin="0,0" coordsize="841,3275" path="m0,3275l840,3275,840,0,0,0,0,3275xe" filled="true" fillcolor="#ffffff" stroked="false">
                      <v:path arrowok="t"/>
                      <v:fill type="solid"/>
                    </v:shape>
                  </v:group>
                </v:group>
              </w:pict>
            </w:r>
            <w:r>
              <w:rPr>
                <w:rFonts w:ascii="Times New Roman" w:hAnsi="Times New Roman" w:cs="Times New Roman" w:eastAsia="Times New Roman" w:hint="default"/>
                <w:position w:val="-64"/>
                <w:sz w:val="20"/>
                <w:szCs w:val="20"/>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8" w:right="-20"/>
              <w:jc w:val="left"/>
              <w:rPr>
                <w:rFonts w:ascii="宋体" w:hAnsi="宋体" w:cs="宋体" w:eastAsia="宋体" w:hint="default"/>
                <w:sz w:val="18"/>
                <w:szCs w:val="18"/>
              </w:rPr>
            </w:pPr>
            <w:r>
              <w:rPr>
                <w:rFonts w:ascii="宋体" w:hAnsi="宋体" w:cs="宋体" w:eastAsia="宋体" w:hint="default"/>
                <w:spacing w:val="-2"/>
                <w:sz w:val="18"/>
                <w:szCs w:val="18"/>
              </w:rPr>
              <w:t>正常履行。</w:t>
            </w: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28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1"/>
              <w:jc w:val="left"/>
              <w:rPr>
                <w:rFonts w:ascii="宋体" w:hAnsi="宋体" w:cs="宋体" w:eastAsia="宋体" w:hint="default"/>
                <w:sz w:val="18"/>
                <w:szCs w:val="18"/>
              </w:rPr>
            </w:pPr>
            <w:r>
              <w:rPr>
                <w:rFonts w:ascii="宋体" w:hAnsi="宋体" w:cs="宋体" w:eastAsia="宋体" w:hint="default"/>
                <w:spacing w:val="-3"/>
                <w:sz w:val="18"/>
                <w:szCs w:val="18"/>
              </w:rPr>
              <w:t>其他对公司中小股东</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所作承诺</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28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87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652"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24" w:right="41"/>
              <w:jc w:val="both"/>
              <w:rPr>
                <w:rFonts w:ascii="宋体" w:hAnsi="宋体" w:cs="宋体" w:eastAsia="宋体" w:hint="default"/>
                <w:sz w:val="18"/>
                <w:szCs w:val="18"/>
              </w:rPr>
            </w:pPr>
            <w:r>
              <w:rPr>
                <w:rFonts w:ascii="宋体" w:hAnsi="宋体" w:cs="宋体" w:eastAsia="宋体" w:hint="default"/>
                <w:spacing w:val="-3"/>
                <w:sz w:val="18"/>
                <w:szCs w:val="18"/>
              </w:rPr>
              <w:t>如承诺超期未履行完</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毕的，应当详细说明</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未完成履行的具体原</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因及下一步的工作计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划</w:t>
            </w:r>
          </w:p>
        </w:tc>
        <w:tc>
          <w:tcPr>
            <w:tcW w:w="787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4"/>
        <w:spacing w:line="256" w:lineRule="auto" w:before="36"/>
        <w:ind w:right="0"/>
        <w:jc w:val="left"/>
        <w:rPr>
          <w:b w:val="0"/>
          <w:bCs w:val="0"/>
        </w:rPr>
      </w:pPr>
      <w:bookmarkStart w:name="2、公司资产或项目存在盈利预测，且报告期仍处在盈利预测期间，公司就资产或项目达到" w:id="67"/>
      <w:bookmarkEnd w:id="67"/>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2"/>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306"/>
        <w:gridCol w:w="1181"/>
        <w:gridCol w:w="1181"/>
        <w:gridCol w:w="1176"/>
        <w:gridCol w:w="1181"/>
        <w:gridCol w:w="1181"/>
        <w:gridCol w:w="1181"/>
        <w:gridCol w:w="1181"/>
      </w:tblGrid>
      <w:tr>
        <w:trPr>
          <w:trHeight w:val="71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96" w:right="104" w:hanging="92"/>
              <w:jc w:val="left"/>
              <w:rPr>
                <w:rFonts w:ascii="宋体" w:hAnsi="宋体" w:cs="宋体" w:eastAsia="宋体" w:hint="default"/>
                <w:sz w:val="18"/>
                <w:szCs w:val="18"/>
              </w:rPr>
            </w:pPr>
            <w:r>
              <w:rPr>
                <w:rFonts w:ascii="宋体" w:hAnsi="宋体" w:cs="宋体" w:eastAsia="宋体" w:hint="default"/>
                <w:spacing w:val="-2"/>
                <w:sz w:val="18"/>
                <w:szCs w:val="18"/>
              </w:rPr>
              <w:t>盈利预测资产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或项目名称</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预测终止时间</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81"/>
              <w:ind w:left="9"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81"/>
              <w:ind w:left="4"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43" w:right="41"/>
              <w:jc w:val="left"/>
              <w:rPr>
                <w:rFonts w:ascii="宋体" w:hAnsi="宋体" w:cs="宋体" w:eastAsia="宋体" w:hint="default"/>
                <w:sz w:val="18"/>
                <w:szCs w:val="18"/>
              </w:rPr>
            </w:pPr>
            <w:r>
              <w:rPr>
                <w:rFonts w:ascii="宋体" w:hAnsi="宋体" w:cs="宋体" w:eastAsia="宋体" w:hint="default"/>
                <w:spacing w:val="-2"/>
                <w:sz w:val="18"/>
                <w:szCs w:val="18"/>
              </w:rPr>
              <w:t>未达预测的原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因（如适用）</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499" w:right="36" w:hanging="452"/>
              <w:jc w:val="left"/>
              <w:rPr>
                <w:rFonts w:ascii="宋体" w:hAnsi="宋体" w:cs="宋体" w:eastAsia="宋体" w:hint="default"/>
                <w:sz w:val="18"/>
                <w:szCs w:val="18"/>
              </w:rPr>
            </w:pPr>
            <w:r>
              <w:rPr>
                <w:rFonts w:ascii="宋体" w:hAnsi="宋体" w:cs="宋体" w:eastAsia="宋体" w:hint="default"/>
                <w:spacing w:val="-2"/>
                <w:sz w:val="18"/>
                <w:szCs w:val="18"/>
              </w:rPr>
              <w:t>原预测披露日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期</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494" w:right="41" w:hanging="452"/>
              <w:jc w:val="left"/>
              <w:rPr>
                <w:rFonts w:ascii="宋体" w:hAnsi="宋体" w:cs="宋体" w:eastAsia="宋体" w:hint="default"/>
                <w:sz w:val="18"/>
                <w:szCs w:val="18"/>
              </w:rPr>
            </w:pPr>
            <w:r>
              <w:rPr>
                <w:rFonts w:ascii="宋体" w:hAnsi="宋体" w:cs="宋体" w:eastAsia="宋体" w:hint="default"/>
                <w:spacing w:val="-2"/>
                <w:sz w:val="18"/>
                <w:szCs w:val="18"/>
              </w:rPr>
              <w:t>原预测披露索</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引</w:t>
            </w: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广东易教优培</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43" w:right="0"/>
              <w:jc w:val="left"/>
              <w:rPr>
                <w:rFonts w:ascii="Times New Roman" w:hAnsi="Times New Roman" w:cs="Times New Roman" w:eastAsia="Times New Roman" w:hint="default"/>
                <w:sz w:val="18"/>
                <w:szCs w:val="18"/>
              </w:rPr>
            </w:pPr>
            <w:r>
              <w:rPr>
                <w:rFonts w:ascii="Times New Roman"/>
                <w:sz w:val="18"/>
              </w:rPr>
              <w:t>5,300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18" w:right="0"/>
              <w:jc w:val="left"/>
              <w:rPr>
                <w:rFonts w:ascii="Times New Roman" w:hAnsi="Times New Roman" w:cs="Times New Roman" w:eastAsia="Times New Roman" w:hint="default"/>
                <w:sz w:val="18"/>
                <w:szCs w:val="18"/>
              </w:rPr>
            </w:pPr>
            <w:r>
              <w:rPr>
                <w:rFonts w:ascii="Times New Roman"/>
                <w:sz w:val="18"/>
              </w:rPr>
              <w:t>1,619.32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年，由于</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06"/>
        <w:gridCol w:w="1181"/>
        <w:gridCol w:w="1181"/>
        <w:gridCol w:w="1176"/>
        <w:gridCol w:w="1181"/>
        <w:gridCol w:w="1181"/>
        <w:gridCol w:w="1181"/>
        <w:gridCol w:w="1181"/>
      </w:tblGrid>
      <w:tr>
        <w:trPr>
          <w:trHeight w:val="379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24" w:right="185"/>
              <w:jc w:val="left"/>
              <w:rPr>
                <w:rFonts w:ascii="宋体" w:hAnsi="宋体" w:cs="宋体" w:eastAsia="宋体" w:hint="default"/>
                <w:sz w:val="18"/>
                <w:szCs w:val="18"/>
              </w:rPr>
            </w:pPr>
            <w:r>
              <w:rPr>
                <w:rFonts w:ascii="宋体" w:hAnsi="宋体" w:cs="宋体" w:eastAsia="宋体" w:hint="default"/>
                <w:spacing w:val="-2"/>
                <w:sz w:val="18"/>
                <w:szCs w:val="18"/>
              </w:rPr>
              <w:t>教育科技有限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60"/>
              <w:jc w:val="left"/>
              <w:rPr>
                <w:rFonts w:ascii="宋体" w:hAnsi="宋体" w:cs="宋体" w:eastAsia="宋体" w:hint="default"/>
                <w:sz w:val="18"/>
                <w:szCs w:val="18"/>
              </w:rPr>
            </w:pPr>
            <w:r>
              <w:rPr>
                <w:rFonts w:ascii="宋体" w:hAnsi="宋体" w:cs="宋体" w:eastAsia="宋体" w:hint="default"/>
                <w:sz w:val="18"/>
                <w:szCs w:val="18"/>
              </w:rPr>
              <w:t>教育市场收</w:t>
            </w:r>
            <w:r>
              <w:rPr>
                <w:rFonts w:ascii="宋体" w:hAnsi="宋体" w:cs="宋体" w:eastAsia="宋体" w:hint="default"/>
                <w:w w:val="101"/>
                <w:sz w:val="18"/>
                <w:szCs w:val="18"/>
              </w:rPr>
              <w:t> </w:t>
            </w:r>
            <w:r>
              <w:rPr>
                <w:rFonts w:ascii="宋体" w:hAnsi="宋体" w:cs="宋体" w:eastAsia="宋体" w:hint="default"/>
                <w:spacing w:val="-2"/>
                <w:sz w:val="18"/>
                <w:szCs w:val="18"/>
              </w:rPr>
              <w:t>紧，公司处于</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从线下培训到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在线培训的转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型期间，从产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品技术、团队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结构和经营管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理等方面都遇</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到了一定的挑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战，因此未能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完成承诺业</w:t>
            </w:r>
            <w:r>
              <w:rPr>
                <w:rFonts w:ascii="宋体" w:hAnsi="宋体" w:cs="宋体" w:eastAsia="宋体" w:hint="default"/>
                <w:w w:val="101"/>
                <w:sz w:val="18"/>
                <w:szCs w:val="18"/>
              </w:rPr>
              <w:t> </w:t>
            </w:r>
            <w:r>
              <w:rPr>
                <w:rFonts w:ascii="宋体" w:hAnsi="宋体" w:cs="宋体" w:eastAsia="宋体" w:hint="default"/>
                <w:sz w:val="18"/>
                <w:szCs w:val="18"/>
              </w:rPr>
              <w:t>绩。</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4" w:right="17"/>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www.cninfo.</w:t>
            </w:r>
            <w:r>
              <w:rPr>
                <w:rFonts w:ascii="Times New Roman" w:hAnsi="Times New Roman" w:cs="Times New Roman" w:eastAsia="Times New Roman" w:hint="default"/>
                <w:spacing w:val="-27"/>
                <w:sz w:val="18"/>
                <w:szCs w:val="18"/>
              </w:rPr>
              <w:t> </w:t>
            </w:r>
            <w:r>
              <w:rPr>
                <w:rFonts w:ascii="Times New Roman" w:hAnsi="Times New Roman" w:cs="Times New Roman" w:eastAsia="Times New Roman" w:hint="default"/>
                <w:spacing w:val="-27"/>
                <w:sz w:val="18"/>
                <w:szCs w:val="18"/>
              </w:rPr>
            </w:r>
            <w:r>
              <w:rPr>
                <w:rFonts w:ascii="Times New Roman" w:hAnsi="Times New Roman" w:cs="Times New Roman" w:eastAsia="Times New Roman" w:hint="default"/>
                <w:spacing w:val="-20"/>
                <w:w w:val="101"/>
                <w:sz w:val="18"/>
                <w:szCs w:val="18"/>
              </w:rPr>
              <w:t>com.cn</w:t>
            </w:r>
            <w:r>
              <w:rPr>
                <w:rFonts w:ascii="宋体" w:hAnsi="宋体" w:cs="宋体" w:eastAsia="宋体" w:hint="default"/>
                <w:spacing w:val="-20"/>
                <w:w w:val="101"/>
                <w:sz w:val="18"/>
                <w:szCs w:val="18"/>
              </w:rPr>
              <w:t>），《第</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宋体" w:hAnsi="宋体" w:cs="宋体" w:eastAsia="宋体" w:hint="default"/>
                <w:sz w:val="18"/>
                <w:szCs w:val="18"/>
              </w:rPr>
              <w:t>八届董事会第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二十七次会议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1"/>
                <w:w w:val="101"/>
                <w:sz w:val="18"/>
                <w:szCs w:val="18"/>
              </w:rPr>
              <w:t>决议公告》（公</w:t>
            </w:r>
            <w:r>
              <w:rPr>
                <w:rFonts w:ascii="宋体" w:hAnsi="宋体" w:cs="宋体" w:eastAsia="宋体" w:hint="default"/>
                <w:w w:val="101"/>
                <w:sz w:val="18"/>
                <w:szCs w:val="18"/>
              </w:rPr>
              <w:t> </w:t>
            </w:r>
            <w:r>
              <w:rPr>
                <w:rFonts w:ascii="宋体" w:hAnsi="宋体" w:cs="宋体" w:eastAsia="宋体" w:hint="default"/>
                <w:sz w:val="18"/>
                <w:szCs w:val="18"/>
              </w:rPr>
              <w:t>告编</w:t>
            </w:r>
          </w:p>
          <w:p>
            <w:pPr>
              <w:pStyle w:val="TableParagraph"/>
              <w:spacing w:line="240" w:lineRule="auto" w:before="27"/>
              <w:ind w:left="24" w:right="0"/>
              <w:jc w:val="both"/>
              <w:rPr>
                <w:rFonts w:ascii="宋体" w:hAnsi="宋体" w:cs="宋体" w:eastAsia="宋体" w:hint="default"/>
                <w:sz w:val="18"/>
                <w:szCs w:val="18"/>
              </w:rPr>
            </w:pPr>
            <w:r>
              <w:rPr>
                <w:rFonts w:ascii="宋体" w:hAnsi="宋体" w:cs="宋体" w:eastAsia="宋体" w:hint="default"/>
                <w:w w:val="101"/>
                <w:sz w:val="18"/>
                <w:szCs w:val="18"/>
              </w:rPr>
              <w:t>号</w:t>
            </w:r>
            <w:r>
              <w:rPr>
                <w:rFonts w:ascii="Times New Roman" w:hAnsi="Times New Roman" w:cs="Times New Roman" w:eastAsia="Times New Roman" w:hint="default"/>
                <w:spacing w:val="-8"/>
                <w:w w:val="101"/>
                <w:sz w:val="18"/>
                <w:szCs w:val="18"/>
              </w:rPr>
              <w:t>:</w:t>
            </w:r>
            <w:r>
              <w:rPr>
                <w:rFonts w:ascii="Times New Roman" w:hAnsi="Times New Roman" w:cs="Times New Roman" w:eastAsia="Times New Roman" w:hint="default"/>
                <w:w w:val="101"/>
                <w:sz w:val="18"/>
                <w:szCs w:val="18"/>
              </w:rPr>
              <w:t>201</w:t>
            </w:r>
            <w:r>
              <w:rPr>
                <w:rFonts w:ascii="Times New Roman" w:hAnsi="Times New Roman" w:cs="Times New Roman" w:eastAsia="Times New Roman" w:hint="default"/>
                <w:spacing w:val="-1"/>
                <w:w w:val="101"/>
                <w:sz w:val="18"/>
                <w:szCs w:val="18"/>
              </w:rPr>
              <w:t>7</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w w:val="101"/>
                <w:sz w:val="18"/>
                <w:szCs w:val="18"/>
              </w:rPr>
              <w:t>030</w:t>
            </w:r>
            <w:r>
              <w:rPr>
                <w:rFonts w:ascii="宋体" w:hAnsi="宋体" w:cs="宋体" w:eastAsia="宋体" w:hint="default"/>
                <w:spacing w:val="-92"/>
                <w:w w:val="101"/>
                <w:sz w:val="18"/>
                <w:szCs w:val="18"/>
              </w:rPr>
              <w:t>）。</w:t>
            </w:r>
            <w:r>
              <w:rPr>
                <w:rFonts w:ascii="宋体" w:hAnsi="宋体" w:cs="宋体" w:eastAsia="宋体" w:hint="default"/>
                <w:sz w:val="18"/>
                <w:szCs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公司股东、交易对手方在报告年度经营业绩做出的承诺情况</w:t>
      </w:r>
    </w:p>
    <w:p>
      <w:pPr>
        <w:spacing w:line="348" w:lineRule="auto" w:before="119"/>
        <w:ind w:left="153" w:right="211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详见与本公告同时披露的《广东易教优培教育科技有限公司盈利预测实现情况的专项审核报告》。</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3"/>
          <w:sz w:val="18"/>
          <w:szCs w:val="18"/>
        </w:rPr>
        <w:t>业绩承诺的完成情况及其对商誉减值测试的影响</w:t>
      </w:r>
    </w:p>
    <w:p>
      <w:pPr>
        <w:spacing w:line="300" w:lineRule="auto" w:before="115"/>
        <w:ind w:left="153" w:right="0" w:firstLine="360"/>
        <w:jc w:val="left"/>
        <w:rPr>
          <w:rFonts w:ascii="宋体" w:hAnsi="宋体" w:cs="宋体" w:eastAsia="宋体" w:hint="default"/>
          <w:sz w:val="18"/>
          <w:szCs w:val="18"/>
        </w:rPr>
      </w:pPr>
      <w:r>
        <w:rPr>
          <w:rFonts w:ascii="宋体" w:hAnsi="宋体" w:cs="宋体" w:eastAsia="宋体" w:hint="default"/>
          <w:spacing w:val="-3"/>
          <w:sz w:val="18"/>
          <w:szCs w:val="18"/>
        </w:rPr>
        <w:t>易教优培未完成</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年度业绩承诺。根据沃克森（北京）国际资产评估有限公司出具的评估报告，在持续经营前提下，</w:t>
      </w:r>
      <w:r>
        <w:rPr>
          <w:rFonts w:ascii="宋体" w:hAnsi="宋体" w:cs="宋体" w:eastAsia="宋体" w:hint="default"/>
          <w:w w:val="101"/>
          <w:sz w:val="18"/>
          <w:szCs w:val="18"/>
        </w:rPr>
        <w:t> </w:t>
      </w:r>
      <w:r>
        <w:rPr>
          <w:rFonts w:ascii="宋体" w:hAnsi="宋体" w:cs="宋体" w:eastAsia="宋体" w:hint="default"/>
          <w:spacing w:val="-3"/>
          <w:sz w:val="18"/>
          <w:szCs w:val="18"/>
        </w:rPr>
        <w:t>易教优培股东全部权益价值为</w:t>
      </w:r>
      <w:r>
        <w:rPr>
          <w:rFonts w:ascii="Times New Roman" w:hAnsi="Times New Roman" w:cs="Times New Roman" w:eastAsia="Times New Roman" w:hint="default"/>
          <w:spacing w:val="-3"/>
          <w:sz w:val="18"/>
          <w:szCs w:val="18"/>
        </w:rPr>
        <w:t>29,931.43</w:t>
      </w:r>
      <w:r>
        <w:rPr>
          <w:rFonts w:ascii="宋体" w:hAnsi="宋体" w:cs="宋体" w:eastAsia="宋体" w:hint="default"/>
          <w:spacing w:val="-3"/>
          <w:sz w:val="18"/>
          <w:szCs w:val="18"/>
        </w:rPr>
        <w:t>万元，远东文化持有易教优培</w:t>
      </w:r>
      <w:r>
        <w:rPr>
          <w:rFonts w:ascii="Times New Roman" w:hAnsi="Times New Roman" w:cs="Times New Roman" w:eastAsia="Times New Roman" w:hint="default"/>
          <w:spacing w:val="-3"/>
          <w:sz w:val="18"/>
          <w:szCs w:val="18"/>
        </w:rPr>
        <w:t>35%</w:t>
      </w:r>
      <w:r>
        <w:rPr>
          <w:rFonts w:ascii="宋体" w:hAnsi="宋体" w:cs="宋体" w:eastAsia="宋体" w:hint="default"/>
          <w:spacing w:val="-3"/>
          <w:sz w:val="18"/>
          <w:szCs w:val="18"/>
        </w:rPr>
        <w:t>股权对应的长期股权投资的可收回金额为</w:t>
      </w:r>
      <w:r>
        <w:rPr>
          <w:rFonts w:ascii="Times New Roman" w:hAnsi="Times New Roman" w:cs="Times New Roman" w:eastAsia="Times New Roman" w:hint="default"/>
          <w:spacing w:val="-3"/>
          <w:sz w:val="18"/>
          <w:szCs w:val="18"/>
        </w:rPr>
        <w:t>10,476.00</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pacing w:val="11"/>
          <w:sz w:val="18"/>
          <w:szCs w:val="18"/>
        </w:rPr>
      </w:r>
      <w:r>
        <w:rPr>
          <w:rFonts w:ascii="宋体" w:hAnsi="宋体" w:cs="宋体" w:eastAsia="宋体" w:hint="default"/>
          <w:spacing w:val="-3"/>
          <w:sz w:val="18"/>
          <w:szCs w:val="18"/>
        </w:rPr>
        <w:t>万元，故于</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年度计提长期股权投资减值</w:t>
      </w:r>
      <w:r>
        <w:rPr>
          <w:rFonts w:ascii="Times New Roman" w:hAnsi="Times New Roman" w:cs="Times New Roman" w:eastAsia="Times New Roman" w:hint="default"/>
          <w:spacing w:val="-3"/>
          <w:sz w:val="18"/>
          <w:szCs w:val="18"/>
        </w:rPr>
        <w:t>1,324.10</w:t>
      </w:r>
      <w:r>
        <w:rPr>
          <w:rFonts w:ascii="宋体" w:hAnsi="宋体" w:cs="宋体" w:eastAsia="宋体" w:hint="default"/>
          <w:spacing w:val="-3"/>
          <w:sz w:val="18"/>
          <w:szCs w:val="18"/>
        </w:rPr>
        <w:t>万元。易教优培为公司参股公司，收购时未形成商誉，本次长期股权投</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资减值不影响公司商誉。</w:t>
      </w:r>
    </w:p>
    <w:p>
      <w:pPr>
        <w:spacing w:line="240" w:lineRule="auto" w:before="3"/>
        <w:rPr>
          <w:rFonts w:ascii="宋体" w:hAnsi="宋体" w:cs="宋体" w:eastAsia="宋体" w:hint="default"/>
          <w:sz w:val="21"/>
          <w:szCs w:val="21"/>
        </w:rPr>
      </w:pPr>
    </w:p>
    <w:p>
      <w:pPr>
        <w:pStyle w:val="Heading2"/>
        <w:spacing w:line="240" w:lineRule="auto"/>
        <w:ind w:right="0"/>
        <w:jc w:val="left"/>
        <w:rPr>
          <w:b w:val="0"/>
          <w:bCs w:val="0"/>
        </w:rPr>
      </w:pPr>
      <w:bookmarkStart w:name="四、控股股东及其关联方对上市公司的非经营性占用资金情况" w:id="68"/>
      <w:bookmarkEnd w:id="68"/>
      <w:r>
        <w:rPr>
          <w:b w:val="0"/>
          <w:bCs w:val="0"/>
        </w:rPr>
      </w:r>
      <w:r>
        <w:rPr/>
        <w:t>四、控股股东及其关联方对上市公司的非经营性占用资金情况</w:t>
      </w:r>
      <w:r>
        <w:rPr>
          <w:b w:val="0"/>
          <w:bCs w:val="0"/>
        </w:rPr>
      </w:r>
    </w:p>
    <w:p>
      <w:pPr>
        <w:spacing w:line="240" w:lineRule="auto" w:before="3"/>
        <w:rPr>
          <w:rFonts w:ascii="宋体" w:hAnsi="宋体" w:cs="宋体" w:eastAsia="宋体" w:hint="default"/>
          <w:b/>
          <w:bCs/>
          <w:sz w:val="27"/>
          <w:szCs w:val="27"/>
        </w:rPr>
      </w:pPr>
    </w:p>
    <w:p>
      <w:pPr>
        <w:spacing w:line="338" w:lineRule="auto" w:before="0"/>
        <w:ind w:left="153" w:right="3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公司报告期不存在控股股东及其关联方对上市公司的非经营性占用资金。</w:t>
      </w:r>
    </w:p>
    <w:p>
      <w:pPr>
        <w:spacing w:line="240" w:lineRule="auto" w:before="9"/>
        <w:rPr>
          <w:rFonts w:ascii="宋体" w:hAnsi="宋体" w:cs="宋体" w:eastAsia="宋体" w:hint="default"/>
          <w:sz w:val="18"/>
          <w:szCs w:val="18"/>
        </w:rPr>
      </w:pPr>
    </w:p>
    <w:p>
      <w:pPr>
        <w:pStyle w:val="Heading2"/>
        <w:spacing w:line="240" w:lineRule="auto"/>
        <w:ind w:right="0"/>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2"/>
          <w:szCs w:val="22"/>
        </w:rPr>
      </w:pPr>
    </w:p>
    <w:p>
      <w:pPr>
        <w:pStyle w:val="Heading2"/>
        <w:spacing w:line="240" w:lineRule="auto"/>
        <w:ind w:right="0"/>
        <w:jc w:val="left"/>
        <w:rPr>
          <w:b w:val="0"/>
          <w:bCs w:val="0"/>
        </w:rPr>
      </w:pPr>
      <w:bookmarkStart w:name="六、与上年度财务报告相比，会计政策、会计估计和核算方法发生变化的情况说明" w:id="70"/>
      <w:bookmarkEnd w:id="70"/>
      <w:r>
        <w:rPr>
          <w:b w:val="0"/>
          <w:bCs w:val="0"/>
        </w:rPr>
      </w:r>
      <w:r>
        <w:rPr/>
        <w:t>六、与上年度财务报告相比，会计政策、会计估计和核算方法发生变化的情况说明</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tabs>
          <w:tab w:pos="921" w:val="left" w:leader="none"/>
        </w:tabs>
        <w:spacing w:line="300" w:lineRule="auto" w:before="96"/>
        <w:ind w:left="575" w:right="1127" w:hanging="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tab/>
      </w:r>
      <w:r>
        <w:rPr>
          <w:rFonts w:ascii="宋体" w:hAnsi="宋体" w:cs="宋体" w:eastAsia="宋体" w:hint="default"/>
          <w:spacing w:val="-3"/>
          <w:sz w:val="18"/>
          <w:szCs w:val="18"/>
        </w:rPr>
        <w:t>执行新金融工具准则导致的会计政策变更</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4"/>
          <w:sz w:val="18"/>
          <w:szCs w:val="18"/>
        </w:rPr>
        <w:t>财政部于</w:t>
      </w:r>
      <w:r>
        <w:rPr>
          <w:rFonts w:ascii="Times New Roman" w:hAnsi="Times New Roman" w:cs="Times New Roman" w:eastAsia="Times New Roman" w:hint="default"/>
          <w:spacing w:val="-4"/>
          <w:sz w:val="18"/>
          <w:szCs w:val="18"/>
        </w:rPr>
        <w:t>2017</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31</w:t>
      </w:r>
      <w:r>
        <w:rPr>
          <w:rFonts w:ascii="宋体" w:hAnsi="宋体" w:cs="宋体" w:eastAsia="宋体" w:hint="default"/>
          <w:spacing w:val="-4"/>
          <w:sz w:val="18"/>
          <w:szCs w:val="18"/>
        </w:rPr>
        <w:t>日分别发布了《企业会计准则第</w:t>
      </w:r>
      <w:r>
        <w:rPr>
          <w:rFonts w:ascii="Times New Roman" w:hAnsi="Times New Roman" w:cs="Times New Roman" w:eastAsia="Times New Roman" w:hint="default"/>
          <w:spacing w:val="-4"/>
          <w:sz w:val="18"/>
          <w:szCs w:val="18"/>
        </w:rPr>
        <w:t>22</w:t>
      </w:r>
      <w:r>
        <w:rPr>
          <w:rFonts w:ascii="宋体" w:hAnsi="宋体" w:cs="宋体" w:eastAsia="宋体" w:hint="default"/>
          <w:spacing w:val="-4"/>
          <w:sz w:val="18"/>
          <w:szCs w:val="18"/>
        </w:rPr>
        <w:t>号</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金融工具确认和计量</w:t>
      </w:r>
      <w:r>
        <w:rPr>
          <w:rFonts w:ascii="Times New Roman" w:hAnsi="Times New Roman" w:cs="Times New Roman" w:eastAsia="Times New Roman" w:hint="default"/>
          <w:spacing w:val="-4"/>
          <w:sz w:val="18"/>
          <w:szCs w:val="18"/>
        </w:rPr>
        <w:t>(2017</w:t>
      </w:r>
      <w:r>
        <w:rPr>
          <w:rFonts w:ascii="宋体" w:hAnsi="宋体" w:cs="宋体" w:eastAsia="宋体" w:hint="default"/>
          <w:spacing w:val="-4"/>
          <w:sz w:val="18"/>
          <w:szCs w:val="18"/>
        </w:rPr>
        <w:t>年修订</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财会〔</w:t>
      </w:r>
      <w:r>
        <w:rPr>
          <w:rFonts w:ascii="Times New Roman" w:hAnsi="Times New Roman" w:cs="Times New Roman" w:eastAsia="Times New Roman" w:hint="default"/>
          <w:spacing w:val="-4"/>
          <w:sz w:val="18"/>
          <w:szCs w:val="18"/>
        </w:rPr>
        <w:t>2017</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7</w:t>
      </w:r>
      <w:r>
        <w:rPr>
          <w:rFonts w:ascii="宋体" w:hAnsi="宋体" w:cs="宋体" w:eastAsia="宋体" w:hint="default"/>
          <w:spacing w:val="-4"/>
          <w:sz w:val="18"/>
          <w:szCs w:val="18"/>
        </w:rPr>
        <w:t>号</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p>
    <w:p>
      <w:pPr>
        <w:spacing w:line="300" w:lineRule="auto" w:before="13"/>
        <w:ind w:left="153" w:right="1122" w:firstLine="0"/>
        <w:jc w:val="both"/>
        <w:rPr>
          <w:rFonts w:ascii="宋体" w:hAnsi="宋体" w:cs="宋体" w:eastAsia="宋体" w:hint="default"/>
          <w:sz w:val="18"/>
          <w:szCs w:val="18"/>
        </w:rPr>
      </w:pPr>
      <w:r>
        <w:rPr>
          <w:rFonts w:ascii="宋体" w:hAnsi="宋体" w:cs="宋体" w:eastAsia="宋体" w:hint="default"/>
          <w:spacing w:val="-1"/>
          <w:sz w:val="18"/>
          <w:szCs w:val="18"/>
        </w:rPr>
        <w:t>《企业会计准则第</w:t>
      </w:r>
      <w:r>
        <w:rPr>
          <w:rFonts w:ascii="Times New Roman" w:hAnsi="Times New Roman" w:cs="Times New Roman" w:eastAsia="Times New Roman" w:hint="default"/>
          <w:spacing w:val="-1"/>
          <w:sz w:val="18"/>
          <w:szCs w:val="18"/>
        </w:rPr>
        <w:t>23</w:t>
      </w:r>
      <w:r>
        <w:rPr>
          <w:rFonts w:ascii="宋体" w:hAnsi="宋体" w:cs="宋体" w:eastAsia="宋体" w:hint="default"/>
          <w:spacing w:val="-1"/>
          <w:sz w:val="18"/>
          <w:szCs w:val="18"/>
        </w:rPr>
        <w:t>号</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金融资产转移</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年修订</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财会〔</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号</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、《企业会计准则第</w:t>
      </w:r>
      <w:r>
        <w:rPr>
          <w:rFonts w:ascii="Times New Roman" w:hAnsi="Times New Roman" w:cs="Times New Roman" w:eastAsia="Times New Roman" w:hint="default"/>
          <w:spacing w:val="-1"/>
          <w:sz w:val="18"/>
          <w:szCs w:val="18"/>
        </w:rPr>
        <w:t>24</w:t>
      </w:r>
      <w:r>
        <w:rPr>
          <w:rFonts w:ascii="宋体" w:hAnsi="宋体" w:cs="宋体" w:eastAsia="宋体" w:hint="default"/>
          <w:spacing w:val="-1"/>
          <w:sz w:val="18"/>
          <w:szCs w:val="18"/>
        </w:rPr>
        <w:t>号</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套期会计</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宋体" w:hAnsi="宋体" w:cs="宋体" w:eastAsia="宋体" w:hint="default"/>
          <w:spacing w:val="42"/>
          <w:sz w:val="18"/>
          <w:szCs w:val="18"/>
        </w:rPr>
        <w:t> </w:t>
      </w:r>
      <w:r>
        <w:rPr>
          <w:rFonts w:ascii="宋体" w:hAnsi="宋体" w:cs="宋体" w:eastAsia="宋体" w:hint="default"/>
          <w:spacing w:val="-2"/>
          <w:sz w:val="18"/>
          <w:szCs w:val="18"/>
        </w:rPr>
        <w:t>修订</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财会〔</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，于</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日发布了《企业会计准则第</w:t>
      </w:r>
      <w:r>
        <w:rPr>
          <w:rFonts w:ascii="Times New Roman" w:hAnsi="Times New Roman" w:cs="Times New Roman" w:eastAsia="Times New Roman" w:hint="default"/>
          <w:spacing w:val="-2"/>
          <w:sz w:val="18"/>
          <w:szCs w:val="18"/>
        </w:rPr>
        <w:t>37</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金融工具列报</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年修订</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财会〔</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14</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上述准则统称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新金融工具准则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，要求境内上市企业自</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日起执行新金融工具准则。</w:t>
      </w:r>
    </w:p>
    <w:p>
      <w:pPr>
        <w:spacing w:line="300" w:lineRule="auto" w:before="13"/>
        <w:ind w:left="153" w:right="1127" w:firstLine="422"/>
        <w:jc w:val="left"/>
        <w:rPr>
          <w:rFonts w:ascii="宋体" w:hAnsi="宋体" w:cs="宋体" w:eastAsia="宋体" w:hint="default"/>
          <w:sz w:val="18"/>
          <w:szCs w:val="18"/>
        </w:rPr>
      </w:pPr>
      <w:r>
        <w:rPr>
          <w:rFonts w:ascii="宋体" w:hAnsi="宋体" w:cs="宋体" w:eastAsia="宋体" w:hint="default"/>
          <w:sz w:val="18"/>
          <w:szCs w:val="18"/>
        </w:rPr>
        <w:t>公司于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日召开第九届董事会第四次会议通过决议，本集团于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日起开始执行前述新金融工</w:t>
      </w:r>
      <w:r>
        <w:rPr>
          <w:rFonts w:ascii="宋体" w:hAnsi="宋体" w:cs="宋体" w:eastAsia="宋体" w:hint="default"/>
          <w:w w:val="101"/>
          <w:sz w:val="18"/>
          <w:szCs w:val="18"/>
        </w:rPr>
        <w:t> </w:t>
      </w:r>
      <w:r>
        <w:rPr>
          <w:rFonts w:ascii="宋体" w:hAnsi="宋体" w:cs="宋体" w:eastAsia="宋体" w:hint="default"/>
          <w:sz w:val="18"/>
          <w:szCs w:val="18"/>
        </w:rPr>
        <w:t>具准则。</w:t>
      </w:r>
    </w:p>
    <w:p>
      <w:pPr>
        <w:spacing w:line="316" w:lineRule="auto" w:before="32"/>
        <w:ind w:left="153" w:right="1123" w:firstLine="422"/>
        <w:jc w:val="both"/>
        <w:rPr>
          <w:rFonts w:ascii="宋体" w:hAnsi="宋体" w:cs="宋体" w:eastAsia="宋体" w:hint="default"/>
          <w:sz w:val="18"/>
          <w:szCs w:val="18"/>
        </w:rPr>
      </w:pPr>
      <w:r>
        <w:rPr>
          <w:rFonts w:ascii="宋体" w:hAnsi="宋体" w:cs="宋体" w:eastAsia="宋体" w:hint="default"/>
          <w:spacing w:val="-2"/>
          <w:sz w:val="18"/>
          <w:szCs w:val="18"/>
        </w:rPr>
        <w:t>在新金融工具准则下所有已确认金融资产，其后续均按摊余成本或公允价值计量。在新金融工具准则施行日，以本集</w:t>
      </w:r>
      <w:r>
        <w:rPr>
          <w:rFonts w:ascii="宋体" w:hAnsi="宋体" w:cs="宋体" w:eastAsia="宋体" w:hint="default"/>
          <w:w w:val="101"/>
          <w:sz w:val="18"/>
          <w:szCs w:val="18"/>
        </w:rPr>
        <w:t> </w:t>
      </w:r>
      <w:r>
        <w:rPr>
          <w:rFonts w:ascii="宋体" w:hAnsi="宋体" w:cs="宋体" w:eastAsia="宋体" w:hint="default"/>
          <w:spacing w:val="-4"/>
          <w:w w:val="101"/>
          <w:sz w:val="18"/>
          <w:szCs w:val="18"/>
        </w:rPr>
        <w:t>团该日既有事实和情况为基础评估管理金融资产的业务模式、以金融资产初始确认时的事实和情况为基础评估该金融资产上</w:t>
      </w:r>
      <w:r>
        <w:rPr>
          <w:rFonts w:ascii="宋体" w:hAnsi="宋体" w:cs="宋体" w:eastAsia="宋体" w:hint="default"/>
          <w:w w:val="101"/>
          <w:sz w:val="18"/>
          <w:szCs w:val="18"/>
        </w:rPr>
        <w:t> </w:t>
      </w:r>
      <w:r>
        <w:rPr>
          <w:rFonts w:ascii="宋体" w:hAnsi="宋体" w:cs="宋体" w:eastAsia="宋体" w:hint="default"/>
          <w:spacing w:val="-4"/>
          <w:sz w:val="18"/>
          <w:szCs w:val="18"/>
        </w:rPr>
        <w:t>的合同现金流量特征，将金融资产分为三类：按摊余成本计量、按公允价值计量且其变动计入其他综合收益及按公允价值计</w:t>
      </w:r>
    </w:p>
    <w:p>
      <w:pPr>
        <w:spacing w:after="0" w:line="316" w:lineRule="auto"/>
        <w:jc w:val="both"/>
        <w:rPr>
          <w:rFonts w:ascii="宋体" w:hAnsi="宋体" w:cs="宋体" w:eastAsia="宋体" w:hint="default"/>
          <w:sz w:val="18"/>
          <w:szCs w:val="18"/>
        </w:rPr>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spacing w:line="316" w:lineRule="auto" w:before="46"/>
        <w:ind w:left="153" w:right="0" w:firstLine="0"/>
        <w:jc w:val="left"/>
        <w:rPr>
          <w:rFonts w:ascii="宋体" w:hAnsi="宋体" w:cs="宋体" w:eastAsia="宋体" w:hint="default"/>
          <w:sz w:val="18"/>
          <w:szCs w:val="18"/>
        </w:rPr>
      </w:pPr>
      <w:r>
        <w:rPr>
          <w:rFonts w:ascii="宋体" w:hAnsi="宋体" w:cs="宋体" w:eastAsia="宋体" w:hint="default"/>
          <w:spacing w:val="-4"/>
          <w:sz w:val="18"/>
          <w:szCs w:val="18"/>
        </w:rPr>
        <w:t>量且其变动计入当期损益。其中，对于按公允价值计量且其变动计入其他综合收益的权益工具投资，当该金融资产终止确认</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时，之前计入其他综合收益的累计利得或损失将从其他综合收益转入留存收益，不计入当期损益。</w:t>
      </w:r>
    </w:p>
    <w:p>
      <w:pPr>
        <w:spacing w:line="319" w:lineRule="auto" w:before="19"/>
        <w:ind w:left="153" w:right="0" w:firstLine="422"/>
        <w:jc w:val="left"/>
        <w:rPr>
          <w:rFonts w:ascii="宋体" w:hAnsi="宋体" w:cs="宋体" w:eastAsia="宋体" w:hint="default"/>
          <w:sz w:val="18"/>
          <w:szCs w:val="18"/>
        </w:rPr>
      </w:pPr>
      <w:r>
        <w:rPr>
          <w:rFonts w:ascii="宋体" w:hAnsi="宋体" w:cs="宋体" w:eastAsia="宋体" w:hint="default"/>
          <w:spacing w:val="-2"/>
          <w:sz w:val="18"/>
          <w:szCs w:val="18"/>
        </w:rPr>
        <w:t>在新金融工具准则下，本集团以预期信用损失为基础，对以摊余成本计量的金融资产、以公允价值计量且其变动计入</w:t>
      </w:r>
      <w:r>
        <w:rPr>
          <w:rFonts w:ascii="宋体" w:hAnsi="宋体" w:cs="宋体" w:eastAsia="宋体" w:hint="default"/>
          <w:w w:val="101"/>
          <w:sz w:val="18"/>
          <w:szCs w:val="18"/>
        </w:rPr>
        <w:t> </w:t>
      </w:r>
      <w:r>
        <w:rPr>
          <w:rFonts w:ascii="宋体" w:hAnsi="宋体" w:cs="宋体" w:eastAsia="宋体" w:hint="default"/>
          <w:spacing w:val="-3"/>
          <w:sz w:val="18"/>
          <w:szCs w:val="18"/>
        </w:rPr>
        <w:t>其他综合收益的债务工具投资、租赁应收款及财务担保合同计提减值准备并确认信用减值损失。</w:t>
      </w:r>
    </w:p>
    <w:p>
      <w:pPr>
        <w:spacing w:line="300" w:lineRule="auto" w:before="17"/>
        <w:ind w:left="153" w:right="0" w:firstLine="422"/>
        <w:jc w:val="left"/>
        <w:rPr>
          <w:rFonts w:ascii="宋体" w:hAnsi="宋体" w:cs="宋体" w:eastAsia="宋体" w:hint="default"/>
          <w:sz w:val="18"/>
          <w:szCs w:val="18"/>
        </w:rPr>
      </w:pPr>
      <w:r>
        <w:rPr>
          <w:rFonts w:ascii="宋体" w:hAnsi="宋体" w:cs="宋体" w:eastAsia="宋体" w:hint="default"/>
          <w:spacing w:val="-3"/>
          <w:sz w:val="18"/>
          <w:szCs w:val="18"/>
        </w:rPr>
        <w:t>本集团追溯应用新金融工具准则，但对于分类和计量</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含减值</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涉及前期比较财务报表数据与新金融工具准则不一致的，</w:t>
      </w:r>
      <w:r>
        <w:rPr>
          <w:rFonts w:ascii="宋体" w:hAnsi="宋体" w:cs="宋体" w:eastAsia="宋体" w:hint="default"/>
          <w:w w:val="101"/>
          <w:sz w:val="18"/>
          <w:szCs w:val="18"/>
        </w:rPr>
        <w:t> </w:t>
      </w:r>
      <w:r>
        <w:rPr>
          <w:rFonts w:ascii="宋体" w:hAnsi="宋体" w:cs="宋体" w:eastAsia="宋体" w:hint="default"/>
          <w:spacing w:val="-4"/>
          <w:sz w:val="18"/>
          <w:szCs w:val="18"/>
        </w:rPr>
        <w:t>本集团选择不进行重述。因此，对于首次执行该准则的累积影响数，本集团调整</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年年初留存收益或其他综合收益以及财</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务报表其他相关项目金额，</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年度的财务报表未予重述。</w:t>
      </w:r>
    </w:p>
    <w:p>
      <w:pPr>
        <w:spacing w:before="13"/>
        <w:ind w:left="575" w:right="0" w:firstLine="0"/>
        <w:jc w:val="left"/>
        <w:rPr>
          <w:rFonts w:ascii="宋体" w:hAnsi="宋体" w:cs="宋体" w:eastAsia="宋体" w:hint="default"/>
          <w:sz w:val="18"/>
          <w:szCs w:val="18"/>
        </w:rPr>
      </w:pPr>
      <w:r>
        <w:rPr>
          <w:rFonts w:ascii="宋体" w:hAnsi="宋体" w:cs="宋体" w:eastAsia="宋体" w:hint="default"/>
          <w:spacing w:val="-3"/>
          <w:sz w:val="18"/>
          <w:szCs w:val="18"/>
        </w:rPr>
        <w:t>执行新金融工具准则对本集团的主要变化和影响如下：</w:t>
      </w:r>
    </w:p>
    <w:p>
      <w:pPr>
        <w:spacing w:line="300" w:lineRule="auto" w:before="76"/>
        <w:ind w:left="153" w:right="0" w:firstLine="42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本集团于</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日及以后将持有的部分非交易性股权投资指定为以公允价值计量且其变动计入其他综合收益</w:t>
      </w:r>
      <w:r>
        <w:rPr>
          <w:rFonts w:ascii="宋体" w:hAnsi="宋体" w:cs="宋体" w:eastAsia="宋体" w:hint="default"/>
          <w:w w:val="101"/>
          <w:sz w:val="18"/>
          <w:szCs w:val="18"/>
        </w:rPr>
        <w:t> </w:t>
      </w:r>
      <w:r>
        <w:rPr>
          <w:rFonts w:ascii="宋体" w:hAnsi="宋体" w:cs="宋体" w:eastAsia="宋体" w:hint="default"/>
          <w:spacing w:val="-3"/>
          <w:sz w:val="18"/>
          <w:szCs w:val="18"/>
        </w:rPr>
        <w:t>的金融资产，列报为其他权益工具投资。</w:t>
      </w:r>
    </w:p>
    <w:p>
      <w:pPr>
        <w:spacing w:line="415" w:lineRule="auto" w:before="151"/>
        <w:ind w:left="594" w:right="6287"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A</w:t>
      </w:r>
      <w:r>
        <w:rPr>
          <w:rFonts w:ascii="宋体" w:hAnsi="宋体" w:cs="宋体" w:eastAsia="宋体" w:hint="default"/>
          <w:spacing w:val="-3"/>
          <w:sz w:val="18"/>
          <w:szCs w:val="18"/>
        </w:rPr>
        <w:t>、首次执行日前后金融资产分类和计量对比表</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Times New Roman" w:hAnsi="Times New Roman" w:cs="Times New Roman" w:eastAsia="Times New Roman" w:hint="default"/>
          <w:spacing w:val="-3"/>
          <w:sz w:val="18"/>
          <w:szCs w:val="18"/>
        </w:rPr>
        <w:t>a</w:t>
      </w:r>
      <w:r>
        <w:rPr>
          <w:rFonts w:ascii="宋体" w:hAnsi="宋体" w:cs="宋体" w:eastAsia="宋体" w:hint="default"/>
          <w:spacing w:val="-3"/>
          <w:sz w:val="18"/>
          <w:szCs w:val="18"/>
        </w:rPr>
        <w:t>、对合并财务报表的影响</w:t>
      </w:r>
    </w:p>
    <w:p>
      <w:pPr>
        <w:spacing w:line="240" w:lineRule="auto" w:before="1"/>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1561"/>
        <w:gridCol w:w="1988"/>
        <w:gridCol w:w="1133"/>
        <w:gridCol w:w="1556"/>
        <w:gridCol w:w="1834"/>
        <w:gridCol w:w="1061"/>
      </w:tblGrid>
      <w:tr>
        <w:trPr>
          <w:trHeight w:val="346" w:hRule="exact"/>
        </w:trPr>
        <w:tc>
          <w:tcPr>
            <w:tcW w:w="468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26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31</w:t>
            </w:r>
            <w:r>
              <w:rPr>
                <w:rFonts w:ascii="宋体" w:hAnsi="宋体" w:cs="宋体" w:eastAsia="宋体" w:hint="default"/>
                <w:sz w:val="20"/>
                <w:szCs w:val="20"/>
              </w:rPr>
              <w:t>日</w:t>
            </w:r>
            <w:r>
              <w:rPr>
                <w:rFonts w:ascii="Times New Roman" w:hAnsi="Times New Roman" w:cs="Times New Roman" w:eastAsia="Times New Roman" w:hint="default"/>
                <w:sz w:val="20"/>
                <w:szCs w:val="20"/>
              </w:rPr>
              <w:t>(</w:t>
            </w:r>
            <w:r>
              <w:rPr>
                <w:rFonts w:ascii="宋体" w:hAnsi="宋体" w:cs="宋体" w:eastAsia="宋体" w:hint="default"/>
                <w:sz w:val="20"/>
                <w:szCs w:val="20"/>
              </w:rPr>
              <w:t>变更前</w:t>
            </w:r>
            <w:r>
              <w:rPr>
                <w:rFonts w:ascii="Times New Roman" w:hAnsi="Times New Roman" w:cs="Times New Roman" w:eastAsia="Times New Roman" w:hint="default"/>
                <w:sz w:val="20"/>
                <w:szCs w:val="20"/>
              </w:rPr>
              <w:t>)</w:t>
            </w:r>
          </w:p>
        </w:tc>
        <w:tc>
          <w:tcPr>
            <w:tcW w:w="44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25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2019</w:t>
            </w:r>
            <w:r>
              <w:rPr>
                <w:rFonts w:ascii="宋体" w:hAnsi="宋体" w:cs="宋体" w:eastAsia="宋体" w:hint="default"/>
                <w:sz w:val="20"/>
                <w:szCs w:val="20"/>
              </w:rPr>
              <w:t>年</w:t>
            </w:r>
            <w:r>
              <w:rPr>
                <w:rFonts w:ascii="Times New Roman" w:hAnsi="Times New Roman" w:cs="Times New Roman" w:eastAsia="Times New Roman" w:hint="default"/>
                <w:sz w:val="20"/>
                <w:szCs w:val="20"/>
              </w:rPr>
              <w:t>1</w:t>
            </w:r>
            <w:r>
              <w:rPr>
                <w:rFonts w:ascii="宋体" w:hAnsi="宋体" w:cs="宋体" w:eastAsia="宋体" w:hint="default"/>
                <w:sz w:val="20"/>
                <w:szCs w:val="20"/>
              </w:rPr>
              <w:t>月</w:t>
            </w:r>
            <w:r>
              <w:rPr>
                <w:rFonts w:ascii="Times New Roman" w:hAnsi="Times New Roman" w:cs="Times New Roman" w:eastAsia="Times New Roman" w:hint="default"/>
                <w:sz w:val="20"/>
                <w:szCs w:val="20"/>
              </w:rPr>
              <w:t>1</w:t>
            </w:r>
            <w:r>
              <w:rPr>
                <w:rFonts w:ascii="宋体" w:hAnsi="宋体" w:cs="宋体" w:eastAsia="宋体" w:hint="default"/>
                <w:sz w:val="20"/>
                <w:szCs w:val="20"/>
              </w:rPr>
              <w:t>日</w:t>
            </w:r>
            <w:r>
              <w:rPr>
                <w:rFonts w:ascii="Times New Roman" w:hAnsi="Times New Roman" w:cs="Times New Roman" w:eastAsia="Times New Roman" w:hint="default"/>
                <w:sz w:val="20"/>
                <w:szCs w:val="20"/>
              </w:rPr>
              <w:t>(</w:t>
            </w:r>
            <w:r>
              <w:rPr>
                <w:rFonts w:ascii="宋体" w:hAnsi="宋体" w:cs="宋体" w:eastAsia="宋体" w:hint="default"/>
                <w:sz w:val="20"/>
                <w:szCs w:val="20"/>
              </w:rPr>
              <w:t>变更后</w:t>
            </w:r>
            <w:r>
              <w:rPr>
                <w:rFonts w:ascii="Times New Roman" w:hAnsi="Times New Roman" w:cs="Times New Roman" w:eastAsia="Times New Roman" w:hint="default"/>
                <w:sz w:val="20"/>
                <w:szCs w:val="20"/>
              </w:rPr>
              <w:t>)</w:t>
            </w:r>
          </w:p>
        </w:tc>
      </w:tr>
      <w:tr>
        <w:trPr>
          <w:trHeight w:val="351" w:hRule="exact"/>
        </w:trPr>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29"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56"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658" w:hRule="exact"/>
        </w:trPr>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185,094,124.5</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177,145,108.5</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r>
        <w:trPr>
          <w:trHeight w:val="658" w:hRule="exact"/>
        </w:trPr>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186,009,724.9</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174,499,805.9</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r>
      <w:tr>
        <w:trPr>
          <w:trHeight w:val="663" w:hRule="exact"/>
        </w:trPr>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19"/>
              <w:jc w:val="left"/>
              <w:rPr>
                <w:rFonts w:ascii="宋体" w:hAnsi="宋体" w:cs="宋体" w:eastAsia="宋体" w:hint="default"/>
                <w:sz w:val="18"/>
                <w:szCs w:val="18"/>
              </w:rPr>
            </w:pPr>
            <w:r>
              <w:rPr>
                <w:rFonts w:ascii="宋体" w:hAnsi="宋体" w:cs="宋体" w:eastAsia="宋体" w:hint="default"/>
                <w:spacing w:val="-2"/>
                <w:sz w:val="18"/>
                <w:szCs w:val="18"/>
              </w:rPr>
              <w:t>以成本计量（权益工具）</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6" w:right="-5"/>
              <w:jc w:val="center"/>
              <w:rPr>
                <w:rFonts w:ascii="Times New Roman" w:hAnsi="Times New Roman" w:cs="Times New Roman" w:eastAsia="Times New Roman" w:hint="default"/>
                <w:sz w:val="18"/>
                <w:szCs w:val="18"/>
              </w:rPr>
            </w:pPr>
            <w:r>
              <w:rPr>
                <w:rFonts w:ascii="Times New Roman"/>
                <w:spacing w:val="-2"/>
                <w:sz w:val="18"/>
              </w:rPr>
              <w:t>57,889,687.88</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9" w:right="-10"/>
              <w:jc w:val="left"/>
              <w:rPr>
                <w:rFonts w:ascii="宋体" w:hAnsi="宋体" w:cs="宋体" w:eastAsia="宋体" w:hint="default"/>
                <w:sz w:val="18"/>
                <w:szCs w:val="18"/>
              </w:rPr>
            </w:pPr>
            <w:r>
              <w:rPr>
                <w:rFonts w:ascii="宋体" w:hAnsi="宋体" w:cs="宋体" w:eastAsia="宋体" w:hint="default"/>
                <w:sz w:val="18"/>
                <w:szCs w:val="18"/>
              </w:rPr>
              <w:t>以公允价值计量且其变</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动计入其他综合收益</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 w:right="-4"/>
              <w:jc w:val="center"/>
              <w:rPr>
                <w:rFonts w:ascii="Times New Roman" w:hAnsi="Times New Roman" w:cs="Times New Roman" w:eastAsia="Times New Roman" w:hint="default"/>
                <w:sz w:val="18"/>
                <w:szCs w:val="18"/>
              </w:rPr>
            </w:pPr>
            <w:r>
              <w:rPr>
                <w:rFonts w:ascii="Times New Roman"/>
                <w:spacing w:val="-1"/>
                <w:sz w:val="18"/>
              </w:rPr>
              <w:t>69,125,832.68</w:t>
            </w:r>
          </w:p>
        </w:tc>
      </w:tr>
    </w:tbl>
    <w:p>
      <w:pPr>
        <w:spacing w:line="240" w:lineRule="auto" w:before="6"/>
        <w:rPr>
          <w:rFonts w:ascii="宋体" w:hAnsi="宋体" w:cs="宋体" w:eastAsia="宋体" w:hint="default"/>
          <w:sz w:val="6"/>
          <w:szCs w:val="6"/>
        </w:rPr>
      </w:pPr>
    </w:p>
    <w:p>
      <w:pPr>
        <w:spacing w:before="46"/>
        <w:ind w:left="594"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b</w:t>
      </w:r>
      <w:r>
        <w:rPr>
          <w:rFonts w:ascii="宋体" w:hAnsi="宋体" w:cs="宋体" w:eastAsia="宋体" w:hint="default"/>
          <w:spacing w:val="-3"/>
          <w:sz w:val="18"/>
          <w:szCs w:val="18"/>
        </w:rPr>
        <w:t>、对公司财务报表的影响</w:t>
      </w:r>
    </w:p>
    <w:p>
      <w:pPr>
        <w:spacing w:line="240" w:lineRule="auto" w:before="2"/>
        <w:rPr>
          <w:rFonts w:ascii="宋体" w:hAnsi="宋体" w:cs="宋体" w:eastAsia="宋体" w:hint="default"/>
          <w:sz w:val="13"/>
          <w:szCs w:val="13"/>
        </w:rPr>
      </w:pPr>
    </w:p>
    <w:tbl>
      <w:tblPr>
        <w:tblW w:w="0" w:type="auto"/>
        <w:jc w:val="left"/>
        <w:tblInd w:w="143" w:type="dxa"/>
        <w:tblLayout w:type="fixed"/>
        <w:tblCellMar>
          <w:top w:w="0" w:type="dxa"/>
          <w:left w:w="0" w:type="dxa"/>
          <w:bottom w:w="0" w:type="dxa"/>
          <w:right w:w="0" w:type="dxa"/>
        </w:tblCellMar>
        <w:tblLook w:val="01E0"/>
      </w:tblPr>
      <w:tblGrid>
        <w:gridCol w:w="1537"/>
        <w:gridCol w:w="1868"/>
        <w:gridCol w:w="1133"/>
        <w:gridCol w:w="1561"/>
        <w:gridCol w:w="1844"/>
        <w:gridCol w:w="1277"/>
      </w:tblGrid>
      <w:tr>
        <w:trPr>
          <w:trHeight w:val="346" w:hRule="exact"/>
        </w:trPr>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533" w:right="0"/>
              <w:jc w:val="left"/>
              <w:rPr>
                <w:rFonts w:ascii="宋体" w:hAnsi="宋体" w:cs="宋体" w:eastAsia="宋体" w:hint="default"/>
                <w:sz w:val="20"/>
                <w:szCs w:val="20"/>
              </w:rPr>
            </w:pPr>
            <w:r>
              <w:rPr>
                <w:rFonts w:ascii="宋体" w:hAnsi="宋体" w:cs="宋体" w:eastAsia="宋体" w:hint="default"/>
                <w:sz w:val="20"/>
                <w:szCs w:val="20"/>
              </w:rPr>
              <w:t>计量类别</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center"/>
              <w:rPr>
                <w:rFonts w:ascii="宋体" w:hAnsi="宋体" w:cs="宋体" w:eastAsia="宋体" w:hint="default"/>
                <w:sz w:val="20"/>
                <w:szCs w:val="20"/>
              </w:rPr>
            </w:pPr>
            <w:r>
              <w:rPr>
                <w:rFonts w:ascii="宋体" w:hAnsi="宋体" w:cs="宋体" w:eastAsia="宋体" w:hint="default"/>
                <w:sz w:val="20"/>
                <w:szCs w:val="20"/>
              </w:rPr>
              <w:t>账面价值</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9"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513" w:right="0"/>
              <w:jc w:val="left"/>
              <w:rPr>
                <w:rFonts w:ascii="宋体" w:hAnsi="宋体" w:cs="宋体" w:eastAsia="宋体" w:hint="default"/>
                <w:sz w:val="20"/>
                <w:szCs w:val="20"/>
              </w:rPr>
            </w:pPr>
            <w:r>
              <w:rPr>
                <w:rFonts w:ascii="宋体" w:hAnsi="宋体" w:cs="宋体" w:eastAsia="宋体" w:hint="default"/>
                <w:sz w:val="20"/>
                <w:szCs w:val="20"/>
              </w:rPr>
              <w:t>计量类别</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30" w:right="0"/>
              <w:jc w:val="left"/>
              <w:rPr>
                <w:rFonts w:ascii="宋体" w:hAnsi="宋体" w:cs="宋体" w:eastAsia="宋体" w:hint="default"/>
                <w:sz w:val="20"/>
                <w:szCs w:val="20"/>
              </w:rPr>
            </w:pPr>
            <w:r>
              <w:rPr>
                <w:rFonts w:ascii="宋体" w:hAnsi="宋体" w:cs="宋体" w:eastAsia="宋体" w:hint="default"/>
                <w:sz w:val="20"/>
                <w:szCs w:val="20"/>
              </w:rPr>
              <w:t>账面价值</w:t>
            </w:r>
          </w:p>
        </w:tc>
      </w:tr>
      <w:tr>
        <w:trPr>
          <w:trHeight w:val="658" w:hRule="exact"/>
        </w:trPr>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 w:right="0"/>
              <w:jc w:val="center"/>
              <w:rPr>
                <w:rFonts w:ascii="Times New Roman" w:hAnsi="Times New Roman" w:cs="Times New Roman" w:eastAsia="Times New Roman" w:hint="default"/>
                <w:sz w:val="20"/>
                <w:szCs w:val="20"/>
              </w:rPr>
            </w:pPr>
            <w:r>
              <w:rPr>
                <w:rFonts w:ascii="Times New Roman"/>
                <w:sz w:val="20"/>
              </w:rPr>
              <w:t>550,177,065.</w:t>
            </w:r>
          </w:p>
          <w:p>
            <w:pPr>
              <w:pStyle w:val="TableParagraph"/>
              <w:spacing w:line="240" w:lineRule="auto" w:before="82"/>
              <w:ind w:right="2"/>
              <w:jc w:val="center"/>
              <w:rPr>
                <w:rFonts w:ascii="Times New Roman" w:hAnsi="Times New Roman" w:cs="Times New Roman" w:eastAsia="Times New Roman" w:hint="default"/>
                <w:sz w:val="20"/>
                <w:szCs w:val="20"/>
              </w:rPr>
            </w:pPr>
            <w:r>
              <w:rPr>
                <w:rFonts w:ascii="Times New Roman"/>
                <w:sz w:val="20"/>
              </w:rPr>
              <w:t>22</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548,698,451.81</w:t>
            </w:r>
          </w:p>
        </w:tc>
      </w:tr>
      <w:tr>
        <w:trPr>
          <w:trHeight w:val="662" w:hRule="exact"/>
        </w:trPr>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pacing w:val="-7"/>
                <w:sz w:val="18"/>
                <w:szCs w:val="18"/>
              </w:rPr>
              <w:t>以成本计量（权益工具</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1" w:right="0"/>
              <w:jc w:val="center"/>
              <w:rPr>
                <w:rFonts w:ascii="Times New Roman" w:hAnsi="Times New Roman" w:cs="Times New Roman" w:eastAsia="Times New Roman" w:hint="default"/>
                <w:sz w:val="18"/>
                <w:szCs w:val="18"/>
              </w:rPr>
            </w:pPr>
            <w:r>
              <w:rPr>
                <w:rFonts w:ascii="Times New Roman"/>
                <w:spacing w:val="-2"/>
                <w:sz w:val="18"/>
              </w:rPr>
              <w:t>48,389,687.88</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z w:val="18"/>
                <w:szCs w:val="18"/>
              </w:rPr>
              <w:t>以公允价值计量且其变</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动计入其他综合收益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59,407,689.53</w:t>
            </w:r>
          </w:p>
        </w:tc>
      </w:tr>
    </w:tbl>
    <w:p>
      <w:pPr>
        <w:spacing w:line="240" w:lineRule="auto" w:before="6"/>
        <w:rPr>
          <w:rFonts w:ascii="宋体" w:hAnsi="宋体" w:cs="宋体" w:eastAsia="宋体" w:hint="default"/>
          <w:sz w:val="6"/>
          <w:szCs w:val="6"/>
        </w:rPr>
      </w:pPr>
    </w:p>
    <w:p>
      <w:pPr>
        <w:spacing w:before="46"/>
        <w:ind w:left="594"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B</w:t>
      </w:r>
      <w:r>
        <w:rPr>
          <w:rFonts w:ascii="宋体" w:hAnsi="宋体" w:cs="宋体" w:eastAsia="宋体" w:hint="default"/>
          <w:spacing w:val="-3"/>
          <w:sz w:val="18"/>
          <w:szCs w:val="18"/>
        </w:rPr>
        <w:t>、首次执行日，原金融资产账面价值调整为按照新金融工具准则的规定进行分类和计量的新金融资产账面价值的调</w:t>
      </w:r>
    </w:p>
    <w:p>
      <w:pPr>
        <w:spacing w:before="63"/>
        <w:ind w:left="153" w:right="0" w:firstLine="0"/>
        <w:jc w:val="left"/>
        <w:rPr>
          <w:rFonts w:ascii="宋体" w:hAnsi="宋体" w:cs="宋体" w:eastAsia="宋体" w:hint="default"/>
          <w:sz w:val="18"/>
          <w:szCs w:val="18"/>
        </w:rPr>
      </w:pPr>
      <w:r>
        <w:rPr>
          <w:rFonts w:ascii="宋体" w:hAnsi="宋体" w:cs="宋体" w:eastAsia="宋体" w:hint="default"/>
          <w:sz w:val="18"/>
          <w:szCs w:val="18"/>
        </w:rPr>
        <w:t>节表</w:t>
      </w:r>
    </w:p>
    <w:p>
      <w:pPr>
        <w:spacing w:line="240" w:lineRule="auto" w:before="6"/>
        <w:rPr>
          <w:rFonts w:ascii="宋体" w:hAnsi="宋体" w:cs="宋体" w:eastAsia="宋体" w:hint="default"/>
          <w:sz w:val="11"/>
          <w:szCs w:val="11"/>
        </w:rPr>
      </w:pPr>
    </w:p>
    <w:p>
      <w:pPr>
        <w:spacing w:before="46"/>
        <w:ind w:left="59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、对合并报表的影响</w:t>
      </w:r>
    </w:p>
    <w:p>
      <w:pPr>
        <w:spacing w:line="240" w:lineRule="auto" w:before="2"/>
        <w:rPr>
          <w:rFonts w:ascii="宋体" w:hAnsi="宋体" w:cs="宋体" w:eastAsia="宋体" w:hint="default"/>
          <w:sz w:val="13"/>
          <w:szCs w:val="13"/>
        </w:rPr>
      </w:pPr>
    </w:p>
    <w:tbl>
      <w:tblPr>
        <w:tblW w:w="0" w:type="auto"/>
        <w:jc w:val="left"/>
        <w:tblInd w:w="143" w:type="dxa"/>
        <w:tblLayout w:type="fixed"/>
        <w:tblCellMar>
          <w:top w:w="0" w:type="dxa"/>
          <w:left w:w="0" w:type="dxa"/>
          <w:bottom w:w="0" w:type="dxa"/>
          <w:right w:w="0" w:type="dxa"/>
        </w:tblCellMar>
        <w:tblLook w:val="01E0"/>
      </w:tblPr>
      <w:tblGrid>
        <w:gridCol w:w="3544"/>
        <w:gridCol w:w="1560"/>
        <w:gridCol w:w="1421"/>
        <w:gridCol w:w="1273"/>
        <w:gridCol w:w="1335"/>
      </w:tblGrid>
      <w:tr>
        <w:trPr>
          <w:trHeight w:val="658"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4"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2018</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31</w:t>
            </w:r>
            <w:r>
              <w:rPr>
                <w:rFonts w:ascii="宋体" w:hAnsi="宋体" w:cs="宋体" w:eastAsia="宋体" w:hint="default"/>
                <w:sz w:val="20"/>
                <w:szCs w:val="20"/>
              </w:rPr>
              <w:t>日</w:t>
            </w:r>
          </w:p>
          <w:p>
            <w:pPr>
              <w:pStyle w:val="TableParagraph"/>
              <w:spacing w:line="240" w:lineRule="auto" w:before="35"/>
              <w:ind w:left="19"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变更前</w:t>
            </w:r>
            <w:r>
              <w:rPr>
                <w:rFonts w:ascii="Times New Roman" w:hAnsi="Times New Roman" w:cs="Times New Roman" w:eastAsia="Times New Roman" w:hint="default"/>
                <w:sz w:val="20"/>
                <w:szCs w:val="20"/>
              </w:rPr>
              <w:t>)</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03" w:right="0"/>
              <w:jc w:val="left"/>
              <w:rPr>
                <w:rFonts w:ascii="宋体" w:hAnsi="宋体" w:cs="宋体" w:eastAsia="宋体" w:hint="default"/>
                <w:sz w:val="20"/>
                <w:szCs w:val="20"/>
              </w:rPr>
            </w:pPr>
            <w:r>
              <w:rPr>
                <w:rFonts w:ascii="宋体" w:hAnsi="宋体" w:cs="宋体" w:eastAsia="宋体" w:hint="default"/>
                <w:sz w:val="20"/>
                <w:szCs w:val="20"/>
              </w:rPr>
              <w:t>重分类</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30" w:right="0"/>
              <w:jc w:val="left"/>
              <w:rPr>
                <w:rFonts w:ascii="宋体" w:hAnsi="宋体" w:cs="宋体" w:eastAsia="宋体" w:hint="default"/>
                <w:sz w:val="20"/>
                <w:szCs w:val="20"/>
              </w:rPr>
            </w:pPr>
            <w:r>
              <w:rPr>
                <w:rFonts w:ascii="宋体" w:hAnsi="宋体" w:cs="宋体" w:eastAsia="宋体" w:hint="default"/>
                <w:sz w:val="20"/>
                <w:szCs w:val="20"/>
              </w:rPr>
              <w:t>重新计量</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1"/>
              <w:ind w:left="297" w:right="50" w:hanging="236"/>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2019</w:t>
            </w:r>
            <w:r>
              <w:rPr>
                <w:rFonts w:ascii="宋体" w:hAnsi="宋体" w:cs="宋体" w:eastAsia="宋体" w:hint="default"/>
                <w:sz w:val="20"/>
                <w:szCs w:val="20"/>
              </w:rPr>
              <w:t>年</w:t>
            </w:r>
            <w:r>
              <w:rPr>
                <w:rFonts w:ascii="Times New Roman" w:hAnsi="Times New Roman" w:cs="Times New Roman" w:eastAsia="Times New Roman" w:hint="default"/>
                <w:sz w:val="20"/>
                <w:szCs w:val="20"/>
              </w:rPr>
              <w:t>1</w:t>
            </w:r>
            <w:r>
              <w:rPr>
                <w:rFonts w:ascii="宋体" w:hAnsi="宋体" w:cs="宋体" w:eastAsia="宋体" w:hint="default"/>
                <w:sz w:val="20"/>
                <w:szCs w:val="20"/>
              </w:rPr>
              <w:t>月</w:t>
            </w:r>
            <w:r>
              <w:rPr>
                <w:rFonts w:ascii="Times New Roman" w:hAnsi="Times New Roman" w:cs="Times New Roman" w:eastAsia="Times New Roman" w:hint="default"/>
                <w:sz w:val="20"/>
                <w:szCs w:val="20"/>
              </w:rPr>
              <w:t>1</w:t>
            </w:r>
            <w:r>
              <w:rPr>
                <w:rFonts w:ascii="宋体" w:hAnsi="宋体" w:cs="宋体" w:eastAsia="宋体" w:hint="default"/>
                <w:sz w:val="20"/>
                <w:szCs w:val="20"/>
              </w:rPr>
              <w:t>日</w:t>
            </w:r>
            <w:r>
              <w:rPr>
                <w:rFonts w:ascii="宋体" w:hAnsi="宋体" w:cs="宋体" w:eastAsia="宋体" w:hint="default"/>
                <w:spacing w:val="-96"/>
                <w:sz w:val="20"/>
                <w:szCs w:val="20"/>
              </w:rPr>
              <w:t> </w:t>
            </w:r>
            <w:r>
              <w:rPr>
                <w:rFonts w:ascii="Times New Roman" w:hAnsi="Times New Roman" w:cs="Times New Roman" w:eastAsia="Times New Roman" w:hint="default"/>
                <w:sz w:val="20"/>
                <w:szCs w:val="20"/>
              </w:rPr>
              <w:t>(</w:t>
            </w:r>
            <w:r>
              <w:rPr>
                <w:rFonts w:ascii="宋体" w:hAnsi="宋体" w:cs="宋体" w:eastAsia="宋体" w:hint="default"/>
                <w:sz w:val="20"/>
                <w:szCs w:val="20"/>
              </w:rPr>
              <w:t>变更后</w:t>
            </w:r>
            <w:r>
              <w:rPr>
                <w:rFonts w:ascii="Times New Roman" w:hAnsi="Times New Roman" w:cs="Times New Roman" w:eastAsia="Times New Roman" w:hint="default"/>
                <w:sz w:val="20"/>
                <w:szCs w:val="20"/>
              </w:rPr>
              <w:t>)</w:t>
            </w:r>
          </w:p>
        </w:tc>
      </w:tr>
      <w:tr>
        <w:trPr>
          <w:trHeight w:val="346"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spacing w:val="-1"/>
                <w:sz w:val="18"/>
              </w:rPr>
              <w:t>185,094,124.56</w:t>
            </w:r>
          </w:p>
        </w:tc>
        <w:tc>
          <w:tcPr>
            <w:tcW w:w="1421"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r>
      <w:tr>
        <w:trPr>
          <w:trHeight w:val="350"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重新计量：预计信用损失准备</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
              <w:jc w:val="right"/>
              <w:rPr>
                <w:rFonts w:ascii="Times New Roman" w:hAnsi="Times New Roman" w:cs="Times New Roman" w:eastAsia="Times New Roman" w:hint="default"/>
                <w:sz w:val="18"/>
                <w:szCs w:val="18"/>
              </w:rPr>
            </w:pPr>
            <w:r>
              <w:rPr>
                <w:rFonts w:ascii="Times New Roman"/>
                <w:spacing w:val="-1"/>
                <w:sz w:val="18"/>
              </w:rPr>
              <w:t>-7,949,016.03</w:t>
            </w:r>
          </w:p>
        </w:tc>
        <w:tc>
          <w:tcPr>
            <w:tcW w:w="1335"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按新金融工具准则列示的余额</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2"/>
                <w:sz w:val="18"/>
              </w:rPr>
              <w:t>177,145,108.53</w:t>
            </w:r>
          </w:p>
        </w:tc>
      </w:tr>
      <w:tr>
        <w:trPr>
          <w:trHeight w:val="346"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spacing w:val="-1"/>
                <w:sz w:val="18"/>
              </w:rPr>
              <w:t>186,009,724.97</w:t>
            </w:r>
          </w:p>
        </w:tc>
        <w:tc>
          <w:tcPr>
            <w:tcW w:w="1421"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r>
      <w:tr>
        <w:trPr>
          <w:trHeight w:val="351"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重新计量：预计信用损失准备</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
              <w:jc w:val="right"/>
              <w:rPr>
                <w:rFonts w:ascii="Times New Roman" w:hAnsi="Times New Roman" w:cs="Times New Roman" w:eastAsia="Times New Roman" w:hint="default"/>
                <w:sz w:val="18"/>
                <w:szCs w:val="18"/>
              </w:rPr>
            </w:pPr>
            <w:r>
              <w:rPr>
                <w:rFonts w:ascii="Times New Roman"/>
                <w:spacing w:val="-2"/>
                <w:sz w:val="18"/>
              </w:rPr>
              <w:t>-11,509,918.98</w:t>
            </w:r>
          </w:p>
        </w:tc>
        <w:tc>
          <w:tcPr>
            <w:tcW w:w="1335"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按新金融工具准则列示的余额</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2"/>
                <w:sz w:val="18"/>
              </w:rPr>
              <w:t>174,499,805.99</w:t>
            </w:r>
          </w:p>
        </w:tc>
      </w:tr>
      <w:tr>
        <w:trPr>
          <w:trHeight w:val="346"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以成本计量（权益工具）</w:t>
            </w:r>
            <w:r>
              <w:rPr>
                <w:rFonts w:ascii="Times New Roman" w:hAnsi="Times New Roman" w:cs="Times New Roman" w:eastAsia="Times New Roman" w:hint="default"/>
                <w:spacing w:val="-3"/>
                <w:sz w:val="18"/>
                <w:szCs w:val="18"/>
              </w:rPr>
              <w:t>:</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3544"/>
        <w:gridCol w:w="1560"/>
        <w:gridCol w:w="1421"/>
        <w:gridCol w:w="1273"/>
        <w:gridCol w:w="1335"/>
      </w:tblGrid>
      <w:tr>
        <w:trPr>
          <w:trHeight w:val="346"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可供出售金融资产（原准则）</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spacing w:val="-2"/>
                <w:sz w:val="18"/>
              </w:rPr>
              <w:t>57,889,687.88</w:t>
            </w:r>
          </w:p>
        </w:tc>
        <w:tc>
          <w:tcPr>
            <w:tcW w:w="1421"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r>
      <w:tr>
        <w:trPr>
          <w:trHeight w:val="350"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减：转出至其他非流动金融资产</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减：转出至其他权益工具投资</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57,889,687.88</w:t>
            </w:r>
          </w:p>
        </w:tc>
        <w:tc>
          <w:tcPr>
            <w:tcW w:w="1273"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按新金融工具准则列示的余额</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46"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421"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r>
      <w:tr>
        <w:trPr>
          <w:trHeight w:val="350"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加：自可供出售金融资产（原准则）转入</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2"/>
                <w:sz w:val="18"/>
              </w:rPr>
              <w:t>57,889,687.88</w:t>
            </w:r>
          </w:p>
        </w:tc>
        <w:tc>
          <w:tcPr>
            <w:tcW w:w="1273"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重新计量：按公允价值重新计量</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30" w:right="-9"/>
              <w:jc w:val="left"/>
              <w:rPr>
                <w:rFonts w:ascii="Times New Roman" w:hAnsi="Times New Roman" w:cs="Times New Roman" w:eastAsia="Times New Roman" w:hint="default"/>
                <w:sz w:val="18"/>
                <w:szCs w:val="18"/>
              </w:rPr>
            </w:pPr>
            <w:r>
              <w:rPr>
                <w:rFonts w:ascii="Times New Roman"/>
                <w:spacing w:val="-2"/>
                <w:sz w:val="18"/>
              </w:rPr>
              <w:t>11,236,144.80</w:t>
            </w:r>
          </w:p>
        </w:tc>
        <w:tc>
          <w:tcPr>
            <w:tcW w:w="1335"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按新金融工具准则列示的余额</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2"/>
                <w:sz w:val="18"/>
              </w:rPr>
              <w:t>69,125,832.68</w:t>
            </w:r>
          </w:p>
        </w:tc>
      </w:tr>
    </w:tbl>
    <w:p>
      <w:pPr>
        <w:spacing w:line="240" w:lineRule="auto" w:before="6"/>
        <w:rPr>
          <w:rFonts w:ascii="宋体" w:hAnsi="宋体" w:cs="宋体" w:eastAsia="宋体" w:hint="default"/>
          <w:sz w:val="6"/>
          <w:szCs w:val="6"/>
        </w:rPr>
      </w:pPr>
    </w:p>
    <w:p>
      <w:pPr>
        <w:spacing w:before="46"/>
        <w:ind w:left="594"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b</w:t>
      </w:r>
      <w:r>
        <w:rPr>
          <w:rFonts w:ascii="宋体" w:hAnsi="宋体" w:cs="宋体" w:eastAsia="宋体" w:hint="default"/>
          <w:spacing w:val="-3"/>
          <w:sz w:val="18"/>
          <w:szCs w:val="18"/>
        </w:rPr>
        <w:t>、对公司财务报表的影响</w:t>
      </w:r>
    </w:p>
    <w:p>
      <w:pPr>
        <w:spacing w:line="240" w:lineRule="auto" w:before="2"/>
        <w:rPr>
          <w:rFonts w:ascii="宋体" w:hAnsi="宋体" w:cs="宋体" w:eastAsia="宋体" w:hint="default"/>
          <w:sz w:val="13"/>
          <w:szCs w:val="13"/>
        </w:rPr>
      </w:pPr>
    </w:p>
    <w:tbl>
      <w:tblPr>
        <w:tblW w:w="0" w:type="auto"/>
        <w:jc w:val="left"/>
        <w:tblInd w:w="143" w:type="dxa"/>
        <w:tblLayout w:type="fixed"/>
        <w:tblCellMar>
          <w:top w:w="0" w:type="dxa"/>
          <w:left w:w="0" w:type="dxa"/>
          <w:bottom w:w="0" w:type="dxa"/>
          <w:right w:w="0" w:type="dxa"/>
        </w:tblCellMar>
        <w:tblLook w:val="01E0"/>
      </w:tblPr>
      <w:tblGrid>
        <w:gridCol w:w="3544"/>
        <w:gridCol w:w="1560"/>
        <w:gridCol w:w="1421"/>
        <w:gridCol w:w="1273"/>
        <w:gridCol w:w="1335"/>
      </w:tblGrid>
      <w:tr>
        <w:trPr>
          <w:trHeight w:val="662"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4"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2018</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31</w:t>
            </w:r>
            <w:r>
              <w:rPr>
                <w:rFonts w:ascii="宋体" w:hAnsi="宋体" w:cs="宋体" w:eastAsia="宋体" w:hint="default"/>
                <w:sz w:val="20"/>
                <w:szCs w:val="20"/>
              </w:rPr>
              <w:t>日</w:t>
            </w:r>
          </w:p>
          <w:p>
            <w:pPr>
              <w:pStyle w:val="TableParagraph"/>
              <w:spacing w:line="240" w:lineRule="auto" w:before="35"/>
              <w:ind w:left="19"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变更前</w:t>
            </w:r>
            <w:r>
              <w:rPr>
                <w:rFonts w:ascii="Times New Roman" w:hAnsi="Times New Roman" w:cs="Times New Roman" w:eastAsia="Times New Roman" w:hint="default"/>
                <w:sz w:val="20"/>
                <w:szCs w:val="20"/>
              </w:rPr>
              <w:t>)</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03" w:right="0"/>
              <w:jc w:val="left"/>
              <w:rPr>
                <w:rFonts w:ascii="宋体" w:hAnsi="宋体" w:cs="宋体" w:eastAsia="宋体" w:hint="default"/>
                <w:sz w:val="20"/>
                <w:szCs w:val="20"/>
              </w:rPr>
            </w:pPr>
            <w:r>
              <w:rPr>
                <w:rFonts w:ascii="宋体" w:hAnsi="宋体" w:cs="宋体" w:eastAsia="宋体" w:hint="default"/>
                <w:sz w:val="20"/>
                <w:szCs w:val="20"/>
              </w:rPr>
              <w:t>重分类</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230" w:right="0"/>
              <w:jc w:val="left"/>
              <w:rPr>
                <w:rFonts w:ascii="宋体" w:hAnsi="宋体" w:cs="宋体" w:eastAsia="宋体" w:hint="default"/>
                <w:sz w:val="20"/>
                <w:szCs w:val="20"/>
              </w:rPr>
            </w:pPr>
            <w:r>
              <w:rPr>
                <w:rFonts w:ascii="宋体" w:hAnsi="宋体" w:cs="宋体" w:eastAsia="宋体" w:hint="default"/>
                <w:sz w:val="20"/>
                <w:szCs w:val="20"/>
              </w:rPr>
              <w:t>重新计量</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6"/>
              <w:ind w:left="297" w:right="50" w:hanging="236"/>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2019</w:t>
            </w:r>
            <w:r>
              <w:rPr>
                <w:rFonts w:ascii="宋体" w:hAnsi="宋体" w:cs="宋体" w:eastAsia="宋体" w:hint="default"/>
                <w:sz w:val="20"/>
                <w:szCs w:val="20"/>
              </w:rPr>
              <w:t>年</w:t>
            </w:r>
            <w:r>
              <w:rPr>
                <w:rFonts w:ascii="Times New Roman" w:hAnsi="Times New Roman" w:cs="Times New Roman" w:eastAsia="Times New Roman" w:hint="default"/>
                <w:sz w:val="20"/>
                <w:szCs w:val="20"/>
              </w:rPr>
              <w:t>1</w:t>
            </w:r>
            <w:r>
              <w:rPr>
                <w:rFonts w:ascii="宋体" w:hAnsi="宋体" w:cs="宋体" w:eastAsia="宋体" w:hint="default"/>
                <w:sz w:val="20"/>
                <w:szCs w:val="20"/>
              </w:rPr>
              <w:t>月</w:t>
            </w:r>
            <w:r>
              <w:rPr>
                <w:rFonts w:ascii="Times New Roman" w:hAnsi="Times New Roman" w:cs="Times New Roman" w:eastAsia="Times New Roman" w:hint="default"/>
                <w:sz w:val="20"/>
                <w:szCs w:val="20"/>
              </w:rPr>
              <w:t>1</w:t>
            </w:r>
            <w:r>
              <w:rPr>
                <w:rFonts w:ascii="宋体" w:hAnsi="宋体" w:cs="宋体" w:eastAsia="宋体" w:hint="default"/>
                <w:sz w:val="20"/>
                <w:szCs w:val="20"/>
              </w:rPr>
              <w:t>日</w:t>
            </w:r>
            <w:r>
              <w:rPr>
                <w:rFonts w:ascii="宋体" w:hAnsi="宋体" w:cs="宋体" w:eastAsia="宋体" w:hint="default"/>
                <w:spacing w:val="-96"/>
                <w:sz w:val="20"/>
                <w:szCs w:val="20"/>
              </w:rPr>
              <w:t> </w:t>
            </w:r>
            <w:r>
              <w:rPr>
                <w:rFonts w:ascii="Times New Roman" w:hAnsi="Times New Roman" w:cs="Times New Roman" w:eastAsia="Times New Roman" w:hint="default"/>
                <w:sz w:val="20"/>
                <w:szCs w:val="20"/>
              </w:rPr>
              <w:t>(</w:t>
            </w:r>
            <w:r>
              <w:rPr>
                <w:rFonts w:ascii="宋体" w:hAnsi="宋体" w:cs="宋体" w:eastAsia="宋体" w:hint="default"/>
                <w:sz w:val="20"/>
                <w:szCs w:val="20"/>
              </w:rPr>
              <w:t>变更后</w:t>
            </w:r>
            <w:r>
              <w:rPr>
                <w:rFonts w:ascii="Times New Roman" w:hAnsi="Times New Roman" w:cs="Times New Roman" w:eastAsia="Times New Roman" w:hint="default"/>
                <w:sz w:val="20"/>
                <w:szCs w:val="20"/>
              </w:rPr>
              <w:t>)</w:t>
            </w:r>
          </w:p>
        </w:tc>
      </w:tr>
      <w:tr>
        <w:trPr>
          <w:trHeight w:val="346"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
              <w:jc w:val="right"/>
              <w:rPr>
                <w:rFonts w:ascii="Times New Roman" w:hAnsi="Times New Roman" w:cs="Times New Roman" w:eastAsia="Times New Roman" w:hint="default"/>
                <w:sz w:val="18"/>
                <w:szCs w:val="18"/>
              </w:rPr>
            </w:pPr>
            <w:r>
              <w:rPr>
                <w:rFonts w:ascii="Times New Roman"/>
                <w:spacing w:val="-1"/>
                <w:sz w:val="18"/>
              </w:rPr>
              <w:t>550,177,065.22</w:t>
            </w:r>
          </w:p>
        </w:tc>
        <w:tc>
          <w:tcPr>
            <w:tcW w:w="1421"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r>
      <w:tr>
        <w:trPr>
          <w:trHeight w:val="350"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重新计量：预计信用损失准备</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263" w:right="-9"/>
              <w:jc w:val="left"/>
              <w:rPr>
                <w:rFonts w:ascii="Times New Roman" w:hAnsi="Times New Roman" w:cs="Times New Roman" w:eastAsia="Times New Roman" w:hint="default"/>
                <w:sz w:val="18"/>
                <w:szCs w:val="18"/>
              </w:rPr>
            </w:pPr>
            <w:r>
              <w:rPr>
                <w:rFonts w:ascii="Times New Roman"/>
                <w:spacing w:val="-2"/>
                <w:sz w:val="18"/>
              </w:rPr>
              <w:t>-1,478,613.41</w:t>
            </w:r>
          </w:p>
        </w:tc>
        <w:tc>
          <w:tcPr>
            <w:tcW w:w="1335"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按新金融工具准则列示的余额</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2"/>
                <w:sz w:val="18"/>
              </w:rPr>
              <w:t>548,698,451.81</w:t>
            </w:r>
          </w:p>
        </w:tc>
      </w:tr>
      <w:tr>
        <w:trPr>
          <w:trHeight w:val="346"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以成本计量（权益工具）</w:t>
            </w:r>
            <w:r>
              <w:rPr>
                <w:rFonts w:ascii="Times New Roman" w:hAnsi="Times New Roman" w:cs="Times New Roman" w:eastAsia="Times New Roman" w:hint="default"/>
                <w:spacing w:val="-3"/>
                <w:sz w:val="18"/>
                <w:szCs w:val="18"/>
              </w:rPr>
              <w:t>:</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可供出售金融资产（原准则）</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spacing w:val="-1"/>
                <w:sz w:val="18"/>
              </w:rPr>
              <w:t>48,389,687.88</w:t>
            </w:r>
          </w:p>
        </w:tc>
        <w:tc>
          <w:tcPr>
            <w:tcW w:w="1421"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r>
      <w:tr>
        <w:trPr>
          <w:trHeight w:val="351"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减：转出至其他债权投资</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减：转出至其他权益工具投资</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69" w:right="0"/>
              <w:jc w:val="left"/>
              <w:rPr>
                <w:rFonts w:ascii="Times New Roman" w:hAnsi="Times New Roman" w:cs="Times New Roman" w:eastAsia="Times New Roman" w:hint="default"/>
                <w:sz w:val="18"/>
                <w:szCs w:val="18"/>
              </w:rPr>
            </w:pPr>
            <w:r>
              <w:rPr>
                <w:rFonts w:ascii="Times New Roman"/>
                <w:spacing w:val="-2"/>
                <w:sz w:val="18"/>
              </w:rPr>
              <w:t>48,389,687.88</w:t>
            </w:r>
          </w:p>
        </w:tc>
        <w:tc>
          <w:tcPr>
            <w:tcW w:w="1273"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按新金融工具准则列示的余额</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50"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421"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加：自可供出售金融资产（原准则）转入</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69" w:right="0"/>
              <w:jc w:val="left"/>
              <w:rPr>
                <w:rFonts w:ascii="Times New Roman" w:hAnsi="Times New Roman" w:cs="Times New Roman" w:eastAsia="Times New Roman" w:hint="default"/>
                <w:sz w:val="18"/>
                <w:szCs w:val="18"/>
              </w:rPr>
            </w:pPr>
            <w:r>
              <w:rPr>
                <w:rFonts w:ascii="Times New Roman"/>
                <w:spacing w:val="-2"/>
                <w:sz w:val="18"/>
              </w:rPr>
              <w:t>48,389,687.88</w:t>
            </w:r>
          </w:p>
        </w:tc>
        <w:tc>
          <w:tcPr>
            <w:tcW w:w="1273"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重新计量：按公允价值重新计量</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30" w:right="-9"/>
              <w:jc w:val="left"/>
              <w:rPr>
                <w:rFonts w:ascii="Times New Roman" w:hAnsi="Times New Roman" w:cs="Times New Roman" w:eastAsia="Times New Roman" w:hint="default"/>
                <w:sz w:val="18"/>
                <w:szCs w:val="18"/>
              </w:rPr>
            </w:pPr>
            <w:r>
              <w:rPr>
                <w:rFonts w:ascii="Times New Roman"/>
                <w:spacing w:val="-2"/>
                <w:sz w:val="18"/>
              </w:rPr>
              <w:t>11,018,001.65</w:t>
            </w:r>
          </w:p>
        </w:tc>
        <w:tc>
          <w:tcPr>
            <w:tcW w:w="1335" w:type="dxa"/>
            <w:tcBorders>
              <w:top w:val="single" w:sz="6" w:space="0" w:color="000000"/>
              <w:left w:val="single" w:sz="6" w:space="0" w:color="000000"/>
              <w:bottom w:val="single" w:sz="6" w:space="0" w:color="000000"/>
              <w:right w:val="single" w:sz="6" w:space="0" w:color="000000"/>
            </w:tcBorders>
          </w:tcPr>
          <w:p>
            <w:pPr/>
          </w:p>
        </w:tc>
      </w:tr>
      <w:tr>
        <w:trPr>
          <w:trHeight w:val="350"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按新金融工具准则列示的余额</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2"/>
                <w:sz w:val="18"/>
              </w:rPr>
              <w:t>59,407,689.53</w:t>
            </w:r>
          </w:p>
        </w:tc>
      </w:tr>
    </w:tbl>
    <w:p>
      <w:pPr>
        <w:spacing w:line="240" w:lineRule="auto" w:before="6"/>
        <w:rPr>
          <w:rFonts w:ascii="宋体" w:hAnsi="宋体" w:cs="宋体" w:eastAsia="宋体" w:hint="default"/>
          <w:sz w:val="6"/>
          <w:szCs w:val="6"/>
        </w:rPr>
      </w:pPr>
    </w:p>
    <w:p>
      <w:pPr>
        <w:spacing w:line="415" w:lineRule="auto" w:before="46"/>
        <w:ind w:left="594" w:right="6287"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C</w:t>
      </w:r>
      <w:r>
        <w:rPr>
          <w:rFonts w:ascii="宋体" w:hAnsi="宋体" w:cs="宋体" w:eastAsia="宋体" w:hint="default"/>
          <w:spacing w:val="-3"/>
          <w:sz w:val="18"/>
          <w:szCs w:val="18"/>
        </w:rPr>
        <w:t>、首次执行日，金融资产减值准备调节表</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Times New Roman" w:hAnsi="Times New Roman" w:cs="Times New Roman" w:eastAsia="Times New Roman" w:hint="default"/>
          <w:sz w:val="18"/>
          <w:szCs w:val="18"/>
        </w:rPr>
        <w:t>a</w:t>
      </w:r>
      <w:r>
        <w:rPr>
          <w:rFonts w:ascii="宋体" w:hAnsi="宋体" w:cs="宋体" w:eastAsia="宋体" w:hint="default"/>
          <w:sz w:val="18"/>
          <w:szCs w:val="18"/>
        </w:rPr>
        <w:t>、对合并报表的影响</w:t>
      </w:r>
    </w:p>
    <w:p>
      <w:pPr>
        <w:spacing w:line="240" w:lineRule="auto" w:before="1"/>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2545"/>
        <w:gridCol w:w="1647"/>
        <w:gridCol w:w="1647"/>
        <w:gridCol w:w="1647"/>
        <w:gridCol w:w="1647"/>
      </w:tblGrid>
      <w:tr>
        <w:trPr>
          <w:trHeight w:val="658" w:hRule="exact"/>
        </w:trPr>
        <w:tc>
          <w:tcPr>
            <w:tcW w:w="2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center"/>
              <w:rPr>
                <w:rFonts w:ascii="宋体" w:hAnsi="宋体" w:cs="宋体" w:eastAsia="宋体" w:hint="default"/>
                <w:sz w:val="20"/>
                <w:szCs w:val="20"/>
              </w:rPr>
            </w:pPr>
            <w:r>
              <w:rPr>
                <w:rFonts w:ascii="宋体" w:hAnsi="宋体" w:cs="宋体" w:eastAsia="宋体" w:hint="default"/>
                <w:sz w:val="20"/>
                <w:szCs w:val="20"/>
              </w:rPr>
              <w:t>计量类别</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2018</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31</w:t>
            </w:r>
            <w:r>
              <w:rPr>
                <w:rFonts w:ascii="宋体" w:hAnsi="宋体" w:cs="宋体" w:eastAsia="宋体" w:hint="default"/>
                <w:sz w:val="20"/>
                <w:szCs w:val="20"/>
              </w:rPr>
              <w:t>日</w:t>
            </w:r>
          </w:p>
          <w:p>
            <w:pPr>
              <w:pStyle w:val="TableParagraph"/>
              <w:spacing w:line="240" w:lineRule="auto" w:before="35"/>
              <w:ind w:left="9"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变更前</w:t>
            </w:r>
            <w:r>
              <w:rPr>
                <w:rFonts w:ascii="Times New Roman" w:hAnsi="Times New Roman" w:cs="Times New Roman" w:eastAsia="Times New Roman" w:hint="default"/>
                <w:sz w:val="20"/>
                <w:szCs w:val="20"/>
              </w:rPr>
              <w:t>)</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518" w:right="0"/>
              <w:jc w:val="left"/>
              <w:rPr>
                <w:rFonts w:ascii="宋体" w:hAnsi="宋体" w:cs="宋体" w:eastAsia="宋体" w:hint="default"/>
                <w:sz w:val="20"/>
                <w:szCs w:val="20"/>
              </w:rPr>
            </w:pPr>
            <w:r>
              <w:rPr>
                <w:rFonts w:ascii="宋体" w:hAnsi="宋体" w:cs="宋体" w:eastAsia="宋体" w:hint="default"/>
                <w:sz w:val="20"/>
                <w:szCs w:val="20"/>
              </w:rPr>
              <w:t>重分类</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17" w:right="0"/>
              <w:jc w:val="left"/>
              <w:rPr>
                <w:rFonts w:ascii="宋体" w:hAnsi="宋体" w:cs="宋体" w:eastAsia="宋体" w:hint="default"/>
                <w:sz w:val="20"/>
                <w:szCs w:val="20"/>
              </w:rPr>
            </w:pPr>
            <w:r>
              <w:rPr>
                <w:rFonts w:ascii="宋体" w:hAnsi="宋体" w:cs="宋体" w:eastAsia="宋体" w:hint="default"/>
                <w:sz w:val="20"/>
                <w:szCs w:val="20"/>
              </w:rPr>
              <w:t>重新计量</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1"/>
              <w:ind w:left="585" w:right="74" w:hanging="50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2019</w:t>
            </w:r>
            <w:r>
              <w:rPr>
                <w:rFonts w:ascii="宋体" w:hAnsi="宋体" w:cs="宋体" w:eastAsia="宋体" w:hint="default"/>
                <w:sz w:val="20"/>
                <w:szCs w:val="20"/>
              </w:rPr>
              <w:t>年</w:t>
            </w:r>
            <w:r>
              <w:rPr>
                <w:rFonts w:ascii="Times New Roman" w:hAnsi="Times New Roman" w:cs="Times New Roman" w:eastAsia="Times New Roman" w:hint="default"/>
                <w:sz w:val="20"/>
                <w:szCs w:val="20"/>
              </w:rPr>
              <w:t>1</w:t>
            </w:r>
            <w:r>
              <w:rPr>
                <w:rFonts w:ascii="宋体" w:hAnsi="宋体" w:cs="宋体" w:eastAsia="宋体" w:hint="default"/>
                <w:sz w:val="20"/>
                <w:szCs w:val="20"/>
              </w:rPr>
              <w:t>月</w:t>
            </w:r>
            <w:r>
              <w:rPr>
                <w:rFonts w:ascii="Times New Roman" w:hAnsi="Times New Roman" w:cs="Times New Roman" w:eastAsia="Times New Roman" w:hint="default"/>
                <w:sz w:val="20"/>
                <w:szCs w:val="20"/>
              </w:rPr>
              <w:t>1</w:t>
            </w:r>
            <w:r>
              <w:rPr>
                <w:rFonts w:ascii="宋体" w:hAnsi="宋体" w:cs="宋体" w:eastAsia="宋体" w:hint="default"/>
                <w:sz w:val="20"/>
                <w:szCs w:val="20"/>
              </w:rPr>
              <w:t>日</w:t>
            </w:r>
            <w:r>
              <w:rPr>
                <w:rFonts w:ascii="Times New Roman" w:hAnsi="Times New Roman" w:cs="Times New Roman" w:eastAsia="Times New Roman" w:hint="default"/>
                <w:sz w:val="20"/>
                <w:szCs w:val="20"/>
              </w:rPr>
              <w:t>(</w:t>
            </w:r>
            <w:r>
              <w:rPr>
                <w:rFonts w:ascii="宋体" w:hAnsi="宋体" w:cs="宋体" w:eastAsia="宋体" w:hint="default"/>
                <w:sz w:val="20"/>
                <w:szCs w:val="20"/>
              </w:rPr>
              <w:t>变</w:t>
            </w:r>
            <w:r>
              <w:rPr>
                <w:rFonts w:ascii="宋体" w:hAnsi="宋体" w:cs="宋体" w:eastAsia="宋体" w:hint="default"/>
                <w:w w:val="100"/>
                <w:sz w:val="20"/>
                <w:szCs w:val="20"/>
              </w:rPr>
              <w:t> </w:t>
            </w:r>
            <w:r>
              <w:rPr>
                <w:rFonts w:ascii="宋体" w:hAnsi="宋体" w:cs="宋体" w:eastAsia="宋体" w:hint="default"/>
                <w:sz w:val="20"/>
                <w:szCs w:val="20"/>
              </w:rPr>
              <w:t>更后</w:t>
            </w:r>
            <w:r>
              <w:rPr>
                <w:rFonts w:ascii="Times New Roman" w:hAnsi="Times New Roman" w:cs="Times New Roman" w:eastAsia="Times New Roman" w:hint="default"/>
                <w:sz w:val="20"/>
                <w:szCs w:val="20"/>
              </w:rPr>
              <w:t>)</w:t>
            </w:r>
          </w:p>
        </w:tc>
      </w:tr>
      <w:tr>
        <w:trPr>
          <w:trHeight w:val="346" w:hRule="exact"/>
        </w:trPr>
        <w:tc>
          <w:tcPr>
            <w:tcW w:w="2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47" w:type="dxa"/>
            <w:tcBorders>
              <w:top w:val="single" w:sz="6" w:space="0" w:color="000000"/>
              <w:left w:val="single" w:sz="6" w:space="0" w:color="000000"/>
              <w:bottom w:val="single" w:sz="6" w:space="0" w:color="000000"/>
              <w:right w:val="single" w:sz="6" w:space="0" w:color="000000"/>
            </w:tcBorders>
          </w:tcPr>
          <w:p>
            <w:pPr/>
          </w:p>
        </w:tc>
        <w:tc>
          <w:tcPr>
            <w:tcW w:w="1647" w:type="dxa"/>
            <w:tcBorders>
              <w:top w:val="single" w:sz="6" w:space="0" w:color="000000"/>
              <w:left w:val="single" w:sz="6" w:space="0" w:color="000000"/>
              <w:bottom w:val="single" w:sz="6" w:space="0" w:color="000000"/>
              <w:right w:val="single" w:sz="6" w:space="0" w:color="000000"/>
            </w:tcBorders>
          </w:tcPr>
          <w:p>
            <w:pPr/>
          </w:p>
        </w:tc>
        <w:tc>
          <w:tcPr>
            <w:tcW w:w="1647" w:type="dxa"/>
            <w:tcBorders>
              <w:top w:val="single" w:sz="6" w:space="0" w:color="000000"/>
              <w:left w:val="single" w:sz="6" w:space="0" w:color="000000"/>
              <w:bottom w:val="single" w:sz="6" w:space="0" w:color="000000"/>
              <w:right w:val="single" w:sz="6" w:space="0" w:color="000000"/>
            </w:tcBorders>
          </w:tcPr>
          <w:p>
            <w:pPr/>
          </w:p>
        </w:tc>
        <w:tc>
          <w:tcPr>
            <w:tcW w:w="1647" w:type="dxa"/>
            <w:tcBorders>
              <w:top w:val="single" w:sz="6" w:space="0" w:color="000000"/>
              <w:left w:val="single" w:sz="6" w:space="0" w:color="000000"/>
              <w:bottom w:val="single" w:sz="6" w:space="0" w:color="000000"/>
              <w:right w:val="single" w:sz="6" w:space="0" w:color="000000"/>
            </w:tcBorders>
          </w:tcPr>
          <w:p>
            <w:pPr/>
          </w:p>
        </w:tc>
      </w:tr>
      <w:tr>
        <w:trPr>
          <w:trHeight w:val="350" w:hRule="exact"/>
        </w:trPr>
        <w:tc>
          <w:tcPr>
            <w:tcW w:w="2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应收账款减值准备</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2"/>
                <w:sz w:val="18"/>
              </w:rPr>
              <w:t>18,048,248.02</w:t>
            </w:r>
          </w:p>
        </w:tc>
        <w:tc>
          <w:tcPr>
            <w:tcW w:w="1647" w:type="dxa"/>
            <w:tcBorders>
              <w:top w:val="single" w:sz="6" w:space="0" w:color="000000"/>
              <w:left w:val="single" w:sz="6" w:space="0" w:color="000000"/>
              <w:bottom w:val="single" w:sz="6" w:space="0" w:color="000000"/>
              <w:right w:val="single" w:sz="6" w:space="0" w:color="000000"/>
            </w:tcBorders>
          </w:tcPr>
          <w:p>
            <w:pP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2"/>
                <w:sz w:val="18"/>
              </w:rPr>
              <w:t>7,949,016.03</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2"/>
                <w:sz w:val="18"/>
              </w:rPr>
              <w:t>25,997,264.05</w:t>
            </w:r>
          </w:p>
        </w:tc>
      </w:tr>
      <w:tr>
        <w:trPr>
          <w:trHeight w:val="346" w:hRule="exact"/>
        </w:trPr>
        <w:tc>
          <w:tcPr>
            <w:tcW w:w="2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其他应收款减值准备</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2"/>
                <w:sz w:val="18"/>
              </w:rPr>
              <w:t>2,940,764.71</w:t>
            </w:r>
          </w:p>
        </w:tc>
        <w:tc>
          <w:tcPr>
            <w:tcW w:w="1647" w:type="dxa"/>
            <w:tcBorders>
              <w:top w:val="single" w:sz="6" w:space="0" w:color="000000"/>
              <w:left w:val="single" w:sz="6" w:space="0" w:color="000000"/>
              <w:bottom w:val="single" w:sz="6" w:space="0" w:color="000000"/>
              <w:right w:val="single" w:sz="6" w:space="0" w:color="000000"/>
            </w:tcBorders>
          </w:tcPr>
          <w:p>
            <w:pP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2"/>
                <w:sz w:val="18"/>
              </w:rPr>
              <w:t>11,509,918.98</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2"/>
                <w:sz w:val="18"/>
              </w:rPr>
              <w:t>14,450,683.69</w:t>
            </w:r>
          </w:p>
        </w:tc>
      </w:tr>
    </w:tbl>
    <w:p>
      <w:pPr>
        <w:spacing w:line="240" w:lineRule="auto" w:before="6"/>
        <w:rPr>
          <w:rFonts w:ascii="宋体" w:hAnsi="宋体" w:cs="宋体" w:eastAsia="宋体" w:hint="default"/>
          <w:sz w:val="6"/>
          <w:szCs w:val="6"/>
        </w:rPr>
      </w:pPr>
    </w:p>
    <w:p>
      <w:pPr>
        <w:spacing w:before="46"/>
        <w:ind w:left="594"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b</w:t>
      </w:r>
      <w:r>
        <w:rPr>
          <w:rFonts w:ascii="宋体" w:hAnsi="宋体" w:cs="宋体" w:eastAsia="宋体" w:hint="default"/>
          <w:spacing w:val="-3"/>
          <w:sz w:val="18"/>
          <w:szCs w:val="18"/>
        </w:rPr>
        <w:t>、对公司财务报表的影响</w:t>
      </w:r>
    </w:p>
    <w:p>
      <w:pPr>
        <w:spacing w:line="240" w:lineRule="auto" w:before="2"/>
        <w:rPr>
          <w:rFonts w:ascii="宋体" w:hAnsi="宋体" w:cs="宋体" w:eastAsia="宋体" w:hint="default"/>
          <w:sz w:val="13"/>
          <w:szCs w:val="13"/>
        </w:rPr>
      </w:pPr>
    </w:p>
    <w:tbl>
      <w:tblPr>
        <w:tblW w:w="0" w:type="auto"/>
        <w:jc w:val="left"/>
        <w:tblInd w:w="143" w:type="dxa"/>
        <w:tblLayout w:type="fixed"/>
        <w:tblCellMar>
          <w:top w:w="0" w:type="dxa"/>
          <w:left w:w="0" w:type="dxa"/>
          <w:bottom w:w="0" w:type="dxa"/>
          <w:right w:w="0" w:type="dxa"/>
        </w:tblCellMar>
        <w:tblLook w:val="01E0"/>
      </w:tblPr>
      <w:tblGrid>
        <w:gridCol w:w="2545"/>
        <w:gridCol w:w="1647"/>
        <w:gridCol w:w="1647"/>
        <w:gridCol w:w="1647"/>
        <w:gridCol w:w="1647"/>
      </w:tblGrid>
      <w:tr>
        <w:trPr>
          <w:trHeight w:val="658" w:hRule="exact"/>
        </w:trPr>
        <w:tc>
          <w:tcPr>
            <w:tcW w:w="2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center"/>
              <w:rPr>
                <w:rFonts w:ascii="宋体" w:hAnsi="宋体" w:cs="宋体" w:eastAsia="宋体" w:hint="default"/>
                <w:sz w:val="20"/>
                <w:szCs w:val="20"/>
              </w:rPr>
            </w:pPr>
            <w:r>
              <w:rPr>
                <w:rFonts w:ascii="宋体" w:hAnsi="宋体" w:cs="宋体" w:eastAsia="宋体" w:hint="default"/>
                <w:sz w:val="20"/>
                <w:szCs w:val="20"/>
              </w:rPr>
              <w:t>计量类别</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2018</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31</w:t>
            </w:r>
            <w:r>
              <w:rPr>
                <w:rFonts w:ascii="宋体" w:hAnsi="宋体" w:cs="宋体" w:eastAsia="宋体" w:hint="default"/>
                <w:sz w:val="20"/>
                <w:szCs w:val="20"/>
              </w:rPr>
              <w:t>日</w:t>
            </w:r>
          </w:p>
          <w:p>
            <w:pPr>
              <w:pStyle w:val="TableParagraph"/>
              <w:spacing w:line="240" w:lineRule="auto" w:before="35"/>
              <w:ind w:left="9"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变更前</w:t>
            </w:r>
            <w:r>
              <w:rPr>
                <w:rFonts w:ascii="Times New Roman" w:hAnsi="Times New Roman" w:cs="Times New Roman" w:eastAsia="Times New Roman" w:hint="default"/>
                <w:sz w:val="20"/>
                <w:szCs w:val="20"/>
              </w:rPr>
              <w:t>)</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518" w:right="0"/>
              <w:jc w:val="left"/>
              <w:rPr>
                <w:rFonts w:ascii="宋体" w:hAnsi="宋体" w:cs="宋体" w:eastAsia="宋体" w:hint="default"/>
                <w:sz w:val="20"/>
                <w:szCs w:val="20"/>
              </w:rPr>
            </w:pPr>
            <w:r>
              <w:rPr>
                <w:rFonts w:ascii="宋体" w:hAnsi="宋体" w:cs="宋体" w:eastAsia="宋体" w:hint="default"/>
                <w:sz w:val="20"/>
                <w:szCs w:val="20"/>
              </w:rPr>
              <w:t>重分类</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17" w:right="0"/>
              <w:jc w:val="left"/>
              <w:rPr>
                <w:rFonts w:ascii="宋体" w:hAnsi="宋体" w:cs="宋体" w:eastAsia="宋体" w:hint="default"/>
                <w:sz w:val="20"/>
                <w:szCs w:val="20"/>
              </w:rPr>
            </w:pPr>
            <w:r>
              <w:rPr>
                <w:rFonts w:ascii="宋体" w:hAnsi="宋体" w:cs="宋体" w:eastAsia="宋体" w:hint="default"/>
                <w:sz w:val="20"/>
                <w:szCs w:val="20"/>
              </w:rPr>
              <w:t>重新计量</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1"/>
              <w:ind w:left="585" w:right="74" w:hanging="50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2019</w:t>
            </w:r>
            <w:r>
              <w:rPr>
                <w:rFonts w:ascii="宋体" w:hAnsi="宋体" w:cs="宋体" w:eastAsia="宋体" w:hint="default"/>
                <w:sz w:val="20"/>
                <w:szCs w:val="20"/>
              </w:rPr>
              <w:t>年</w:t>
            </w:r>
            <w:r>
              <w:rPr>
                <w:rFonts w:ascii="Times New Roman" w:hAnsi="Times New Roman" w:cs="Times New Roman" w:eastAsia="Times New Roman" w:hint="default"/>
                <w:sz w:val="20"/>
                <w:szCs w:val="20"/>
              </w:rPr>
              <w:t>1</w:t>
            </w:r>
            <w:r>
              <w:rPr>
                <w:rFonts w:ascii="宋体" w:hAnsi="宋体" w:cs="宋体" w:eastAsia="宋体" w:hint="default"/>
                <w:sz w:val="20"/>
                <w:szCs w:val="20"/>
              </w:rPr>
              <w:t>月</w:t>
            </w:r>
            <w:r>
              <w:rPr>
                <w:rFonts w:ascii="Times New Roman" w:hAnsi="Times New Roman" w:cs="Times New Roman" w:eastAsia="Times New Roman" w:hint="default"/>
                <w:sz w:val="20"/>
                <w:szCs w:val="20"/>
              </w:rPr>
              <w:t>1</w:t>
            </w:r>
            <w:r>
              <w:rPr>
                <w:rFonts w:ascii="宋体" w:hAnsi="宋体" w:cs="宋体" w:eastAsia="宋体" w:hint="default"/>
                <w:sz w:val="20"/>
                <w:szCs w:val="20"/>
              </w:rPr>
              <w:t>日</w:t>
            </w:r>
            <w:r>
              <w:rPr>
                <w:rFonts w:ascii="Times New Roman" w:hAnsi="Times New Roman" w:cs="Times New Roman" w:eastAsia="Times New Roman" w:hint="default"/>
                <w:sz w:val="20"/>
                <w:szCs w:val="20"/>
              </w:rPr>
              <w:t>(</w:t>
            </w:r>
            <w:r>
              <w:rPr>
                <w:rFonts w:ascii="宋体" w:hAnsi="宋体" w:cs="宋体" w:eastAsia="宋体" w:hint="default"/>
                <w:sz w:val="20"/>
                <w:szCs w:val="20"/>
              </w:rPr>
              <w:t>变</w:t>
            </w:r>
            <w:r>
              <w:rPr>
                <w:rFonts w:ascii="宋体" w:hAnsi="宋体" w:cs="宋体" w:eastAsia="宋体" w:hint="default"/>
                <w:w w:val="100"/>
                <w:sz w:val="20"/>
                <w:szCs w:val="20"/>
              </w:rPr>
              <w:t> </w:t>
            </w:r>
            <w:r>
              <w:rPr>
                <w:rFonts w:ascii="宋体" w:hAnsi="宋体" w:cs="宋体" w:eastAsia="宋体" w:hint="default"/>
                <w:sz w:val="20"/>
                <w:szCs w:val="20"/>
              </w:rPr>
              <w:t>更后</w:t>
            </w:r>
            <w:r>
              <w:rPr>
                <w:rFonts w:ascii="Times New Roman" w:hAnsi="Times New Roman" w:cs="Times New Roman" w:eastAsia="Times New Roman" w:hint="default"/>
                <w:sz w:val="20"/>
                <w:szCs w:val="20"/>
              </w:rPr>
              <w:t>)</w:t>
            </w:r>
          </w:p>
        </w:tc>
      </w:tr>
      <w:tr>
        <w:trPr>
          <w:trHeight w:val="350" w:hRule="exact"/>
        </w:trPr>
        <w:tc>
          <w:tcPr>
            <w:tcW w:w="2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47" w:type="dxa"/>
            <w:tcBorders>
              <w:top w:val="single" w:sz="6" w:space="0" w:color="000000"/>
              <w:left w:val="single" w:sz="6" w:space="0" w:color="000000"/>
              <w:bottom w:val="single" w:sz="6" w:space="0" w:color="000000"/>
              <w:right w:val="single" w:sz="6" w:space="0" w:color="000000"/>
            </w:tcBorders>
          </w:tcPr>
          <w:p>
            <w:pPr/>
          </w:p>
        </w:tc>
        <w:tc>
          <w:tcPr>
            <w:tcW w:w="1647" w:type="dxa"/>
            <w:tcBorders>
              <w:top w:val="single" w:sz="6" w:space="0" w:color="000000"/>
              <w:left w:val="single" w:sz="6" w:space="0" w:color="000000"/>
              <w:bottom w:val="single" w:sz="6" w:space="0" w:color="000000"/>
              <w:right w:val="single" w:sz="6" w:space="0" w:color="000000"/>
            </w:tcBorders>
          </w:tcPr>
          <w:p>
            <w:pPr/>
          </w:p>
        </w:tc>
        <w:tc>
          <w:tcPr>
            <w:tcW w:w="1647" w:type="dxa"/>
            <w:tcBorders>
              <w:top w:val="single" w:sz="6" w:space="0" w:color="000000"/>
              <w:left w:val="single" w:sz="6" w:space="0" w:color="000000"/>
              <w:bottom w:val="single" w:sz="6" w:space="0" w:color="000000"/>
              <w:right w:val="single" w:sz="6" w:space="0" w:color="000000"/>
            </w:tcBorders>
          </w:tcPr>
          <w:p>
            <w:pPr/>
          </w:p>
        </w:tc>
        <w:tc>
          <w:tcPr>
            <w:tcW w:w="1647"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其他应收款减值准备</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691" w:right="-4"/>
              <w:jc w:val="left"/>
              <w:rPr>
                <w:rFonts w:ascii="Times New Roman" w:hAnsi="Times New Roman" w:cs="Times New Roman" w:eastAsia="Times New Roman" w:hint="default"/>
                <w:sz w:val="18"/>
                <w:szCs w:val="18"/>
              </w:rPr>
            </w:pPr>
            <w:r>
              <w:rPr>
                <w:rFonts w:ascii="Times New Roman"/>
                <w:spacing w:val="-2"/>
                <w:sz w:val="18"/>
              </w:rPr>
              <w:t>1,950,162.10</w:t>
            </w:r>
          </w:p>
        </w:tc>
        <w:tc>
          <w:tcPr>
            <w:tcW w:w="1647" w:type="dxa"/>
            <w:tcBorders>
              <w:top w:val="single" w:sz="6" w:space="0" w:color="000000"/>
              <w:left w:val="single" w:sz="6" w:space="0" w:color="000000"/>
              <w:bottom w:val="single" w:sz="6" w:space="0" w:color="000000"/>
              <w:right w:val="single" w:sz="6" w:space="0" w:color="000000"/>
            </w:tcBorders>
          </w:tcPr>
          <w:p>
            <w:pP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691" w:right="-4"/>
              <w:jc w:val="left"/>
              <w:rPr>
                <w:rFonts w:ascii="Times New Roman" w:hAnsi="Times New Roman" w:cs="Times New Roman" w:eastAsia="Times New Roman" w:hint="default"/>
                <w:sz w:val="18"/>
                <w:szCs w:val="18"/>
              </w:rPr>
            </w:pPr>
            <w:r>
              <w:rPr>
                <w:rFonts w:ascii="Times New Roman"/>
                <w:spacing w:val="-2"/>
                <w:sz w:val="18"/>
              </w:rPr>
              <w:t>1,478,613.41</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691" w:right="-4"/>
              <w:jc w:val="left"/>
              <w:rPr>
                <w:rFonts w:ascii="Times New Roman" w:hAnsi="Times New Roman" w:cs="Times New Roman" w:eastAsia="Times New Roman" w:hint="default"/>
                <w:sz w:val="18"/>
                <w:szCs w:val="18"/>
              </w:rPr>
            </w:pPr>
            <w:r>
              <w:rPr>
                <w:rFonts w:ascii="Times New Roman"/>
                <w:spacing w:val="-2"/>
                <w:sz w:val="18"/>
              </w:rPr>
              <w:t>3,428,775.51</w:t>
            </w:r>
          </w:p>
        </w:tc>
      </w:tr>
    </w:tbl>
    <w:p>
      <w:pPr>
        <w:spacing w:line="240" w:lineRule="auto" w:before="5"/>
        <w:rPr>
          <w:rFonts w:ascii="宋体" w:hAnsi="宋体" w:cs="宋体" w:eastAsia="宋体" w:hint="default"/>
          <w:sz w:val="6"/>
          <w:szCs w:val="6"/>
        </w:rPr>
      </w:pPr>
    </w:p>
    <w:p>
      <w:pPr>
        <w:spacing w:before="46"/>
        <w:ind w:left="594"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D</w:t>
      </w:r>
      <w:r>
        <w:rPr>
          <w:rFonts w:ascii="宋体" w:hAnsi="宋体" w:cs="宋体" w:eastAsia="宋体" w:hint="default"/>
          <w:spacing w:val="-3"/>
          <w:sz w:val="18"/>
          <w:szCs w:val="18"/>
        </w:rPr>
        <w:t>、对</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日留存收益和其他综合收益的影响</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3102"/>
        <w:gridCol w:w="2012"/>
        <w:gridCol w:w="2118"/>
        <w:gridCol w:w="1901"/>
      </w:tblGrid>
      <w:tr>
        <w:trPr>
          <w:trHeight w:val="346"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302" w:right="0"/>
              <w:jc w:val="left"/>
              <w:rPr>
                <w:rFonts w:ascii="宋体" w:hAnsi="宋体" w:cs="宋体" w:eastAsia="宋体" w:hint="default"/>
                <w:sz w:val="20"/>
                <w:szCs w:val="20"/>
              </w:rPr>
            </w:pPr>
            <w:r>
              <w:rPr>
                <w:rFonts w:ascii="宋体" w:hAnsi="宋体" w:cs="宋体" w:eastAsia="宋体" w:hint="default"/>
                <w:sz w:val="20"/>
                <w:szCs w:val="20"/>
              </w:rPr>
              <w:t>合并未分配利润</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51" w:right="0"/>
              <w:jc w:val="left"/>
              <w:rPr>
                <w:rFonts w:ascii="宋体" w:hAnsi="宋体" w:cs="宋体" w:eastAsia="宋体" w:hint="default"/>
                <w:sz w:val="20"/>
                <w:szCs w:val="20"/>
              </w:rPr>
            </w:pPr>
            <w:r>
              <w:rPr>
                <w:rFonts w:ascii="宋体" w:hAnsi="宋体" w:cs="宋体" w:eastAsia="宋体" w:hint="default"/>
                <w:sz w:val="20"/>
                <w:szCs w:val="20"/>
              </w:rPr>
              <w:t>合并盈余公积</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43" w:right="0"/>
              <w:jc w:val="left"/>
              <w:rPr>
                <w:rFonts w:ascii="宋体" w:hAnsi="宋体" w:cs="宋体" w:eastAsia="宋体" w:hint="default"/>
                <w:sz w:val="20"/>
                <w:szCs w:val="20"/>
              </w:rPr>
            </w:pPr>
            <w:r>
              <w:rPr>
                <w:rFonts w:ascii="宋体" w:hAnsi="宋体" w:cs="宋体" w:eastAsia="宋体" w:hint="default"/>
                <w:sz w:val="20"/>
                <w:szCs w:val="20"/>
              </w:rPr>
              <w:t>合并其他综合收益</w:t>
            </w:r>
          </w:p>
        </w:tc>
      </w:tr>
      <w:tr>
        <w:trPr>
          <w:trHeight w:val="350"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1,183,914,073.79</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2"/>
                <w:sz w:val="18"/>
              </w:rPr>
              <w:t>12,253,120.86</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6,508,319.20</w:t>
            </w:r>
          </w:p>
        </w:tc>
      </w:tr>
      <w:tr>
        <w:trPr>
          <w:trHeight w:val="65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5"/>
              <w:jc w:val="left"/>
              <w:rPr>
                <w:rFonts w:ascii="宋体" w:hAnsi="宋体" w:cs="宋体" w:eastAsia="宋体" w:hint="default"/>
                <w:sz w:val="18"/>
                <w:szCs w:val="18"/>
              </w:rPr>
            </w:pPr>
            <w:r>
              <w:rPr>
                <w:rFonts w:ascii="宋体" w:hAnsi="宋体" w:cs="宋体" w:eastAsia="宋体" w:hint="default"/>
                <w:spacing w:val="-1"/>
                <w:sz w:val="18"/>
                <w:szCs w:val="18"/>
              </w:rPr>
              <w:t>将可供出售金融资产重分类为其他权益</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3"/>
                <w:sz w:val="18"/>
                <w:szCs w:val="18"/>
              </w:rPr>
              <w:t>工具投资并重新计量</w:t>
            </w:r>
          </w:p>
        </w:tc>
        <w:tc>
          <w:tcPr>
            <w:tcW w:w="2012" w:type="dxa"/>
            <w:tcBorders>
              <w:top w:val="single" w:sz="6" w:space="0" w:color="000000"/>
              <w:left w:val="single" w:sz="6" w:space="0" w:color="000000"/>
              <w:bottom w:val="single" w:sz="6" w:space="0" w:color="000000"/>
              <w:right w:val="single" w:sz="6" w:space="0" w:color="000000"/>
            </w:tcBorders>
          </w:tcPr>
          <w:p>
            <w:pPr/>
          </w:p>
        </w:tc>
        <w:tc>
          <w:tcPr>
            <w:tcW w:w="2118" w:type="dxa"/>
            <w:tcBorders>
              <w:top w:val="single" w:sz="6" w:space="0" w:color="000000"/>
              <w:left w:val="single" w:sz="6" w:space="0" w:color="000000"/>
              <w:bottom w:val="single" w:sz="6" w:space="0" w:color="000000"/>
              <w:right w:val="single" w:sz="6" w:space="0" w:color="000000"/>
            </w:tcBorders>
          </w:tcPr>
          <w:p>
            <w:pP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8,427,108.60</w:t>
            </w:r>
          </w:p>
        </w:tc>
      </w:tr>
      <w:tr>
        <w:trPr>
          <w:trHeight w:val="346"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应收款项减值的重新计量</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2"/>
                <w:sz w:val="18"/>
              </w:rPr>
              <w:t>-18,014,371.94</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2"/>
                <w:sz w:val="18"/>
              </w:rPr>
              <w:t>-147,861.34</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-117,741.54</w:t>
            </w:r>
          </w:p>
        </w:tc>
      </w:tr>
      <w:tr>
        <w:trPr>
          <w:trHeight w:val="346"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权益法核算的长期股权投资</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2"/>
                <w:sz w:val="18"/>
              </w:rPr>
              <w:t>-468,123.53</w:t>
            </w:r>
          </w:p>
        </w:tc>
        <w:tc>
          <w:tcPr>
            <w:tcW w:w="2118" w:type="dxa"/>
            <w:tcBorders>
              <w:top w:val="single" w:sz="6" w:space="0" w:color="000000"/>
              <w:left w:val="single" w:sz="6" w:space="0" w:color="000000"/>
              <w:bottom w:val="single" w:sz="6" w:space="0" w:color="000000"/>
              <w:right w:val="single" w:sz="6" w:space="0" w:color="000000"/>
            </w:tcBorders>
          </w:tcPr>
          <w:p>
            <w:pPr/>
          </w:p>
        </w:tc>
        <w:tc>
          <w:tcPr>
            <w:tcW w:w="1901" w:type="dxa"/>
            <w:tcBorders>
              <w:top w:val="single" w:sz="6" w:space="0" w:color="000000"/>
              <w:left w:val="single" w:sz="6" w:space="0" w:color="000000"/>
              <w:bottom w:val="single" w:sz="6" w:space="0" w:color="000000"/>
              <w:right w:val="single" w:sz="6" w:space="0" w:color="000000"/>
            </w:tcBorders>
          </w:tcPr>
          <w:p>
            <w:pPr/>
          </w:p>
        </w:tc>
      </w:tr>
      <w:tr>
        <w:trPr>
          <w:trHeight w:val="350"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2"/>
                <w:sz w:val="18"/>
              </w:rPr>
              <w:t>1,165,431,578.32</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2"/>
                <w:sz w:val="18"/>
              </w:rPr>
              <w:t>12,105,259.52</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2"/>
                <w:sz w:val="18"/>
              </w:rPr>
              <w:t>14,817,686.26</w:t>
            </w:r>
          </w:p>
        </w:tc>
      </w:tr>
    </w:tbl>
    <w:p>
      <w:pPr>
        <w:spacing w:before="10"/>
        <w:ind w:left="575" w:right="0" w:firstLine="0"/>
        <w:jc w:val="left"/>
        <w:rPr>
          <w:rFonts w:ascii="宋体" w:hAnsi="宋体" w:cs="宋体" w:eastAsia="宋体" w:hint="default"/>
          <w:sz w:val="18"/>
          <w:szCs w:val="18"/>
        </w:rPr>
      </w:pPr>
      <w:r>
        <w:rPr>
          <w:rFonts w:ascii="宋体" w:hAnsi="宋体" w:cs="宋体" w:eastAsia="宋体" w:hint="default"/>
          <w:spacing w:val="-3"/>
          <w:sz w:val="18"/>
          <w:szCs w:val="18"/>
        </w:rPr>
        <w:t>注：上表中应收款项减值的重新计量对合并其他综合收益的影响系境外子公司外币报表折算差额的影响。</w:t>
      </w:r>
    </w:p>
    <w:p>
      <w:pPr>
        <w:tabs>
          <w:tab w:pos="931" w:val="left" w:leader="none"/>
        </w:tabs>
        <w:spacing w:line="300" w:lineRule="auto" w:before="77"/>
        <w:ind w:left="575" w:right="1127" w:hanging="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tab/>
      </w:r>
      <w:r>
        <w:rPr>
          <w:rFonts w:ascii="宋体" w:hAnsi="宋体" w:cs="宋体" w:eastAsia="宋体" w:hint="default"/>
          <w:spacing w:val="-3"/>
          <w:sz w:val="18"/>
          <w:szCs w:val="18"/>
        </w:rPr>
        <w:t>财务报表格式变更</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1"/>
          <w:sz w:val="18"/>
          <w:szCs w:val="18"/>
        </w:rPr>
        <w:t>财政部于</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9</w:t>
      </w:r>
      <w:r>
        <w:rPr>
          <w:rFonts w:ascii="宋体" w:hAnsi="宋体" w:cs="宋体" w:eastAsia="宋体" w:hint="default"/>
          <w:spacing w:val="-1"/>
          <w:sz w:val="18"/>
          <w:szCs w:val="18"/>
        </w:rPr>
        <w:t>月分别发布了《关于修订印发</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年度一般企业财务报表格式的通知》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财会</w:t>
      </w:r>
      <w:r>
        <w:rPr>
          <w:rFonts w:ascii="Times New Roman" w:hAnsi="Times New Roman" w:cs="Times New Roman" w:eastAsia="Times New Roman" w:hint="default"/>
          <w:spacing w:val="-1"/>
          <w:sz w:val="18"/>
          <w:szCs w:val="18"/>
        </w:rPr>
        <w:t>[2019]6</w:t>
      </w:r>
      <w:r>
        <w:rPr>
          <w:rFonts w:ascii="宋体" w:hAnsi="宋体" w:cs="宋体" w:eastAsia="宋体" w:hint="default"/>
          <w:spacing w:val="-1"/>
          <w:sz w:val="18"/>
          <w:szCs w:val="18"/>
        </w:rPr>
        <w:t>号</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、《关</w:t>
      </w:r>
    </w:p>
    <w:p>
      <w:pPr>
        <w:spacing w:line="300" w:lineRule="auto" w:before="13"/>
        <w:ind w:left="153" w:right="1123" w:firstLine="0"/>
        <w:jc w:val="both"/>
        <w:rPr>
          <w:rFonts w:ascii="宋体" w:hAnsi="宋体" w:cs="宋体" w:eastAsia="宋体" w:hint="default"/>
          <w:sz w:val="18"/>
          <w:szCs w:val="18"/>
        </w:rPr>
      </w:pPr>
      <w:r>
        <w:rPr>
          <w:rFonts w:ascii="宋体" w:hAnsi="宋体" w:cs="宋体" w:eastAsia="宋体" w:hint="default"/>
          <w:spacing w:val="-4"/>
          <w:sz w:val="18"/>
          <w:szCs w:val="18"/>
        </w:rPr>
        <w:t>于修订印发合并财务报表格式</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版</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的通知》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财会</w:t>
      </w:r>
      <w:r>
        <w:rPr>
          <w:rFonts w:ascii="Times New Roman" w:hAnsi="Times New Roman" w:cs="Times New Roman" w:eastAsia="Times New Roman" w:hint="default"/>
          <w:spacing w:val="-4"/>
          <w:sz w:val="18"/>
          <w:szCs w:val="18"/>
        </w:rPr>
        <w:t>[2019]16</w:t>
      </w:r>
      <w:r>
        <w:rPr>
          <w:rFonts w:ascii="宋体" w:hAnsi="宋体" w:cs="宋体" w:eastAsia="宋体" w:hint="default"/>
          <w:spacing w:val="-4"/>
          <w:sz w:val="18"/>
          <w:szCs w:val="18"/>
        </w:rPr>
        <w:t>号</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，对一般企业财务报表、合并财务报表格式作出了修订，本</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集团已根据其要求按照一般企业财务报表格式</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适用于已执行新金融准则、新收入准则和新租赁准则的企业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、合并财务报表</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格式编制财务报表。主要变化如下：</w:t>
      </w:r>
    </w:p>
    <w:p>
      <w:pPr>
        <w:spacing w:line="302" w:lineRule="auto" w:before="32"/>
        <w:ind w:left="153" w:right="0" w:firstLine="42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A</w:t>
      </w:r>
      <w:r>
        <w:rPr>
          <w:rFonts w:ascii="宋体" w:hAnsi="宋体" w:cs="宋体" w:eastAsia="宋体" w:hint="default"/>
          <w:spacing w:val="-3"/>
          <w:sz w:val="18"/>
          <w:szCs w:val="18"/>
        </w:rPr>
        <w:t>、将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应收票据及应收账款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行项目拆分为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应收票据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行项目及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应收账款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行项目；将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应付票据及应付账款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行项目拆</w:t>
      </w:r>
      <w:r>
        <w:rPr>
          <w:rFonts w:ascii="宋体" w:hAnsi="宋体" w:cs="宋体" w:eastAsia="宋体" w:hint="default"/>
          <w:w w:val="101"/>
          <w:sz w:val="18"/>
          <w:szCs w:val="18"/>
        </w:rPr>
        <w:t> </w:t>
      </w:r>
      <w:r>
        <w:rPr>
          <w:rFonts w:ascii="宋体" w:hAnsi="宋体" w:cs="宋体" w:eastAsia="宋体" w:hint="default"/>
          <w:spacing w:val="-3"/>
          <w:sz w:val="18"/>
          <w:szCs w:val="18"/>
        </w:rPr>
        <w:t>分为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应付票据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行项目及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应付账款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行项目；</w:t>
      </w:r>
      <w:r>
        <w:rPr>
          <w:rFonts w:ascii="Times New Roman" w:hAnsi="Times New Roman" w:cs="Times New Roman" w:eastAsia="Times New Roman" w:hint="default"/>
          <w:spacing w:val="-3"/>
          <w:sz w:val="18"/>
          <w:szCs w:val="18"/>
        </w:rPr>
        <w:t>B</w:t>
      </w:r>
      <w:r>
        <w:rPr>
          <w:rFonts w:ascii="宋体" w:hAnsi="宋体" w:cs="宋体" w:eastAsia="宋体" w:hint="default"/>
          <w:spacing w:val="-3"/>
          <w:sz w:val="18"/>
          <w:szCs w:val="18"/>
        </w:rPr>
        <w:t>、新增</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应收款项融资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行项目；</w:t>
      </w:r>
      <w:r>
        <w:rPr>
          <w:rFonts w:ascii="Times New Roman" w:hAnsi="Times New Roman" w:cs="Times New Roman" w:eastAsia="Times New Roman" w:hint="default"/>
          <w:spacing w:val="-3"/>
          <w:sz w:val="18"/>
          <w:szCs w:val="18"/>
        </w:rPr>
        <w:t>C</w:t>
      </w:r>
      <w:r>
        <w:rPr>
          <w:rFonts w:ascii="宋体" w:hAnsi="宋体" w:cs="宋体" w:eastAsia="宋体" w:hint="default"/>
          <w:spacing w:val="-3"/>
          <w:sz w:val="18"/>
          <w:szCs w:val="18"/>
        </w:rPr>
        <w:t>、列报于</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其他应收款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其他应付款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行项</w:t>
      </w:r>
      <w:r>
        <w:rPr>
          <w:rFonts w:ascii="宋体" w:hAnsi="宋体" w:cs="宋体" w:eastAsia="宋体" w:hint="default"/>
          <w:spacing w:val="40"/>
          <w:sz w:val="18"/>
          <w:szCs w:val="18"/>
        </w:rPr>
        <w:t> </w:t>
      </w:r>
      <w:r>
        <w:rPr>
          <w:rFonts w:ascii="宋体" w:hAnsi="宋体" w:cs="宋体" w:eastAsia="宋体" w:hint="default"/>
          <w:spacing w:val="-4"/>
          <w:sz w:val="18"/>
          <w:szCs w:val="18"/>
        </w:rPr>
        <w:t>目的应收利息或应付利息，仅反映相关金融工具已到期可收取或应支付，但于资产负债表日尚未收到或支付的利息；基于实</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际利率法计提的金融工具的利息包含在相应金融工具的账面余额中；</w:t>
      </w:r>
      <w:r>
        <w:rPr>
          <w:rFonts w:ascii="Times New Roman" w:hAnsi="Times New Roman" w:cs="Times New Roman" w:eastAsia="Times New Roman" w:hint="default"/>
          <w:spacing w:val="-3"/>
          <w:sz w:val="18"/>
          <w:szCs w:val="18"/>
        </w:rPr>
        <w:t>D</w:t>
      </w:r>
      <w:r>
        <w:rPr>
          <w:rFonts w:ascii="宋体" w:hAnsi="宋体" w:cs="宋体" w:eastAsia="宋体" w:hint="default"/>
          <w:spacing w:val="-3"/>
          <w:sz w:val="18"/>
          <w:szCs w:val="18"/>
        </w:rPr>
        <w:t>、明确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递延收益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行项目中摊销期限只剩一年或不足</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3"/>
          <w:sz w:val="18"/>
          <w:szCs w:val="18"/>
        </w:rPr>
        <w:t>一年的，或预计在一年内</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含一年</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进行摊销的部分，不得归类为流动负债，仍在该项目中填列，不转入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一年内到期的非流</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5"/>
          <w:sz w:val="18"/>
          <w:szCs w:val="18"/>
        </w:rPr>
        <w:t>动负债</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行项目；</w:t>
      </w:r>
      <w:r>
        <w:rPr>
          <w:rFonts w:ascii="Times New Roman" w:hAnsi="Times New Roman" w:cs="Times New Roman" w:eastAsia="Times New Roman" w:hint="default"/>
          <w:spacing w:val="-5"/>
          <w:sz w:val="18"/>
          <w:szCs w:val="18"/>
        </w:rPr>
        <w:t>E</w:t>
      </w:r>
      <w:r>
        <w:rPr>
          <w:rFonts w:ascii="宋体" w:hAnsi="宋体" w:cs="宋体" w:eastAsia="宋体" w:hint="default"/>
          <w:spacing w:val="-5"/>
          <w:sz w:val="18"/>
          <w:szCs w:val="18"/>
        </w:rPr>
        <w:t>、将</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资产减值损失</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信用减值损失</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行项目自</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其他收益</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行项目前下移至</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公允价值变动收益</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行项目后，</w:t>
      </w:r>
      <w:r>
        <w:rPr>
          <w:rFonts w:ascii="宋体" w:hAnsi="宋体" w:cs="宋体" w:eastAsia="宋体" w:hint="default"/>
          <w:spacing w:val="12"/>
          <w:sz w:val="18"/>
          <w:szCs w:val="18"/>
        </w:rPr>
        <w:t> </w:t>
      </w:r>
      <w:r>
        <w:rPr>
          <w:rFonts w:ascii="宋体" w:hAnsi="宋体" w:cs="宋体" w:eastAsia="宋体" w:hint="default"/>
          <w:spacing w:val="12"/>
          <w:sz w:val="18"/>
          <w:szCs w:val="18"/>
        </w:rPr>
      </w:r>
      <w:r>
        <w:rPr>
          <w:rFonts w:ascii="宋体" w:hAnsi="宋体" w:cs="宋体" w:eastAsia="宋体" w:hint="default"/>
          <w:spacing w:val="-3"/>
          <w:sz w:val="18"/>
          <w:szCs w:val="18"/>
        </w:rPr>
        <w:t>并将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信用减值损失</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行项目列于</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资产减值损失</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行项目之前；</w:t>
      </w:r>
      <w:r>
        <w:rPr>
          <w:rFonts w:ascii="Times New Roman" w:hAnsi="Times New Roman" w:cs="Times New Roman" w:eastAsia="Times New Roman" w:hint="default"/>
          <w:spacing w:val="-3"/>
          <w:sz w:val="18"/>
          <w:szCs w:val="18"/>
        </w:rPr>
        <w:t>F</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投资收益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行项目的其中项新增</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以摊余成本计量的金融资</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产终止确认收益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行项目。本集团根据上述列报要求相应追溯重述了比较报表。</w:t>
      </w:r>
    </w:p>
    <w:p>
      <w:pPr>
        <w:spacing w:line="240" w:lineRule="auto" w:before="9"/>
        <w:rPr>
          <w:rFonts w:ascii="宋体" w:hAnsi="宋体" w:cs="宋体" w:eastAsia="宋体" w:hint="default"/>
          <w:sz w:val="19"/>
          <w:szCs w:val="19"/>
        </w:rPr>
      </w:pPr>
    </w:p>
    <w:p>
      <w:pPr>
        <w:pStyle w:val="Heading2"/>
        <w:spacing w:line="240" w:lineRule="auto"/>
        <w:ind w:right="0"/>
        <w:jc w:val="both"/>
        <w:rPr>
          <w:b w:val="0"/>
          <w:bCs w:val="0"/>
        </w:rPr>
      </w:pPr>
      <w:bookmarkStart w:name="七、报告期内发生重大会计差错更正需追溯重述的情况说明" w:id="71"/>
      <w:bookmarkEnd w:id="71"/>
      <w:r>
        <w:rPr>
          <w:b w:val="0"/>
          <w:bCs w:val="0"/>
        </w:rPr>
      </w:r>
      <w:r>
        <w:rPr/>
        <w:t>七、报告期内发生重大会计差错更正需追溯重述的情况说明</w:t>
      </w:r>
      <w:r>
        <w:rPr>
          <w:b w:val="0"/>
          <w:bCs w:val="0"/>
        </w:rPr>
      </w:r>
    </w:p>
    <w:p>
      <w:pPr>
        <w:spacing w:line="240" w:lineRule="auto" w:before="3"/>
        <w:rPr>
          <w:rFonts w:ascii="宋体" w:hAnsi="宋体" w:cs="宋体" w:eastAsia="宋体" w:hint="default"/>
          <w:b/>
          <w:bCs/>
          <w:sz w:val="27"/>
          <w:szCs w:val="27"/>
        </w:rPr>
      </w:pPr>
    </w:p>
    <w:p>
      <w:pPr>
        <w:spacing w:line="338" w:lineRule="auto" w:before="0"/>
        <w:ind w:left="153" w:right="628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公司报告期无重大会计差错更正需追溯重述的情况。</w:t>
      </w:r>
    </w:p>
    <w:p>
      <w:pPr>
        <w:spacing w:line="240" w:lineRule="auto" w:before="9"/>
        <w:rPr>
          <w:rFonts w:ascii="宋体" w:hAnsi="宋体" w:cs="宋体" w:eastAsia="宋体" w:hint="default"/>
          <w:sz w:val="18"/>
          <w:szCs w:val="18"/>
        </w:rPr>
      </w:pPr>
    </w:p>
    <w:p>
      <w:pPr>
        <w:pStyle w:val="Heading2"/>
        <w:spacing w:line="240" w:lineRule="auto"/>
        <w:ind w:right="0"/>
        <w:jc w:val="both"/>
        <w:rPr>
          <w:b w:val="0"/>
          <w:bCs w:val="0"/>
        </w:rPr>
      </w:pPr>
      <w:bookmarkStart w:name="八、与上年度财务报告相比，合并报表范围发生变化的情况说明" w:id="72"/>
      <w:bookmarkEnd w:id="72"/>
      <w:r>
        <w:rPr>
          <w:b w:val="0"/>
          <w:bCs w:val="0"/>
        </w:rPr>
      </w:r>
      <w:r>
        <w:rPr/>
        <w:t>八、与上年度财务报告相比，合并报表范围发生变化的情况说明</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pStyle w:val="Heading4"/>
        <w:spacing w:line="240" w:lineRule="auto"/>
        <w:ind w:right="0"/>
        <w:jc w:val="both"/>
        <w:rPr>
          <w:b w:val="0"/>
          <w:bCs w:val="0"/>
        </w:rPr>
      </w:pPr>
      <w:r>
        <w:rPr>
          <w:rFonts w:ascii="Times New Roman" w:hAnsi="Times New Roman" w:cs="Times New Roman" w:eastAsia="Times New Roman" w:hint="default"/>
        </w:rPr>
        <w:t>1</w:t>
      </w:r>
      <w:r>
        <w:rPr/>
        <w:t>、处置子公司</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pacing w:val="-3"/>
          <w:sz w:val="18"/>
          <w:szCs w:val="18"/>
        </w:rPr>
        <w:t>单次处置对子公司投资即丧失控制权的情形</w:t>
      </w:r>
    </w:p>
    <w:p>
      <w:pPr>
        <w:spacing w:line="240" w:lineRule="auto" w:before="5"/>
        <w:rPr>
          <w:rFonts w:ascii="宋体" w:hAnsi="宋体" w:cs="宋体" w:eastAsia="宋体" w:hint="default"/>
          <w:sz w:val="15"/>
          <w:szCs w:val="15"/>
        </w:rPr>
      </w:pPr>
    </w:p>
    <w:p>
      <w:pPr>
        <w:spacing w:before="0"/>
        <w:ind w:left="672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4"/>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607"/>
        <w:gridCol w:w="1133"/>
        <w:gridCol w:w="730"/>
        <w:gridCol w:w="610"/>
        <w:gridCol w:w="658"/>
        <w:gridCol w:w="610"/>
        <w:gridCol w:w="1037"/>
        <w:gridCol w:w="610"/>
        <w:gridCol w:w="610"/>
        <w:gridCol w:w="610"/>
        <w:gridCol w:w="610"/>
        <w:gridCol w:w="605"/>
        <w:gridCol w:w="610"/>
      </w:tblGrid>
      <w:tr>
        <w:trPr>
          <w:trHeight w:val="2607" w:hRule="exact"/>
        </w:trPr>
        <w:tc>
          <w:tcPr>
            <w:tcW w:w="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58"/>
              <w:ind w:left="117" w:right="21" w:hanging="92"/>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名称</w:t>
            </w:r>
          </w:p>
        </w:tc>
        <w:tc>
          <w:tcPr>
            <w:tcW w:w="113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19" w:right="0"/>
              <w:jc w:val="left"/>
              <w:rPr>
                <w:rFonts w:ascii="宋体" w:hAnsi="宋体" w:cs="宋体" w:eastAsia="宋体" w:hint="default"/>
                <w:sz w:val="18"/>
                <w:szCs w:val="18"/>
              </w:rPr>
            </w:pPr>
            <w:r>
              <w:rPr>
                <w:rFonts w:ascii="宋体" w:hAnsi="宋体" w:cs="宋体" w:eastAsia="宋体" w:hint="default"/>
                <w:sz w:val="18"/>
                <w:szCs w:val="18"/>
              </w:rPr>
              <w:t>股权处置价款</w:t>
            </w:r>
          </w:p>
        </w:tc>
        <w:tc>
          <w:tcPr>
            <w:tcW w:w="7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58"/>
              <w:ind w:left="91" w:right="79"/>
              <w:jc w:val="left"/>
              <w:rPr>
                <w:rFonts w:ascii="宋体" w:hAnsi="宋体" w:cs="宋体" w:eastAsia="宋体" w:hint="default"/>
                <w:sz w:val="18"/>
                <w:szCs w:val="18"/>
              </w:rPr>
            </w:pPr>
            <w:r>
              <w:rPr>
                <w:rFonts w:ascii="宋体" w:hAnsi="宋体" w:cs="宋体" w:eastAsia="宋体" w:hint="default"/>
                <w:sz w:val="18"/>
                <w:szCs w:val="18"/>
              </w:rPr>
              <w:t>股权处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置比例</w:t>
            </w:r>
          </w:p>
        </w:tc>
        <w:tc>
          <w:tcPr>
            <w:tcW w:w="6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58"/>
              <w:ind w:left="28" w:right="21"/>
              <w:jc w:val="left"/>
              <w:rPr>
                <w:rFonts w:ascii="宋体" w:hAnsi="宋体" w:cs="宋体" w:eastAsia="宋体" w:hint="default"/>
                <w:sz w:val="18"/>
                <w:szCs w:val="18"/>
              </w:rPr>
            </w:pPr>
            <w:r>
              <w:rPr>
                <w:rFonts w:ascii="宋体" w:hAnsi="宋体" w:cs="宋体" w:eastAsia="宋体" w:hint="default"/>
                <w:sz w:val="18"/>
                <w:szCs w:val="18"/>
              </w:rPr>
              <w:t>股权处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置方式</w:t>
            </w:r>
          </w:p>
        </w:tc>
        <w:tc>
          <w:tcPr>
            <w:tcW w:w="6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58"/>
              <w:ind w:left="52" w:right="46"/>
              <w:jc w:val="both"/>
              <w:rPr>
                <w:rFonts w:ascii="宋体" w:hAnsi="宋体" w:cs="宋体" w:eastAsia="宋体" w:hint="default"/>
                <w:sz w:val="18"/>
                <w:szCs w:val="18"/>
              </w:rPr>
            </w:pPr>
            <w:r>
              <w:rPr>
                <w:rFonts w:ascii="宋体" w:hAnsi="宋体" w:cs="宋体" w:eastAsia="宋体" w:hint="default"/>
                <w:sz w:val="18"/>
                <w:szCs w:val="18"/>
              </w:rPr>
              <w:t>丧失控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制权的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时点</w:t>
            </w:r>
          </w:p>
        </w:tc>
        <w:tc>
          <w:tcPr>
            <w:tcW w:w="6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58"/>
              <w:ind w:left="33" w:right="17"/>
              <w:jc w:val="both"/>
              <w:rPr>
                <w:rFonts w:ascii="宋体" w:hAnsi="宋体" w:cs="宋体" w:eastAsia="宋体" w:hint="default"/>
                <w:sz w:val="18"/>
                <w:szCs w:val="18"/>
              </w:rPr>
            </w:pPr>
            <w:r>
              <w:rPr>
                <w:rFonts w:ascii="宋体" w:hAnsi="宋体" w:cs="宋体" w:eastAsia="宋体" w:hint="default"/>
                <w:sz w:val="18"/>
                <w:szCs w:val="18"/>
              </w:rPr>
              <w:t>丧失控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制权时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点的确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定依据</w:t>
            </w:r>
          </w:p>
        </w:tc>
        <w:tc>
          <w:tcPr>
            <w:tcW w:w="10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58"/>
              <w:ind w:left="67" w:right="51"/>
              <w:jc w:val="both"/>
              <w:rPr>
                <w:rFonts w:ascii="宋体" w:hAnsi="宋体" w:cs="宋体" w:eastAsia="宋体" w:hint="default"/>
                <w:sz w:val="18"/>
                <w:szCs w:val="18"/>
              </w:rPr>
            </w:pPr>
            <w:r>
              <w:rPr>
                <w:rFonts w:ascii="宋体" w:hAnsi="宋体" w:cs="宋体" w:eastAsia="宋体" w:hint="default"/>
                <w:sz w:val="18"/>
                <w:szCs w:val="18"/>
              </w:rPr>
              <w:t>处置价款与</w:t>
            </w:r>
            <w:r>
              <w:rPr>
                <w:rFonts w:ascii="宋体" w:hAnsi="宋体" w:cs="宋体" w:eastAsia="宋体" w:hint="default"/>
                <w:w w:val="101"/>
                <w:sz w:val="18"/>
                <w:szCs w:val="18"/>
              </w:rPr>
              <w:t> </w:t>
            </w:r>
            <w:r>
              <w:rPr>
                <w:rFonts w:ascii="宋体" w:hAnsi="宋体" w:cs="宋体" w:eastAsia="宋体" w:hint="default"/>
                <w:sz w:val="18"/>
                <w:szCs w:val="18"/>
              </w:rPr>
              <w:t>处置投资对</w:t>
            </w:r>
            <w:r>
              <w:rPr>
                <w:rFonts w:ascii="宋体" w:hAnsi="宋体" w:cs="宋体" w:eastAsia="宋体" w:hint="default"/>
                <w:w w:val="101"/>
                <w:sz w:val="18"/>
                <w:szCs w:val="18"/>
              </w:rPr>
              <w:t> </w:t>
            </w:r>
            <w:r>
              <w:rPr>
                <w:rFonts w:ascii="宋体" w:hAnsi="宋体" w:cs="宋体" w:eastAsia="宋体" w:hint="default"/>
                <w:sz w:val="18"/>
                <w:szCs w:val="18"/>
              </w:rPr>
              <w:t>应的合并财</w:t>
            </w:r>
            <w:r>
              <w:rPr>
                <w:rFonts w:ascii="宋体" w:hAnsi="宋体" w:cs="宋体" w:eastAsia="宋体" w:hint="default"/>
                <w:w w:val="101"/>
                <w:sz w:val="18"/>
                <w:szCs w:val="18"/>
              </w:rPr>
              <w:t> </w:t>
            </w:r>
            <w:r>
              <w:rPr>
                <w:rFonts w:ascii="宋体" w:hAnsi="宋体" w:cs="宋体" w:eastAsia="宋体" w:hint="default"/>
                <w:sz w:val="18"/>
                <w:szCs w:val="18"/>
              </w:rPr>
              <w:t>务报表层面</w:t>
            </w:r>
            <w:r>
              <w:rPr>
                <w:rFonts w:ascii="宋体" w:hAnsi="宋体" w:cs="宋体" w:eastAsia="宋体" w:hint="default"/>
                <w:w w:val="101"/>
                <w:sz w:val="18"/>
                <w:szCs w:val="18"/>
              </w:rPr>
              <w:t> </w:t>
            </w:r>
            <w:r>
              <w:rPr>
                <w:rFonts w:ascii="宋体" w:hAnsi="宋体" w:cs="宋体" w:eastAsia="宋体" w:hint="default"/>
                <w:sz w:val="18"/>
                <w:szCs w:val="18"/>
              </w:rPr>
              <w:t>享有该子公</w:t>
            </w:r>
            <w:r>
              <w:rPr>
                <w:rFonts w:ascii="宋体" w:hAnsi="宋体" w:cs="宋体" w:eastAsia="宋体" w:hint="default"/>
                <w:w w:val="101"/>
                <w:sz w:val="18"/>
                <w:szCs w:val="18"/>
              </w:rPr>
              <w:t> </w:t>
            </w:r>
            <w:r>
              <w:rPr>
                <w:rFonts w:ascii="宋体" w:hAnsi="宋体" w:cs="宋体" w:eastAsia="宋体" w:hint="default"/>
                <w:sz w:val="18"/>
                <w:szCs w:val="18"/>
              </w:rPr>
              <w:t>司净资产份</w:t>
            </w:r>
            <w:r>
              <w:rPr>
                <w:rFonts w:ascii="宋体" w:hAnsi="宋体" w:cs="宋体" w:eastAsia="宋体" w:hint="default"/>
                <w:w w:val="101"/>
                <w:sz w:val="18"/>
                <w:szCs w:val="18"/>
              </w:rPr>
              <w:t> </w:t>
            </w:r>
            <w:r>
              <w:rPr>
                <w:rFonts w:ascii="宋体" w:hAnsi="宋体" w:cs="宋体" w:eastAsia="宋体" w:hint="default"/>
                <w:sz w:val="18"/>
                <w:szCs w:val="18"/>
              </w:rPr>
              <w:t>额的差额</w:t>
            </w:r>
          </w:p>
        </w:tc>
        <w:tc>
          <w:tcPr>
            <w:tcW w:w="6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58"/>
              <w:ind w:left="28" w:right="22"/>
              <w:jc w:val="both"/>
              <w:rPr>
                <w:rFonts w:ascii="宋体" w:hAnsi="宋体" w:cs="宋体" w:eastAsia="宋体" w:hint="default"/>
                <w:sz w:val="18"/>
                <w:szCs w:val="18"/>
              </w:rPr>
            </w:pPr>
            <w:r>
              <w:rPr>
                <w:rFonts w:ascii="宋体" w:hAnsi="宋体" w:cs="宋体" w:eastAsia="宋体" w:hint="default"/>
                <w:sz w:val="18"/>
                <w:szCs w:val="18"/>
              </w:rPr>
              <w:t>丧失控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制权之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日剩余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股权的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比例</w:t>
            </w:r>
          </w:p>
        </w:tc>
        <w:tc>
          <w:tcPr>
            <w:tcW w:w="6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58"/>
              <w:ind w:left="28" w:right="21"/>
              <w:jc w:val="center"/>
              <w:rPr>
                <w:rFonts w:ascii="宋体" w:hAnsi="宋体" w:cs="宋体" w:eastAsia="宋体" w:hint="default"/>
                <w:sz w:val="18"/>
                <w:szCs w:val="18"/>
              </w:rPr>
            </w:pPr>
            <w:r>
              <w:rPr>
                <w:rFonts w:ascii="宋体" w:hAnsi="宋体" w:cs="宋体" w:eastAsia="宋体" w:hint="default"/>
                <w:sz w:val="18"/>
                <w:szCs w:val="18"/>
              </w:rPr>
              <w:t>丧失控</w:t>
            </w:r>
            <w:r>
              <w:rPr>
                <w:rFonts w:ascii="宋体" w:hAnsi="宋体" w:cs="宋体" w:eastAsia="宋体" w:hint="default"/>
                <w:w w:val="101"/>
                <w:sz w:val="18"/>
                <w:szCs w:val="18"/>
              </w:rPr>
              <w:t> </w:t>
            </w:r>
            <w:r>
              <w:rPr>
                <w:rFonts w:ascii="宋体" w:hAnsi="宋体" w:cs="宋体" w:eastAsia="宋体" w:hint="default"/>
                <w:sz w:val="18"/>
                <w:szCs w:val="18"/>
              </w:rPr>
              <w:t>制权之</w:t>
            </w:r>
            <w:r>
              <w:rPr>
                <w:rFonts w:ascii="宋体" w:hAnsi="宋体" w:cs="宋体" w:eastAsia="宋体" w:hint="default"/>
                <w:w w:val="101"/>
                <w:sz w:val="18"/>
                <w:szCs w:val="18"/>
              </w:rPr>
              <w:t> </w:t>
            </w:r>
            <w:r>
              <w:rPr>
                <w:rFonts w:ascii="宋体" w:hAnsi="宋体" w:cs="宋体" w:eastAsia="宋体" w:hint="default"/>
                <w:sz w:val="18"/>
                <w:szCs w:val="18"/>
              </w:rPr>
              <w:t>日剩余</w:t>
            </w:r>
            <w:r>
              <w:rPr>
                <w:rFonts w:ascii="宋体" w:hAnsi="宋体" w:cs="宋体" w:eastAsia="宋体" w:hint="default"/>
                <w:w w:val="101"/>
                <w:sz w:val="18"/>
                <w:szCs w:val="18"/>
              </w:rPr>
              <w:t> </w:t>
            </w:r>
            <w:r>
              <w:rPr>
                <w:rFonts w:ascii="宋体" w:hAnsi="宋体" w:cs="宋体" w:eastAsia="宋体" w:hint="default"/>
                <w:sz w:val="18"/>
                <w:szCs w:val="18"/>
              </w:rPr>
              <w:t>股权的</w:t>
            </w:r>
            <w:r>
              <w:rPr>
                <w:rFonts w:ascii="宋体" w:hAnsi="宋体" w:cs="宋体" w:eastAsia="宋体" w:hint="default"/>
                <w:w w:val="101"/>
                <w:sz w:val="18"/>
                <w:szCs w:val="18"/>
              </w:rPr>
              <w:t> </w:t>
            </w:r>
            <w:r>
              <w:rPr>
                <w:rFonts w:ascii="宋体" w:hAnsi="宋体" w:cs="宋体" w:eastAsia="宋体" w:hint="default"/>
                <w:sz w:val="18"/>
                <w:szCs w:val="18"/>
              </w:rPr>
              <w:t>账面价</w:t>
            </w:r>
            <w:r>
              <w:rPr>
                <w:rFonts w:ascii="宋体" w:hAnsi="宋体" w:cs="宋体" w:eastAsia="宋体" w:hint="default"/>
                <w:w w:val="101"/>
                <w:sz w:val="18"/>
                <w:szCs w:val="18"/>
              </w:rPr>
              <w:t> </w:t>
            </w:r>
            <w:r>
              <w:rPr>
                <w:rFonts w:ascii="宋体" w:hAnsi="宋体" w:cs="宋体" w:eastAsia="宋体" w:hint="default"/>
                <w:sz w:val="18"/>
                <w:szCs w:val="18"/>
              </w:rPr>
              <w:t>值</w:t>
            </w:r>
          </w:p>
        </w:tc>
        <w:tc>
          <w:tcPr>
            <w:tcW w:w="6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58"/>
              <w:ind w:left="28" w:right="22"/>
              <w:jc w:val="center"/>
              <w:rPr>
                <w:rFonts w:ascii="宋体" w:hAnsi="宋体" w:cs="宋体" w:eastAsia="宋体" w:hint="default"/>
                <w:sz w:val="18"/>
                <w:szCs w:val="18"/>
              </w:rPr>
            </w:pPr>
            <w:r>
              <w:rPr>
                <w:rFonts w:ascii="宋体" w:hAnsi="宋体" w:cs="宋体" w:eastAsia="宋体" w:hint="default"/>
                <w:sz w:val="18"/>
                <w:szCs w:val="18"/>
              </w:rPr>
              <w:t>丧失控</w:t>
            </w:r>
            <w:r>
              <w:rPr>
                <w:rFonts w:ascii="宋体" w:hAnsi="宋体" w:cs="宋体" w:eastAsia="宋体" w:hint="default"/>
                <w:w w:val="101"/>
                <w:sz w:val="18"/>
                <w:szCs w:val="18"/>
              </w:rPr>
              <w:t> </w:t>
            </w:r>
            <w:r>
              <w:rPr>
                <w:rFonts w:ascii="宋体" w:hAnsi="宋体" w:cs="宋体" w:eastAsia="宋体" w:hint="default"/>
                <w:sz w:val="18"/>
                <w:szCs w:val="18"/>
              </w:rPr>
              <w:t>制权之</w:t>
            </w:r>
            <w:r>
              <w:rPr>
                <w:rFonts w:ascii="宋体" w:hAnsi="宋体" w:cs="宋体" w:eastAsia="宋体" w:hint="default"/>
                <w:w w:val="101"/>
                <w:sz w:val="18"/>
                <w:szCs w:val="18"/>
              </w:rPr>
              <w:t> </w:t>
            </w:r>
            <w:r>
              <w:rPr>
                <w:rFonts w:ascii="宋体" w:hAnsi="宋体" w:cs="宋体" w:eastAsia="宋体" w:hint="default"/>
                <w:sz w:val="18"/>
                <w:szCs w:val="18"/>
              </w:rPr>
              <w:t>日剩余</w:t>
            </w:r>
            <w:r>
              <w:rPr>
                <w:rFonts w:ascii="宋体" w:hAnsi="宋体" w:cs="宋体" w:eastAsia="宋体" w:hint="default"/>
                <w:w w:val="101"/>
                <w:sz w:val="18"/>
                <w:szCs w:val="18"/>
              </w:rPr>
              <w:t> </w:t>
            </w:r>
            <w:r>
              <w:rPr>
                <w:rFonts w:ascii="宋体" w:hAnsi="宋体" w:cs="宋体" w:eastAsia="宋体" w:hint="default"/>
                <w:sz w:val="18"/>
                <w:szCs w:val="18"/>
              </w:rPr>
              <w:t>股权的</w:t>
            </w:r>
            <w:r>
              <w:rPr>
                <w:rFonts w:ascii="宋体" w:hAnsi="宋体" w:cs="宋体" w:eastAsia="宋体" w:hint="default"/>
                <w:w w:val="101"/>
                <w:sz w:val="18"/>
                <w:szCs w:val="18"/>
              </w:rPr>
              <w:t> </w:t>
            </w:r>
            <w:r>
              <w:rPr>
                <w:rFonts w:ascii="宋体" w:hAnsi="宋体" w:cs="宋体" w:eastAsia="宋体" w:hint="default"/>
                <w:sz w:val="18"/>
                <w:szCs w:val="18"/>
              </w:rPr>
              <w:t>公允价</w:t>
            </w:r>
            <w:r>
              <w:rPr>
                <w:rFonts w:ascii="宋体" w:hAnsi="宋体" w:cs="宋体" w:eastAsia="宋体" w:hint="default"/>
                <w:w w:val="101"/>
                <w:sz w:val="18"/>
                <w:szCs w:val="18"/>
              </w:rPr>
              <w:t> </w:t>
            </w:r>
            <w:r>
              <w:rPr>
                <w:rFonts w:ascii="宋体" w:hAnsi="宋体" w:cs="宋体" w:eastAsia="宋体" w:hint="default"/>
                <w:sz w:val="18"/>
                <w:szCs w:val="18"/>
              </w:rPr>
              <w:t>值</w:t>
            </w:r>
          </w:p>
        </w:tc>
        <w:tc>
          <w:tcPr>
            <w:tcW w:w="6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58"/>
              <w:ind w:left="28" w:right="21"/>
              <w:jc w:val="center"/>
              <w:rPr>
                <w:rFonts w:ascii="宋体" w:hAnsi="宋体" w:cs="宋体" w:eastAsia="宋体" w:hint="default"/>
                <w:sz w:val="18"/>
                <w:szCs w:val="18"/>
              </w:rPr>
            </w:pPr>
            <w:r>
              <w:rPr>
                <w:rFonts w:ascii="宋体" w:hAnsi="宋体" w:cs="宋体" w:eastAsia="宋体" w:hint="default"/>
                <w:sz w:val="18"/>
                <w:szCs w:val="18"/>
              </w:rPr>
              <w:t>按照公</w:t>
            </w:r>
            <w:r>
              <w:rPr>
                <w:rFonts w:ascii="宋体" w:hAnsi="宋体" w:cs="宋体" w:eastAsia="宋体" w:hint="default"/>
                <w:w w:val="101"/>
                <w:sz w:val="18"/>
                <w:szCs w:val="18"/>
              </w:rPr>
              <w:t> </w:t>
            </w:r>
            <w:r>
              <w:rPr>
                <w:rFonts w:ascii="宋体" w:hAnsi="宋体" w:cs="宋体" w:eastAsia="宋体" w:hint="default"/>
                <w:sz w:val="18"/>
                <w:szCs w:val="18"/>
              </w:rPr>
              <w:t>允价值</w:t>
            </w:r>
            <w:r>
              <w:rPr>
                <w:rFonts w:ascii="宋体" w:hAnsi="宋体" w:cs="宋体" w:eastAsia="宋体" w:hint="default"/>
                <w:w w:val="101"/>
                <w:sz w:val="18"/>
                <w:szCs w:val="18"/>
              </w:rPr>
              <w:t> </w:t>
            </w:r>
            <w:r>
              <w:rPr>
                <w:rFonts w:ascii="宋体" w:hAnsi="宋体" w:cs="宋体" w:eastAsia="宋体" w:hint="default"/>
                <w:sz w:val="18"/>
                <w:szCs w:val="18"/>
              </w:rPr>
              <w:t>重新计</w:t>
            </w:r>
            <w:r>
              <w:rPr>
                <w:rFonts w:ascii="宋体" w:hAnsi="宋体" w:cs="宋体" w:eastAsia="宋体" w:hint="default"/>
                <w:w w:val="101"/>
                <w:sz w:val="18"/>
                <w:szCs w:val="18"/>
              </w:rPr>
              <w:t> </w:t>
            </w:r>
            <w:r>
              <w:rPr>
                <w:rFonts w:ascii="宋体" w:hAnsi="宋体" w:cs="宋体" w:eastAsia="宋体" w:hint="default"/>
                <w:sz w:val="18"/>
                <w:szCs w:val="18"/>
              </w:rPr>
              <w:t>量剩余</w:t>
            </w:r>
            <w:r>
              <w:rPr>
                <w:rFonts w:ascii="宋体" w:hAnsi="宋体" w:cs="宋体" w:eastAsia="宋体" w:hint="default"/>
                <w:w w:val="101"/>
                <w:sz w:val="18"/>
                <w:szCs w:val="18"/>
              </w:rPr>
              <w:t> </w:t>
            </w:r>
            <w:r>
              <w:rPr>
                <w:rFonts w:ascii="宋体" w:hAnsi="宋体" w:cs="宋体" w:eastAsia="宋体" w:hint="default"/>
                <w:sz w:val="18"/>
                <w:szCs w:val="18"/>
              </w:rPr>
              <w:t>股权产</w:t>
            </w:r>
            <w:r>
              <w:rPr>
                <w:rFonts w:ascii="宋体" w:hAnsi="宋体" w:cs="宋体" w:eastAsia="宋体" w:hint="default"/>
                <w:w w:val="101"/>
                <w:sz w:val="18"/>
                <w:szCs w:val="18"/>
              </w:rPr>
              <w:t> </w:t>
            </w:r>
            <w:r>
              <w:rPr>
                <w:rFonts w:ascii="宋体" w:hAnsi="宋体" w:cs="宋体" w:eastAsia="宋体" w:hint="default"/>
                <w:sz w:val="18"/>
                <w:szCs w:val="18"/>
              </w:rPr>
              <w:t>生的利</w:t>
            </w:r>
            <w:r>
              <w:rPr>
                <w:rFonts w:ascii="宋体" w:hAnsi="宋体" w:cs="宋体" w:eastAsia="宋体" w:hint="default"/>
                <w:w w:val="101"/>
                <w:sz w:val="18"/>
                <w:szCs w:val="18"/>
              </w:rPr>
              <w:t> </w:t>
            </w:r>
            <w:r>
              <w:rPr>
                <w:rFonts w:ascii="宋体" w:hAnsi="宋体" w:cs="宋体" w:eastAsia="宋体" w:hint="default"/>
                <w:sz w:val="18"/>
                <w:szCs w:val="18"/>
              </w:rPr>
              <w:t>得或损</w:t>
            </w:r>
            <w:r>
              <w:rPr>
                <w:rFonts w:ascii="宋体" w:hAnsi="宋体" w:cs="宋体" w:eastAsia="宋体" w:hint="default"/>
                <w:w w:val="101"/>
                <w:sz w:val="18"/>
                <w:szCs w:val="18"/>
              </w:rPr>
              <w:t> </w:t>
            </w:r>
            <w:r>
              <w:rPr>
                <w:rFonts w:ascii="宋体" w:hAnsi="宋体" w:cs="宋体" w:eastAsia="宋体" w:hint="default"/>
                <w:sz w:val="18"/>
                <w:szCs w:val="18"/>
              </w:rPr>
              <w:t>失</w:t>
            </w:r>
          </w:p>
        </w:tc>
        <w:tc>
          <w:tcPr>
            <w:tcW w:w="6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8"/>
              <w:ind w:left="28" w:right="17"/>
              <w:jc w:val="both"/>
              <w:rPr>
                <w:rFonts w:ascii="宋体" w:hAnsi="宋体" w:cs="宋体" w:eastAsia="宋体" w:hint="default"/>
                <w:sz w:val="18"/>
                <w:szCs w:val="18"/>
              </w:rPr>
            </w:pPr>
            <w:r>
              <w:rPr>
                <w:rFonts w:ascii="宋体" w:hAnsi="宋体" w:cs="宋体" w:eastAsia="宋体" w:hint="default"/>
                <w:sz w:val="18"/>
                <w:szCs w:val="18"/>
              </w:rPr>
              <w:t>丧失控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制权之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日剩余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股权公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允价值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的确定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方法及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主要假</w:t>
            </w:r>
          </w:p>
        </w:tc>
        <w:tc>
          <w:tcPr>
            <w:tcW w:w="6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8"/>
              <w:ind w:left="33" w:right="17"/>
              <w:jc w:val="both"/>
              <w:rPr>
                <w:rFonts w:ascii="宋体" w:hAnsi="宋体" w:cs="宋体" w:eastAsia="宋体" w:hint="default"/>
                <w:sz w:val="18"/>
                <w:szCs w:val="18"/>
              </w:rPr>
            </w:pPr>
            <w:r>
              <w:rPr>
                <w:rFonts w:ascii="宋体" w:hAnsi="宋体" w:cs="宋体" w:eastAsia="宋体" w:hint="default"/>
                <w:sz w:val="18"/>
                <w:szCs w:val="18"/>
              </w:rPr>
              <w:t>与原子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权投资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相关的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转入投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资损益</w:t>
            </w:r>
          </w:p>
        </w:tc>
      </w:tr>
    </w:tbl>
    <w:p>
      <w:pPr>
        <w:spacing w:after="0" w:line="316" w:lineRule="auto"/>
        <w:jc w:val="both"/>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610"/>
        <w:gridCol w:w="1133"/>
        <w:gridCol w:w="730"/>
        <w:gridCol w:w="610"/>
        <w:gridCol w:w="658"/>
        <w:gridCol w:w="610"/>
        <w:gridCol w:w="1037"/>
        <w:gridCol w:w="610"/>
        <w:gridCol w:w="610"/>
        <w:gridCol w:w="610"/>
        <w:gridCol w:w="610"/>
        <w:gridCol w:w="605"/>
        <w:gridCol w:w="610"/>
      </w:tblGrid>
      <w:tr>
        <w:trPr>
          <w:trHeight w:val="389" w:hRule="exact"/>
        </w:trPr>
        <w:tc>
          <w:tcPr>
            <w:tcW w:w="61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13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3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61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65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61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03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61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61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61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61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6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left="14" w:right="0"/>
              <w:jc w:val="center"/>
              <w:rPr>
                <w:rFonts w:ascii="宋体" w:hAnsi="宋体" w:cs="宋体" w:eastAsia="宋体" w:hint="default"/>
                <w:sz w:val="18"/>
                <w:szCs w:val="18"/>
              </w:rPr>
            </w:pPr>
            <w:r>
              <w:rPr>
                <w:rFonts w:ascii="宋体" w:hAnsi="宋体" w:cs="宋体" w:eastAsia="宋体" w:hint="default"/>
                <w:w w:val="101"/>
                <w:sz w:val="18"/>
                <w:szCs w:val="18"/>
              </w:rPr>
              <w:t>设</w:t>
            </w:r>
            <w:r>
              <w:rPr>
                <w:rFonts w:ascii="宋体" w:hAnsi="宋体" w:cs="宋体" w:eastAsia="宋体" w:hint="default"/>
                <w:sz w:val="18"/>
                <w:szCs w:val="18"/>
              </w:rPr>
            </w:r>
          </w:p>
        </w:tc>
        <w:tc>
          <w:tcPr>
            <w:tcW w:w="6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right="17"/>
              <w:jc w:val="right"/>
              <w:rPr>
                <w:rFonts w:ascii="宋体" w:hAnsi="宋体" w:cs="宋体" w:eastAsia="宋体" w:hint="default"/>
                <w:sz w:val="18"/>
                <w:szCs w:val="18"/>
              </w:rPr>
            </w:pPr>
            <w:r>
              <w:rPr>
                <w:rFonts w:ascii="宋体" w:hAnsi="宋体" w:cs="宋体" w:eastAsia="宋体" w:hint="default"/>
                <w:spacing w:val="-2"/>
                <w:sz w:val="18"/>
                <w:szCs w:val="18"/>
              </w:rPr>
              <w:t>的金额</w:t>
            </w:r>
          </w:p>
        </w:tc>
      </w:tr>
      <w:tr>
        <w:trPr>
          <w:trHeight w:val="1676" w:hRule="exact"/>
        </w:trPr>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3"/>
              <w:ind w:left="4" w:right="45"/>
              <w:jc w:val="both"/>
              <w:rPr>
                <w:rFonts w:ascii="宋体" w:hAnsi="宋体" w:cs="宋体" w:eastAsia="宋体" w:hint="default"/>
                <w:sz w:val="18"/>
                <w:szCs w:val="18"/>
              </w:rPr>
            </w:pPr>
            <w:r>
              <w:rPr>
                <w:rFonts w:ascii="宋体" w:hAnsi="宋体" w:cs="宋体" w:eastAsia="宋体" w:hint="default"/>
                <w:sz w:val="18"/>
                <w:szCs w:val="18"/>
              </w:rPr>
              <w:t>上海卓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越形象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广告传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播有限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76" w:right="0"/>
              <w:jc w:val="left"/>
              <w:rPr>
                <w:rFonts w:ascii="Times New Roman" w:hAnsi="Times New Roman" w:cs="Times New Roman" w:eastAsia="Times New Roman" w:hint="default"/>
                <w:sz w:val="18"/>
                <w:szCs w:val="18"/>
              </w:rPr>
            </w:pPr>
            <w:r>
              <w:rPr>
                <w:rFonts w:ascii="Times New Roman"/>
                <w:sz w:val="18"/>
              </w:rPr>
              <w:t>92,000,000.00</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71" w:right="-3"/>
              <w:jc w:val="left"/>
              <w:rPr>
                <w:rFonts w:ascii="Times New Roman" w:hAnsi="Times New Roman" w:cs="Times New Roman" w:eastAsia="Times New Roman" w:hint="default"/>
                <w:sz w:val="18"/>
                <w:szCs w:val="18"/>
              </w:rPr>
            </w:pPr>
            <w:r>
              <w:rPr>
                <w:rFonts w:ascii="Times New Roman"/>
                <w:sz w:val="18"/>
              </w:rPr>
              <w:t>100.00%</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p>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9" w:right="41" w:firstLine="76"/>
              <w:jc w:val="left"/>
              <w:rPr>
                <w:rFonts w:ascii="宋体" w:hAnsi="宋体" w:cs="宋体" w:eastAsia="宋体" w:hint="default"/>
                <w:sz w:val="18"/>
                <w:szCs w:val="18"/>
              </w:rPr>
            </w:pPr>
            <w:r>
              <w:rPr>
                <w:rFonts w:ascii="宋体" w:hAnsi="宋体" w:cs="宋体" w:eastAsia="宋体" w:hint="default"/>
                <w:spacing w:val="-5"/>
                <w:sz w:val="18"/>
                <w:szCs w:val="18"/>
              </w:rPr>
              <w:t>董事</w:t>
            </w:r>
            <w:r>
              <w:rPr>
                <w:rFonts w:ascii="宋体" w:hAnsi="宋体" w:cs="宋体" w:eastAsia="宋体" w:hint="default"/>
                <w:spacing w:val="-5"/>
                <w:w w:val="101"/>
                <w:sz w:val="18"/>
                <w:szCs w:val="18"/>
              </w:rPr>
              <w:t> </w:t>
            </w:r>
            <w:r>
              <w:rPr>
                <w:rFonts w:ascii="宋体" w:hAnsi="宋体" w:cs="宋体" w:eastAsia="宋体" w:hint="default"/>
                <w:sz w:val="18"/>
                <w:szCs w:val="18"/>
              </w:rPr>
              <w:t>会改组</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76" w:right="-5"/>
              <w:jc w:val="left"/>
              <w:rPr>
                <w:rFonts w:ascii="Times New Roman" w:hAnsi="Times New Roman" w:cs="Times New Roman" w:eastAsia="Times New Roman" w:hint="default"/>
                <w:sz w:val="18"/>
                <w:szCs w:val="18"/>
              </w:rPr>
            </w:pPr>
            <w:r>
              <w:rPr>
                <w:rFonts w:ascii="Times New Roman"/>
                <w:sz w:val="18"/>
              </w:rPr>
              <w:t>1,554,384.24</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line="300" w:lineRule="auto" w:before="10"/>
        <w:ind w:left="153" w:right="1122" w:firstLine="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31</w:t>
      </w:r>
      <w:r>
        <w:rPr>
          <w:rFonts w:ascii="宋体" w:hAnsi="宋体" w:cs="宋体" w:eastAsia="宋体" w:hint="default"/>
          <w:spacing w:val="-4"/>
          <w:sz w:val="18"/>
          <w:szCs w:val="18"/>
        </w:rPr>
        <w:t>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本公司之子公司汉华易美与天津奇卓文化发展有限公司签订《股权转让协议》</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汉华易美将所持上海卓越形象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广告传播有限公司</w:t>
      </w:r>
      <w:r>
        <w:rPr>
          <w:rFonts w:ascii="Times New Roman" w:hAnsi="Times New Roman" w:cs="Times New Roman" w:eastAsia="Times New Roman" w:hint="default"/>
          <w:spacing w:val="-3"/>
          <w:sz w:val="18"/>
          <w:szCs w:val="18"/>
        </w:rPr>
        <w:t>51%</w:t>
      </w:r>
      <w:r>
        <w:rPr>
          <w:rFonts w:ascii="宋体" w:hAnsi="宋体" w:cs="宋体" w:eastAsia="宋体" w:hint="default"/>
          <w:spacing w:val="-3"/>
          <w:sz w:val="18"/>
          <w:szCs w:val="18"/>
        </w:rPr>
        <w:t>的股权作价人民币</w:t>
      </w:r>
      <w:r>
        <w:rPr>
          <w:rFonts w:ascii="Times New Roman" w:hAnsi="Times New Roman" w:cs="Times New Roman" w:eastAsia="Times New Roman" w:hint="default"/>
          <w:spacing w:val="-3"/>
          <w:sz w:val="18"/>
          <w:szCs w:val="18"/>
        </w:rPr>
        <w:t>9,200</w:t>
      </w:r>
      <w:r>
        <w:rPr>
          <w:rFonts w:ascii="宋体" w:hAnsi="宋体" w:cs="宋体" w:eastAsia="宋体" w:hint="default"/>
          <w:spacing w:val="-3"/>
          <w:sz w:val="18"/>
          <w:szCs w:val="18"/>
        </w:rPr>
        <w:t>万元转让给天津奇卓文化发展有限公司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汉华易美已于</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28</w:t>
      </w:r>
      <w:r>
        <w:rPr>
          <w:rFonts w:ascii="宋体" w:hAnsi="宋体" w:cs="宋体" w:eastAsia="宋体" w:hint="default"/>
          <w:spacing w:val="-3"/>
          <w:sz w:val="18"/>
          <w:szCs w:val="18"/>
        </w:rPr>
        <w:t>日、</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pacing w:val="-2"/>
          <w:sz w:val="18"/>
          <w:szCs w:val="18"/>
        </w:rPr>
        <w:t>日收到股权转让款共计</w:t>
      </w:r>
      <w:r>
        <w:rPr>
          <w:rFonts w:ascii="Times New Roman" w:hAnsi="Times New Roman" w:cs="Times New Roman" w:eastAsia="Times New Roman" w:hint="default"/>
          <w:spacing w:val="-2"/>
          <w:sz w:val="18"/>
          <w:szCs w:val="18"/>
        </w:rPr>
        <w:t>4,600</w:t>
      </w:r>
      <w:r>
        <w:rPr>
          <w:rFonts w:ascii="宋体" w:hAnsi="宋体" w:cs="宋体" w:eastAsia="宋体" w:hint="default"/>
          <w:spacing w:val="-2"/>
          <w:sz w:val="18"/>
          <w:szCs w:val="18"/>
        </w:rPr>
        <w:t>万元</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该交易于</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20</w:t>
      </w:r>
      <w:r>
        <w:rPr>
          <w:rFonts w:ascii="宋体" w:hAnsi="宋体" w:cs="宋体" w:eastAsia="宋体" w:hint="default"/>
          <w:spacing w:val="-2"/>
          <w:sz w:val="18"/>
          <w:szCs w:val="18"/>
        </w:rPr>
        <w:t>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经本公司总裁办公会</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年第三次会议审议通过。</w:t>
      </w:r>
    </w:p>
    <w:p>
      <w:pPr>
        <w:spacing w:line="240" w:lineRule="auto" w:before="10"/>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、其他原因的合并范围变动</w:t>
      </w:r>
      <w:r>
        <w:rPr>
          <w:b w:val="0"/>
          <w:bCs w:val="0"/>
        </w:rPr>
      </w:r>
    </w:p>
    <w:p>
      <w:pPr>
        <w:spacing w:line="240" w:lineRule="auto" w:before="9"/>
        <w:rPr>
          <w:rFonts w:ascii="宋体" w:hAnsi="宋体" w:cs="宋体" w:eastAsia="宋体" w:hint="default"/>
          <w:b/>
          <w:bCs/>
          <w:sz w:val="26"/>
          <w:szCs w:val="26"/>
        </w:rPr>
      </w:pPr>
    </w:p>
    <w:p>
      <w:pPr>
        <w:spacing w:line="417" w:lineRule="auto"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北京汉华易美图片有限公司于</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月设立子公司江苏视觉流信息技术有限公司；</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pacing w:val="-3"/>
          <w:sz w:val="18"/>
          <w:szCs w:val="18"/>
        </w:rPr>
        <w:t>江苏视觉娱乐新科技有限公司于</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月设立子公司常州叁维视觉科技有限公司；</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pacing w:val="-3"/>
          <w:sz w:val="18"/>
          <w:szCs w:val="18"/>
        </w:rPr>
        <w:t>常州远东文化产业有限公司于</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月设立子公司江苏易美视觉科技有限公司；</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常州远东文化产业有限公司于</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月设立子公司常州五百像素网络科技有限公司。</w:t>
      </w:r>
    </w:p>
    <w:p>
      <w:pPr>
        <w:pStyle w:val="Heading2"/>
        <w:spacing w:line="240" w:lineRule="auto" w:before="152"/>
        <w:ind w:right="0"/>
        <w:jc w:val="left"/>
        <w:rPr>
          <w:b w:val="0"/>
          <w:bCs w:val="0"/>
        </w:rPr>
      </w:pPr>
      <w:bookmarkStart w:name="九、聘任、解聘会计师事务所情况" w:id="73"/>
      <w:bookmarkEnd w:id="73"/>
      <w:r>
        <w:rPr>
          <w:b w:val="0"/>
          <w:bCs w:val="0"/>
        </w:rPr>
      </w:r>
      <w:r>
        <w:rPr/>
        <w:t>九、聘任、解聘会计师事务所情况</w:t>
      </w:r>
      <w:r>
        <w:rPr>
          <w:b w:val="0"/>
          <w:bCs w:val="0"/>
        </w:rPr>
      </w:r>
    </w:p>
    <w:p>
      <w:pPr>
        <w:spacing w:line="240" w:lineRule="auto" w:before="8"/>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hAnsi="宋体" w:cs="宋体" w:eastAsia="宋体" w:hint="default"/>
                <w:spacing w:val="-3"/>
                <w:sz w:val="18"/>
                <w:szCs w:val="18"/>
              </w:rPr>
              <w:t>中审众环会计师事务所（特殊普通合伙）</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90</w:t>
            </w:r>
          </w:p>
        </w:tc>
      </w:tr>
      <w:tr>
        <w:trPr>
          <w:trHeight w:val="404"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r>
      <w:tr>
        <w:trPr>
          <w:trHeight w:val="398"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hAnsi="宋体" w:cs="宋体" w:eastAsia="宋体" w:hint="default"/>
                <w:sz w:val="18"/>
                <w:szCs w:val="18"/>
              </w:rPr>
              <w:t>黄丽琼</w:t>
            </w:r>
            <w:r>
              <w:rPr>
                <w:rFonts w:ascii="宋体" w:hAnsi="宋体" w:cs="宋体" w:eastAsia="宋体" w:hint="default"/>
                <w:spacing w:val="5"/>
                <w:sz w:val="18"/>
                <w:szCs w:val="18"/>
              </w:rPr>
              <w:t> </w:t>
            </w:r>
            <w:r>
              <w:rPr>
                <w:rFonts w:ascii="宋体" w:hAnsi="宋体" w:cs="宋体" w:eastAsia="宋体" w:hint="default"/>
                <w:sz w:val="18"/>
                <w:szCs w:val="18"/>
              </w:rPr>
              <w:t>安素强</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当期是否改聘会计师事务所</w:t>
      </w:r>
    </w:p>
    <w:p>
      <w:pPr>
        <w:spacing w:line="338" w:lineRule="auto" w:before="119"/>
        <w:ind w:left="153" w:right="628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3"/>
          <w:sz w:val="18"/>
          <w:szCs w:val="18"/>
        </w:rPr>
        <w:t> </w:t>
      </w:r>
      <w:r>
        <w:rPr>
          <w:rFonts w:ascii="宋体" w:hAnsi="宋体" w:cs="宋体" w:eastAsia="宋体" w:hint="default"/>
          <w:spacing w:val="-3"/>
          <w:sz w:val="18"/>
          <w:szCs w:val="18"/>
        </w:rPr>
        <w:t>聘请内部控制审计会计师事务所、财务顾问或保荐人情况</w:t>
      </w:r>
    </w:p>
    <w:p>
      <w:pPr>
        <w:spacing w:line="338" w:lineRule="auto" w:before="41"/>
        <w:ind w:left="153" w:right="211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本年度，公司聘请中审中环会计师事务所（特殊普通合伙）为内部审计会计师事务所，审计费</w:t>
      </w: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万元。</w:t>
      </w:r>
    </w:p>
    <w:p>
      <w:pPr>
        <w:spacing w:line="230" w:lineRule="exact" w:before="0"/>
        <w:ind w:left="153" w:right="0" w:firstLine="0"/>
        <w:jc w:val="left"/>
        <w:rPr>
          <w:rFonts w:ascii="宋体" w:hAnsi="宋体" w:cs="宋体" w:eastAsia="宋体" w:hint="default"/>
          <w:sz w:val="18"/>
          <w:szCs w:val="18"/>
        </w:rPr>
      </w:pPr>
      <w:r>
        <w:rPr>
          <w:rFonts w:ascii="宋体" w:hAnsi="宋体" w:cs="宋体" w:eastAsia="宋体" w:hint="default"/>
          <w:spacing w:val="-4"/>
          <w:sz w:val="18"/>
          <w:szCs w:val="18"/>
        </w:rPr>
        <w:t>本年度，公司因</w:t>
      </w:r>
      <w:r>
        <w:rPr>
          <w:rFonts w:ascii="Times New Roman" w:hAnsi="Times New Roman" w:cs="Times New Roman" w:eastAsia="Times New Roman" w:hint="default"/>
          <w:spacing w:val="-4"/>
          <w:sz w:val="18"/>
          <w:szCs w:val="18"/>
        </w:rPr>
        <w:t>2014</w:t>
      </w:r>
      <w:r>
        <w:rPr>
          <w:rFonts w:ascii="宋体" w:hAnsi="宋体" w:cs="宋体" w:eastAsia="宋体" w:hint="default"/>
          <w:spacing w:val="-4"/>
          <w:sz w:val="18"/>
          <w:szCs w:val="18"/>
        </w:rPr>
        <w:t>年重大资产重组形成的部分限售股解禁事项，聘请西南证券股份有限公司为财务顾问，支付财务顾问费</w:t>
      </w:r>
    </w:p>
    <w:p>
      <w:pPr>
        <w:spacing w:before="6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84.6</w:t>
      </w:r>
      <w:r>
        <w:rPr>
          <w:rFonts w:ascii="宋体" w:hAnsi="宋体" w:cs="宋体" w:eastAsia="宋体" w:hint="default"/>
          <w:sz w:val="18"/>
          <w:szCs w:val="18"/>
        </w:rPr>
        <w:t>万元。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1"/>
        <w:ind w:right="0"/>
        <w:jc w:val="left"/>
        <w:rPr>
          <w:b w:val="0"/>
          <w:bCs w:val="0"/>
        </w:rPr>
      </w:pPr>
      <w:bookmarkStart w:name="十、年度报告披露后面临暂停上市和终止上市情况" w:id="74"/>
      <w:bookmarkEnd w:id="74"/>
      <w:r>
        <w:rPr>
          <w:b w:val="0"/>
          <w:bCs w:val="0"/>
        </w:rPr>
      </w:r>
      <w:r>
        <w:rPr/>
        <w:t>十、年度报告披露后面临暂停上市和终止上市情况</w:t>
      </w:r>
      <w:r>
        <w:rPr>
          <w:b w:val="0"/>
          <w:bCs w:val="0"/>
        </w:rPr>
      </w:r>
    </w:p>
    <w:p>
      <w:pPr>
        <w:spacing w:line="240" w:lineRule="auto" w:before="3"/>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2"/>
          <w:szCs w:val="22"/>
        </w:rPr>
      </w:pPr>
    </w:p>
    <w:p>
      <w:pPr>
        <w:pStyle w:val="Heading2"/>
        <w:spacing w:line="240" w:lineRule="auto"/>
        <w:ind w:right="0"/>
        <w:jc w:val="left"/>
        <w:rPr>
          <w:b w:val="0"/>
          <w:bCs w:val="0"/>
        </w:rPr>
      </w:pPr>
      <w:bookmarkStart w:name="十一、破产重整相关事项" w:id="75"/>
      <w:bookmarkEnd w:id="75"/>
      <w:r>
        <w:rPr>
          <w:b w:val="0"/>
          <w:bCs w:val="0"/>
        </w:rPr>
      </w:r>
      <w:r>
        <w:rPr/>
        <w:t>十一、破产重整相关事项</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公司报告期未发生破产重整相关事项。</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十二、重大诉讼、仲裁事项" w:id="76"/>
      <w:bookmarkEnd w:id="76"/>
      <w:r>
        <w:rPr>
          <w:b w:val="0"/>
          <w:bCs w:val="0"/>
        </w:rPr>
      </w:r>
      <w:r>
        <w:rPr/>
        <w:t>十二、重大诉讼、仲裁事项</w:t>
      </w:r>
      <w:r>
        <w:rPr>
          <w:b w:val="0"/>
          <w:bCs w:val="0"/>
        </w:rPr>
      </w:r>
    </w:p>
    <w:p>
      <w:pPr>
        <w:spacing w:line="240" w:lineRule="auto" w:before="8"/>
        <w:rPr>
          <w:rFonts w:ascii="宋体" w:hAnsi="宋体" w:cs="宋体" w:eastAsia="宋体" w:hint="default"/>
          <w:b/>
          <w:bCs/>
          <w:sz w:val="27"/>
          <w:szCs w:val="27"/>
        </w:rPr>
      </w:pPr>
    </w:p>
    <w:p>
      <w:pPr>
        <w:spacing w:line="343" w:lineRule="auto" w:before="0"/>
        <w:ind w:left="153" w:right="72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本报告期公司无重大诉讼、仲裁事项。</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十三、处罚及整改情况" w:id="77"/>
      <w:bookmarkEnd w:id="77"/>
      <w:r>
        <w:rPr>
          <w:b w:val="0"/>
          <w:bCs w:val="0"/>
        </w:rPr>
      </w:r>
      <w:r>
        <w:rPr/>
        <w:t>十三、处罚及整改情况</w:t>
      </w:r>
      <w:r>
        <w:rPr>
          <w:b w:val="0"/>
          <w:bCs w:val="0"/>
        </w:rPr>
      </w:r>
    </w:p>
    <w:p>
      <w:pPr>
        <w:spacing w:line="240" w:lineRule="auto" w:before="8"/>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7" w:right="0"/>
              <w:jc w:val="left"/>
              <w:rPr>
                <w:rFonts w:ascii="宋体" w:hAnsi="宋体" w:cs="宋体" w:eastAsia="宋体" w:hint="default"/>
                <w:sz w:val="18"/>
                <w:szCs w:val="18"/>
              </w:rPr>
            </w:pPr>
            <w:r>
              <w:rPr>
                <w:rFonts w:ascii="宋体" w:hAnsi="宋体" w:cs="宋体" w:eastAsia="宋体" w:hint="default"/>
                <w:spacing w:val="-3"/>
                <w:sz w:val="18"/>
                <w:szCs w:val="18"/>
              </w:rPr>
              <w:t>名称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姓名</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调查处罚类型</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结论（如有）</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461"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4"/>
              <w:ind w:left="24" w:right="70"/>
              <w:jc w:val="left"/>
              <w:rPr>
                <w:rFonts w:ascii="宋体" w:hAnsi="宋体" w:cs="宋体" w:eastAsia="宋体" w:hint="default"/>
                <w:sz w:val="18"/>
                <w:szCs w:val="18"/>
              </w:rPr>
            </w:pPr>
            <w:r>
              <w:rPr>
                <w:rFonts w:ascii="宋体" w:hAnsi="宋体" w:cs="宋体" w:eastAsia="宋体" w:hint="default"/>
                <w:sz w:val="18"/>
                <w:szCs w:val="18"/>
              </w:rPr>
              <w:t>汉华易美</w:t>
            </w:r>
            <w:r>
              <w:rPr>
                <w:rFonts w:ascii="Times New Roman" w:hAnsi="Times New Roman" w:cs="Times New Roman" w:eastAsia="Times New Roman" w:hint="default"/>
                <w:sz w:val="18"/>
                <w:szCs w:val="18"/>
              </w:rPr>
              <w:t>(</w:t>
            </w:r>
            <w:r>
              <w:rPr>
                <w:rFonts w:ascii="宋体" w:hAnsi="宋体" w:cs="宋体" w:eastAsia="宋体" w:hint="default"/>
                <w:sz w:val="18"/>
                <w:szCs w:val="18"/>
              </w:rPr>
              <w:t>天津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pacing w:val="-3"/>
                <w:sz w:val="18"/>
                <w:szCs w:val="18"/>
              </w:rPr>
              <w:t>图像技术有限公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汉华易美天津在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通过运营</w:t>
            </w:r>
            <w:r>
              <w:rPr>
                <w:rFonts w:ascii="Times New Roman" w:hAnsi="Times New Roman" w:cs="Times New Roman" w:eastAsia="Times New Roman" w:hint="default"/>
                <w:sz w:val="18"/>
                <w:szCs w:val="18"/>
              </w:rPr>
              <w:t>“</w:t>
            </w:r>
            <w:r>
              <w:rPr>
                <w:rFonts w:ascii="宋体" w:hAnsi="宋体" w:cs="宋体" w:eastAsia="宋体" w:hint="default"/>
                <w:sz w:val="18"/>
                <w:szCs w:val="18"/>
              </w:rPr>
              <w:t>视觉</w:t>
            </w:r>
            <w:r>
              <w:rPr>
                <w:rFonts w:ascii="宋体" w:hAnsi="宋体" w:cs="宋体" w:eastAsia="宋体" w:hint="default"/>
                <w:spacing w:val="-85"/>
                <w:sz w:val="18"/>
                <w:szCs w:val="18"/>
              </w:rPr>
              <w:t> </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网站（域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名：</w:t>
            </w:r>
            <w:r>
              <w:rPr>
                <w:rFonts w:ascii="宋体" w:hAnsi="宋体" w:cs="宋体" w:eastAsia="宋体" w:hint="default"/>
                <w:spacing w:val="-86"/>
                <w:sz w:val="18"/>
                <w:szCs w:val="18"/>
              </w:rPr>
              <w:t> </w:t>
            </w:r>
            <w:hyperlink r:id="rId9">
              <w:r>
                <w:rPr>
                  <w:rFonts w:ascii="Times New Roman" w:hAnsi="Times New Roman" w:cs="Times New Roman" w:eastAsia="Times New Roman" w:hint="default"/>
                  <w:spacing w:val="-16"/>
                  <w:w w:val="101"/>
                  <w:sz w:val="18"/>
                  <w:szCs w:val="18"/>
                </w:rPr>
                <w:t>www.vcg.com</w:t>
              </w:r>
            </w:hyperlink>
            <w:r>
              <w:rPr>
                <w:rFonts w:ascii="宋体" w:hAnsi="宋体" w:cs="宋体" w:eastAsia="宋体" w:hint="default"/>
                <w:spacing w:val="-16"/>
                <w:w w:val="101"/>
                <w:sz w:val="18"/>
                <w:szCs w:val="18"/>
              </w:rPr>
              <w:t>）从</w:t>
            </w:r>
            <w:r>
              <w:rPr>
                <w:rFonts w:ascii="宋体" w:hAnsi="宋体" w:cs="宋体" w:eastAsia="宋体" w:hint="default"/>
                <w:spacing w:val="-87"/>
                <w:w w:val="101"/>
                <w:sz w:val="18"/>
                <w:szCs w:val="18"/>
              </w:rPr>
              <w:t> </w:t>
            </w:r>
            <w:r>
              <w:rPr>
                <w:rFonts w:ascii="宋体" w:hAnsi="宋体" w:cs="宋体" w:eastAsia="宋体" w:hint="default"/>
                <w:spacing w:val="-3"/>
                <w:sz w:val="18"/>
                <w:szCs w:val="18"/>
              </w:rPr>
              <w:t>事互联网信息服</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务过程中，对用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户发布的信息未</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尽到安全管理义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务，没有及时发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现和处置用户发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布的法律、行政</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法规禁止发布或</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者传输的内容。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2" w:lineRule="auto" w:before="130"/>
              <w:ind w:left="23" w:right="65"/>
              <w:jc w:val="both"/>
              <w:rPr>
                <w:rFonts w:ascii="宋体" w:hAnsi="宋体" w:cs="宋体" w:eastAsia="宋体" w:hint="default"/>
                <w:sz w:val="18"/>
                <w:szCs w:val="18"/>
              </w:rPr>
            </w:pPr>
            <w:r>
              <w:rPr>
                <w:rFonts w:ascii="宋体" w:hAnsi="宋体" w:cs="宋体" w:eastAsia="宋体" w:hint="default"/>
                <w:spacing w:val="-3"/>
                <w:sz w:val="18"/>
                <w:szCs w:val="18"/>
              </w:rPr>
              <w:t>天津市互联网信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息办公室依据</w:t>
            </w:r>
          </w:p>
          <w:p>
            <w:pPr>
              <w:pStyle w:val="TableParagraph"/>
              <w:spacing w:line="319" w:lineRule="auto" w:before="22"/>
              <w:ind w:left="23" w:right="65"/>
              <w:jc w:val="both"/>
              <w:rPr>
                <w:rFonts w:ascii="宋体" w:hAnsi="宋体" w:cs="宋体" w:eastAsia="宋体" w:hint="default"/>
                <w:sz w:val="18"/>
                <w:szCs w:val="18"/>
              </w:rPr>
            </w:pPr>
            <w:r>
              <w:rPr>
                <w:rFonts w:ascii="宋体" w:hAnsi="宋体" w:cs="宋体" w:eastAsia="宋体" w:hint="default"/>
                <w:spacing w:val="-3"/>
                <w:sz w:val="18"/>
                <w:szCs w:val="18"/>
              </w:rPr>
              <w:t>《中华人民共和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国网络安全法》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第六十八条第一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款之规定，决定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给予汉华易美天</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津罚款三十万元</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的行政处罚。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19</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2" w:lineRule="auto" w:before="71"/>
              <w:ind w:left="23" w:right="55"/>
              <w:jc w:val="both"/>
              <w:rPr>
                <w:rFonts w:ascii="宋体" w:hAnsi="宋体" w:cs="宋体" w:eastAsia="宋体" w:hint="default"/>
                <w:sz w:val="18"/>
                <w:szCs w:val="18"/>
              </w:rPr>
            </w:pPr>
            <w:r>
              <w:rPr>
                <w:rFonts w:ascii="宋体" w:hAnsi="宋体" w:cs="宋体" w:eastAsia="宋体" w:hint="default"/>
                <w:spacing w:val="-3"/>
                <w:sz w:val="18"/>
                <w:szCs w:val="18"/>
              </w:rPr>
              <w:t>（</w:t>
            </w:r>
            <w:hyperlink r:id="rId14">
              <w:r>
                <w:rPr>
                  <w:rFonts w:ascii="Times New Roman" w:hAnsi="Times New Roman" w:cs="Times New Roman" w:eastAsia="Times New Roman" w:hint="default"/>
                  <w:spacing w:val="-3"/>
                  <w:sz w:val="18"/>
                  <w:szCs w:val="18"/>
                </w:rPr>
                <w:t>www.cninfo.co</w:t>
              </w:r>
            </w:hyperlink>
            <w:r>
              <w:rPr>
                <w:rFonts w:ascii="Times New Roman" w:hAnsi="Times New Roman" w:cs="Times New Roman" w:eastAsia="Times New Roman" w:hint="default"/>
                <w:spacing w:val="-21"/>
                <w:sz w:val="18"/>
                <w:szCs w:val="18"/>
              </w:rPr>
              <w:t> </w:t>
            </w:r>
            <w:r>
              <w:rPr>
                <w:rFonts w:ascii="Times New Roman" w:hAnsi="Times New Roman" w:cs="Times New Roman" w:eastAsia="Times New Roman" w:hint="default"/>
                <w:spacing w:val="-21"/>
                <w:sz w:val="18"/>
                <w:szCs w:val="18"/>
              </w:rPr>
            </w:r>
            <w:r>
              <w:rPr>
                <w:rFonts w:ascii="Times New Roman" w:hAnsi="Times New Roman" w:cs="Times New Roman" w:eastAsia="Times New Roman" w:hint="default"/>
                <w:spacing w:val="-20"/>
                <w:w w:val="101"/>
                <w:sz w:val="18"/>
                <w:szCs w:val="18"/>
              </w:rPr>
              <w:t>m.cn</w:t>
            </w:r>
            <w:r>
              <w:rPr>
                <w:rFonts w:ascii="宋体" w:hAnsi="宋体" w:cs="宋体" w:eastAsia="宋体" w:hint="default"/>
                <w:spacing w:val="-20"/>
                <w:w w:val="101"/>
                <w:sz w:val="18"/>
                <w:szCs w:val="18"/>
              </w:rPr>
              <w:t>），《视觉中</w:t>
            </w:r>
            <w:r>
              <w:rPr>
                <w:rFonts w:ascii="宋体" w:hAnsi="宋体" w:cs="宋体" w:eastAsia="宋体" w:hint="default"/>
                <w:w w:val="101"/>
                <w:sz w:val="18"/>
                <w:szCs w:val="18"/>
              </w:rPr>
              <w:t> </w:t>
            </w:r>
            <w:r>
              <w:rPr>
                <w:rFonts w:ascii="宋体" w:hAnsi="宋体" w:cs="宋体" w:eastAsia="宋体" w:hint="default"/>
                <w:spacing w:val="-3"/>
                <w:sz w:val="18"/>
                <w:szCs w:val="18"/>
              </w:rPr>
              <w:t>国：关于子公司</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收到天津市互联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网信息办公室行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政处罚的公告》</w:t>
            </w:r>
          </w:p>
          <w:p>
            <w:pPr>
              <w:pStyle w:val="TableParagraph"/>
              <w:spacing w:line="240" w:lineRule="auto" w:before="22"/>
              <w:ind w:left="23" w:right="0"/>
              <w:jc w:val="both"/>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81"/>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2019-007</w:t>
            </w:r>
            <w:r>
              <w:rPr>
                <w:rFonts w:ascii="宋体" w:hAnsi="宋体" w:cs="宋体" w:eastAsia="宋体" w:hint="default"/>
                <w:sz w:val="18"/>
                <w:szCs w:val="18"/>
              </w:rPr>
              <w:t>）</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整改情况说明</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309" w:lineRule="auto" w:before="101"/>
        <w:ind w:left="153" w:right="1122" w:firstLine="436"/>
        <w:jc w:val="both"/>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pacing w:val="-3"/>
          <w:sz w:val="18"/>
          <w:szCs w:val="18"/>
        </w:rPr>
        <w:t>11</w:t>
      </w:r>
      <w:r>
        <w:rPr>
          <w:rFonts w:ascii="宋体" w:hAnsi="宋体" w:cs="宋体" w:eastAsia="宋体" w:hint="default"/>
          <w:spacing w:val="-3"/>
          <w:sz w:val="18"/>
          <w:szCs w:val="18"/>
        </w:rPr>
        <w:t>日，天津市互联网信息办公室依法约谈公司网站负责人，责令公司网站全面彻底整改。公司主动暂时</w:t>
      </w:r>
      <w:r>
        <w:rPr>
          <w:rFonts w:ascii="宋体" w:hAnsi="宋体" w:cs="宋体" w:eastAsia="宋体" w:hint="default"/>
          <w:w w:val="101"/>
          <w:sz w:val="18"/>
          <w:szCs w:val="18"/>
        </w:rPr>
        <w:t> </w:t>
      </w:r>
      <w:r>
        <w:rPr>
          <w:rFonts w:ascii="宋体" w:hAnsi="宋体" w:cs="宋体" w:eastAsia="宋体" w:hint="default"/>
          <w:spacing w:val="-4"/>
          <w:sz w:val="18"/>
          <w:szCs w:val="18"/>
        </w:rPr>
        <w:t>关闭了网站，进行自查及整改，在网信、版权等政府有关主管部门的指导下，公司成立了专项工作组，围绕提高内容审核机</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7"/>
          <w:sz w:val="18"/>
          <w:szCs w:val="18"/>
        </w:rPr>
        <w:t>制、优化公司版权运营管理等方面，进行了全面自查，并开展整改工作。经过用户测试，整改达到预期目标，公司于  </w:t>
      </w:r>
      <w:r>
        <w:rPr>
          <w:rFonts w:ascii="Times New Roman" w:hAnsi="Times New Roman" w:cs="Times New Roman" w:eastAsia="Times New Roman" w:hint="default"/>
          <w:sz w:val="18"/>
          <w:szCs w:val="18"/>
        </w:rPr>
        <w:t>2019 </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p>
    <w:p>
      <w:pPr>
        <w:spacing w:line="300" w:lineRule="auto" w:before="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2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日零点开始恢复网站上线运营，开始向客户全面提供服务。上线后，公司持续关注整改后网站的运营情况，用更加</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优质的产品和服务回馈用户，切实履行好平台的主体责任。</w:t>
      </w:r>
    </w:p>
    <w:p>
      <w:pPr>
        <w:spacing w:line="304" w:lineRule="auto" w:before="31"/>
        <w:ind w:left="153" w:right="1123" w:firstLine="292"/>
        <w:jc w:val="both"/>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日，国家互联网信息办公室指导有关地方网信办约谈公司负责人，指出公司网站违反国家互联网有关</w:t>
      </w:r>
      <w:r>
        <w:rPr>
          <w:rFonts w:ascii="宋体" w:hAnsi="宋体" w:cs="宋体" w:eastAsia="宋体" w:hint="default"/>
          <w:w w:val="101"/>
          <w:sz w:val="18"/>
          <w:szCs w:val="18"/>
        </w:rPr>
        <w:t> </w:t>
      </w:r>
      <w:r>
        <w:rPr>
          <w:rFonts w:ascii="宋体" w:hAnsi="宋体" w:cs="宋体" w:eastAsia="宋体" w:hint="default"/>
          <w:spacing w:val="-4"/>
          <w:sz w:val="18"/>
          <w:szCs w:val="18"/>
        </w:rPr>
        <w:t>法律法规和管理要求，应立即停止违法违规行为，全面彻底整改。为落实有关管理要求，公司网站开展自查整改，整改期间</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网站暂停服务。在此期间，公司对网站违规图片、视频进行了集中清理下线。</w:t>
      </w:r>
      <w:r>
        <w:rPr>
          <w:rFonts w:ascii="Times New Roman" w:hAnsi="Times New Roman" w:cs="Times New Roman" w:eastAsia="Times New Roman" w:hint="default"/>
          <w:spacing w:val="-3"/>
          <w:sz w:val="18"/>
          <w:szCs w:val="18"/>
        </w:rPr>
        <w:t>2020</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月公司网站恢复试运营，接受社会各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界对整改成效的监督。试运营期间，公司持续加强管理，巩固整改成果，整体运营平稳。</w:t>
      </w:r>
      <w:r>
        <w:rPr>
          <w:rFonts w:ascii="Times New Roman" w:hAnsi="Times New Roman" w:cs="Times New Roman" w:eastAsia="Times New Roman" w:hint="default"/>
          <w:spacing w:val="-3"/>
          <w:sz w:val="18"/>
          <w:szCs w:val="18"/>
        </w:rPr>
        <w:t>2020</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日，公司网站恢复正</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常运营，欢迎社会各界继续监督。</w:t>
      </w:r>
    </w:p>
    <w:p>
      <w:pPr>
        <w:spacing w:line="240" w:lineRule="auto" w:before="13"/>
        <w:rPr>
          <w:rFonts w:ascii="宋体" w:hAnsi="宋体" w:cs="宋体" w:eastAsia="宋体" w:hint="default"/>
          <w:sz w:val="20"/>
          <w:szCs w:val="20"/>
        </w:rPr>
      </w:pPr>
    </w:p>
    <w:p>
      <w:pPr>
        <w:pStyle w:val="Heading2"/>
        <w:spacing w:line="240" w:lineRule="auto"/>
        <w:ind w:right="0"/>
        <w:jc w:val="left"/>
        <w:rPr>
          <w:b w:val="0"/>
          <w:bCs w:val="0"/>
        </w:rPr>
      </w:pPr>
      <w:bookmarkStart w:name="十四、公司及其控股股东、实际控制人的诚信状况" w:id="78"/>
      <w:bookmarkEnd w:id="78"/>
      <w:r>
        <w:rPr>
          <w:b w:val="0"/>
          <w:bCs w:val="0"/>
        </w:rPr>
      </w:r>
      <w:r>
        <w:rPr/>
        <w:t>十四、公司及其控股股东、实际控制人的诚信状况</w:t>
      </w:r>
      <w:r>
        <w:rPr>
          <w:b w:val="0"/>
          <w:bCs w:val="0"/>
        </w:rPr>
      </w:r>
    </w:p>
    <w:p>
      <w:pPr>
        <w:spacing w:line="240" w:lineRule="auto" w:before="3"/>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5"/>
        <w:rPr>
          <w:rFonts w:ascii="宋体" w:hAnsi="宋体" w:cs="宋体" w:eastAsia="宋体" w:hint="default"/>
          <w:sz w:val="23"/>
          <w:szCs w:val="23"/>
        </w:rPr>
      </w:pPr>
    </w:p>
    <w:p>
      <w:pPr>
        <w:pStyle w:val="Heading2"/>
        <w:spacing w:line="240" w:lineRule="auto" w:before="26"/>
        <w:ind w:right="0"/>
        <w:jc w:val="left"/>
        <w:rPr>
          <w:b w:val="0"/>
          <w:bCs w:val="0"/>
        </w:rPr>
      </w:pPr>
      <w:bookmarkStart w:name="十五、公司股权激励计划、员工持股计划或其他员工激励措施的实施情况" w:id="79"/>
      <w:bookmarkEnd w:id="79"/>
      <w:r>
        <w:rPr>
          <w:b w:val="0"/>
          <w:bCs w:val="0"/>
        </w:rPr>
      </w: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7"/>
          <w:szCs w:val="27"/>
        </w:rPr>
      </w:pPr>
    </w:p>
    <w:p>
      <w:pPr>
        <w:spacing w:line="338" w:lineRule="auto" w:before="0"/>
        <w:ind w:left="153" w:right="3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公司报告期无股权激励计划、员工持股计划或其他员工激励措施及其实施情况。</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十六、重大关联交易" w:id="80"/>
      <w:bookmarkEnd w:id="80"/>
      <w:r>
        <w:rPr>
          <w:b w:val="0"/>
          <w:bCs w:val="0"/>
        </w:rPr>
      </w:r>
      <w:r>
        <w:rPr/>
        <w:t>十六、重大关联交易</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bookmarkStart w:name="1、与日常经营相关的关联交易" w:id="81"/>
      <w:bookmarkEnd w:id="81"/>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802"/>
        <w:gridCol w:w="677"/>
        <w:gridCol w:w="677"/>
        <w:gridCol w:w="706"/>
        <w:gridCol w:w="677"/>
        <w:gridCol w:w="677"/>
        <w:gridCol w:w="672"/>
        <w:gridCol w:w="677"/>
        <w:gridCol w:w="672"/>
        <w:gridCol w:w="672"/>
        <w:gridCol w:w="677"/>
        <w:gridCol w:w="672"/>
        <w:gridCol w:w="672"/>
        <w:gridCol w:w="643"/>
      </w:tblGrid>
      <w:tr>
        <w:trPr>
          <w:trHeight w:val="1337"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2"/>
              <w:ind w:left="307" w:right="32" w:hanging="274"/>
              <w:jc w:val="left"/>
              <w:rPr>
                <w:rFonts w:ascii="宋体" w:hAnsi="宋体" w:cs="宋体" w:eastAsia="宋体" w:hint="default"/>
                <w:sz w:val="18"/>
                <w:szCs w:val="18"/>
              </w:rPr>
            </w:pPr>
            <w:r>
              <w:rPr>
                <w:rFonts w:ascii="宋体" w:hAnsi="宋体" w:cs="宋体" w:eastAsia="宋体" w:hint="default"/>
                <w:sz w:val="18"/>
                <w:szCs w:val="18"/>
              </w:rPr>
              <w:t>关联交易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2"/>
              <w:ind w:left="244" w:right="60" w:hanging="183"/>
              <w:jc w:val="left"/>
              <w:rPr>
                <w:rFonts w:ascii="宋体" w:hAnsi="宋体" w:cs="宋体" w:eastAsia="宋体" w:hint="default"/>
                <w:sz w:val="18"/>
                <w:szCs w:val="18"/>
              </w:rPr>
            </w:pPr>
            <w:r>
              <w:rPr>
                <w:rFonts w:ascii="宋体" w:hAnsi="宋体" w:cs="宋体" w:eastAsia="宋体" w:hint="default"/>
                <w:sz w:val="18"/>
                <w:szCs w:val="18"/>
              </w:rPr>
              <w:t>关联关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2"/>
              <w:ind w:left="62" w:right="60"/>
              <w:jc w:val="left"/>
              <w:rPr>
                <w:rFonts w:ascii="宋体" w:hAnsi="宋体" w:cs="宋体" w:eastAsia="宋体" w:hint="default"/>
                <w:sz w:val="18"/>
                <w:szCs w:val="18"/>
              </w:rPr>
            </w:pPr>
            <w:r>
              <w:rPr>
                <w:rFonts w:ascii="宋体" w:hAnsi="宋体" w:cs="宋体" w:eastAsia="宋体" w:hint="default"/>
                <w:sz w:val="18"/>
                <w:szCs w:val="18"/>
              </w:rPr>
              <w:t>关联交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易类型</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2"/>
              <w:ind w:left="76" w:right="74"/>
              <w:jc w:val="left"/>
              <w:rPr>
                <w:rFonts w:ascii="宋体" w:hAnsi="宋体" w:cs="宋体" w:eastAsia="宋体" w:hint="default"/>
                <w:sz w:val="18"/>
                <w:szCs w:val="18"/>
              </w:rPr>
            </w:pPr>
            <w:r>
              <w:rPr>
                <w:rFonts w:ascii="宋体" w:hAnsi="宋体" w:cs="宋体" w:eastAsia="宋体" w:hint="default"/>
                <w:sz w:val="18"/>
                <w:szCs w:val="18"/>
              </w:rPr>
              <w:t>关联交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易内容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67" w:right="55"/>
              <w:jc w:val="both"/>
              <w:rPr>
                <w:rFonts w:ascii="宋体" w:hAnsi="宋体" w:cs="宋体" w:eastAsia="宋体" w:hint="default"/>
                <w:sz w:val="18"/>
                <w:szCs w:val="18"/>
              </w:rPr>
            </w:pPr>
            <w:r>
              <w:rPr>
                <w:rFonts w:ascii="宋体" w:hAnsi="宋体" w:cs="宋体" w:eastAsia="宋体" w:hint="default"/>
                <w:sz w:val="18"/>
                <w:szCs w:val="18"/>
              </w:rPr>
              <w:t>关联交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易定价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原则</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2"/>
              <w:ind w:left="62" w:right="60"/>
              <w:jc w:val="left"/>
              <w:rPr>
                <w:rFonts w:ascii="宋体" w:hAnsi="宋体" w:cs="宋体" w:eastAsia="宋体" w:hint="default"/>
                <w:sz w:val="18"/>
                <w:szCs w:val="18"/>
              </w:rPr>
            </w:pPr>
            <w:r>
              <w:rPr>
                <w:rFonts w:ascii="宋体" w:hAnsi="宋体" w:cs="宋体" w:eastAsia="宋体" w:hint="default"/>
                <w:sz w:val="18"/>
                <w:szCs w:val="18"/>
              </w:rPr>
              <w:t>关联交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易价格</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6"/>
              <w:ind w:left="62" w:right="55"/>
              <w:jc w:val="left"/>
              <w:rPr>
                <w:rFonts w:ascii="宋体" w:hAnsi="宋体" w:cs="宋体" w:eastAsia="宋体" w:hint="default"/>
                <w:sz w:val="18"/>
                <w:szCs w:val="18"/>
              </w:rPr>
            </w:pPr>
            <w:r>
              <w:rPr>
                <w:rFonts w:ascii="宋体" w:hAnsi="宋体" w:cs="宋体" w:eastAsia="宋体" w:hint="default"/>
                <w:sz w:val="18"/>
                <w:szCs w:val="18"/>
              </w:rPr>
              <w:t>关联交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易金额</w:t>
            </w:r>
          </w:p>
          <w:p>
            <w:pPr>
              <w:pStyle w:val="TableParagraph"/>
              <w:spacing w:line="321" w:lineRule="auto" w:before="22"/>
              <w:ind w:left="153" w:right="142"/>
              <w:jc w:val="left"/>
              <w:rPr>
                <w:rFonts w:ascii="宋体" w:hAnsi="宋体" w:cs="宋体" w:eastAsia="宋体" w:hint="default"/>
                <w:sz w:val="18"/>
                <w:szCs w:val="18"/>
              </w:rPr>
            </w:pPr>
            <w:r>
              <w:rPr>
                <w:rFonts w:ascii="宋体" w:hAnsi="宋体" w:cs="宋体" w:eastAsia="宋体" w:hint="default"/>
                <w:sz w:val="18"/>
                <w:szCs w:val="18"/>
              </w:rPr>
              <w:t>（万</w:t>
            </w:r>
            <w:r>
              <w:rPr>
                <w:rFonts w:ascii="宋体" w:hAnsi="宋体" w:cs="宋体" w:eastAsia="宋体" w:hint="default"/>
                <w:spacing w:val="-86"/>
                <w:sz w:val="18"/>
                <w:szCs w:val="18"/>
              </w:rPr>
              <w:t> </w:t>
            </w:r>
            <w:r>
              <w:rPr>
                <w:rFonts w:ascii="宋体" w:hAnsi="宋体" w:cs="宋体" w:eastAsia="宋体" w:hint="default"/>
                <w:sz w:val="18"/>
                <w:szCs w:val="18"/>
              </w:rPr>
              <w:t>元）</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62" w:right="60"/>
              <w:jc w:val="center"/>
              <w:rPr>
                <w:rFonts w:ascii="宋体" w:hAnsi="宋体" w:cs="宋体" w:eastAsia="宋体" w:hint="default"/>
                <w:sz w:val="18"/>
                <w:szCs w:val="18"/>
              </w:rPr>
            </w:pPr>
            <w:r>
              <w:rPr>
                <w:rFonts w:ascii="宋体" w:hAnsi="宋体" w:cs="宋体" w:eastAsia="宋体" w:hint="default"/>
                <w:spacing w:val="-2"/>
                <w:sz w:val="18"/>
                <w:szCs w:val="18"/>
              </w:rPr>
              <w:t>占同类</w:t>
            </w:r>
            <w:r>
              <w:rPr>
                <w:rFonts w:ascii="宋体" w:hAnsi="宋体" w:cs="宋体" w:eastAsia="宋体" w:hint="default"/>
                <w:w w:val="101"/>
                <w:sz w:val="18"/>
                <w:szCs w:val="18"/>
              </w:rPr>
              <w:t> </w:t>
            </w:r>
            <w:r>
              <w:rPr>
                <w:rFonts w:ascii="宋体" w:hAnsi="宋体" w:cs="宋体" w:eastAsia="宋体" w:hint="default"/>
                <w:spacing w:val="-2"/>
                <w:sz w:val="18"/>
                <w:szCs w:val="18"/>
              </w:rPr>
              <w:t>交易金</w:t>
            </w:r>
            <w:r>
              <w:rPr>
                <w:rFonts w:ascii="宋体" w:hAnsi="宋体" w:cs="宋体" w:eastAsia="宋体" w:hint="default"/>
                <w:w w:val="101"/>
                <w:sz w:val="18"/>
                <w:szCs w:val="18"/>
              </w:rPr>
              <w:t> </w:t>
            </w:r>
            <w:r>
              <w:rPr>
                <w:rFonts w:ascii="宋体" w:hAnsi="宋体" w:cs="宋体" w:eastAsia="宋体" w:hint="default"/>
                <w:spacing w:val="-2"/>
                <w:sz w:val="18"/>
                <w:szCs w:val="18"/>
              </w:rPr>
              <w:t>额的比</w:t>
            </w:r>
            <w:r>
              <w:rPr>
                <w:rFonts w:ascii="宋体" w:hAnsi="宋体" w:cs="宋体" w:eastAsia="宋体" w:hint="default"/>
                <w:w w:val="101"/>
                <w:sz w:val="18"/>
                <w:szCs w:val="18"/>
              </w:rPr>
              <w:t> </w:t>
            </w:r>
            <w:r>
              <w:rPr>
                <w:rFonts w:ascii="宋体" w:hAnsi="宋体" w:cs="宋体" w:eastAsia="宋体" w:hint="default"/>
                <w:sz w:val="18"/>
                <w:szCs w:val="18"/>
              </w:rPr>
              <w:t>例</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62" w:right="55"/>
              <w:jc w:val="both"/>
              <w:rPr>
                <w:rFonts w:ascii="宋体" w:hAnsi="宋体" w:cs="宋体" w:eastAsia="宋体" w:hint="default"/>
                <w:sz w:val="18"/>
                <w:szCs w:val="18"/>
              </w:rPr>
            </w:pPr>
            <w:r>
              <w:rPr>
                <w:rFonts w:ascii="宋体" w:hAnsi="宋体" w:cs="宋体" w:eastAsia="宋体" w:hint="default"/>
                <w:sz w:val="18"/>
                <w:szCs w:val="18"/>
              </w:rPr>
              <w:t>获批的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交易额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元）</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62" w:right="55"/>
              <w:jc w:val="both"/>
              <w:rPr>
                <w:rFonts w:ascii="宋体" w:hAnsi="宋体" w:cs="宋体" w:eastAsia="宋体" w:hint="default"/>
                <w:sz w:val="18"/>
                <w:szCs w:val="18"/>
              </w:rPr>
            </w:pPr>
            <w:r>
              <w:rPr>
                <w:rFonts w:ascii="宋体" w:hAnsi="宋体" w:cs="宋体" w:eastAsia="宋体" w:hint="default"/>
                <w:sz w:val="18"/>
                <w:szCs w:val="18"/>
              </w:rPr>
              <w:t>是否超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过获批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额度</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关联交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易结算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方式</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62" w:right="55"/>
              <w:jc w:val="center"/>
              <w:rPr>
                <w:rFonts w:ascii="宋体" w:hAnsi="宋体" w:cs="宋体" w:eastAsia="宋体" w:hint="default"/>
                <w:sz w:val="18"/>
                <w:szCs w:val="18"/>
              </w:rPr>
            </w:pPr>
            <w:r>
              <w:rPr>
                <w:rFonts w:ascii="宋体" w:hAnsi="宋体" w:cs="宋体" w:eastAsia="宋体" w:hint="default"/>
                <w:spacing w:val="-2"/>
                <w:sz w:val="18"/>
                <w:szCs w:val="18"/>
              </w:rPr>
              <w:t>可获得</w:t>
            </w:r>
            <w:r>
              <w:rPr>
                <w:rFonts w:ascii="宋体" w:hAnsi="宋体" w:cs="宋体" w:eastAsia="宋体" w:hint="default"/>
                <w:w w:val="101"/>
                <w:sz w:val="18"/>
                <w:szCs w:val="18"/>
              </w:rPr>
              <w:t> </w:t>
            </w:r>
            <w:r>
              <w:rPr>
                <w:rFonts w:ascii="宋体" w:hAnsi="宋体" w:cs="宋体" w:eastAsia="宋体" w:hint="default"/>
                <w:spacing w:val="-2"/>
                <w:sz w:val="18"/>
                <w:szCs w:val="18"/>
              </w:rPr>
              <w:t>的同类</w:t>
            </w:r>
            <w:r>
              <w:rPr>
                <w:rFonts w:ascii="宋体" w:hAnsi="宋体" w:cs="宋体" w:eastAsia="宋体" w:hint="default"/>
                <w:w w:val="101"/>
                <w:sz w:val="18"/>
                <w:szCs w:val="18"/>
              </w:rPr>
              <w:t> </w:t>
            </w:r>
            <w:r>
              <w:rPr>
                <w:rFonts w:ascii="宋体" w:hAnsi="宋体" w:cs="宋体" w:eastAsia="宋体" w:hint="default"/>
                <w:spacing w:val="-2"/>
                <w:sz w:val="18"/>
                <w:szCs w:val="18"/>
              </w:rPr>
              <w:t>交易市</w:t>
            </w:r>
            <w:r>
              <w:rPr>
                <w:rFonts w:ascii="宋体" w:hAnsi="宋体" w:cs="宋体" w:eastAsia="宋体" w:hint="default"/>
                <w:w w:val="101"/>
                <w:sz w:val="18"/>
                <w:szCs w:val="18"/>
              </w:rPr>
              <w:t> </w:t>
            </w:r>
            <w:r>
              <w:rPr>
                <w:rFonts w:ascii="宋体" w:hAnsi="宋体" w:cs="宋体" w:eastAsia="宋体" w:hint="default"/>
                <w:sz w:val="18"/>
                <w:szCs w:val="18"/>
              </w:rPr>
              <w:t>价</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2"/>
              <w:ind w:left="240" w:right="55" w:hanging="178"/>
              <w:jc w:val="left"/>
              <w:rPr>
                <w:rFonts w:ascii="宋体" w:hAnsi="宋体" w:cs="宋体" w:eastAsia="宋体" w:hint="default"/>
                <w:sz w:val="18"/>
                <w:szCs w:val="18"/>
              </w:rPr>
            </w:pPr>
            <w:r>
              <w:rPr>
                <w:rFonts w:ascii="宋体" w:hAnsi="宋体" w:cs="宋体" w:eastAsia="宋体" w:hint="default"/>
                <w:sz w:val="18"/>
                <w:szCs w:val="18"/>
              </w:rPr>
              <w:t>披露日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w:t>
            </w:r>
          </w:p>
        </w:tc>
        <w:tc>
          <w:tcPr>
            <w:tcW w:w="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2"/>
              <w:ind w:left="225" w:right="41" w:hanging="178"/>
              <w:jc w:val="left"/>
              <w:rPr>
                <w:rFonts w:ascii="宋体" w:hAnsi="宋体" w:cs="宋体" w:eastAsia="宋体" w:hint="default"/>
                <w:sz w:val="18"/>
                <w:szCs w:val="18"/>
              </w:rPr>
            </w:pPr>
            <w:r>
              <w:rPr>
                <w:rFonts w:ascii="宋体" w:hAnsi="宋体" w:cs="宋体" w:eastAsia="宋体" w:hint="default"/>
                <w:sz w:val="18"/>
                <w:szCs w:val="18"/>
              </w:rPr>
              <w:t>披露索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引</w:t>
            </w:r>
          </w:p>
        </w:tc>
      </w:tr>
      <w:tr>
        <w:trPr>
          <w:trHeight w:val="4460"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4" w:right="41"/>
              <w:jc w:val="both"/>
              <w:rPr>
                <w:rFonts w:ascii="宋体" w:hAnsi="宋体" w:cs="宋体" w:eastAsia="宋体" w:hint="default"/>
                <w:sz w:val="18"/>
                <w:szCs w:val="18"/>
              </w:rPr>
            </w:pPr>
            <w:r>
              <w:rPr>
                <w:rFonts w:ascii="宋体" w:hAnsi="宋体" w:cs="宋体" w:eastAsia="宋体" w:hint="default"/>
                <w:sz w:val="18"/>
                <w:szCs w:val="18"/>
              </w:rPr>
              <w:t>唱游信息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技术有限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23" w:right="98"/>
              <w:jc w:val="both"/>
              <w:rPr>
                <w:rFonts w:ascii="宋体" w:hAnsi="宋体" w:cs="宋体" w:eastAsia="宋体" w:hint="default"/>
                <w:sz w:val="18"/>
                <w:szCs w:val="18"/>
              </w:rPr>
            </w:pPr>
            <w:r>
              <w:rPr>
                <w:rFonts w:ascii="宋体" w:hAnsi="宋体" w:cs="宋体" w:eastAsia="宋体" w:hint="default"/>
                <w:sz w:val="18"/>
                <w:szCs w:val="18"/>
              </w:rPr>
              <w:t>公司关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联自然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人为关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联方的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董事长</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3" w:right="99"/>
              <w:jc w:val="both"/>
              <w:rPr>
                <w:rFonts w:ascii="宋体" w:hAnsi="宋体" w:cs="宋体" w:eastAsia="宋体" w:hint="default"/>
                <w:sz w:val="18"/>
                <w:szCs w:val="18"/>
              </w:rPr>
            </w:pPr>
            <w:r>
              <w:rPr>
                <w:rFonts w:ascii="宋体" w:hAnsi="宋体" w:cs="宋体" w:eastAsia="宋体" w:hint="default"/>
                <w:sz w:val="18"/>
                <w:szCs w:val="18"/>
              </w:rPr>
              <w:t>向关联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方采购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3" w:right="127"/>
              <w:jc w:val="both"/>
              <w:rPr>
                <w:rFonts w:ascii="宋体" w:hAnsi="宋体" w:cs="宋体" w:eastAsia="宋体" w:hint="default"/>
                <w:sz w:val="18"/>
                <w:szCs w:val="18"/>
              </w:rPr>
            </w:pPr>
            <w:r>
              <w:rPr>
                <w:rFonts w:ascii="宋体" w:hAnsi="宋体" w:cs="宋体" w:eastAsia="宋体" w:hint="default"/>
                <w:sz w:val="18"/>
                <w:szCs w:val="18"/>
              </w:rPr>
              <w:t>视觉内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容与服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3" w:right="99"/>
              <w:jc w:val="both"/>
              <w:rPr>
                <w:rFonts w:ascii="宋体" w:hAnsi="宋体" w:cs="宋体" w:eastAsia="宋体" w:hint="default"/>
                <w:sz w:val="18"/>
                <w:szCs w:val="18"/>
              </w:rPr>
            </w:pPr>
            <w:r>
              <w:rPr>
                <w:rFonts w:ascii="宋体" w:hAnsi="宋体" w:cs="宋体" w:eastAsia="宋体" w:hint="default"/>
                <w:sz w:val="18"/>
                <w:szCs w:val="18"/>
              </w:rPr>
              <w:t>以市场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交易价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格为基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础</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3"/>
              <w:jc w:val="right"/>
              <w:rPr>
                <w:rFonts w:ascii="Times New Roman" w:hAnsi="Times New Roman" w:cs="Times New Roman" w:eastAsia="Times New Roman" w:hint="default"/>
                <w:sz w:val="18"/>
                <w:szCs w:val="18"/>
              </w:rPr>
            </w:pPr>
            <w:r>
              <w:rPr>
                <w:rFonts w:ascii="Times New Roman"/>
                <w:spacing w:val="-1"/>
                <w:sz w:val="18"/>
              </w:rPr>
              <w:t>91.08</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91.08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0.13%</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3" w:right="99"/>
              <w:jc w:val="both"/>
              <w:rPr>
                <w:rFonts w:ascii="宋体" w:hAnsi="宋体" w:cs="宋体" w:eastAsia="宋体" w:hint="default"/>
                <w:sz w:val="18"/>
                <w:szCs w:val="18"/>
              </w:rPr>
            </w:pPr>
            <w:r>
              <w:rPr>
                <w:rFonts w:ascii="宋体" w:hAnsi="宋体" w:cs="宋体" w:eastAsia="宋体" w:hint="default"/>
                <w:sz w:val="18"/>
                <w:szCs w:val="18"/>
              </w:rPr>
              <w:t>按照执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行进度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结算款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91.08</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26</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60"/>
              <w:jc w:val="both"/>
              <w:rPr>
                <w:rFonts w:ascii="宋体" w:hAnsi="宋体" w:cs="宋体" w:eastAsia="宋体" w:hint="default"/>
                <w:sz w:val="18"/>
                <w:szCs w:val="18"/>
              </w:rPr>
            </w:pPr>
            <w:r>
              <w:rPr>
                <w:rFonts w:ascii="宋体" w:hAnsi="宋体" w:cs="宋体" w:eastAsia="宋体" w:hint="default"/>
                <w:sz w:val="18"/>
                <w:szCs w:val="18"/>
              </w:rPr>
              <w:t>巨潮资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讯网，</w:t>
            </w:r>
          </w:p>
          <w:p>
            <w:pPr>
              <w:pStyle w:val="TableParagraph"/>
              <w:spacing w:line="319" w:lineRule="auto" w:before="19"/>
              <w:ind w:left="23" w:right="17"/>
              <w:jc w:val="both"/>
              <w:rPr>
                <w:rFonts w:ascii="Times New Roman" w:hAnsi="Times New Roman" w:cs="Times New Roman" w:eastAsia="Times New Roman" w:hint="default"/>
                <w:sz w:val="18"/>
                <w:szCs w:val="18"/>
              </w:rPr>
            </w:pPr>
            <w:r>
              <w:rPr>
                <w:rFonts w:ascii="宋体" w:hAnsi="宋体" w:cs="宋体" w:eastAsia="宋体" w:hint="default"/>
                <w:sz w:val="18"/>
                <w:szCs w:val="18"/>
              </w:rPr>
              <w:t>《视觉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中国：</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关于预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2019</w:t>
            </w:r>
          </w:p>
          <w:p>
            <w:pPr>
              <w:pStyle w:val="TableParagraph"/>
              <w:spacing w:line="316" w:lineRule="auto"/>
              <w:ind w:left="23" w:right="60"/>
              <w:jc w:val="both"/>
              <w:rPr>
                <w:rFonts w:ascii="宋体" w:hAnsi="宋体" w:cs="宋体" w:eastAsia="宋体" w:hint="default"/>
                <w:sz w:val="18"/>
                <w:szCs w:val="18"/>
              </w:rPr>
            </w:pPr>
            <w:r>
              <w:rPr>
                <w:rFonts w:ascii="宋体" w:hAnsi="宋体" w:cs="宋体" w:eastAsia="宋体" w:hint="default"/>
                <w:sz w:val="18"/>
                <w:szCs w:val="18"/>
              </w:rPr>
              <w:t>年度日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常关联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交易的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公告》</w:t>
            </w:r>
          </w:p>
          <w:p>
            <w:pPr>
              <w:pStyle w:val="TableParagraph"/>
              <w:spacing w:line="338" w:lineRule="auto" w:before="19"/>
              <w:ind w:left="23"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编号：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2019-0</w:t>
            </w:r>
          </w:p>
          <w:p>
            <w:pPr>
              <w:pStyle w:val="TableParagraph"/>
              <w:spacing w:line="235"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w:t>
            </w:r>
          </w:p>
        </w:tc>
      </w:tr>
      <w:tr>
        <w:trPr>
          <w:trHeight w:val="4461"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4" w:right="41"/>
              <w:jc w:val="both"/>
              <w:rPr>
                <w:rFonts w:ascii="宋体" w:hAnsi="宋体" w:cs="宋体" w:eastAsia="宋体" w:hint="default"/>
                <w:sz w:val="18"/>
                <w:szCs w:val="18"/>
              </w:rPr>
            </w:pPr>
            <w:r>
              <w:rPr>
                <w:rFonts w:ascii="宋体" w:hAnsi="宋体" w:cs="宋体" w:eastAsia="宋体" w:hint="default"/>
                <w:sz w:val="18"/>
                <w:szCs w:val="18"/>
              </w:rPr>
              <w:t>北京创新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乐知信息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技术有限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9" w:lineRule="auto"/>
              <w:ind w:left="23" w:right="98"/>
              <w:jc w:val="both"/>
              <w:rPr>
                <w:rFonts w:ascii="宋体" w:hAnsi="宋体" w:cs="宋体" w:eastAsia="宋体" w:hint="default"/>
                <w:sz w:val="18"/>
                <w:szCs w:val="18"/>
              </w:rPr>
            </w:pPr>
            <w:r>
              <w:rPr>
                <w:rFonts w:ascii="宋体" w:hAnsi="宋体" w:cs="宋体" w:eastAsia="宋体" w:hint="default"/>
                <w:sz w:val="18"/>
                <w:szCs w:val="18"/>
              </w:rPr>
              <w:t>公司关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联自然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人为关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联方的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董事</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3" w:right="99"/>
              <w:jc w:val="both"/>
              <w:rPr>
                <w:rFonts w:ascii="宋体" w:hAnsi="宋体" w:cs="宋体" w:eastAsia="宋体" w:hint="default"/>
                <w:sz w:val="18"/>
                <w:szCs w:val="18"/>
              </w:rPr>
            </w:pPr>
            <w:r>
              <w:rPr>
                <w:rFonts w:ascii="宋体" w:hAnsi="宋体" w:cs="宋体" w:eastAsia="宋体" w:hint="default"/>
                <w:sz w:val="18"/>
                <w:szCs w:val="18"/>
              </w:rPr>
              <w:t>向关联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方销售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3" w:right="127"/>
              <w:jc w:val="both"/>
              <w:rPr>
                <w:rFonts w:ascii="宋体" w:hAnsi="宋体" w:cs="宋体" w:eastAsia="宋体" w:hint="default"/>
                <w:sz w:val="18"/>
                <w:szCs w:val="18"/>
              </w:rPr>
            </w:pPr>
            <w:r>
              <w:rPr>
                <w:rFonts w:ascii="宋体" w:hAnsi="宋体" w:cs="宋体" w:eastAsia="宋体" w:hint="default"/>
                <w:sz w:val="18"/>
                <w:szCs w:val="18"/>
              </w:rPr>
              <w:t>视觉内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容与服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3" w:right="99"/>
              <w:jc w:val="both"/>
              <w:rPr>
                <w:rFonts w:ascii="宋体" w:hAnsi="宋体" w:cs="宋体" w:eastAsia="宋体" w:hint="default"/>
                <w:sz w:val="18"/>
                <w:szCs w:val="18"/>
              </w:rPr>
            </w:pPr>
            <w:r>
              <w:rPr>
                <w:rFonts w:ascii="宋体" w:hAnsi="宋体" w:cs="宋体" w:eastAsia="宋体" w:hint="default"/>
                <w:sz w:val="18"/>
                <w:szCs w:val="18"/>
              </w:rPr>
              <w:t>以市场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交易价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格为基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础</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319"/>
              <w:jc w:val="right"/>
              <w:rPr>
                <w:rFonts w:ascii="Times New Roman" w:hAnsi="Times New Roman" w:cs="Times New Roman" w:eastAsia="Times New Roman" w:hint="default"/>
                <w:sz w:val="18"/>
                <w:szCs w:val="18"/>
              </w:rPr>
            </w:pPr>
            <w:r>
              <w:rPr>
                <w:rFonts w:ascii="Times New Roman"/>
                <w:sz w:val="18"/>
              </w:rPr>
              <w:t>6.28</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6.28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0.01%</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3" w:right="99"/>
              <w:jc w:val="both"/>
              <w:rPr>
                <w:rFonts w:ascii="宋体" w:hAnsi="宋体" w:cs="宋体" w:eastAsia="宋体" w:hint="default"/>
                <w:sz w:val="18"/>
                <w:szCs w:val="18"/>
              </w:rPr>
            </w:pPr>
            <w:r>
              <w:rPr>
                <w:rFonts w:ascii="宋体" w:hAnsi="宋体" w:cs="宋体" w:eastAsia="宋体" w:hint="default"/>
                <w:sz w:val="18"/>
                <w:szCs w:val="18"/>
              </w:rPr>
              <w:t>按照执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行进度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结算款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6.28</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26</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60"/>
              <w:jc w:val="both"/>
              <w:rPr>
                <w:rFonts w:ascii="宋体" w:hAnsi="宋体" w:cs="宋体" w:eastAsia="宋体" w:hint="default"/>
                <w:sz w:val="18"/>
                <w:szCs w:val="18"/>
              </w:rPr>
            </w:pPr>
            <w:r>
              <w:rPr>
                <w:rFonts w:ascii="宋体" w:hAnsi="宋体" w:cs="宋体" w:eastAsia="宋体" w:hint="default"/>
                <w:sz w:val="18"/>
                <w:szCs w:val="18"/>
              </w:rPr>
              <w:t>巨潮资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讯网，</w:t>
            </w:r>
          </w:p>
          <w:p>
            <w:pPr>
              <w:pStyle w:val="TableParagraph"/>
              <w:spacing w:line="316" w:lineRule="auto" w:before="20"/>
              <w:ind w:left="23" w:right="17"/>
              <w:jc w:val="both"/>
              <w:rPr>
                <w:rFonts w:ascii="Times New Roman" w:hAnsi="Times New Roman" w:cs="Times New Roman" w:eastAsia="Times New Roman" w:hint="default"/>
                <w:sz w:val="18"/>
                <w:szCs w:val="18"/>
              </w:rPr>
            </w:pPr>
            <w:r>
              <w:rPr>
                <w:rFonts w:ascii="宋体" w:hAnsi="宋体" w:cs="宋体" w:eastAsia="宋体" w:hint="default"/>
                <w:sz w:val="18"/>
                <w:szCs w:val="18"/>
              </w:rPr>
              <w:t>《视觉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中国：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关于预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2019</w:t>
            </w:r>
          </w:p>
          <w:p>
            <w:pPr>
              <w:pStyle w:val="TableParagraph"/>
              <w:spacing w:line="319" w:lineRule="auto"/>
              <w:ind w:left="23" w:right="60"/>
              <w:jc w:val="both"/>
              <w:rPr>
                <w:rFonts w:ascii="宋体" w:hAnsi="宋体" w:cs="宋体" w:eastAsia="宋体" w:hint="default"/>
                <w:sz w:val="18"/>
                <w:szCs w:val="18"/>
              </w:rPr>
            </w:pPr>
            <w:r>
              <w:rPr>
                <w:rFonts w:ascii="宋体" w:hAnsi="宋体" w:cs="宋体" w:eastAsia="宋体" w:hint="default"/>
                <w:sz w:val="18"/>
                <w:szCs w:val="18"/>
              </w:rPr>
              <w:t>年度日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常关联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交易的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公告》</w:t>
            </w:r>
          </w:p>
          <w:p>
            <w:pPr>
              <w:pStyle w:val="TableParagraph"/>
              <w:spacing w:line="340" w:lineRule="auto" w:before="17"/>
              <w:ind w:left="23"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编号：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2019-0</w:t>
            </w:r>
          </w:p>
          <w:p>
            <w:pPr>
              <w:pStyle w:val="TableParagraph"/>
              <w:spacing w:line="233"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w:t>
            </w:r>
          </w:p>
        </w:tc>
      </w:tr>
      <w:tr>
        <w:trPr>
          <w:trHeight w:val="403" w:hRule="exact"/>
        </w:trPr>
        <w:tc>
          <w:tcPr>
            <w:tcW w:w="286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76"/>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97.36</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200</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862"/>
        <w:gridCol w:w="6713"/>
      </w:tblGrid>
      <w:tr>
        <w:trPr>
          <w:trHeight w:val="403" w:hRule="exact"/>
        </w:trPr>
        <w:tc>
          <w:tcPr>
            <w:tcW w:w="2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大额销货退回的详细情况</w:t>
            </w:r>
            <w:r>
              <w:rPr>
                <w:rFonts w:ascii="宋体" w:hAnsi="宋体" w:cs="宋体" w:eastAsia="宋体" w:hint="default"/>
                <w:sz w:val="18"/>
                <w:szCs w:val="18"/>
              </w:rPr>
            </w:r>
          </w:p>
        </w:tc>
        <w:tc>
          <w:tcPr>
            <w:tcW w:w="6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3" w:hRule="exact"/>
        </w:trPr>
        <w:tc>
          <w:tcPr>
            <w:tcW w:w="2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按类别对本期将发生的日常关联交</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7"/>
                <w:w w:val="101"/>
                <w:sz w:val="18"/>
                <w:szCs w:val="18"/>
              </w:rPr>
              <w:t>易进行总金额预计的，在报告期内的</w:t>
            </w:r>
            <w:r>
              <w:rPr>
                <w:rFonts w:ascii="宋体" w:hAnsi="宋体" w:cs="宋体" w:eastAsia="宋体" w:hint="default"/>
                <w:w w:val="101"/>
                <w:sz w:val="18"/>
                <w:szCs w:val="18"/>
              </w:rPr>
              <w:t> </w:t>
            </w:r>
            <w:r>
              <w:rPr>
                <w:rFonts w:ascii="宋体" w:hAnsi="宋体" w:cs="宋体" w:eastAsia="宋体" w:hint="default"/>
                <w:sz w:val="18"/>
                <w:szCs w:val="18"/>
              </w:rPr>
              <w:t>实际履行情况（如有）</w:t>
            </w:r>
          </w:p>
        </w:tc>
        <w:tc>
          <w:tcPr>
            <w:tcW w:w="6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2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23"/>
              <w:jc w:val="left"/>
              <w:rPr>
                <w:rFonts w:ascii="宋体" w:hAnsi="宋体" w:cs="宋体" w:eastAsia="宋体" w:hint="default"/>
                <w:sz w:val="18"/>
                <w:szCs w:val="18"/>
              </w:rPr>
            </w:pPr>
            <w:r>
              <w:rPr>
                <w:rFonts w:ascii="宋体" w:hAnsi="宋体" w:cs="宋体" w:eastAsia="宋体" w:hint="default"/>
                <w:spacing w:val="-3"/>
                <w:sz w:val="18"/>
                <w:szCs w:val="18"/>
              </w:rPr>
              <w:t>交易价格与市场参考价格差异较大</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的原因（如适用）</w:t>
            </w:r>
          </w:p>
        </w:tc>
        <w:tc>
          <w:tcPr>
            <w:tcW w:w="6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资产或股权收购、出售发生的关联交易" w:id="82"/>
      <w:bookmarkEnd w:id="82"/>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1"/>
        <w:rPr>
          <w:rFonts w:ascii="宋体" w:hAnsi="宋体" w:cs="宋体" w:eastAsia="宋体" w:hint="default"/>
          <w:b/>
          <w:bCs/>
          <w:sz w:val="27"/>
          <w:szCs w:val="27"/>
        </w:rPr>
      </w:pPr>
    </w:p>
    <w:p>
      <w:pPr>
        <w:spacing w:line="338" w:lineRule="auto" w:before="0"/>
        <w:ind w:left="153" w:right="628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公司报告期未发生资产或股权收购、出售的关联交易。</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3、共同对外投资的关联交易" w:id="83"/>
      <w:bookmarkEnd w:id="83"/>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1"/>
        <w:rPr>
          <w:rFonts w:ascii="宋体" w:hAnsi="宋体" w:cs="宋体" w:eastAsia="宋体" w:hint="default"/>
          <w:b/>
          <w:bCs/>
          <w:sz w:val="27"/>
          <w:szCs w:val="27"/>
        </w:rPr>
      </w:pPr>
    </w:p>
    <w:p>
      <w:pPr>
        <w:spacing w:line="343" w:lineRule="auto" w:before="0"/>
        <w:ind w:left="153" w:right="628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公司报告期未发生共同对外投资的关联交易。</w:t>
      </w:r>
    </w:p>
    <w:p>
      <w:pPr>
        <w:spacing w:line="240" w:lineRule="auto" w:before="5"/>
        <w:rPr>
          <w:rFonts w:ascii="宋体" w:hAnsi="宋体" w:cs="宋体" w:eastAsia="宋体" w:hint="default"/>
          <w:sz w:val="20"/>
          <w:szCs w:val="20"/>
        </w:rPr>
      </w:pPr>
    </w:p>
    <w:p>
      <w:pPr>
        <w:pStyle w:val="Heading4"/>
        <w:spacing w:line="240" w:lineRule="auto"/>
        <w:ind w:right="0"/>
        <w:jc w:val="left"/>
        <w:rPr>
          <w:b w:val="0"/>
          <w:bCs w:val="0"/>
        </w:rPr>
      </w:pPr>
      <w:bookmarkStart w:name="4、关联债权债务往来" w:id="84"/>
      <w:bookmarkEnd w:id="84"/>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1"/>
        <w:rPr>
          <w:rFonts w:ascii="宋体" w:hAnsi="宋体" w:cs="宋体" w:eastAsia="宋体" w:hint="default"/>
          <w:b/>
          <w:bCs/>
          <w:sz w:val="27"/>
          <w:szCs w:val="27"/>
        </w:rPr>
      </w:pPr>
    </w:p>
    <w:p>
      <w:pPr>
        <w:spacing w:line="338" w:lineRule="auto" w:before="0"/>
        <w:ind w:left="153" w:right="72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公司报告期不存在关联债权债务往来。</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5、其他重大关联交易" w:id="85"/>
      <w:bookmarkEnd w:id="85"/>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1"/>
        <w:rPr>
          <w:rFonts w:ascii="宋体" w:hAnsi="宋体" w:cs="宋体" w:eastAsia="宋体" w:hint="default"/>
          <w:b/>
          <w:bCs/>
          <w:sz w:val="27"/>
          <w:szCs w:val="27"/>
        </w:rPr>
      </w:pPr>
    </w:p>
    <w:p>
      <w:pPr>
        <w:spacing w:line="343" w:lineRule="auto" w:before="0"/>
        <w:ind w:left="153" w:right="72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公司报告期无其他重大关联交易。</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十七、重大合同及其履行情况" w:id="86"/>
      <w:bookmarkEnd w:id="86"/>
      <w:r>
        <w:rPr>
          <w:b w:val="0"/>
          <w:bCs w:val="0"/>
        </w:rPr>
      </w:r>
      <w:r>
        <w:rPr/>
        <w:t>十七、重大合同及其履行情况</w:t>
      </w:r>
      <w:r>
        <w:rPr>
          <w:b w:val="0"/>
          <w:bCs w:val="0"/>
        </w:rPr>
      </w:r>
    </w:p>
    <w:p>
      <w:pPr>
        <w:spacing w:line="240" w:lineRule="auto" w:before="4"/>
        <w:rPr>
          <w:rFonts w:ascii="宋体" w:hAnsi="宋体" w:cs="宋体" w:eastAsia="宋体" w:hint="default"/>
          <w:b/>
          <w:bCs/>
          <w:sz w:val="25"/>
          <w:szCs w:val="25"/>
        </w:rPr>
      </w:pPr>
    </w:p>
    <w:p>
      <w:pPr>
        <w:pStyle w:val="Heading4"/>
        <w:spacing w:line="240" w:lineRule="auto"/>
        <w:ind w:right="0"/>
        <w:jc w:val="left"/>
        <w:rPr>
          <w:b w:val="0"/>
          <w:bCs w:val="0"/>
        </w:rPr>
      </w:pPr>
      <w:bookmarkStart w:name="1、托管、承包、租赁事项情况" w:id="87"/>
      <w:bookmarkEnd w:id="87"/>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托管情况" w:id="88"/>
      <w:bookmarkEnd w:id="88"/>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1"/>
        <w:rPr>
          <w:rFonts w:ascii="宋体" w:hAnsi="宋体" w:cs="宋体" w:eastAsia="宋体" w:hint="default"/>
          <w:b/>
          <w:bCs/>
          <w:sz w:val="27"/>
          <w:szCs w:val="27"/>
        </w:rPr>
      </w:pPr>
    </w:p>
    <w:p>
      <w:pPr>
        <w:spacing w:line="338" w:lineRule="auto" w:before="0"/>
        <w:ind w:left="153" w:right="72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公司报告期不存在托管情况。</w:t>
      </w:r>
    </w:p>
    <w:p>
      <w:pPr>
        <w:spacing w:line="240" w:lineRule="auto" w:before="9"/>
        <w:rPr>
          <w:rFonts w:ascii="宋体" w:hAnsi="宋体" w:cs="宋体" w:eastAsia="宋体" w:hint="default"/>
          <w:sz w:val="20"/>
          <w:szCs w:val="20"/>
        </w:rPr>
      </w:pPr>
    </w:p>
    <w:p>
      <w:pPr>
        <w:pStyle w:val="Heading4"/>
        <w:spacing w:line="240" w:lineRule="auto"/>
        <w:ind w:right="0"/>
        <w:jc w:val="left"/>
        <w:rPr>
          <w:b w:val="0"/>
          <w:bCs w:val="0"/>
        </w:rPr>
      </w:pPr>
      <w:bookmarkStart w:name="（2）承包情况" w:id="89"/>
      <w:bookmarkEnd w:id="89"/>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1"/>
        <w:rPr>
          <w:rFonts w:ascii="宋体" w:hAnsi="宋体" w:cs="宋体" w:eastAsia="宋体" w:hint="default"/>
          <w:b/>
          <w:bCs/>
          <w:sz w:val="27"/>
          <w:szCs w:val="27"/>
        </w:rPr>
      </w:pPr>
    </w:p>
    <w:p>
      <w:pPr>
        <w:spacing w:line="338" w:lineRule="auto" w:before="0"/>
        <w:ind w:left="153" w:right="72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公司报告期不存在承包情况。</w:t>
      </w:r>
    </w:p>
    <w:p>
      <w:pPr>
        <w:spacing w:after="0" w:line="338"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4"/>
        <w:spacing w:line="240" w:lineRule="auto" w:before="36"/>
        <w:ind w:right="0"/>
        <w:jc w:val="left"/>
        <w:rPr>
          <w:b w:val="0"/>
          <w:bCs w:val="0"/>
        </w:rPr>
      </w:pPr>
      <w:bookmarkStart w:name="（3）租赁情况" w:id="90"/>
      <w:bookmarkEnd w:id="90"/>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1"/>
        <w:rPr>
          <w:rFonts w:ascii="宋体" w:hAnsi="宋体" w:cs="宋体" w:eastAsia="宋体" w:hint="default"/>
          <w:b/>
          <w:bCs/>
          <w:sz w:val="27"/>
          <w:szCs w:val="27"/>
        </w:rPr>
      </w:pPr>
    </w:p>
    <w:p>
      <w:pPr>
        <w:spacing w:line="338" w:lineRule="auto" w:before="0"/>
        <w:ind w:left="153" w:right="72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公司报告期不存在租赁情况。</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2、重大担保" w:id="91"/>
      <w:bookmarkEnd w:id="91"/>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pStyle w:val="Heading4"/>
        <w:spacing w:line="240" w:lineRule="auto"/>
        <w:ind w:right="0"/>
        <w:jc w:val="left"/>
        <w:rPr>
          <w:b w:val="0"/>
          <w:bCs w:val="0"/>
        </w:rPr>
      </w:pPr>
      <w:bookmarkStart w:name="（1）担保情况" w:id="92"/>
      <w:bookmarkEnd w:id="92"/>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715"/>
        <w:gridCol w:w="914"/>
        <w:gridCol w:w="929"/>
        <w:gridCol w:w="1296"/>
        <w:gridCol w:w="1066"/>
        <w:gridCol w:w="1037"/>
        <w:gridCol w:w="1053"/>
        <w:gridCol w:w="786"/>
        <w:gridCol w:w="778"/>
      </w:tblGrid>
      <w:tr>
        <w:trPr>
          <w:trHeight w:val="398"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535" w:right="0"/>
              <w:jc w:val="left"/>
              <w:rPr>
                <w:rFonts w:ascii="宋体" w:hAnsi="宋体" w:cs="宋体" w:eastAsia="宋体" w:hint="default"/>
                <w:sz w:val="18"/>
                <w:szCs w:val="18"/>
              </w:rPr>
            </w:pPr>
            <w:r>
              <w:rPr>
                <w:rFonts w:ascii="宋体" w:hAnsi="宋体" w:cs="宋体" w:eastAsia="宋体" w:hint="default"/>
                <w:spacing w:val="-3"/>
                <w:sz w:val="18"/>
                <w:szCs w:val="18"/>
              </w:rPr>
              <w:t>公司及其子公司对外担保情况（不包括对子公司的担保）</w:t>
            </w:r>
          </w:p>
        </w:tc>
      </w:tr>
      <w:tr>
        <w:trPr>
          <w:trHeight w:val="163"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8"/>
              <w:ind w:left="94" w:right="82"/>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929" w:type="dxa"/>
            <w:vMerge w:val="restart"/>
            <w:tcBorders>
              <w:top w:val="single" w:sz="4" w:space="0" w:color="000000"/>
              <w:left w:val="single" w:sz="4" w:space="0" w:color="000000"/>
              <w:right w:val="single" w:sz="4" w:space="0" w:color="000000"/>
            </w:tcBorders>
            <w:shd w:val="clear" w:color="auto" w:fill="D2D2D2"/>
          </w:tcPr>
          <w:p>
            <w:pPr/>
          </w:p>
        </w:tc>
        <w:tc>
          <w:tcPr>
            <w:tcW w:w="1296" w:type="dxa"/>
            <w:vMerge w:val="restart"/>
            <w:tcBorders>
              <w:top w:val="single" w:sz="4" w:space="0" w:color="000000"/>
              <w:left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7" w:type="dxa"/>
            <w:vMerge w:val="restart"/>
            <w:tcBorders>
              <w:top w:val="single" w:sz="4" w:space="0" w:color="000000"/>
              <w:left w:val="single" w:sz="4" w:space="0" w:color="000000"/>
              <w:right w:val="single" w:sz="4" w:space="0" w:color="000000"/>
            </w:tcBorders>
            <w:shd w:val="clear" w:color="auto" w:fill="D2D2D2"/>
          </w:tcPr>
          <w:p>
            <w:pPr/>
          </w:p>
        </w:tc>
        <w:tc>
          <w:tcPr>
            <w:tcW w:w="1053" w:type="dxa"/>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9"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14" w:type="dxa"/>
            <w:vMerge/>
            <w:tcBorders>
              <w:left w:val="single" w:sz="4" w:space="0" w:color="000000"/>
              <w:right w:val="single" w:sz="4" w:space="0" w:color="000000"/>
            </w:tcBorders>
            <w:shd w:val="clear" w:color="auto" w:fill="D2D2D2"/>
          </w:tcPr>
          <w:p>
            <w:pPr/>
          </w:p>
        </w:tc>
        <w:tc>
          <w:tcPr>
            <w:tcW w:w="929" w:type="dxa"/>
            <w:vMerge/>
            <w:tcBorders>
              <w:left w:val="single" w:sz="4" w:space="0" w:color="000000"/>
              <w:bottom w:val="nil" w:sz="6" w:space="0" w:color="auto"/>
              <w:right w:val="single" w:sz="4" w:space="0" w:color="000000"/>
            </w:tcBorders>
            <w:shd w:val="clear" w:color="auto" w:fill="D2D2D2"/>
          </w:tcPr>
          <w:p>
            <w:pPr/>
          </w:p>
        </w:tc>
        <w:tc>
          <w:tcPr>
            <w:tcW w:w="1296" w:type="dxa"/>
            <w:vMerge/>
            <w:tcBorders>
              <w:left w:val="single" w:sz="4" w:space="0" w:color="000000"/>
              <w:bottom w:val="nil" w:sz="6" w:space="0" w:color="auto"/>
              <w:right w:val="single" w:sz="4" w:space="0" w:color="000000"/>
            </w:tcBorders>
            <w:shd w:val="clear" w:color="auto" w:fill="D2D2D2"/>
          </w:tcPr>
          <w:p>
            <w:pPr/>
          </w:p>
        </w:tc>
        <w:tc>
          <w:tcPr>
            <w:tcW w:w="1066"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4"/>
              <w:ind w:left="441" w:right="70" w:hanging="360"/>
              <w:jc w:val="left"/>
              <w:rPr>
                <w:rFonts w:ascii="宋体" w:hAnsi="宋体" w:cs="宋体" w:eastAsia="宋体" w:hint="default"/>
                <w:sz w:val="18"/>
                <w:szCs w:val="18"/>
              </w:rPr>
            </w:pPr>
            <w:r>
              <w:rPr>
                <w:rFonts w:ascii="宋体" w:hAnsi="宋体" w:cs="宋体" w:eastAsia="宋体" w:hint="default"/>
                <w:spacing w:val="-2"/>
                <w:sz w:val="18"/>
                <w:szCs w:val="18"/>
              </w:rPr>
              <w:t>实际担保金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37" w:type="dxa"/>
            <w:vMerge/>
            <w:tcBorders>
              <w:left w:val="single" w:sz="4" w:space="0" w:color="000000"/>
              <w:bottom w:val="nil" w:sz="6" w:space="0" w:color="auto"/>
              <w:right w:val="single" w:sz="4" w:space="0" w:color="000000"/>
            </w:tcBorders>
            <w:shd w:val="clear" w:color="auto" w:fill="D2D2D2"/>
          </w:tcPr>
          <w:p>
            <w:pPr/>
          </w:p>
        </w:tc>
        <w:tc>
          <w:tcPr>
            <w:tcW w:w="1053" w:type="dxa"/>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4"/>
              <w:ind w:left="209" w:right="22" w:hanging="183"/>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778"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4"/>
              <w:ind w:left="23" w:right="17"/>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联方担保</w:t>
            </w:r>
          </w:p>
        </w:tc>
      </w:tr>
      <w:tr>
        <w:trPr>
          <w:trHeight w:val="389"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30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4" w:type="dxa"/>
            <w:vMerge/>
            <w:tcBorders>
              <w:left w:val="single" w:sz="4" w:space="0" w:color="000000"/>
              <w:right w:val="single" w:sz="4" w:space="0" w:color="000000"/>
            </w:tcBorders>
            <w:shd w:val="clear" w:color="auto" w:fill="D2D2D2"/>
          </w:tcPr>
          <w:p>
            <w:pPr/>
          </w:p>
        </w:tc>
        <w:tc>
          <w:tcPr>
            <w:tcW w:w="9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6" w:type="dxa"/>
            <w:vMerge/>
            <w:tcBorders>
              <w:left w:val="single" w:sz="4" w:space="0" w:color="000000"/>
              <w:right w:val="single" w:sz="4" w:space="0" w:color="000000"/>
            </w:tcBorders>
            <w:shd w:val="clear" w:color="auto" w:fill="D2D2D2"/>
          </w:tcPr>
          <w:p>
            <w:pPr/>
          </w:p>
        </w:tc>
        <w:tc>
          <w:tcPr>
            <w:tcW w:w="10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86" w:type="dxa"/>
            <w:vMerge/>
            <w:tcBorders>
              <w:left w:val="single" w:sz="4" w:space="0" w:color="000000"/>
              <w:right w:val="single" w:sz="4" w:space="0" w:color="000000"/>
            </w:tcBorders>
            <w:shd w:val="clear" w:color="auto" w:fill="D2D2D2"/>
          </w:tcPr>
          <w:p>
            <w:pPr/>
          </w:p>
        </w:tc>
        <w:tc>
          <w:tcPr>
            <w:tcW w:w="778" w:type="dxa"/>
            <w:vMerge/>
            <w:tcBorders>
              <w:left w:val="single" w:sz="4" w:space="0" w:color="000000"/>
              <w:right w:val="single" w:sz="4" w:space="0" w:color="000000"/>
            </w:tcBorders>
            <w:shd w:val="clear" w:color="auto" w:fill="D2D2D2"/>
          </w:tcPr>
          <w:p>
            <w:pPr/>
          </w:p>
        </w:tc>
      </w:tr>
      <w:tr>
        <w:trPr>
          <w:trHeight w:val="158"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14" w:type="dxa"/>
            <w:vMerge/>
            <w:tcBorders>
              <w:left w:val="single" w:sz="4" w:space="0" w:color="000000"/>
              <w:right w:val="single" w:sz="4" w:space="0" w:color="000000"/>
            </w:tcBorders>
            <w:shd w:val="clear" w:color="auto" w:fill="D2D2D2"/>
          </w:tcPr>
          <w:p>
            <w:pPr/>
          </w:p>
        </w:tc>
        <w:tc>
          <w:tcPr>
            <w:tcW w:w="929" w:type="dxa"/>
            <w:vMerge w:val="restart"/>
            <w:tcBorders>
              <w:top w:val="nil" w:sz="6" w:space="0" w:color="auto"/>
              <w:left w:val="single" w:sz="4" w:space="0" w:color="000000"/>
              <w:right w:val="single" w:sz="4" w:space="0" w:color="000000"/>
            </w:tcBorders>
            <w:shd w:val="clear" w:color="auto" w:fill="D2D2D2"/>
          </w:tcPr>
          <w:p>
            <w:pPr/>
          </w:p>
        </w:tc>
        <w:tc>
          <w:tcPr>
            <w:tcW w:w="1296" w:type="dxa"/>
            <w:vMerge w:val="restart"/>
            <w:tcBorders>
              <w:top w:val="nil" w:sz="6" w:space="0" w:color="auto"/>
              <w:left w:val="single" w:sz="4" w:space="0" w:color="000000"/>
              <w:right w:val="single" w:sz="4" w:space="0" w:color="000000"/>
            </w:tcBorders>
            <w:shd w:val="clear" w:color="auto" w:fill="D2D2D2"/>
          </w:tcPr>
          <w:p>
            <w:pPr/>
          </w:p>
        </w:tc>
        <w:tc>
          <w:tcPr>
            <w:tcW w:w="1066" w:type="dxa"/>
            <w:vMerge/>
            <w:tcBorders>
              <w:left w:val="single" w:sz="4" w:space="0" w:color="000000"/>
              <w:bottom w:val="nil" w:sz="6" w:space="0" w:color="auto"/>
              <w:right w:val="single" w:sz="4" w:space="0" w:color="000000"/>
            </w:tcBorders>
            <w:shd w:val="clear" w:color="auto" w:fill="D2D2D2"/>
          </w:tcPr>
          <w:p>
            <w:pPr/>
          </w:p>
        </w:tc>
        <w:tc>
          <w:tcPr>
            <w:tcW w:w="1037" w:type="dxa"/>
            <w:vMerge w:val="restart"/>
            <w:tcBorders>
              <w:top w:val="nil" w:sz="6" w:space="0" w:color="auto"/>
              <w:left w:val="single" w:sz="4" w:space="0" w:color="000000"/>
              <w:right w:val="single" w:sz="4" w:space="0" w:color="000000"/>
            </w:tcBorders>
            <w:shd w:val="clear" w:color="auto" w:fill="D2D2D2"/>
          </w:tcPr>
          <w:p>
            <w:pPr/>
          </w:p>
        </w:tc>
        <w:tc>
          <w:tcPr>
            <w:tcW w:w="1053" w:type="dxa"/>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78"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14"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296"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7" w:type="dxa"/>
            <w:vMerge/>
            <w:tcBorders>
              <w:left w:val="single" w:sz="4" w:space="0" w:color="000000"/>
              <w:bottom w:val="single" w:sz="4" w:space="0" w:color="000000"/>
              <w:right w:val="single" w:sz="4" w:space="0" w:color="000000"/>
            </w:tcBorders>
            <w:shd w:val="clear" w:color="auto" w:fill="D2D2D2"/>
          </w:tcPr>
          <w:p>
            <w:pPr/>
          </w:p>
        </w:tc>
        <w:tc>
          <w:tcPr>
            <w:tcW w:w="1053" w:type="dxa"/>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4" w:right="68"/>
              <w:jc w:val="left"/>
              <w:rPr>
                <w:rFonts w:ascii="宋体" w:hAnsi="宋体" w:cs="宋体" w:eastAsia="宋体" w:hint="default"/>
                <w:sz w:val="18"/>
                <w:szCs w:val="18"/>
              </w:rPr>
            </w:pPr>
            <w:r>
              <w:rPr>
                <w:rFonts w:ascii="宋体" w:hAnsi="宋体" w:cs="宋体" w:eastAsia="宋体" w:hint="default"/>
                <w:spacing w:val="-3"/>
                <w:sz w:val="18"/>
                <w:szCs w:val="18"/>
              </w:rPr>
              <w:t>报告期内审批的对外担保额度合</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26" w:type="dxa"/>
            <w:gridSpan w:val="2"/>
            <w:tcBorders>
              <w:top w:val="single" w:sz="4" w:space="0" w:color="000000"/>
              <w:left w:val="single" w:sz="10" w:space="0" w:color="D2D2D2"/>
              <w:bottom w:val="single" w:sz="4" w:space="0" w:color="000000"/>
              <w:right w:val="single" w:sz="15"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21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8" w:right="79"/>
              <w:jc w:val="left"/>
              <w:rPr>
                <w:rFonts w:ascii="宋体" w:hAnsi="宋体" w:cs="宋体" w:eastAsia="宋体" w:hint="default"/>
                <w:sz w:val="18"/>
                <w:szCs w:val="18"/>
              </w:rPr>
            </w:pPr>
            <w:r>
              <w:rPr>
                <w:rFonts w:ascii="宋体" w:hAnsi="宋体" w:cs="宋体" w:eastAsia="宋体" w:hint="default"/>
                <w:spacing w:val="-3"/>
                <w:sz w:val="18"/>
                <w:szCs w:val="18"/>
              </w:rPr>
              <w:t>报告期内对外担保实际发</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生额合计（</w:t>
            </w:r>
            <w:r>
              <w:rPr>
                <w:rFonts w:ascii="Times New Roman" w:hAnsi="Times New Roman" w:cs="Times New Roman" w:eastAsia="Times New Roman" w:hint="default"/>
                <w:spacing w:val="-3"/>
                <w:sz w:val="18"/>
                <w:szCs w:val="18"/>
              </w:rPr>
              <w:t>A2</w:t>
            </w:r>
            <w:r>
              <w:rPr>
                <w:rFonts w:ascii="宋体" w:hAnsi="宋体" w:cs="宋体" w:eastAsia="宋体" w:hint="default"/>
                <w:spacing w:val="-3"/>
                <w:sz w:val="18"/>
                <w:szCs w:val="18"/>
              </w:rPr>
              <w:t>）</w:t>
            </w:r>
          </w:p>
        </w:tc>
        <w:tc>
          <w:tcPr>
            <w:tcW w:w="2617"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20"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4" w:right="68"/>
              <w:jc w:val="left"/>
              <w:rPr>
                <w:rFonts w:ascii="宋体" w:hAnsi="宋体" w:cs="宋体" w:eastAsia="宋体" w:hint="default"/>
                <w:sz w:val="18"/>
                <w:szCs w:val="18"/>
              </w:rPr>
            </w:pPr>
            <w:r>
              <w:rPr>
                <w:rFonts w:ascii="宋体" w:hAnsi="宋体" w:cs="宋体" w:eastAsia="宋体" w:hint="default"/>
                <w:spacing w:val="-3"/>
                <w:sz w:val="18"/>
                <w:szCs w:val="18"/>
              </w:rPr>
              <w:t>报告期末已审批的对外担保额度</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合计（</w:t>
            </w:r>
            <w:r>
              <w:rPr>
                <w:rFonts w:ascii="Times New Roman" w:hAnsi="Times New Roman" w:cs="Times New Roman" w:eastAsia="Times New Roman" w:hint="default"/>
                <w:spacing w:val="-3"/>
                <w:sz w:val="18"/>
                <w:szCs w:val="18"/>
              </w:rPr>
              <w:t>A3</w:t>
            </w:r>
            <w:r>
              <w:rPr>
                <w:rFonts w:ascii="宋体" w:hAnsi="宋体" w:cs="宋体" w:eastAsia="宋体" w:hint="default"/>
                <w:spacing w:val="-3"/>
                <w:sz w:val="18"/>
                <w:szCs w:val="18"/>
              </w:rPr>
              <w:t>）</w:t>
            </w:r>
          </w:p>
        </w:tc>
        <w:tc>
          <w:tcPr>
            <w:tcW w:w="2226" w:type="dxa"/>
            <w:gridSpan w:val="2"/>
            <w:tcBorders>
              <w:top w:val="single" w:sz="4" w:space="0" w:color="000000"/>
              <w:left w:val="single" w:sz="10" w:space="0" w:color="D2D2D2"/>
              <w:bottom w:val="single" w:sz="4" w:space="0" w:color="000000"/>
              <w:right w:val="single" w:sz="15" w:space="0" w:color="D2D2D2"/>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21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8" w:right="79"/>
              <w:jc w:val="left"/>
              <w:rPr>
                <w:rFonts w:ascii="宋体" w:hAnsi="宋体" w:cs="宋体" w:eastAsia="宋体" w:hint="default"/>
                <w:sz w:val="18"/>
                <w:szCs w:val="18"/>
              </w:rPr>
            </w:pPr>
            <w:r>
              <w:rPr>
                <w:rFonts w:ascii="宋体" w:hAnsi="宋体" w:cs="宋体" w:eastAsia="宋体" w:hint="default"/>
                <w:spacing w:val="-3"/>
                <w:sz w:val="18"/>
                <w:szCs w:val="18"/>
              </w:rPr>
              <w:t>报告期末实际对外担保余</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17"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4"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pacing w:val="-3"/>
                <w:sz w:val="18"/>
                <w:szCs w:val="18"/>
              </w:rPr>
              <w:t>公司对子公司的担保情况</w:t>
            </w:r>
          </w:p>
        </w:tc>
      </w:tr>
      <w:tr>
        <w:trPr>
          <w:trHeight w:val="163"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8"/>
              <w:ind w:left="89" w:right="87"/>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929" w:type="dxa"/>
            <w:vMerge w:val="restart"/>
            <w:tcBorders>
              <w:top w:val="single" w:sz="4" w:space="0" w:color="000000"/>
              <w:left w:val="single" w:sz="4" w:space="0" w:color="000000"/>
              <w:right w:val="single" w:sz="4" w:space="0" w:color="000000"/>
            </w:tcBorders>
            <w:shd w:val="clear" w:color="auto" w:fill="D2D2D2"/>
          </w:tcPr>
          <w:p>
            <w:pPr/>
          </w:p>
        </w:tc>
        <w:tc>
          <w:tcPr>
            <w:tcW w:w="1296" w:type="dxa"/>
            <w:vMerge w:val="restart"/>
            <w:tcBorders>
              <w:top w:val="single" w:sz="4" w:space="0" w:color="000000"/>
              <w:left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7" w:type="dxa"/>
            <w:vMerge w:val="restart"/>
            <w:tcBorders>
              <w:top w:val="single" w:sz="4" w:space="0" w:color="000000"/>
              <w:left w:val="single" w:sz="4" w:space="0" w:color="000000"/>
              <w:right w:val="single" w:sz="4" w:space="0" w:color="000000"/>
            </w:tcBorders>
            <w:shd w:val="clear" w:color="auto" w:fill="D2D2D2"/>
          </w:tcPr>
          <w:p>
            <w:pPr/>
          </w:p>
        </w:tc>
        <w:tc>
          <w:tcPr>
            <w:tcW w:w="1053" w:type="dxa"/>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8"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14" w:type="dxa"/>
            <w:vMerge/>
            <w:tcBorders>
              <w:left w:val="single" w:sz="4" w:space="0" w:color="000000"/>
              <w:right w:val="single" w:sz="4" w:space="0" w:color="000000"/>
            </w:tcBorders>
            <w:shd w:val="clear" w:color="auto" w:fill="D2D2D2"/>
          </w:tcPr>
          <w:p>
            <w:pPr/>
          </w:p>
        </w:tc>
        <w:tc>
          <w:tcPr>
            <w:tcW w:w="929" w:type="dxa"/>
            <w:vMerge/>
            <w:tcBorders>
              <w:left w:val="single" w:sz="4" w:space="0" w:color="000000"/>
              <w:bottom w:val="nil" w:sz="6" w:space="0" w:color="auto"/>
              <w:right w:val="single" w:sz="4" w:space="0" w:color="000000"/>
            </w:tcBorders>
            <w:shd w:val="clear" w:color="auto" w:fill="D2D2D2"/>
          </w:tcPr>
          <w:p>
            <w:pPr/>
          </w:p>
        </w:tc>
        <w:tc>
          <w:tcPr>
            <w:tcW w:w="1296" w:type="dxa"/>
            <w:vMerge/>
            <w:tcBorders>
              <w:left w:val="single" w:sz="4" w:space="0" w:color="000000"/>
              <w:bottom w:val="nil" w:sz="6" w:space="0" w:color="auto"/>
              <w:right w:val="single" w:sz="4" w:space="0" w:color="000000"/>
            </w:tcBorders>
            <w:shd w:val="clear" w:color="auto" w:fill="D2D2D2"/>
          </w:tcPr>
          <w:p>
            <w:pPr/>
          </w:p>
        </w:tc>
        <w:tc>
          <w:tcPr>
            <w:tcW w:w="1066"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441" w:right="70" w:hanging="360"/>
              <w:jc w:val="left"/>
              <w:rPr>
                <w:rFonts w:ascii="宋体" w:hAnsi="宋体" w:cs="宋体" w:eastAsia="宋体" w:hint="default"/>
                <w:sz w:val="18"/>
                <w:szCs w:val="18"/>
              </w:rPr>
            </w:pPr>
            <w:r>
              <w:rPr>
                <w:rFonts w:ascii="宋体" w:hAnsi="宋体" w:cs="宋体" w:eastAsia="宋体" w:hint="default"/>
                <w:spacing w:val="-2"/>
                <w:sz w:val="18"/>
                <w:szCs w:val="18"/>
              </w:rPr>
              <w:t>实际担保金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37" w:type="dxa"/>
            <w:vMerge/>
            <w:tcBorders>
              <w:left w:val="single" w:sz="4" w:space="0" w:color="000000"/>
              <w:bottom w:val="nil" w:sz="6" w:space="0" w:color="auto"/>
              <w:right w:val="single" w:sz="4" w:space="0" w:color="000000"/>
            </w:tcBorders>
            <w:shd w:val="clear" w:color="auto" w:fill="D2D2D2"/>
          </w:tcPr>
          <w:p>
            <w:pPr/>
          </w:p>
        </w:tc>
        <w:tc>
          <w:tcPr>
            <w:tcW w:w="1053" w:type="dxa"/>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200" w:right="27" w:hanging="178"/>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778"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联方担保</w:t>
            </w:r>
          </w:p>
        </w:tc>
      </w:tr>
      <w:tr>
        <w:trPr>
          <w:trHeight w:val="389"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30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4" w:type="dxa"/>
            <w:vMerge/>
            <w:tcBorders>
              <w:left w:val="single" w:sz="4" w:space="0" w:color="000000"/>
              <w:right w:val="single" w:sz="4" w:space="0" w:color="000000"/>
            </w:tcBorders>
            <w:shd w:val="clear" w:color="auto" w:fill="D2D2D2"/>
          </w:tcPr>
          <w:p>
            <w:pPr/>
          </w:p>
        </w:tc>
        <w:tc>
          <w:tcPr>
            <w:tcW w:w="9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9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6" w:type="dxa"/>
            <w:vMerge/>
            <w:tcBorders>
              <w:left w:val="single" w:sz="4" w:space="0" w:color="000000"/>
              <w:right w:val="single" w:sz="4" w:space="0" w:color="000000"/>
            </w:tcBorders>
            <w:shd w:val="clear" w:color="auto" w:fill="D2D2D2"/>
          </w:tcPr>
          <w:p>
            <w:pPr/>
          </w:p>
        </w:tc>
        <w:tc>
          <w:tcPr>
            <w:tcW w:w="10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86" w:type="dxa"/>
            <w:vMerge/>
            <w:tcBorders>
              <w:left w:val="single" w:sz="4" w:space="0" w:color="000000"/>
              <w:right w:val="single" w:sz="4" w:space="0" w:color="000000"/>
            </w:tcBorders>
            <w:shd w:val="clear" w:color="auto" w:fill="D2D2D2"/>
          </w:tcPr>
          <w:p>
            <w:pPr/>
          </w:p>
        </w:tc>
        <w:tc>
          <w:tcPr>
            <w:tcW w:w="778" w:type="dxa"/>
            <w:vMerge/>
            <w:tcBorders>
              <w:left w:val="single" w:sz="4" w:space="0" w:color="000000"/>
              <w:right w:val="single" w:sz="4" w:space="0" w:color="000000"/>
            </w:tcBorders>
            <w:shd w:val="clear" w:color="auto" w:fill="D2D2D2"/>
          </w:tcPr>
          <w:p>
            <w:pPr/>
          </w:p>
        </w:tc>
      </w:tr>
      <w:tr>
        <w:trPr>
          <w:trHeight w:val="159"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14" w:type="dxa"/>
            <w:vMerge/>
            <w:tcBorders>
              <w:left w:val="single" w:sz="4" w:space="0" w:color="000000"/>
              <w:right w:val="single" w:sz="4" w:space="0" w:color="000000"/>
            </w:tcBorders>
            <w:shd w:val="clear" w:color="auto" w:fill="D2D2D2"/>
          </w:tcPr>
          <w:p>
            <w:pPr/>
          </w:p>
        </w:tc>
        <w:tc>
          <w:tcPr>
            <w:tcW w:w="929" w:type="dxa"/>
            <w:vMerge w:val="restart"/>
            <w:tcBorders>
              <w:top w:val="nil" w:sz="6" w:space="0" w:color="auto"/>
              <w:left w:val="single" w:sz="4" w:space="0" w:color="000000"/>
              <w:right w:val="single" w:sz="4" w:space="0" w:color="000000"/>
            </w:tcBorders>
            <w:shd w:val="clear" w:color="auto" w:fill="D2D2D2"/>
          </w:tcPr>
          <w:p>
            <w:pPr/>
          </w:p>
        </w:tc>
        <w:tc>
          <w:tcPr>
            <w:tcW w:w="1296" w:type="dxa"/>
            <w:vMerge w:val="restart"/>
            <w:tcBorders>
              <w:top w:val="nil" w:sz="6" w:space="0" w:color="auto"/>
              <w:left w:val="single" w:sz="4" w:space="0" w:color="000000"/>
              <w:right w:val="single" w:sz="4" w:space="0" w:color="000000"/>
            </w:tcBorders>
            <w:shd w:val="clear" w:color="auto" w:fill="D2D2D2"/>
          </w:tcPr>
          <w:p>
            <w:pPr/>
          </w:p>
        </w:tc>
        <w:tc>
          <w:tcPr>
            <w:tcW w:w="1066" w:type="dxa"/>
            <w:vMerge/>
            <w:tcBorders>
              <w:left w:val="single" w:sz="4" w:space="0" w:color="000000"/>
              <w:bottom w:val="nil" w:sz="6" w:space="0" w:color="auto"/>
              <w:right w:val="single" w:sz="4" w:space="0" w:color="000000"/>
            </w:tcBorders>
            <w:shd w:val="clear" w:color="auto" w:fill="D2D2D2"/>
          </w:tcPr>
          <w:p>
            <w:pPr/>
          </w:p>
        </w:tc>
        <w:tc>
          <w:tcPr>
            <w:tcW w:w="1037" w:type="dxa"/>
            <w:vMerge w:val="restart"/>
            <w:tcBorders>
              <w:top w:val="nil" w:sz="6" w:space="0" w:color="auto"/>
              <w:left w:val="single" w:sz="4" w:space="0" w:color="000000"/>
              <w:right w:val="single" w:sz="4" w:space="0" w:color="000000"/>
            </w:tcBorders>
            <w:shd w:val="clear" w:color="auto" w:fill="D2D2D2"/>
          </w:tcPr>
          <w:p>
            <w:pPr/>
          </w:p>
        </w:tc>
        <w:tc>
          <w:tcPr>
            <w:tcW w:w="1053" w:type="dxa"/>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78"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14"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296"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7" w:type="dxa"/>
            <w:vMerge/>
            <w:tcBorders>
              <w:left w:val="single" w:sz="4" w:space="0" w:color="000000"/>
              <w:bottom w:val="single" w:sz="4" w:space="0" w:color="000000"/>
              <w:right w:val="single" w:sz="4" w:space="0" w:color="000000"/>
            </w:tcBorders>
            <w:shd w:val="clear" w:color="auto" w:fill="D2D2D2"/>
          </w:tcPr>
          <w:p>
            <w:pPr/>
          </w:p>
        </w:tc>
        <w:tc>
          <w:tcPr>
            <w:tcW w:w="1053" w:type="dxa"/>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7"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56"/>
              <w:jc w:val="left"/>
              <w:rPr>
                <w:rFonts w:ascii="宋体" w:hAnsi="宋体" w:cs="宋体" w:eastAsia="宋体" w:hint="default"/>
                <w:sz w:val="18"/>
                <w:szCs w:val="18"/>
              </w:rPr>
            </w:pPr>
            <w:r>
              <w:rPr>
                <w:rFonts w:ascii="宋体" w:hAnsi="宋体" w:cs="宋体" w:eastAsia="宋体" w:hint="default"/>
                <w:spacing w:val="-3"/>
                <w:sz w:val="18"/>
                <w:szCs w:val="18"/>
              </w:rPr>
              <w:t>北京汉华易美图片有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4,700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21</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3,392.4</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14"/>
              <w:jc w:val="both"/>
              <w:rPr>
                <w:rFonts w:ascii="宋体" w:hAnsi="宋体" w:cs="宋体" w:eastAsia="宋体" w:hint="default"/>
                <w:sz w:val="18"/>
                <w:szCs w:val="18"/>
              </w:rPr>
            </w:pPr>
            <w:r>
              <w:rPr>
                <w:rFonts w:ascii="宋体" w:hAnsi="宋体" w:cs="宋体" w:eastAsia="宋体" w:hint="default"/>
                <w:spacing w:val="-2"/>
                <w:sz w:val="18"/>
                <w:szCs w:val="18"/>
              </w:rPr>
              <w:t>主债务履行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期届满之日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8"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联景国际有限公司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08</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26,953.98</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14"/>
              <w:jc w:val="both"/>
              <w:rPr>
                <w:rFonts w:ascii="宋体" w:hAnsi="宋体" w:cs="宋体" w:eastAsia="宋体" w:hint="default"/>
                <w:sz w:val="18"/>
                <w:szCs w:val="18"/>
              </w:rPr>
            </w:pPr>
            <w:r>
              <w:rPr>
                <w:rFonts w:ascii="宋体" w:hAnsi="宋体" w:cs="宋体" w:eastAsia="宋体" w:hint="default"/>
                <w:spacing w:val="-2"/>
                <w:sz w:val="18"/>
                <w:szCs w:val="18"/>
              </w:rPr>
              <w:t>主债务履行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期届满之日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7"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56"/>
              <w:jc w:val="left"/>
              <w:rPr>
                <w:rFonts w:ascii="宋体" w:hAnsi="宋体" w:cs="宋体" w:eastAsia="宋体" w:hint="default"/>
                <w:sz w:val="18"/>
                <w:szCs w:val="18"/>
              </w:rPr>
            </w:pPr>
            <w:r>
              <w:rPr>
                <w:rFonts w:ascii="宋体" w:hAnsi="宋体" w:cs="宋体" w:eastAsia="宋体" w:hint="default"/>
                <w:spacing w:val="-3"/>
                <w:sz w:val="18"/>
                <w:szCs w:val="18"/>
              </w:rPr>
              <w:t>华夏视觉（天津）信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息技术有限公司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24</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4,700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4"/>
              <w:jc w:val="both"/>
              <w:rPr>
                <w:rFonts w:ascii="宋体" w:hAnsi="宋体" w:cs="宋体" w:eastAsia="宋体" w:hint="default"/>
                <w:sz w:val="18"/>
                <w:szCs w:val="18"/>
              </w:rPr>
            </w:pPr>
            <w:r>
              <w:rPr>
                <w:rFonts w:ascii="宋体" w:hAnsi="宋体" w:cs="宋体" w:eastAsia="宋体" w:hint="default"/>
                <w:spacing w:val="-2"/>
                <w:sz w:val="18"/>
                <w:szCs w:val="18"/>
              </w:rPr>
              <w:t>主债务履行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期届满之日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3"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4" w:right="57"/>
              <w:jc w:val="left"/>
              <w:rPr>
                <w:rFonts w:ascii="宋体" w:hAnsi="宋体" w:cs="宋体" w:eastAsia="宋体" w:hint="default"/>
                <w:sz w:val="18"/>
                <w:szCs w:val="18"/>
              </w:rPr>
            </w:pPr>
            <w:r>
              <w:rPr>
                <w:rFonts w:ascii="宋体" w:hAnsi="宋体" w:cs="宋体" w:eastAsia="宋体" w:hint="default"/>
                <w:spacing w:val="-3"/>
                <w:sz w:val="18"/>
                <w:szCs w:val="18"/>
              </w:rPr>
              <w:t>视觉中国集团控股有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p>
          <w:p>
            <w:pPr>
              <w:pStyle w:val="TableParagraph"/>
              <w:spacing w:line="240" w:lineRule="auto" w:before="67"/>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28</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18,000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3" w:right="9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14"/>
              <w:jc w:val="both"/>
              <w:rPr>
                <w:rFonts w:ascii="宋体" w:hAnsi="宋体" w:cs="宋体" w:eastAsia="宋体" w:hint="default"/>
                <w:sz w:val="18"/>
                <w:szCs w:val="18"/>
              </w:rPr>
            </w:pPr>
            <w:r>
              <w:rPr>
                <w:rFonts w:ascii="宋体" w:hAnsi="宋体" w:cs="宋体" w:eastAsia="宋体" w:hint="default"/>
                <w:spacing w:val="-2"/>
                <w:sz w:val="18"/>
                <w:szCs w:val="18"/>
              </w:rPr>
              <w:t>主债务履行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期届满之日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8"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4" w:right="57"/>
              <w:jc w:val="left"/>
              <w:rPr>
                <w:rFonts w:ascii="宋体" w:hAnsi="宋体" w:cs="宋体" w:eastAsia="宋体" w:hint="default"/>
                <w:sz w:val="18"/>
                <w:szCs w:val="18"/>
              </w:rPr>
            </w:pPr>
            <w:r>
              <w:rPr>
                <w:rFonts w:ascii="宋体" w:hAnsi="宋体" w:cs="宋体" w:eastAsia="宋体" w:hint="default"/>
                <w:spacing w:val="-3"/>
                <w:sz w:val="18"/>
                <w:szCs w:val="18"/>
              </w:rPr>
              <w:t>汉华易美（天津）图</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像技术有限公司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19</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2,762.92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3" w:right="9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114"/>
              <w:jc w:val="both"/>
              <w:rPr>
                <w:rFonts w:ascii="宋体" w:hAnsi="宋体" w:cs="宋体" w:eastAsia="宋体" w:hint="default"/>
                <w:sz w:val="18"/>
                <w:szCs w:val="18"/>
              </w:rPr>
            </w:pPr>
            <w:r>
              <w:rPr>
                <w:rFonts w:ascii="宋体" w:hAnsi="宋体" w:cs="宋体" w:eastAsia="宋体" w:hint="default"/>
                <w:spacing w:val="-2"/>
                <w:sz w:val="18"/>
                <w:szCs w:val="18"/>
              </w:rPr>
              <w:t>主债务履行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期届满之日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56"/>
              <w:jc w:val="left"/>
              <w:rPr>
                <w:rFonts w:ascii="宋体" w:hAnsi="宋体" w:cs="宋体" w:eastAsia="宋体" w:hint="default"/>
                <w:sz w:val="18"/>
                <w:szCs w:val="18"/>
              </w:rPr>
            </w:pPr>
            <w:r>
              <w:rPr>
                <w:rFonts w:ascii="宋体" w:hAnsi="宋体" w:cs="宋体" w:eastAsia="宋体" w:hint="default"/>
                <w:spacing w:val="-3"/>
                <w:sz w:val="18"/>
                <w:szCs w:val="18"/>
              </w:rPr>
              <w:t>汉华易美（天津）图</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像技术有限公司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0" w:lineRule="auto" w:before="67"/>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09</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239.45</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9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3"/>
              <w:ind w:left="24" w:right="114"/>
              <w:jc w:val="left"/>
              <w:rPr>
                <w:rFonts w:ascii="宋体" w:hAnsi="宋体" w:cs="宋体" w:eastAsia="宋体" w:hint="default"/>
                <w:sz w:val="18"/>
                <w:szCs w:val="18"/>
              </w:rPr>
            </w:pPr>
            <w:r>
              <w:rPr>
                <w:rFonts w:ascii="宋体" w:hAnsi="宋体" w:cs="宋体" w:eastAsia="宋体" w:hint="default"/>
                <w:spacing w:val="-2"/>
                <w:sz w:val="18"/>
                <w:szCs w:val="18"/>
              </w:rPr>
              <w:t>主债务履行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期届满之日</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15"/>
        <w:gridCol w:w="908"/>
        <w:gridCol w:w="928"/>
        <w:gridCol w:w="1311"/>
        <w:gridCol w:w="1043"/>
        <w:gridCol w:w="1052"/>
        <w:gridCol w:w="1048"/>
        <w:gridCol w:w="786"/>
        <w:gridCol w:w="783"/>
      </w:tblGrid>
      <w:tr>
        <w:trPr>
          <w:trHeight w:val="360" w:hRule="exact"/>
        </w:trPr>
        <w:tc>
          <w:tcPr>
            <w:tcW w:w="1715"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4" w:right="57"/>
              <w:jc w:val="left"/>
              <w:rPr>
                <w:rFonts w:ascii="宋体" w:hAnsi="宋体" w:cs="宋体" w:eastAsia="宋体" w:hint="default"/>
                <w:sz w:val="18"/>
                <w:szCs w:val="18"/>
              </w:rPr>
            </w:pPr>
            <w:r>
              <w:rPr>
                <w:rFonts w:ascii="宋体" w:hAnsi="宋体" w:cs="宋体" w:eastAsia="宋体" w:hint="default"/>
                <w:spacing w:val="-3"/>
                <w:sz w:val="18"/>
                <w:szCs w:val="18"/>
              </w:rPr>
              <w:t>汉华易美（天津）图</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像技术有限公司</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20,000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15</w:t>
            </w:r>
            <w:r>
              <w:rPr>
                <w:rFonts w:ascii="Times New Roman" w:hAnsi="Times New Roman" w:cs="Times New Roman" w:eastAsia="Times New Roman" w:hint="default"/>
                <w:sz w:val="18"/>
                <w:szCs w:val="18"/>
              </w:rPr>
            </w:r>
          </w:p>
          <w:p>
            <w:pPr>
              <w:pStyle w:val="TableParagraph"/>
              <w:spacing w:line="240" w:lineRule="auto" w:before="63"/>
              <w:ind w:left="3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513.2</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39" w:right="9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10"/>
              <w:jc w:val="both"/>
              <w:rPr>
                <w:rFonts w:ascii="宋体" w:hAnsi="宋体" w:cs="宋体" w:eastAsia="宋体" w:hint="default"/>
                <w:sz w:val="18"/>
                <w:szCs w:val="18"/>
              </w:rPr>
            </w:pPr>
            <w:r>
              <w:rPr>
                <w:rFonts w:ascii="宋体" w:hAnsi="宋体" w:cs="宋体" w:eastAsia="宋体" w:hint="default"/>
                <w:spacing w:val="-2"/>
                <w:sz w:val="18"/>
                <w:szCs w:val="18"/>
              </w:rPr>
              <w:t>主债务履行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期届满之日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7"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7"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56"/>
              <w:jc w:val="left"/>
              <w:rPr>
                <w:rFonts w:ascii="宋体" w:hAnsi="宋体" w:cs="宋体" w:eastAsia="宋体" w:hint="default"/>
                <w:sz w:val="18"/>
                <w:szCs w:val="18"/>
              </w:rPr>
            </w:pPr>
            <w:r>
              <w:rPr>
                <w:rFonts w:ascii="宋体" w:hAnsi="宋体" w:cs="宋体" w:eastAsia="宋体" w:hint="default"/>
                <w:spacing w:val="-3"/>
                <w:sz w:val="18"/>
                <w:szCs w:val="18"/>
              </w:rPr>
              <w:t>华盖创意（天津）视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讯科技有限公司</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16,000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13</w:t>
            </w:r>
            <w:r>
              <w:rPr>
                <w:rFonts w:ascii="Times New Roman" w:hAnsi="Times New Roman" w:cs="Times New Roman" w:eastAsia="Times New Roman" w:hint="default"/>
                <w:sz w:val="18"/>
                <w:szCs w:val="18"/>
              </w:rPr>
            </w:r>
          </w:p>
          <w:p>
            <w:pPr>
              <w:pStyle w:val="TableParagraph"/>
              <w:spacing w:line="240" w:lineRule="auto" w:before="63"/>
              <w:ind w:left="3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5,000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39" w:right="9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10"/>
              <w:jc w:val="both"/>
              <w:rPr>
                <w:rFonts w:ascii="宋体" w:hAnsi="宋体" w:cs="宋体" w:eastAsia="宋体" w:hint="default"/>
                <w:sz w:val="18"/>
                <w:szCs w:val="18"/>
              </w:rPr>
            </w:pPr>
            <w:r>
              <w:rPr>
                <w:rFonts w:ascii="宋体" w:hAnsi="宋体" w:cs="宋体" w:eastAsia="宋体" w:hint="default"/>
                <w:spacing w:val="-2"/>
                <w:sz w:val="18"/>
                <w:szCs w:val="18"/>
              </w:rPr>
              <w:t>主债务履行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期届满之日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7"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96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59"/>
              <w:ind w:left="24" w:right="57"/>
              <w:jc w:val="left"/>
              <w:rPr>
                <w:rFonts w:ascii="宋体" w:hAnsi="宋体" w:cs="宋体" w:eastAsia="宋体" w:hint="default"/>
                <w:sz w:val="18"/>
                <w:szCs w:val="18"/>
              </w:rPr>
            </w:pPr>
            <w:r>
              <w:rPr>
                <w:rFonts w:ascii="宋体" w:hAnsi="宋体" w:cs="宋体" w:eastAsia="宋体" w:hint="default"/>
                <w:spacing w:val="-3"/>
                <w:sz w:val="18"/>
                <w:szCs w:val="18"/>
              </w:rPr>
              <w:t>汉华易美（天津）图</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像技术有限公司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华</w:t>
            </w:r>
            <w:r>
              <w:rPr>
                <w:rFonts w:ascii="宋体" w:hAnsi="宋体" w:cs="宋体" w:eastAsia="宋体" w:hint="default"/>
                <w:w w:val="101"/>
                <w:sz w:val="18"/>
                <w:szCs w:val="18"/>
              </w:rPr>
              <w:t> </w:t>
            </w:r>
            <w:r>
              <w:rPr>
                <w:rFonts w:ascii="宋体" w:hAnsi="宋体" w:cs="宋体" w:eastAsia="宋体" w:hint="default"/>
                <w:spacing w:val="-3"/>
                <w:sz w:val="18"/>
                <w:szCs w:val="18"/>
              </w:rPr>
              <w:t>盖创意（天津）视讯</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科技有限公司</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21,000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28</w:t>
            </w:r>
            <w:r>
              <w:rPr>
                <w:rFonts w:ascii="Times New Roman" w:hAnsi="Times New Roman" w:cs="Times New Roman" w:eastAsia="Times New Roman" w:hint="default"/>
                <w:sz w:val="18"/>
                <w:szCs w:val="18"/>
              </w:rPr>
            </w:r>
          </w:p>
          <w:p>
            <w:pPr>
              <w:pStyle w:val="TableParagraph"/>
              <w:spacing w:line="240" w:lineRule="auto" w:before="63"/>
              <w:ind w:left="3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3,360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39" w:right="9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0"/>
              <w:jc w:val="both"/>
              <w:rPr>
                <w:rFonts w:ascii="宋体" w:hAnsi="宋体" w:cs="宋体" w:eastAsia="宋体" w:hint="default"/>
                <w:sz w:val="18"/>
                <w:szCs w:val="18"/>
              </w:rPr>
            </w:pPr>
            <w:r>
              <w:rPr>
                <w:rFonts w:ascii="宋体" w:hAnsi="宋体" w:cs="宋体" w:eastAsia="宋体" w:hint="default"/>
                <w:spacing w:val="-2"/>
                <w:sz w:val="18"/>
                <w:szCs w:val="18"/>
              </w:rPr>
              <w:t>自最后一个</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还款日起满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两年之日或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所有应付金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额偿还之日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止</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3"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21" w:lineRule="auto"/>
              <w:ind w:left="24" w:right="56"/>
              <w:jc w:val="left"/>
              <w:rPr>
                <w:rFonts w:ascii="宋体" w:hAnsi="宋体" w:cs="宋体" w:eastAsia="宋体" w:hint="default"/>
                <w:sz w:val="18"/>
                <w:szCs w:val="18"/>
              </w:rPr>
            </w:pPr>
            <w:r>
              <w:rPr>
                <w:rFonts w:ascii="宋体" w:hAnsi="宋体" w:cs="宋体" w:eastAsia="宋体" w:hint="default"/>
                <w:spacing w:val="-3"/>
                <w:sz w:val="18"/>
                <w:szCs w:val="18"/>
              </w:rPr>
              <w:t>北京汉华易美图片有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07</w:t>
            </w:r>
          </w:p>
          <w:p>
            <w:pPr>
              <w:pStyle w:val="TableParagraph"/>
              <w:spacing w:line="240" w:lineRule="auto" w:before="67"/>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10,000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7"/>
              <w:ind w:left="3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3,000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21" w:lineRule="auto"/>
              <w:ind w:left="39" w:right="9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10"/>
              <w:jc w:val="both"/>
              <w:rPr>
                <w:rFonts w:ascii="宋体" w:hAnsi="宋体" w:cs="宋体" w:eastAsia="宋体" w:hint="default"/>
                <w:sz w:val="18"/>
                <w:szCs w:val="18"/>
              </w:rPr>
            </w:pPr>
            <w:r>
              <w:rPr>
                <w:rFonts w:ascii="宋体" w:hAnsi="宋体" w:cs="宋体" w:eastAsia="宋体" w:hint="default"/>
                <w:spacing w:val="-2"/>
                <w:sz w:val="18"/>
                <w:szCs w:val="18"/>
              </w:rPr>
              <w:t>主债务履行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期届满之日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7"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8"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4" w:right="56"/>
              <w:jc w:val="left"/>
              <w:rPr>
                <w:rFonts w:ascii="宋体" w:hAnsi="宋体" w:cs="宋体" w:eastAsia="宋体" w:hint="default"/>
                <w:sz w:val="18"/>
                <w:szCs w:val="18"/>
              </w:rPr>
            </w:pPr>
            <w:r>
              <w:rPr>
                <w:rFonts w:ascii="宋体" w:hAnsi="宋体" w:cs="宋体" w:eastAsia="宋体" w:hint="default"/>
                <w:spacing w:val="-3"/>
                <w:sz w:val="18"/>
                <w:szCs w:val="18"/>
              </w:rPr>
              <w:t>视觉中国集团控股有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18,000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27</w:t>
            </w:r>
            <w:r>
              <w:rPr>
                <w:rFonts w:ascii="Times New Roman" w:hAnsi="Times New Roman" w:cs="Times New Roman" w:eastAsia="Times New Roman" w:hint="default"/>
                <w:sz w:val="18"/>
                <w:szCs w:val="18"/>
              </w:rPr>
            </w:r>
          </w:p>
          <w:p>
            <w:pPr>
              <w:pStyle w:val="TableParagraph"/>
              <w:spacing w:line="240" w:lineRule="auto" w:before="63"/>
              <w:ind w:left="3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18,000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39"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10"/>
              <w:jc w:val="both"/>
              <w:rPr>
                <w:rFonts w:ascii="宋体" w:hAnsi="宋体" w:cs="宋体" w:eastAsia="宋体" w:hint="default"/>
                <w:sz w:val="18"/>
                <w:szCs w:val="18"/>
              </w:rPr>
            </w:pPr>
            <w:r>
              <w:rPr>
                <w:rFonts w:ascii="宋体" w:hAnsi="宋体" w:cs="宋体" w:eastAsia="宋体" w:hint="default"/>
                <w:spacing w:val="-2"/>
                <w:sz w:val="18"/>
                <w:szCs w:val="18"/>
              </w:rPr>
              <w:t>主债务履行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期届满之日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7"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212"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21" w:lineRule="auto"/>
              <w:ind w:left="24" w:right="57"/>
              <w:jc w:val="left"/>
              <w:rPr>
                <w:rFonts w:ascii="宋体" w:hAnsi="宋体" w:cs="宋体" w:eastAsia="宋体" w:hint="default"/>
                <w:sz w:val="18"/>
                <w:szCs w:val="18"/>
              </w:rPr>
            </w:pPr>
            <w:r>
              <w:rPr>
                <w:rFonts w:ascii="宋体" w:hAnsi="宋体" w:cs="宋体" w:eastAsia="宋体" w:hint="default"/>
                <w:spacing w:val="-3"/>
                <w:sz w:val="18"/>
                <w:szCs w:val="18"/>
              </w:rPr>
              <w:t>华盖创意（天津）视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讯科技有限公司</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0" w:lineRule="auto" w:before="67"/>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16,000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29</w:t>
            </w:r>
            <w:r>
              <w:rPr>
                <w:rFonts w:ascii="Times New Roman" w:hAnsi="Times New Roman" w:cs="Times New Roman" w:eastAsia="Times New Roman" w:hint="default"/>
                <w:sz w:val="18"/>
                <w:szCs w:val="18"/>
              </w:rPr>
            </w:r>
          </w:p>
          <w:p>
            <w:pPr>
              <w:pStyle w:val="TableParagraph"/>
              <w:spacing w:line="240" w:lineRule="auto" w:before="67"/>
              <w:ind w:left="3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7,000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21" w:lineRule="auto"/>
              <w:ind w:left="39" w:right="9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10"/>
              <w:jc w:val="left"/>
              <w:rPr>
                <w:rFonts w:ascii="宋体" w:hAnsi="宋体" w:cs="宋体" w:eastAsia="宋体" w:hint="default"/>
                <w:sz w:val="18"/>
                <w:szCs w:val="18"/>
              </w:rPr>
            </w:pPr>
            <w:r>
              <w:rPr>
                <w:rFonts w:ascii="宋体" w:hAnsi="宋体" w:cs="宋体" w:eastAsia="宋体" w:hint="default"/>
                <w:spacing w:val="-2"/>
                <w:sz w:val="18"/>
                <w:szCs w:val="18"/>
              </w:rPr>
              <w:t>主合同订立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日（或主合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同下具体业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务发生之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日，以最早</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的为准）起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至授信合同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和具体业务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合同下的最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终到期日</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联景国际有限公司</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1,000</w:t>
            </w:r>
          </w:p>
        </w:tc>
        <w:tc>
          <w:tcPr>
            <w:tcW w:w="1311"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52"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23"/>
              <w:jc w:val="left"/>
              <w:rPr>
                <w:rFonts w:ascii="宋体" w:hAnsi="宋体" w:cs="宋体" w:eastAsia="宋体" w:hint="default"/>
                <w:sz w:val="18"/>
                <w:szCs w:val="18"/>
              </w:rPr>
            </w:pPr>
            <w:r>
              <w:rPr>
                <w:rFonts w:ascii="宋体" w:hAnsi="宋体" w:cs="宋体" w:eastAsia="宋体" w:hint="default"/>
                <w:spacing w:val="-6"/>
                <w:sz w:val="18"/>
                <w:szCs w:val="18"/>
              </w:rPr>
              <w:t>华盖创意（北京）</w:t>
            </w:r>
            <w:r>
              <w:rPr>
                <w:rFonts w:ascii="宋体" w:hAnsi="宋体" w:cs="宋体" w:eastAsia="宋体" w:hint="default"/>
                <w:spacing w:val="-13"/>
                <w:sz w:val="18"/>
                <w:szCs w:val="18"/>
              </w:rPr>
              <w:t> </w:t>
            </w:r>
            <w:r>
              <w:rPr>
                <w:rFonts w:ascii="宋体" w:hAnsi="宋体" w:cs="宋体" w:eastAsia="宋体" w:hint="default"/>
                <w:sz w:val="18"/>
                <w:szCs w:val="18"/>
              </w:rPr>
              <w:t>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像技术有限公司</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5,000</w:t>
            </w:r>
          </w:p>
        </w:tc>
        <w:tc>
          <w:tcPr>
            <w:tcW w:w="1311"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52"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4" w:right="62"/>
              <w:jc w:val="left"/>
              <w:rPr>
                <w:rFonts w:ascii="宋体" w:hAnsi="宋体" w:cs="宋体" w:eastAsia="宋体" w:hint="default"/>
                <w:sz w:val="18"/>
                <w:szCs w:val="18"/>
              </w:rPr>
            </w:pPr>
            <w:r>
              <w:rPr>
                <w:rFonts w:ascii="宋体" w:hAnsi="宋体" w:cs="宋体" w:eastAsia="宋体" w:hint="default"/>
                <w:spacing w:val="-3"/>
                <w:sz w:val="18"/>
                <w:szCs w:val="18"/>
              </w:rPr>
              <w:t>报告期内审批对子公司担保额度</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9" w:type="dxa"/>
            <w:gridSpan w:val="2"/>
            <w:tcBorders>
              <w:top w:val="single" w:sz="4" w:space="0" w:color="000000"/>
              <w:left w:val="single" w:sz="10" w:space="0" w:color="D2D2D2"/>
              <w:bottom w:val="single" w:sz="4" w:space="0" w:color="000000"/>
              <w:right w:val="single" w:sz="15" w:space="0" w:color="D2D2D2"/>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71,000</w:t>
            </w:r>
          </w:p>
        </w:tc>
        <w:tc>
          <w:tcPr>
            <w:tcW w:w="20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1" w:right="79"/>
              <w:jc w:val="left"/>
              <w:rPr>
                <w:rFonts w:ascii="宋体" w:hAnsi="宋体" w:cs="宋体" w:eastAsia="宋体" w:hint="default"/>
                <w:sz w:val="18"/>
                <w:szCs w:val="18"/>
              </w:rPr>
            </w:pPr>
            <w:r>
              <w:rPr>
                <w:rFonts w:ascii="宋体" w:hAnsi="宋体" w:cs="宋体" w:eastAsia="宋体" w:hint="default"/>
                <w:spacing w:val="-3"/>
                <w:sz w:val="18"/>
                <w:szCs w:val="18"/>
              </w:rPr>
              <w:t>报告期内对子公司担保实</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17"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31,360</w:t>
            </w:r>
          </w:p>
        </w:tc>
      </w:tr>
      <w:tr>
        <w:trPr>
          <w:trHeight w:val="720"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62"/>
              <w:jc w:val="left"/>
              <w:rPr>
                <w:rFonts w:ascii="宋体" w:hAnsi="宋体" w:cs="宋体" w:eastAsia="宋体" w:hint="default"/>
                <w:sz w:val="18"/>
                <w:szCs w:val="18"/>
              </w:rPr>
            </w:pPr>
            <w:r>
              <w:rPr>
                <w:rFonts w:ascii="宋体" w:hAnsi="宋体" w:cs="宋体" w:eastAsia="宋体" w:hint="default"/>
                <w:spacing w:val="-3"/>
                <w:sz w:val="18"/>
                <w:szCs w:val="18"/>
              </w:rPr>
              <w:t>报告期末已审批的对子公司担保</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9" w:type="dxa"/>
            <w:gridSpan w:val="2"/>
            <w:tcBorders>
              <w:top w:val="single" w:sz="4" w:space="0" w:color="000000"/>
              <w:left w:val="single" w:sz="10" w:space="0" w:color="D2D2D2"/>
              <w:bottom w:val="single" w:sz="4" w:space="0" w:color="000000"/>
              <w:right w:val="single" w:sz="15" w:space="0" w:color="D2D2D2"/>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3"/>
                <w:sz w:val="18"/>
              </w:rPr>
              <w:t>111,000</w:t>
            </w:r>
          </w:p>
        </w:tc>
        <w:tc>
          <w:tcPr>
            <w:tcW w:w="20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1" w:right="79"/>
              <w:jc w:val="left"/>
              <w:rPr>
                <w:rFonts w:ascii="宋体" w:hAnsi="宋体" w:cs="宋体" w:eastAsia="宋体" w:hint="default"/>
                <w:sz w:val="18"/>
                <w:szCs w:val="18"/>
              </w:rPr>
            </w:pPr>
            <w:r>
              <w:rPr>
                <w:rFonts w:ascii="宋体" w:hAnsi="宋体" w:cs="宋体" w:eastAsia="宋体" w:hint="default"/>
                <w:spacing w:val="-3"/>
                <w:sz w:val="18"/>
                <w:szCs w:val="18"/>
              </w:rPr>
              <w:t>报告期末对子公司实际担</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17"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48,475.73</w:t>
            </w:r>
          </w:p>
        </w:tc>
      </w:tr>
      <w:tr>
        <w:trPr>
          <w:trHeight w:val="394"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pacing w:val="-3"/>
                <w:sz w:val="18"/>
                <w:szCs w:val="18"/>
              </w:rPr>
              <w:t>子公司对子公司的担保情况</w:t>
            </w:r>
          </w:p>
        </w:tc>
      </w:tr>
      <w:tr>
        <w:trPr>
          <w:trHeight w:val="163"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8"/>
              <w:ind w:left="85" w:right="85"/>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928" w:type="dxa"/>
            <w:vMerge w:val="restart"/>
            <w:tcBorders>
              <w:top w:val="single" w:sz="4" w:space="0" w:color="000000"/>
              <w:left w:val="single" w:sz="4" w:space="0" w:color="000000"/>
              <w:right w:val="single" w:sz="4" w:space="0" w:color="000000"/>
            </w:tcBorders>
            <w:shd w:val="clear" w:color="auto" w:fill="D2D2D2"/>
          </w:tcPr>
          <w:p>
            <w:pPr/>
          </w:p>
        </w:tc>
        <w:tc>
          <w:tcPr>
            <w:tcW w:w="1311" w:type="dxa"/>
            <w:vMerge w:val="restart"/>
            <w:tcBorders>
              <w:top w:val="single" w:sz="4" w:space="0" w:color="000000"/>
              <w:left w:val="single" w:sz="4" w:space="0" w:color="000000"/>
              <w:right w:val="single" w:sz="4" w:space="0" w:color="000000"/>
            </w:tcBorders>
            <w:shd w:val="clear" w:color="auto" w:fill="D2D2D2"/>
          </w:tcPr>
          <w:p>
            <w:pPr/>
          </w:p>
        </w:tc>
        <w:tc>
          <w:tcPr>
            <w:tcW w:w="104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2" w:type="dxa"/>
            <w:vMerge w:val="restart"/>
            <w:tcBorders>
              <w:top w:val="single" w:sz="4" w:space="0" w:color="000000"/>
              <w:left w:val="single" w:sz="4" w:space="0" w:color="000000"/>
              <w:right w:val="single" w:sz="4" w:space="0" w:color="000000"/>
            </w:tcBorders>
            <w:shd w:val="clear" w:color="auto" w:fill="D2D2D2"/>
          </w:tcPr>
          <w:p>
            <w:pPr/>
          </w:p>
        </w:tc>
        <w:tc>
          <w:tcPr>
            <w:tcW w:w="1048" w:type="dxa"/>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8"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08" w:type="dxa"/>
            <w:vMerge/>
            <w:tcBorders>
              <w:left w:val="single" w:sz="4" w:space="0" w:color="000000"/>
              <w:right w:val="single" w:sz="4" w:space="0" w:color="000000"/>
            </w:tcBorders>
            <w:shd w:val="clear" w:color="auto" w:fill="D2D2D2"/>
          </w:tcPr>
          <w:p>
            <w:pPr/>
          </w:p>
        </w:tc>
        <w:tc>
          <w:tcPr>
            <w:tcW w:w="928" w:type="dxa"/>
            <w:vMerge/>
            <w:tcBorders>
              <w:left w:val="single" w:sz="4" w:space="0" w:color="000000"/>
              <w:bottom w:val="nil" w:sz="6" w:space="0" w:color="auto"/>
              <w:right w:val="single" w:sz="4" w:space="0" w:color="000000"/>
            </w:tcBorders>
            <w:shd w:val="clear" w:color="auto" w:fill="D2D2D2"/>
          </w:tcPr>
          <w:p>
            <w:pPr/>
          </w:p>
        </w:tc>
        <w:tc>
          <w:tcPr>
            <w:tcW w:w="1311" w:type="dxa"/>
            <w:vMerge/>
            <w:tcBorders>
              <w:left w:val="single" w:sz="4" w:space="0" w:color="000000"/>
              <w:bottom w:val="nil" w:sz="6" w:space="0" w:color="auto"/>
              <w:right w:val="single" w:sz="4" w:space="0" w:color="000000"/>
            </w:tcBorders>
            <w:shd w:val="clear" w:color="auto" w:fill="D2D2D2"/>
          </w:tcPr>
          <w:p>
            <w:pPr/>
          </w:p>
        </w:tc>
        <w:tc>
          <w:tcPr>
            <w:tcW w:w="1043"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424" w:right="64" w:hanging="360"/>
              <w:jc w:val="left"/>
              <w:rPr>
                <w:rFonts w:ascii="宋体" w:hAnsi="宋体" w:cs="宋体" w:eastAsia="宋体" w:hint="default"/>
                <w:sz w:val="18"/>
                <w:szCs w:val="18"/>
              </w:rPr>
            </w:pPr>
            <w:r>
              <w:rPr>
                <w:rFonts w:ascii="宋体" w:hAnsi="宋体" w:cs="宋体" w:eastAsia="宋体" w:hint="default"/>
                <w:spacing w:val="-2"/>
                <w:sz w:val="18"/>
                <w:szCs w:val="18"/>
              </w:rPr>
              <w:t>实际担保金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52" w:type="dxa"/>
            <w:vMerge/>
            <w:tcBorders>
              <w:left w:val="single" w:sz="4" w:space="0" w:color="000000"/>
              <w:bottom w:val="nil" w:sz="6" w:space="0" w:color="auto"/>
              <w:right w:val="single" w:sz="4" w:space="0" w:color="000000"/>
            </w:tcBorders>
            <w:shd w:val="clear" w:color="auto" w:fill="D2D2D2"/>
          </w:tcPr>
          <w:p>
            <w:pPr/>
          </w:p>
        </w:tc>
        <w:tc>
          <w:tcPr>
            <w:tcW w:w="1048" w:type="dxa"/>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200" w:right="27" w:hanging="178"/>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23" w:right="21"/>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联方担保</w:t>
            </w:r>
          </w:p>
        </w:tc>
      </w:tr>
      <w:tr>
        <w:trPr>
          <w:trHeight w:val="389"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30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08" w:type="dxa"/>
            <w:vMerge/>
            <w:tcBorders>
              <w:left w:val="single" w:sz="4" w:space="0" w:color="000000"/>
              <w:right w:val="single" w:sz="4" w:space="0" w:color="000000"/>
            </w:tcBorders>
            <w:shd w:val="clear" w:color="auto" w:fill="D2D2D2"/>
          </w:tcPr>
          <w:p>
            <w:pPr/>
          </w:p>
        </w:tc>
        <w:tc>
          <w:tcPr>
            <w:tcW w:w="9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9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43" w:type="dxa"/>
            <w:vMerge/>
            <w:tcBorders>
              <w:left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9"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50"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6"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8"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08" w:type="dxa"/>
            <w:vMerge/>
            <w:tcBorders>
              <w:left w:val="single" w:sz="4" w:space="0" w:color="000000"/>
              <w:right w:val="single" w:sz="4" w:space="0" w:color="000000"/>
            </w:tcBorders>
            <w:shd w:val="clear" w:color="auto" w:fill="D2D2D2"/>
          </w:tcPr>
          <w:p>
            <w:pPr/>
          </w:p>
        </w:tc>
        <w:tc>
          <w:tcPr>
            <w:tcW w:w="928" w:type="dxa"/>
            <w:vMerge w:val="restart"/>
            <w:tcBorders>
              <w:top w:val="nil" w:sz="6" w:space="0" w:color="auto"/>
              <w:left w:val="single" w:sz="4" w:space="0" w:color="000000"/>
              <w:right w:val="single" w:sz="4" w:space="0" w:color="000000"/>
            </w:tcBorders>
            <w:shd w:val="clear" w:color="auto" w:fill="D2D2D2"/>
          </w:tcPr>
          <w:p>
            <w:pPr/>
          </w:p>
        </w:tc>
        <w:tc>
          <w:tcPr>
            <w:tcW w:w="1311" w:type="dxa"/>
            <w:vMerge w:val="restart"/>
            <w:tcBorders>
              <w:top w:val="nil" w:sz="6" w:space="0" w:color="auto"/>
              <w:left w:val="single" w:sz="4" w:space="0" w:color="000000"/>
              <w:right w:val="single" w:sz="4" w:space="0" w:color="000000"/>
            </w:tcBorders>
            <w:shd w:val="clear" w:color="auto" w:fill="D2D2D2"/>
          </w:tcPr>
          <w:p>
            <w:pPr/>
          </w:p>
        </w:tc>
        <w:tc>
          <w:tcPr>
            <w:tcW w:w="1043" w:type="dxa"/>
            <w:vMerge/>
            <w:tcBorders>
              <w:left w:val="single" w:sz="4" w:space="0" w:color="000000"/>
              <w:bottom w:val="nil" w:sz="6" w:space="0" w:color="auto"/>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
        </w:tc>
        <w:tc>
          <w:tcPr>
            <w:tcW w:w="1048" w:type="dxa"/>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08" w:type="dxa"/>
            <w:vMerge/>
            <w:tcBorders>
              <w:left w:val="single" w:sz="4" w:space="0" w:color="000000"/>
              <w:bottom w:val="single" w:sz="4" w:space="0" w:color="000000"/>
              <w:right w:val="single" w:sz="4" w:space="0" w:color="000000"/>
            </w:tcBorders>
            <w:shd w:val="clear" w:color="auto" w:fill="D2D2D2"/>
          </w:tcPr>
          <w:p>
            <w:pPr/>
          </w:p>
        </w:tc>
        <w:tc>
          <w:tcPr>
            <w:tcW w:w="928" w:type="dxa"/>
            <w:vMerge/>
            <w:tcBorders>
              <w:left w:val="single" w:sz="4" w:space="0" w:color="000000"/>
              <w:bottom w:val="single" w:sz="4" w:space="0" w:color="000000"/>
              <w:right w:val="single" w:sz="4" w:space="0" w:color="000000"/>
            </w:tcBorders>
            <w:shd w:val="clear" w:color="auto" w:fill="D2D2D2"/>
          </w:tcPr>
          <w:p>
            <w:pPr/>
          </w:p>
        </w:tc>
        <w:tc>
          <w:tcPr>
            <w:tcW w:w="1311" w:type="dxa"/>
            <w:vMerge/>
            <w:tcBorders>
              <w:left w:val="single" w:sz="4" w:space="0" w:color="000000"/>
              <w:bottom w:val="single" w:sz="4" w:space="0" w:color="000000"/>
              <w:right w:val="single" w:sz="4" w:space="0" w:color="000000"/>
            </w:tcBorders>
            <w:shd w:val="clear" w:color="auto" w:fill="D2D2D2"/>
          </w:tcPr>
          <w:p>
            <w:pPr/>
          </w:p>
        </w:tc>
        <w:tc>
          <w:tcPr>
            <w:tcW w:w="104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1048" w:type="dxa"/>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697"/>
        <w:gridCol w:w="911"/>
        <w:gridCol w:w="923"/>
        <w:gridCol w:w="1312"/>
        <w:gridCol w:w="1045"/>
        <w:gridCol w:w="1056"/>
        <w:gridCol w:w="1042"/>
        <w:gridCol w:w="788"/>
        <w:gridCol w:w="787"/>
      </w:tblGrid>
      <w:tr>
        <w:trPr>
          <w:trHeight w:val="1027"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11" w:right="50"/>
              <w:jc w:val="left"/>
              <w:rPr>
                <w:rFonts w:ascii="宋体" w:hAnsi="宋体" w:cs="宋体" w:eastAsia="宋体" w:hint="default"/>
                <w:sz w:val="18"/>
                <w:szCs w:val="18"/>
              </w:rPr>
            </w:pPr>
            <w:r>
              <w:rPr>
                <w:rFonts w:ascii="宋体" w:hAnsi="宋体" w:cs="宋体" w:eastAsia="宋体" w:hint="default"/>
                <w:spacing w:val="-3"/>
                <w:sz w:val="18"/>
                <w:szCs w:val="18"/>
              </w:rPr>
              <w:t>北京汉华易美图片有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04"/>
              <w:jc w:val="both"/>
              <w:rPr>
                <w:rFonts w:ascii="宋体" w:hAnsi="宋体" w:cs="宋体" w:eastAsia="宋体" w:hint="default"/>
                <w:sz w:val="18"/>
                <w:szCs w:val="18"/>
              </w:rPr>
            </w:pPr>
            <w:r>
              <w:rPr>
                <w:rFonts w:ascii="宋体" w:hAnsi="宋体" w:cs="宋体" w:eastAsia="宋体" w:hint="default"/>
                <w:spacing w:val="-2"/>
                <w:sz w:val="18"/>
                <w:szCs w:val="18"/>
              </w:rPr>
              <w:t>至债务履行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期限届满之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日止</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3"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21" w:lineRule="auto"/>
              <w:ind w:left="11" w:right="50"/>
              <w:jc w:val="left"/>
              <w:rPr>
                <w:rFonts w:ascii="宋体" w:hAnsi="宋体" w:cs="宋体" w:eastAsia="宋体" w:hint="default"/>
                <w:sz w:val="18"/>
                <w:szCs w:val="18"/>
              </w:rPr>
            </w:pPr>
            <w:r>
              <w:rPr>
                <w:rFonts w:ascii="宋体" w:hAnsi="宋体" w:cs="宋体" w:eastAsia="宋体" w:hint="default"/>
                <w:spacing w:val="-3"/>
                <w:sz w:val="18"/>
                <w:szCs w:val="18"/>
              </w:rPr>
              <w:t>北京汉华易美图片有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04"/>
              <w:jc w:val="both"/>
              <w:rPr>
                <w:rFonts w:ascii="宋体" w:hAnsi="宋体" w:cs="宋体" w:eastAsia="宋体" w:hint="default"/>
                <w:sz w:val="18"/>
                <w:szCs w:val="18"/>
              </w:rPr>
            </w:pPr>
            <w:r>
              <w:rPr>
                <w:rFonts w:ascii="宋体" w:hAnsi="宋体" w:cs="宋体" w:eastAsia="宋体" w:hint="default"/>
                <w:spacing w:val="-2"/>
                <w:sz w:val="18"/>
                <w:szCs w:val="18"/>
              </w:rPr>
              <w:t>至债务履行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期限届满之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日止</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260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59"/>
              <w:jc w:val="left"/>
              <w:rPr>
                <w:rFonts w:ascii="宋体" w:hAnsi="宋体" w:cs="宋体" w:eastAsia="宋体" w:hint="default"/>
                <w:sz w:val="18"/>
                <w:szCs w:val="18"/>
              </w:rPr>
            </w:pPr>
            <w:r>
              <w:rPr>
                <w:rFonts w:ascii="宋体" w:hAnsi="宋体" w:cs="宋体" w:eastAsia="宋体" w:hint="default"/>
                <w:spacing w:val="-3"/>
                <w:sz w:val="18"/>
                <w:szCs w:val="18"/>
              </w:rPr>
              <w:t>报告期内审批对子公司担保额度</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36" w:type="dxa"/>
            <w:gridSpan w:val="2"/>
            <w:tcBorders>
              <w:top w:val="single" w:sz="4" w:space="0" w:color="000000"/>
              <w:left w:val="single" w:sz="10" w:space="0" w:color="D2D2D2"/>
              <w:bottom w:val="single" w:sz="4" w:space="0" w:color="000000"/>
              <w:right w:val="single" w:sz="15" w:space="0" w:color="D2D2D2"/>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10,000</w:t>
            </w:r>
          </w:p>
        </w:tc>
        <w:tc>
          <w:tcPr>
            <w:tcW w:w="21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7" w:right="79"/>
              <w:jc w:val="left"/>
              <w:rPr>
                <w:rFonts w:ascii="宋体" w:hAnsi="宋体" w:cs="宋体" w:eastAsia="宋体" w:hint="default"/>
                <w:sz w:val="18"/>
                <w:szCs w:val="18"/>
              </w:rPr>
            </w:pPr>
            <w:r>
              <w:rPr>
                <w:rFonts w:ascii="宋体" w:hAnsi="宋体" w:cs="宋体" w:eastAsia="宋体" w:hint="default"/>
                <w:spacing w:val="-3"/>
                <w:sz w:val="18"/>
                <w:szCs w:val="18"/>
              </w:rPr>
              <w:t>报告期内对子公司担保实</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17"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9,000</w:t>
            </w:r>
          </w:p>
        </w:tc>
      </w:tr>
      <w:tr>
        <w:trPr>
          <w:trHeight w:val="720" w:hRule="exact"/>
        </w:trPr>
        <w:tc>
          <w:tcPr>
            <w:tcW w:w="260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59"/>
              <w:jc w:val="left"/>
              <w:rPr>
                <w:rFonts w:ascii="宋体" w:hAnsi="宋体" w:cs="宋体" w:eastAsia="宋体" w:hint="default"/>
                <w:sz w:val="18"/>
                <w:szCs w:val="18"/>
              </w:rPr>
            </w:pPr>
            <w:r>
              <w:rPr>
                <w:rFonts w:ascii="宋体" w:hAnsi="宋体" w:cs="宋体" w:eastAsia="宋体" w:hint="default"/>
                <w:spacing w:val="-3"/>
                <w:sz w:val="18"/>
                <w:szCs w:val="18"/>
              </w:rPr>
              <w:t>报告期末已审批的对子公司担保</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36" w:type="dxa"/>
            <w:gridSpan w:val="2"/>
            <w:tcBorders>
              <w:top w:val="single" w:sz="4" w:space="0" w:color="000000"/>
              <w:left w:val="single" w:sz="10" w:space="0" w:color="D2D2D2"/>
              <w:bottom w:val="single" w:sz="4" w:space="0" w:color="000000"/>
              <w:right w:val="single" w:sz="15" w:space="0" w:color="D2D2D2"/>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10,000</w:t>
            </w:r>
          </w:p>
        </w:tc>
        <w:tc>
          <w:tcPr>
            <w:tcW w:w="21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7" w:right="79"/>
              <w:jc w:val="left"/>
              <w:rPr>
                <w:rFonts w:ascii="宋体" w:hAnsi="宋体" w:cs="宋体" w:eastAsia="宋体" w:hint="default"/>
                <w:sz w:val="18"/>
                <w:szCs w:val="18"/>
              </w:rPr>
            </w:pPr>
            <w:r>
              <w:rPr>
                <w:rFonts w:ascii="宋体" w:hAnsi="宋体" w:cs="宋体" w:eastAsia="宋体" w:hint="default"/>
                <w:spacing w:val="-3"/>
                <w:sz w:val="18"/>
                <w:szCs w:val="18"/>
              </w:rPr>
              <w:t>报告期末对子公司实际担</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17"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9,000</w:t>
            </w:r>
          </w:p>
        </w:tc>
      </w:tr>
      <w:tr>
        <w:trPr>
          <w:trHeight w:val="394"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pacing w:val="-3"/>
                <w:sz w:val="18"/>
                <w:szCs w:val="18"/>
              </w:rPr>
              <w:t>公司担保总额（即前三大项的合计）</w:t>
            </w:r>
          </w:p>
        </w:tc>
      </w:tr>
      <w:tr>
        <w:trPr>
          <w:trHeight w:val="718" w:hRule="exact"/>
        </w:trPr>
        <w:tc>
          <w:tcPr>
            <w:tcW w:w="260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报告期内审批担保额度合计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6" w:type="dxa"/>
            <w:gridSpan w:val="2"/>
            <w:tcBorders>
              <w:top w:val="single" w:sz="4" w:space="0" w:color="000000"/>
              <w:left w:val="single" w:sz="10" w:space="0" w:color="D2D2D2"/>
              <w:bottom w:val="single" w:sz="4" w:space="0" w:color="000000"/>
              <w:right w:val="single" w:sz="15" w:space="0" w:color="D2D2D2"/>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81,000</w:t>
            </w:r>
          </w:p>
        </w:tc>
        <w:tc>
          <w:tcPr>
            <w:tcW w:w="21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27" w:right="79"/>
              <w:jc w:val="left"/>
              <w:rPr>
                <w:rFonts w:ascii="宋体" w:hAnsi="宋体" w:cs="宋体" w:eastAsia="宋体" w:hint="default"/>
                <w:sz w:val="18"/>
                <w:szCs w:val="18"/>
              </w:rPr>
            </w:pPr>
            <w:r>
              <w:rPr>
                <w:rFonts w:ascii="宋体" w:hAnsi="宋体" w:cs="宋体" w:eastAsia="宋体" w:hint="default"/>
                <w:spacing w:val="-3"/>
                <w:sz w:val="18"/>
                <w:szCs w:val="18"/>
              </w:rPr>
              <w:t>报告期内担保实际发生额</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17"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40,360</w:t>
            </w:r>
          </w:p>
        </w:tc>
      </w:tr>
      <w:tr>
        <w:trPr>
          <w:trHeight w:val="713" w:hRule="exact"/>
        </w:trPr>
        <w:tc>
          <w:tcPr>
            <w:tcW w:w="260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pacing w:val="-3"/>
                <w:sz w:val="18"/>
                <w:szCs w:val="18"/>
              </w:rPr>
              <w:t>报告期末已审批的担保额度合计</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6" w:type="dxa"/>
            <w:gridSpan w:val="2"/>
            <w:tcBorders>
              <w:top w:val="single" w:sz="4" w:space="0" w:color="000000"/>
              <w:left w:val="single" w:sz="10" w:space="0" w:color="D2D2D2"/>
              <w:bottom w:val="single" w:sz="4" w:space="0" w:color="000000"/>
              <w:right w:val="single" w:sz="15" w:space="0" w:color="D2D2D2"/>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121,000</w:t>
            </w:r>
          </w:p>
        </w:tc>
        <w:tc>
          <w:tcPr>
            <w:tcW w:w="21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7" w:right="79"/>
              <w:jc w:val="left"/>
              <w:rPr>
                <w:rFonts w:ascii="宋体" w:hAnsi="宋体" w:cs="宋体" w:eastAsia="宋体" w:hint="default"/>
                <w:sz w:val="18"/>
                <w:szCs w:val="18"/>
              </w:rPr>
            </w:pPr>
            <w:r>
              <w:rPr>
                <w:rFonts w:ascii="宋体" w:hAnsi="宋体" w:cs="宋体" w:eastAsia="宋体" w:hint="default"/>
                <w:spacing w:val="-3"/>
                <w:sz w:val="18"/>
                <w:szCs w:val="18"/>
              </w:rPr>
              <w:t>报告期末实际担保余额合</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17"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57,475.73</w:t>
            </w:r>
          </w:p>
        </w:tc>
      </w:tr>
      <w:tr>
        <w:trPr>
          <w:trHeight w:val="408"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2"/>
                <w:sz w:val="18"/>
                <w:szCs w:val="18"/>
              </w:rPr>
              <w:t>实际担保总额（即</w:t>
            </w:r>
            <w:r>
              <w:rPr>
                <w:rFonts w:ascii="宋体" w:hAnsi="宋体" w:cs="宋体" w:eastAsia="宋体" w:hint="default"/>
                <w:spacing w:val="9"/>
                <w:sz w:val="18"/>
                <w:szCs w:val="18"/>
              </w:rPr>
              <w:t> </w:t>
            </w:r>
            <w:r>
              <w:rPr>
                <w:rFonts w:ascii="Times New Roman" w:hAnsi="Times New Roman" w:cs="Times New Roman" w:eastAsia="Times New Roman" w:hint="default"/>
                <w:spacing w:val="-2"/>
                <w:sz w:val="18"/>
                <w:szCs w:val="18"/>
              </w:rPr>
              <w:t>A4+B4+C4</w:t>
            </w:r>
            <w:r>
              <w:rPr>
                <w:rFonts w:ascii="宋体" w:hAnsi="宋体" w:cs="宋体" w:eastAsia="宋体" w:hint="default"/>
                <w:spacing w:val="-2"/>
                <w:sz w:val="18"/>
                <w:szCs w:val="18"/>
              </w:rPr>
              <w:t>）占公司净资产的比例</w:t>
            </w:r>
          </w:p>
        </w:tc>
        <w:tc>
          <w:tcPr>
            <w:tcW w:w="4718"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23.43%</w:t>
            </w:r>
          </w:p>
        </w:tc>
      </w:tr>
      <w:tr>
        <w:trPr>
          <w:trHeight w:val="394"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6"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pacing w:val="-3"/>
                <w:sz w:val="18"/>
                <w:szCs w:val="18"/>
              </w:rPr>
              <w:t>为股东、实际控制人及其关联方提供担保的余额（</w:t>
            </w:r>
            <w:r>
              <w:rPr>
                <w:rFonts w:ascii="Times New Roman" w:hAnsi="Times New Roman" w:cs="Times New Roman" w:eastAsia="Times New Roman" w:hint="default"/>
                <w:spacing w:val="-3"/>
                <w:sz w:val="18"/>
                <w:szCs w:val="18"/>
              </w:rPr>
              <w:t>D</w:t>
            </w:r>
            <w:r>
              <w:rPr>
                <w:rFonts w:ascii="宋体" w:hAnsi="宋体" w:cs="宋体" w:eastAsia="宋体" w:hint="default"/>
                <w:spacing w:val="-3"/>
                <w:sz w:val="18"/>
                <w:szCs w:val="18"/>
              </w:rPr>
              <w:t>）</w:t>
            </w:r>
          </w:p>
        </w:tc>
        <w:tc>
          <w:tcPr>
            <w:tcW w:w="4718"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3"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6"/>
              <w:ind w:left="11" w:right="12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15"/>
                <w:sz w:val="18"/>
                <w:szCs w:val="18"/>
              </w:rPr>
              <w:t> </w:t>
            </w:r>
            <w:r>
              <w:rPr>
                <w:rFonts w:ascii="Times New Roman" w:hAnsi="Times New Roman" w:cs="Times New Roman" w:eastAsia="Times New Roman" w:hint="default"/>
                <w:spacing w:val="-3"/>
                <w:sz w:val="18"/>
                <w:szCs w:val="18"/>
              </w:rPr>
              <w:t>70%</w:t>
            </w:r>
            <w:r>
              <w:rPr>
                <w:rFonts w:ascii="宋体" w:hAnsi="宋体" w:cs="宋体" w:eastAsia="宋体" w:hint="default"/>
                <w:spacing w:val="-3"/>
                <w:sz w:val="18"/>
                <w:szCs w:val="18"/>
              </w:rPr>
              <w:t>的被担保对象提供的债务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8"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4,700</w:t>
            </w:r>
          </w:p>
        </w:tc>
      </w:tr>
      <w:tr>
        <w:trPr>
          <w:trHeight w:val="403"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9"/>
                <w:sz w:val="18"/>
                <w:szCs w:val="18"/>
              </w:rPr>
              <w:t> </w:t>
            </w:r>
            <w:r>
              <w:rPr>
                <w:rFonts w:ascii="Times New Roman" w:hAnsi="Times New Roman" w:cs="Times New Roman" w:eastAsia="Times New Roman" w:hint="default"/>
                <w:spacing w:val="-3"/>
                <w:sz w:val="18"/>
                <w:szCs w:val="18"/>
              </w:rPr>
              <w:t>50%</w:t>
            </w:r>
            <w:r>
              <w:rPr>
                <w:rFonts w:ascii="宋体" w:hAnsi="宋体" w:cs="宋体" w:eastAsia="宋体" w:hint="default"/>
                <w:spacing w:val="-3"/>
                <w:sz w:val="18"/>
                <w:szCs w:val="18"/>
              </w:rPr>
              <w:t>部分的金额（</w:t>
            </w:r>
            <w:r>
              <w:rPr>
                <w:rFonts w:ascii="Times New Roman" w:hAnsi="Times New Roman" w:cs="Times New Roman" w:eastAsia="Times New Roman" w:hint="default"/>
                <w:spacing w:val="-3"/>
                <w:sz w:val="18"/>
                <w:szCs w:val="18"/>
              </w:rPr>
              <w:t>F</w:t>
            </w:r>
            <w:r>
              <w:rPr>
                <w:rFonts w:ascii="宋体" w:hAnsi="宋体" w:cs="宋体" w:eastAsia="宋体" w:hint="default"/>
                <w:spacing w:val="-3"/>
                <w:sz w:val="18"/>
                <w:szCs w:val="18"/>
              </w:rPr>
              <w:t>）</w:t>
            </w:r>
          </w:p>
        </w:tc>
        <w:tc>
          <w:tcPr>
            <w:tcW w:w="4718"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4"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8"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4,700</w:t>
            </w:r>
          </w:p>
        </w:tc>
      </w:tr>
      <w:tr>
        <w:trPr>
          <w:trHeight w:val="713"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5"/>
              <w:jc w:val="left"/>
              <w:rPr>
                <w:rFonts w:ascii="宋体" w:hAnsi="宋体" w:cs="宋体" w:eastAsia="宋体" w:hint="default"/>
                <w:sz w:val="18"/>
                <w:szCs w:val="18"/>
              </w:rPr>
            </w:pPr>
            <w:r>
              <w:rPr>
                <w:rFonts w:ascii="宋体" w:hAnsi="宋体" w:cs="宋体" w:eastAsia="宋体" w:hint="default"/>
                <w:spacing w:val="-5"/>
                <w:sz w:val="18"/>
                <w:szCs w:val="18"/>
              </w:rPr>
              <w:t>对未到期担保，报告期内已发生担保责任或可能承担连带清偿</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3"/>
                <w:sz w:val="18"/>
                <w:szCs w:val="18"/>
              </w:rPr>
              <w:t>责任的情况说明（如有）</w:t>
            </w:r>
            <w:r>
              <w:rPr>
                <w:rFonts w:ascii="宋体" w:hAnsi="宋体" w:cs="宋体" w:eastAsia="宋体" w:hint="default"/>
                <w:sz w:val="18"/>
                <w:szCs w:val="18"/>
              </w:rPr>
            </w:r>
          </w:p>
        </w:tc>
        <w:tc>
          <w:tcPr>
            <w:tcW w:w="4718"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righ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401"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pacing w:val="-3"/>
                <w:sz w:val="18"/>
                <w:szCs w:val="18"/>
              </w:rPr>
              <w:t>违反规定程序对外提供担保的说明（如有）</w:t>
            </w:r>
          </w:p>
        </w:tc>
        <w:tc>
          <w:tcPr>
            <w:tcW w:w="4718"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56"/>
              <w:ind w:right="12"/>
              <w:jc w:val="righ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line="357" w:lineRule="auto" w:before="53"/>
        <w:ind w:left="153" w:right="7956" w:firstLine="0"/>
        <w:jc w:val="left"/>
        <w:rPr>
          <w:rFonts w:ascii="宋体" w:hAnsi="宋体" w:cs="宋体" w:eastAsia="宋体" w:hint="default"/>
          <w:sz w:val="18"/>
          <w:szCs w:val="18"/>
        </w:rPr>
      </w:pPr>
      <w:r>
        <w:rPr>
          <w:rFonts w:ascii="宋体" w:hAnsi="宋体" w:cs="宋体" w:eastAsia="宋体" w:hint="default"/>
          <w:spacing w:val="-3"/>
          <w:sz w:val="18"/>
          <w:szCs w:val="18"/>
        </w:rPr>
        <w:t>采用复合方式担保的具体情况说明</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无</w:t>
      </w:r>
    </w:p>
    <w:p>
      <w:pPr>
        <w:spacing w:line="240" w:lineRule="auto" w:before="3"/>
        <w:rPr>
          <w:rFonts w:ascii="宋体" w:hAnsi="宋体" w:cs="宋体" w:eastAsia="宋体" w:hint="default"/>
          <w:sz w:val="20"/>
          <w:szCs w:val="20"/>
        </w:rPr>
      </w:pPr>
    </w:p>
    <w:p>
      <w:pPr>
        <w:pStyle w:val="Heading4"/>
        <w:spacing w:line="240" w:lineRule="auto"/>
        <w:ind w:right="0"/>
        <w:jc w:val="left"/>
        <w:rPr>
          <w:b w:val="0"/>
          <w:bCs w:val="0"/>
        </w:rPr>
      </w:pPr>
      <w:bookmarkStart w:name="（2）违规对外担保情况" w:id="93"/>
      <w:bookmarkEnd w:id="93"/>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spacing w:line="343" w:lineRule="auto" w:before="0"/>
        <w:ind w:left="153" w:right="72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公司报告期无违规对外担保情况。</w:t>
      </w:r>
    </w:p>
    <w:p>
      <w:pPr>
        <w:spacing w:line="240" w:lineRule="auto" w:before="5"/>
        <w:rPr>
          <w:rFonts w:ascii="宋体" w:hAnsi="宋体" w:cs="宋体" w:eastAsia="宋体" w:hint="default"/>
          <w:sz w:val="20"/>
          <w:szCs w:val="20"/>
        </w:rPr>
      </w:pPr>
    </w:p>
    <w:p>
      <w:pPr>
        <w:pStyle w:val="Heading4"/>
        <w:spacing w:line="240" w:lineRule="auto"/>
        <w:ind w:right="0"/>
        <w:jc w:val="left"/>
        <w:rPr>
          <w:b w:val="0"/>
          <w:bCs w:val="0"/>
        </w:rPr>
      </w:pPr>
      <w:bookmarkStart w:name="3、委托他人进行现金资产管理情况" w:id="94"/>
      <w:bookmarkEnd w:id="94"/>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委托理财情况" w:id="95"/>
      <w:bookmarkEnd w:id="95"/>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1"/>
        <w:rPr>
          <w:rFonts w:ascii="宋体" w:hAnsi="宋体" w:cs="宋体" w:eastAsia="宋体" w:hint="default"/>
          <w:b/>
          <w:bCs/>
          <w:sz w:val="27"/>
          <w:szCs w:val="27"/>
        </w:rPr>
      </w:pPr>
    </w:p>
    <w:p>
      <w:pPr>
        <w:spacing w:line="338" w:lineRule="auto" w:before="0"/>
        <w:ind w:left="153" w:right="72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公司报告期不存在委托理财。</w:t>
      </w:r>
    </w:p>
    <w:p>
      <w:pPr>
        <w:spacing w:after="0" w:line="338"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4"/>
        <w:spacing w:line="240" w:lineRule="auto" w:before="36"/>
        <w:ind w:right="0"/>
        <w:jc w:val="left"/>
        <w:rPr>
          <w:b w:val="0"/>
          <w:bCs w:val="0"/>
        </w:rPr>
      </w:pPr>
      <w:bookmarkStart w:name="（2）委托贷款情况" w:id="96"/>
      <w:bookmarkEnd w:id="96"/>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1"/>
        <w:rPr>
          <w:rFonts w:ascii="宋体" w:hAnsi="宋体" w:cs="宋体" w:eastAsia="宋体" w:hint="default"/>
          <w:b/>
          <w:bCs/>
          <w:sz w:val="27"/>
          <w:szCs w:val="27"/>
        </w:rPr>
      </w:pPr>
    </w:p>
    <w:p>
      <w:pPr>
        <w:spacing w:line="338" w:lineRule="auto" w:before="0"/>
        <w:ind w:left="153" w:right="72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公司报告期不存在委托贷款。</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4、其他重大合同" w:id="97"/>
      <w:bookmarkEnd w:id="97"/>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1"/>
        <w:rPr>
          <w:rFonts w:ascii="宋体" w:hAnsi="宋体" w:cs="宋体" w:eastAsia="宋体" w:hint="default"/>
          <w:b/>
          <w:bCs/>
          <w:sz w:val="27"/>
          <w:szCs w:val="27"/>
        </w:rPr>
      </w:pPr>
    </w:p>
    <w:p>
      <w:pPr>
        <w:spacing w:line="343" w:lineRule="auto" w:before="0"/>
        <w:ind w:left="153" w:right="72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公司报告期不存在其他重大合同。</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十八、社会责任情况" w:id="98"/>
      <w:bookmarkEnd w:id="98"/>
      <w:r>
        <w:rPr>
          <w:b w:val="0"/>
          <w:bCs w:val="0"/>
        </w:rPr>
      </w:r>
      <w:r>
        <w:rPr/>
        <w:t>十八、社会责任情况</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bookmarkStart w:name="1、履行社会责任情况" w:id="99"/>
      <w:bookmarkEnd w:id="99"/>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10"/>
        <w:rPr>
          <w:rFonts w:ascii="宋体" w:hAnsi="宋体" w:cs="宋体" w:eastAsia="宋体" w:hint="default"/>
          <w:b/>
          <w:bCs/>
          <w:sz w:val="26"/>
          <w:szCs w:val="26"/>
        </w:rPr>
      </w:pPr>
    </w:p>
    <w:p>
      <w:pPr>
        <w:spacing w:line="316" w:lineRule="auto" w:before="0"/>
        <w:ind w:left="153" w:right="0" w:firstLine="0"/>
        <w:jc w:val="left"/>
        <w:rPr>
          <w:rFonts w:ascii="宋体" w:hAnsi="宋体" w:cs="宋体" w:eastAsia="宋体" w:hint="default"/>
          <w:sz w:val="18"/>
          <w:szCs w:val="18"/>
        </w:rPr>
      </w:pPr>
      <w:r>
        <w:rPr>
          <w:rFonts w:ascii="宋体" w:hAnsi="宋体" w:cs="宋体" w:eastAsia="宋体" w:hint="default"/>
          <w:spacing w:val="-6"/>
          <w:sz w:val="18"/>
          <w:szCs w:val="18"/>
        </w:rPr>
        <w:t>公司主动披露履行社会责任的工作情况，注重维护股东、员工、投资者、供应商、客户、合作伙伴等利益相关者的合法权益，</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4"/>
          <w:sz w:val="18"/>
          <w:szCs w:val="18"/>
        </w:rPr>
        <w:t>积极承担社会应尽的义务和责任，恪守诚信与承诺，为社会和环境的可持续发展作出努力，具体内容详见公司于巨潮资讯网</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发布的《视觉中国：</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年度社会责任报告》。</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2、履行精准扶贫社会责任情况" w:id="100"/>
      <w:bookmarkEnd w:id="100"/>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5"/>
        <w:rPr>
          <w:rFonts w:ascii="宋体" w:hAnsi="宋体" w:cs="宋体" w:eastAsia="宋体" w:hint="default"/>
          <w:b/>
          <w:bCs/>
          <w:sz w:val="26"/>
          <w:szCs w:val="26"/>
        </w:rPr>
      </w:pPr>
    </w:p>
    <w:p>
      <w:pPr>
        <w:spacing w:line="321" w:lineRule="auto" w:before="0"/>
        <w:ind w:left="153" w:right="0" w:firstLine="0"/>
        <w:jc w:val="left"/>
        <w:rPr>
          <w:rFonts w:ascii="宋体" w:hAnsi="宋体" w:cs="宋体" w:eastAsia="宋体" w:hint="default"/>
          <w:sz w:val="18"/>
          <w:szCs w:val="18"/>
        </w:rPr>
      </w:pPr>
      <w:r>
        <w:rPr>
          <w:rFonts w:ascii="宋体" w:hAnsi="宋体" w:cs="宋体" w:eastAsia="宋体" w:hint="default"/>
          <w:spacing w:val="-6"/>
          <w:sz w:val="18"/>
          <w:szCs w:val="18"/>
        </w:rPr>
        <w:t>公司在报告期内暂未开展精准扶贫工作。基于“视觉服务中国”的使命，公司计划履行社会责任，积极主办与参与公益活动，</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以视觉的力量向社会传达正能量的同时，开展精准扶贫相关工作。</w:t>
      </w:r>
    </w:p>
    <w:p>
      <w:pPr>
        <w:spacing w:line="240" w:lineRule="auto" w:before="8"/>
        <w:rPr>
          <w:rFonts w:ascii="宋体" w:hAnsi="宋体" w:cs="宋体" w:eastAsia="宋体" w:hint="default"/>
          <w:sz w:val="21"/>
          <w:szCs w:val="21"/>
        </w:rPr>
      </w:pPr>
    </w:p>
    <w:p>
      <w:pPr>
        <w:pStyle w:val="Heading4"/>
        <w:spacing w:line="240" w:lineRule="auto"/>
        <w:ind w:right="0"/>
        <w:jc w:val="left"/>
        <w:rPr>
          <w:b w:val="0"/>
          <w:bCs w:val="0"/>
        </w:rPr>
      </w:pPr>
      <w:bookmarkStart w:name="3、环境保护相关的情况" w:id="101"/>
      <w:bookmarkEnd w:id="101"/>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1"/>
        <w:rPr>
          <w:rFonts w:ascii="宋体" w:hAnsi="宋体" w:cs="宋体" w:eastAsia="宋体" w:hint="default"/>
          <w:b/>
          <w:bCs/>
          <w:sz w:val="27"/>
          <w:szCs w:val="27"/>
        </w:rPr>
      </w:pPr>
    </w:p>
    <w:p>
      <w:pPr>
        <w:spacing w:line="362" w:lineRule="auto" w:before="0"/>
        <w:ind w:left="153" w:right="5655" w:firstLine="0"/>
        <w:jc w:val="left"/>
        <w:rPr>
          <w:rFonts w:ascii="宋体" w:hAnsi="宋体" w:cs="宋体" w:eastAsia="宋体" w:hint="default"/>
          <w:sz w:val="18"/>
          <w:szCs w:val="18"/>
        </w:rPr>
      </w:pPr>
      <w:r>
        <w:rPr>
          <w:rFonts w:ascii="宋体" w:hAnsi="宋体" w:cs="宋体" w:eastAsia="宋体" w:hint="default"/>
          <w:spacing w:val="-3"/>
          <w:sz w:val="18"/>
          <w:szCs w:val="18"/>
        </w:rPr>
        <w:t>上市公司及其子公司是否属于环境保护部门公布的重点排污单位</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否</w:t>
      </w:r>
    </w:p>
    <w:p>
      <w:pPr>
        <w:spacing w:line="309" w:lineRule="auto" w:before="18"/>
        <w:ind w:left="153" w:right="1123" w:firstLine="0"/>
        <w:jc w:val="both"/>
        <w:rPr>
          <w:rFonts w:ascii="宋体" w:hAnsi="宋体" w:cs="宋体" w:eastAsia="宋体" w:hint="default"/>
          <w:sz w:val="18"/>
          <w:szCs w:val="18"/>
        </w:rPr>
      </w:pPr>
      <w:r>
        <w:rPr>
          <w:rFonts w:ascii="宋体" w:hAnsi="宋体" w:cs="宋体" w:eastAsia="宋体" w:hint="default"/>
          <w:spacing w:val="-4"/>
          <w:sz w:val="18"/>
          <w:szCs w:val="18"/>
        </w:rPr>
        <w:t>基于</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视觉无处不在、视觉服务中国</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公司愿景，公司严格按照相关法律法规的要求，依托公司核心竞争力诚信守法经营、注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4"/>
          <w:sz w:val="18"/>
          <w:szCs w:val="18"/>
        </w:rPr>
        <w:t>重节约资源、强化环境保护，坚持走绿色健康发展道路，以实际行动回报社会。公司主营业务、经营模式、上下游产业链均</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为绿色环保健康产业，报告期内，公司未以临时报告的形式披露环境信息内容</w:t>
      </w:r>
      <w:r>
        <w:rPr>
          <w:rFonts w:ascii="宋体" w:hAnsi="宋体" w:cs="宋体" w:eastAsia="宋体" w:hint="default"/>
          <w:spacing w:val="84"/>
          <w:sz w:val="18"/>
          <w:szCs w:val="18"/>
        </w:rPr>
        <w:t> </w:t>
      </w:r>
      <w:r>
        <w:rPr>
          <w:rFonts w:ascii="宋体" w:hAnsi="宋体" w:cs="宋体" w:eastAsia="宋体" w:hint="default"/>
          <w:sz w:val="18"/>
          <w:szCs w:val="18"/>
        </w:rPr>
        <w:t>。</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十九、其他重大事项的说明" w:id="102"/>
      <w:bookmarkEnd w:id="102"/>
      <w:r>
        <w:rPr>
          <w:b w:val="0"/>
          <w:bCs w:val="0"/>
        </w:rPr>
      </w:r>
      <w:r>
        <w:rPr/>
        <w:t>十九、其他重大事项的说明</w:t>
      </w:r>
      <w:r>
        <w:rPr>
          <w:b w:val="0"/>
          <w:bCs w:val="0"/>
        </w:rPr>
      </w:r>
    </w:p>
    <w:p>
      <w:pPr>
        <w:spacing w:line="240" w:lineRule="auto" w:before="3"/>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300" w:lineRule="auto" w:before="101"/>
        <w:ind w:left="153"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11</w:t>
      </w:r>
      <w:r>
        <w:rPr>
          <w:rFonts w:ascii="宋体" w:hAnsi="宋体" w:cs="宋体" w:eastAsia="宋体" w:hint="default"/>
          <w:spacing w:val="-3"/>
          <w:sz w:val="18"/>
          <w:szCs w:val="18"/>
        </w:rPr>
        <w:t>日，公司主动暂时关闭了网站进行自查及整改，并于</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日零点开始恢复网站上线运营。详见</w:t>
      </w:r>
      <w:r>
        <w:rPr>
          <w:rFonts w:ascii="Times New Roman" w:hAnsi="Times New Roman" w:cs="Times New Roman" w:eastAsia="Times New Roman" w:hint="default"/>
          <w:spacing w:val="-3"/>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日及</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13</w:t>
      </w:r>
      <w:r>
        <w:rPr>
          <w:rFonts w:ascii="宋体" w:hAnsi="宋体" w:cs="宋体" w:eastAsia="宋体" w:hint="default"/>
          <w:spacing w:val="-3"/>
          <w:sz w:val="18"/>
          <w:szCs w:val="18"/>
        </w:rPr>
        <w:t>日披露的《视觉中国：关于公司网站暂停服务的公告》（公告编号：</w:t>
      </w:r>
      <w:r>
        <w:rPr>
          <w:rFonts w:ascii="Times New Roman" w:hAnsi="Times New Roman" w:cs="Times New Roman" w:eastAsia="Times New Roman" w:hint="default"/>
          <w:spacing w:val="-3"/>
          <w:sz w:val="18"/>
          <w:szCs w:val="18"/>
        </w:rPr>
        <w:t>2019-005</w:t>
      </w:r>
      <w:r>
        <w:rPr>
          <w:rFonts w:ascii="宋体" w:hAnsi="宋体" w:cs="宋体" w:eastAsia="宋体" w:hint="default"/>
          <w:spacing w:val="-3"/>
          <w:sz w:val="18"/>
          <w:szCs w:val="18"/>
        </w:rPr>
        <w:t>）、《视觉中国：关</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于公司网站恢复服务的公告》（公告编号：</w:t>
      </w:r>
      <w:r>
        <w:rPr>
          <w:rFonts w:ascii="Times New Roman" w:hAnsi="Times New Roman" w:cs="Times New Roman" w:eastAsia="Times New Roman" w:hint="default"/>
          <w:spacing w:val="-3"/>
          <w:sz w:val="18"/>
          <w:szCs w:val="18"/>
        </w:rPr>
        <w:t>2019-017</w:t>
      </w:r>
      <w:r>
        <w:rPr>
          <w:rFonts w:ascii="宋体" w:hAnsi="宋体" w:cs="宋体" w:eastAsia="宋体" w:hint="default"/>
          <w:spacing w:val="-3"/>
          <w:sz w:val="18"/>
          <w:szCs w:val="18"/>
        </w:rPr>
        <w:t>）。</w:t>
      </w:r>
      <w:r>
        <w:rPr>
          <w:rFonts w:ascii="宋体" w:hAnsi="宋体" w:cs="宋体" w:eastAsia="宋体" w:hint="default"/>
          <w:sz w:val="18"/>
          <w:szCs w:val="18"/>
        </w:rPr>
      </w:r>
    </w:p>
    <w:p>
      <w:pPr>
        <w:spacing w:line="300" w:lineRule="auto" w:before="1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pacing w:val="-3"/>
          <w:sz w:val="18"/>
          <w:szCs w:val="18"/>
        </w:rPr>
        <w:t>公司</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年年度权益分派方案获</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30</w:t>
      </w:r>
      <w:r>
        <w:rPr>
          <w:rFonts w:ascii="宋体" w:hAnsi="宋体" w:cs="宋体" w:eastAsia="宋体" w:hint="default"/>
          <w:spacing w:val="-3"/>
          <w:sz w:val="18"/>
          <w:szCs w:val="18"/>
        </w:rPr>
        <w:t>日召开的</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年年度股东大会审议通过，</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月，公司完成</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年年度</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权益分派。详见</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16</w:t>
      </w:r>
      <w:r>
        <w:rPr>
          <w:rFonts w:ascii="宋体" w:hAnsi="宋体" w:cs="宋体" w:eastAsia="宋体" w:hint="default"/>
          <w:spacing w:val="-3"/>
          <w:sz w:val="18"/>
          <w:szCs w:val="18"/>
        </w:rPr>
        <w:t>日披露的《视觉中国：</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年年度权益分派实施公告 </w:t>
      </w:r>
      <w:r>
        <w:rPr>
          <w:rFonts w:ascii="宋体" w:hAnsi="宋体" w:cs="宋体" w:eastAsia="宋体" w:hint="default"/>
          <w:spacing w:val="18"/>
          <w:sz w:val="18"/>
          <w:szCs w:val="18"/>
        </w:rPr>
        <w:t> </w:t>
      </w: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2019-036</w:t>
      </w:r>
      <w:r>
        <w:rPr>
          <w:rFonts w:ascii="宋体" w:hAnsi="宋体" w:cs="宋体" w:eastAsia="宋体" w:hint="default"/>
          <w:sz w:val="18"/>
          <w:szCs w:val="18"/>
        </w:rPr>
        <w:t>）。</w:t>
      </w:r>
    </w:p>
    <w:p>
      <w:pPr>
        <w:spacing w:line="300" w:lineRule="auto" w:before="13"/>
        <w:ind w:left="153" w:right="1127"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16</w:t>
      </w:r>
      <w:r>
        <w:rPr>
          <w:rFonts w:ascii="宋体" w:hAnsi="宋体" w:cs="宋体" w:eastAsia="宋体" w:hint="default"/>
          <w:spacing w:val="-3"/>
          <w:sz w:val="18"/>
          <w:szCs w:val="18"/>
        </w:rPr>
        <w:t>日，公司第九届董事会第五次会议审议通过了《关于减资退出华融创新投资股份有限公司的议案》，同意</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pacing w:val="-3"/>
          <w:sz w:val="18"/>
          <w:szCs w:val="18"/>
        </w:rPr>
        <w:t>公司通过减资的方式退出所持华融创新投资股份有限公司</w:t>
      </w: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的股份。</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月，华融创新投资股份有限公司完成上述减</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资退出事项的工商变更登记手续，公司已收到全部价款。详见</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17</w:t>
      </w:r>
      <w:r>
        <w:rPr>
          <w:rFonts w:ascii="宋体" w:hAnsi="宋体" w:cs="宋体" w:eastAsia="宋体" w:hint="default"/>
          <w:spacing w:val="-3"/>
          <w:sz w:val="18"/>
          <w:szCs w:val="18"/>
        </w:rPr>
        <w:t>日及</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日披露的《视觉中国：关于减资</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4"/>
          <w:sz w:val="18"/>
          <w:szCs w:val="18"/>
        </w:rPr>
        <w:t>退出华融创新投资股份有限公司的公告》（公告编号：</w:t>
      </w:r>
      <w:r>
        <w:rPr>
          <w:rFonts w:ascii="Times New Roman" w:hAnsi="Times New Roman" w:cs="Times New Roman" w:eastAsia="Times New Roman" w:hint="default"/>
          <w:spacing w:val="-4"/>
          <w:sz w:val="18"/>
          <w:szCs w:val="18"/>
        </w:rPr>
        <w:t>2019-019</w:t>
      </w:r>
      <w:r>
        <w:rPr>
          <w:rFonts w:ascii="宋体" w:hAnsi="宋体" w:cs="宋体" w:eastAsia="宋体" w:hint="default"/>
          <w:spacing w:val="-4"/>
          <w:sz w:val="18"/>
          <w:szCs w:val="18"/>
        </w:rPr>
        <w:t>）、《视觉中国：关于减资退出华融创新投资股份有限公司 </w:t>
      </w:r>
      <w:r>
        <w:rPr>
          <w:rFonts w:ascii="宋体" w:hAnsi="宋体" w:cs="宋体" w:eastAsia="宋体" w:hint="default"/>
          <w:sz w:val="18"/>
          <w:szCs w:val="18"/>
        </w:rPr>
        <w:t>完成工商变更登记的公告》（公告编号：</w:t>
      </w:r>
      <w:r>
        <w:rPr>
          <w:rFonts w:ascii="Times New Roman" w:hAnsi="Times New Roman" w:cs="Times New Roman" w:eastAsia="Times New Roman" w:hint="default"/>
          <w:sz w:val="18"/>
          <w:szCs w:val="18"/>
        </w:rPr>
        <w:t>2019-048</w:t>
      </w:r>
      <w:r>
        <w:rPr>
          <w:rFonts w:ascii="宋体" w:hAnsi="宋体" w:cs="宋体" w:eastAsia="宋体" w:hint="default"/>
          <w:sz w:val="18"/>
          <w:szCs w:val="18"/>
        </w:rPr>
        <w:t>）。</w:t>
      </w:r>
    </w:p>
    <w:p>
      <w:pPr>
        <w:spacing w:after="0" w:line="300" w:lineRule="auto"/>
        <w:jc w:val="both"/>
        <w:rPr>
          <w:rFonts w:ascii="宋体" w:hAnsi="宋体" w:cs="宋体" w:eastAsia="宋体" w:hint="default"/>
          <w:sz w:val="18"/>
          <w:szCs w:val="18"/>
        </w:rPr>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spacing w:line="300" w:lineRule="auto" w:before="46"/>
        <w:ind w:left="153" w:right="1132"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3"/>
          <w:sz w:val="18"/>
          <w:szCs w:val="18"/>
        </w:rPr>
        <w:t>2014</w:t>
      </w:r>
      <w:r>
        <w:rPr>
          <w:rFonts w:ascii="宋体" w:hAnsi="宋体" w:cs="宋体" w:eastAsia="宋体" w:hint="default"/>
          <w:spacing w:val="-3"/>
          <w:sz w:val="18"/>
          <w:szCs w:val="18"/>
        </w:rPr>
        <w:t>年，公司实施重大资产重组并同时向廖道训等</w:t>
      </w:r>
      <w:r>
        <w:rPr>
          <w:rFonts w:ascii="Times New Roman" w:hAnsi="Times New Roman" w:cs="Times New Roman" w:eastAsia="Times New Roman" w:hint="default"/>
          <w:spacing w:val="-3"/>
          <w:sz w:val="18"/>
          <w:szCs w:val="18"/>
        </w:rPr>
        <w:t>17</w:t>
      </w:r>
      <w:r>
        <w:rPr>
          <w:rFonts w:ascii="宋体" w:hAnsi="宋体" w:cs="宋体" w:eastAsia="宋体" w:hint="default"/>
          <w:spacing w:val="-3"/>
          <w:sz w:val="18"/>
          <w:szCs w:val="18"/>
        </w:rPr>
        <w:t>名股东发行股份，其中向廖道训等</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人发行 </w:t>
      </w:r>
      <w:r>
        <w:rPr>
          <w:rFonts w:ascii="Times New Roman" w:hAnsi="Times New Roman" w:cs="Times New Roman" w:eastAsia="Times New Roman" w:hint="default"/>
          <w:sz w:val="18"/>
          <w:szCs w:val="18"/>
        </w:rPr>
        <w:t>388,039,891 </w:t>
      </w:r>
      <w:r>
        <w:rPr>
          <w:rFonts w:ascii="宋体" w:hAnsi="宋体" w:cs="宋体" w:eastAsia="宋体" w:hint="default"/>
          <w:sz w:val="18"/>
          <w:szCs w:val="18"/>
        </w:rPr>
        <w:t>股股份，</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廖道训等</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人承诺自本次认购股票上市之日起六十个月内不进行任何转让。</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月，上述股份办理了解除限售，可上市</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流通日期为</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18</w:t>
      </w:r>
      <w:r>
        <w:rPr>
          <w:rFonts w:ascii="宋体" w:hAnsi="宋体" w:cs="宋体" w:eastAsia="宋体" w:hint="default"/>
          <w:spacing w:val="-3"/>
          <w:sz w:val="18"/>
          <w:szCs w:val="18"/>
        </w:rPr>
        <w:t>日。详见</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17</w:t>
      </w:r>
      <w:r>
        <w:rPr>
          <w:rFonts w:ascii="宋体" w:hAnsi="宋体" w:cs="宋体" w:eastAsia="宋体" w:hint="default"/>
          <w:spacing w:val="-3"/>
          <w:sz w:val="18"/>
          <w:szCs w:val="18"/>
        </w:rPr>
        <w:t>日披露的《视觉中国：关于部分限售股份解除限售的提示性公告 </w:t>
      </w:r>
      <w:r>
        <w:rPr>
          <w:rFonts w:ascii="宋体" w:hAnsi="宋体" w:cs="宋体" w:eastAsia="宋体" w:hint="default"/>
          <w:sz w:val="18"/>
          <w:szCs w:val="18"/>
        </w:rPr>
        <w:t>》（公告编</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2019-049</w:t>
      </w:r>
      <w:r>
        <w:rPr>
          <w:rFonts w:ascii="宋体" w:hAnsi="宋体" w:cs="宋体" w:eastAsia="宋体" w:hint="default"/>
          <w:sz w:val="18"/>
          <w:szCs w:val="18"/>
        </w:rPr>
        <w:t>）。</w:t>
      </w:r>
    </w:p>
    <w:p>
      <w:pPr>
        <w:spacing w:line="309" w:lineRule="auto" w:before="1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5. 2019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11 </w:t>
      </w:r>
      <w:r>
        <w:rPr>
          <w:rFonts w:ascii="宋体" w:hAnsi="宋体" w:cs="宋体" w:eastAsia="宋体" w:hint="default"/>
          <w:sz w:val="18"/>
          <w:szCs w:val="18"/>
        </w:rPr>
        <w:t>月 </w:t>
      </w:r>
      <w:r>
        <w:rPr>
          <w:rFonts w:ascii="Times New Roman" w:hAnsi="Times New Roman" w:cs="Times New Roman" w:eastAsia="Times New Roman" w:hint="default"/>
          <w:sz w:val="18"/>
          <w:szCs w:val="18"/>
        </w:rPr>
        <w:t>8 </w:t>
      </w:r>
      <w:r>
        <w:rPr>
          <w:rFonts w:ascii="宋体" w:hAnsi="宋体" w:cs="宋体" w:eastAsia="宋体" w:hint="default"/>
          <w:spacing w:val="-3"/>
          <w:sz w:val="18"/>
          <w:szCs w:val="18"/>
        </w:rPr>
        <w:t>日，公司原控股股东、实际控制人吴春红女士、廖道训先生、吴玉瑞女士、柴继军先生、姜海林先生、</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6"/>
          <w:sz w:val="18"/>
          <w:szCs w:val="18"/>
        </w:rPr>
        <w:t>陈智华先生、袁闯先生、李学凌先生、高玮女士、梁世平先生签署《一致行动关系之部分解除协议》，股东姜海林、陈智华、</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4"/>
          <w:sz w:val="18"/>
          <w:szCs w:val="18"/>
        </w:rPr>
        <w:t>袁闯、李学凌、高玮解除一致行动关系；股东吴春红、廖道训、吴玉瑞、柴继军、梁世平继续保持一致行动关系，为公司控</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股股东、实际控制人。详见</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11</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日披露的《视觉中国：关于控股股东、实际控制人一致行动关系部分解除暨控股股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东、实际控制人变更的提示性公告  》（公告编号：</w:t>
      </w:r>
      <w:r>
        <w:rPr>
          <w:rFonts w:ascii="Times New Roman" w:hAnsi="Times New Roman" w:cs="Times New Roman" w:eastAsia="Times New Roman" w:hint="default"/>
          <w:spacing w:val="-3"/>
          <w:sz w:val="18"/>
          <w:szCs w:val="18"/>
        </w:rPr>
        <w:t>2019-062</w:t>
      </w:r>
      <w:r>
        <w:rPr>
          <w:rFonts w:ascii="宋体" w:hAnsi="宋体" w:cs="宋体" w:eastAsia="宋体" w:hint="default"/>
          <w:spacing w:val="-3"/>
          <w:sz w:val="18"/>
          <w:szCs w:val="18"/>
        </w:rPr>
        <w:t>）、《简式权益变动报告书</w:t>
      </w:r>
      <w:r>
        <w:rPr>
          <w:rFonts w:ascii="宋体" w:hAnsi="宋体" w:cs="宋体" w:eastAsia="宋体" w:hint="default"/>
          <w:spacing w:val="6"/>
          <w:sz w:val="18"/>
          <w:szCs w:val="18"/>
        </w:rPr>
        <w:t> </w:t>
      </w:r>
      <w:r>
        <w:rPr>
          <w:rFonts w:ascii="宋体" w:hAnsi="宋体" w:cs="宋体" w:eastAsia="宋体" w:hint="default"/>
          <w:spacing w:val="-5"/>
          <w:sz w:val="18"/>
          <w:szCs w:val="18"/>
        </w:rPr>
        <w:t>》。</w:t>
      </w:r>
      <w:r>
        <w:rPr>
          <w:rFonts w:ascii="宋体" w:hAnsi="宋体" w:cs="宋体" w:eastAsia="宋体" w:hint="default"/>
          <w:sz w:val="18"/>
          <w:szCs w:val="18"/>
        </w:rPr>
      </w:r>
    </w:p>
    <w:p>
      <w:pPr>
        <w:spacing w:line="300" w:lineRule="auto" w:before="5"/>
        <w:ind w:left="153" w:right="1122"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11</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15</w:t>
      </w:r>
      <w:r>
        <w:rPr>
          <w:rFonts w:ascii="宋体" w:hAnsi="宋体" w:cs="宋体" w:eastAsia="宋体" w:hint="default"/>
          <w:spacing w:val="-4"/>
          <w:sz w:val="18"/>
          <w:szCs w:val="18"/>
        </w:rPr>
        <w:t>日，公司实际控制人之一吴春红女士逝世。详见</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11</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19</w:t>
      </w:r>
      <w:r>
        <w:rPr>
          <w:rFonts w:ascii="宋体" w:hAnsi="宋体" w:cs="宋体" w:eastAsia="宋体" w:hint="default"/>
          <w:spacing w:val="-4"/>
          <w:sz w:val="18"/>
          <w:szCs w:val="18"/>
        </w:rPr>
        <w:t>日披露的《视觉中国：关于实际控制人之一吴</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pacing w:val="-4"/>
          <w:sz w:val="18"/>
          <w:szCs w:val="18"/>
        </w:rPr>
        <w:t>春红女士逝世的公告》（公告编号：</w:t>
      </w:r>
      <w:r>
        <w:rPr>
          <w:rFonts w:ascii="Times New Roman" w:hAnsi="Times New Roman" w:cs="Times New Roman" w:eastAsia="Times New Roman" w:hint="default"/>
          <w:spacing w:val="-4"/>
          <w:sz w:val="18"/>
          <w:szCs w:val="18"/>
        </w:rPr>
        <w:t>201</w:t>
      </w:r>
      <w:r>
        <w:rPr>
          <w:rFonts w:ascii="宋体" w:hAnsi="宋体" w:cs="宋体" w:eastAsia="宋体" w:hint="default"/>
          <w:spacing w:val="-4"/>
          <w:sz w:val="18"/>
          <w:szCs w:val="18"/>
        </w:rPr>
        <w:t>9-065</w:t>
      </w:r>
      <w:r>
        <w:rPr>
          <w:rFonts w:ascii="宋体" w:hAnsi="宋体" w:cs="宋体" w:eastAsia="宋体" w:hint="default"/>
          <w:spacing w:val="-4"/>
          <w:sz w:val="18"/>
          <w:szCs w:val="18"/>
        </w:rPr>
        <w:t>）。吴春红持有的公司股份将按法律、法规规定办理股份继承手续，并会导致</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3"/>
          <w:sz w:val="18"/>
          <w:szCs w:val="18"/>
        </w:rPr>
        <w:t>公司控股股东、实际控制人发生变化。后续相关事宜公司将依据相关法律法规的要求履行信息披露义务。</w:t>
      </w:r>
    </w:p>
    <w:p>
      <w:pPr>
        <w:spacing w:line="300" w:lineRule="auto" w:before="31"/>
        <w:ind w:left="153"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日，为落实有关管理要求，公司网站开展自查整改，整改期间网站暂停服务，目前已恢复正常运营。详</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2"/>
          <w:w w:val="101"/>
          <w:sz w:val="18"/>
          <w:szCs w:val="18"/>
        </w:rPr>
        <w:t>见</w:t>
      </w:r>
      <w:r>
        <w:rPr>
          <w:rFonts w:ascii="Times New Roman" w:hAnsi="Times New Roman" w:cs="Times New Roman" w:eastAsia="Times New Roman" w:hint="default"/>
          <w:spacing w:val="-12"/>
          <w:w w:val="101"/>
          <w:sz w:val="18"/>
          <w:szCs w:val="18"/>
        </w:rPr>
        <w:t>2019</w:t>
      </w:r>
      <w:r>
        <w:rPr>
          <w:rFonts w:ascii="宋体" w:hAnsi="宋体" w:cs="宋体" w:eastAsia="宋体" w:hint="default"/>
          <w:spacing w:val="-12"/>
          <w:w w:val="101"/>
          <w:sz w:val="18"/>
          <w:szCs w:val="18"/>
        </w:rPr>
        <w:t>年</w:t>
      </w:r>
      <w:r>
        <w:rPr>
          <w:rFonts w:ascii="Times New Roman" w:hAnsi="Times New Roman" w:cs="Times New Roman" w:eastAsia="Times New Roman" w:hint="default"/>
          <w:spacing w:val="-12"/>
          <w:w w:val="101"/>
          <w:sz w:val="18"/>
          <w:szCs w:val="18"/>
        </w:rPr>
        <w:t>12</w:t>
      </w:r>
      <w:r>
        <w:rPr>
          <w:rFonts w:ascii="宋体" w:hAnsi="宋体" w:cs="宋体" w:eastAsia="宋体" w:hint="default"/>
          <w:spacing w:val="-12"/>
          <w:w w:val="101"/>
          <w:sz w:val="18"/>
          <w:szCs w:val="18"/>
        </w:rPr>
        <w:t>月</w:t>
      </w:r>
      <w:r>
        <w:rPr>
          <w:rFonts w:ascii="Times New Roman" w:hAnsi="Times New Roman" w:cs="Times New Roman" w:eastAsia="Times New Roman" w:hint="default"/>
          <w:spacing w:val="-12"/>
          <w:w w:val="101"/>
          <w:sz w:val="18"/>
          <w:szCs w:val="18"/>
        </w:rPr>
        <w:t>11</w:t>
      </w:r>
      <w:r>
        <w:rPr>
          <w:rFonts w:ascii="宋体" w:hAnsi="宋体" w:cs="宋体" w:eastAsia="宋体" w:hint="default"/>
          <w:spacing w:val="-12"/>
          <w:w w:val="101"/>
          <w:sz w:val="18"/>
          <w:szCs w:val="18"/>
        </w:rPr>
        <w:t>日、</w:t>
      </w:r>
      <w:r>
        <w:rPr>
          <w:rFonts w:ascii="Times New Roman" w:hAnsi="Times New Roman" w:cs="Times New Roman" w:eastAsia="Times New Roman" w:hint="default"/>
          <w:spacing w:val="-12"/>
          <w:w w:val="101"/>
          <w:sz w:val="18"/>
          <w:szCs w:val="18"/>
        </w:rPr>
        <w:t>2020</w:t>
      </w:r>
      <w:r>
        <w:rPr>
          <w:rFonts w:ascii="宋体" w:hAnsi="宋体" w:cs="宋体" w:eastAsia="宋体" w:hint="default"/>
          <w:spacing w:val="-12"/>
          <w:w w:val="101"/>
          <w:sz w:val="18"/>
          <w:szCs w:val="18"/>
        </w:rPr>
        <w:t>年</w:t>
      </w:r>
      <w:r>
        <w:rPr>
          <w:rFonts w:ascii="Times New Roman" w:hAnsi="Times New Roman" w:cs="Times New Roman" w:eastAsia="Times New Roman" w:hint="default"/>
          <w:spacing w:val="-12"/>
          <w:w w:val="101"/>
          <w:sz w:val="18"/>
          <w:szCs w:val="18"/>
        </w:rPr>
        <w:t>2</w:t>
      </w:r>
      <w:r>
        <w:rPr>
          <w:rFonts w:ascii="宋体" w:hAnsi="宋体" w:cs="宋体" w:eastAsia="宋体" w:hint="default"/>
          <w:spacing w:val="-12"/>
          <w:w w:val="101"/>
          <w:sz w:val="18"/>
          <w:szCs w:val="18"/>
        </w:rPr>
        <w:t>月</w:t>
      </w:r>
      <w:r>
        <w:rPr>
          <w:rFonts w:ascii="Times New Roman" w:hAnsi="Times New Roman" w:cs="Times New Roman" w:eastAsia="Times New Roman" w:hint="default"/>
          <w:spacing w:val="-12"/>
          <w:w w:val="101"/>
          <w:sz w:val="18"/>
          <w:szCs w:val="18"/>
        </w:rPr>
        <w:t>4</w:t>
      </w:r>
      <w:r>
        <w:rPr>
          <w:rFonts w:ascii="宋体" w:hAnsi="宋体" w:cs="宋体" w:eastAsia="宋体" w:hint="default"/>
          <w:spacing w:val="-12"/>
          <w:w w:val="101"/>
          <w:sz w:val="18"/>
          <w:szCs w:val="18"/>
        </w:rPr>
        <w:t>日及</w:t>
      </w:r>
      <w:r>
        <w:rPr>
          <w:rFonts w:ascii="Times New Roman" w:hAnsi="Times New Roman" w:cs="Times New Roman" w:eastAsia="Times New Roman" w:hint="default"/>
          <w:spacing w:val="-12"/>
          <w:w w:val="101"/>
          <w:sz w:val="18"/>
          <w:szCs w:val="18"/>
        </w:rPr>
        <w:t>2020</w:t>
      </w:r>
      <w:r>
        <w:rPr>
          <w:rFonts w:ascii="宋体" w:hAnsi="宋体" w:cs="宋体" w:eastAsia="宋体" w:hint="default"/>
          <w:spacing w:val="-12"/>
          <w:w w:val="101"/>
          <w:sz w:val="18"/>
          <w:szCs w:val="18"/>
        </w:rPr>
        <w:t>年</w:t>
      </w:r>
      <w:r>
        <w:rPr>
          <w:rFonts w:ascii="Times New Roman" w:hAnsi="Times New Roman" w:cs="Times New Roman" w:eastAsia="Times New Roman" w:hint="default"/>
          <w:spacing w:val="-12"/>
          <w:w w:val="101"/>
          <w:sz w:val="18"/>
          <w:szCs w:val="18"/>
        </w:rPr>
        <w:t>3</w:t>
      </w:r>
      <w:r>
        <w:rPr>
          <w:rFonts w:ascii="宋体" w:hAnsi="宋体" w:cs="宋体" w:eastAsia="宋体" w:hint="default"/>
          <w:spacing w:val="-12"/>
          <w:w w:val="101"/>
          <w:sz w:val="18"/>
          <w:szCs w:val="18"/>
        </w:rPr>
        <w:t>月</w:t>
      </w:r>
      <w:r>
        <w:rPr>
          <w:rFonts w:ascii="Times New Roman" w:hAnsi="Times New Roman" w:cs="Times New Roman" w:eastAsia="Times New Roman" w:hint="default"/>
          <w:spacing w:val="-12"/>
          <w:w w:val="101"/>
          <w:sz w:val="18"/>
          <w:szCs w:val="18"/>
        </w:rPr>
        <w:t>20</w:t>
      </w:r>
      <w:r>
        <w:rPr>
          <w:rFonts w:ascii="宋体" w:hAnsi="宋体" w:cs="宋体" w:eastAsia="宋体" w:hint="default"/>
          <w:spacing w:val="-12"/>
          <w:w w:val="101"/>
          <w:sz w:val="18"/>
          <w:szCs w:val="18"/>
        </w:rPr>
        <w:t>日披露的《视觉中国：关于公司网站暂停运营的公告》（公告编号：</w:t>
      </w:r>
      <w:r>
        <w:rPr>
          <w:rFonts w:ascii="Times New Roman" w:hAnsi="Times New Roman" w:cs="Times New Roman" w:eastAsia="Times New Roman" w:hint="default"/>
          <w:spacing w:val="-12"/>
          <w:w w:val="101"/>
          <w:sz w:val="18"/>
          <w:szCs w:val="18"/>
        </w:rPr>
        <w:t>2019-071</w:t>
      </w:r>
      <w:r>
        <w:rPr>
          <w:rFonts w:ascii="宋体" w:hAnsi="宋体" w:cs="宋体" w:eastAsia="宋体" w:hint="default"/>
          <w:spacing w:val="-12"/>
          <w:w w:val="101"/>
          <w:sz w:val="18"/>
          <w:szCs w:val="18"/>
        </w:rPr>
        <w:t>）、</w:t>
      </w:r>
      <w:r>
        <w:rPr>
          <w:rFonts w:ascii="宋体" w:hAnsi="宋体" w:cs="宋体" w:eastAsia="宋体" w:hint="default"/>
          <w:sz w:val="18"/>
          <w:szCs w:val="18"/>
        </w:rPr>
      </w:r>
    </w:p>
    <w:p>
      <w:pPr>
        <w:spacing w:line="300" w:lineRule="auto" w:before="13"/>
        <w:ind w:left="153" w:right="1122" w:firstLine="0"/>
        <w:jc w:val="left"/>
        <w:rPr>
          <w:rFonts w:ascii="宋体" w:hAnsi="宋体" w:cs="宋体" w:eastAsia="宋体" w:hint="default"/>
          <w:sz w:val="18"/>
          <w:szCs w:val="18"/>
        </w:rPr>
      </w:pPr>
      <w:r>
        <w:rPr>
          <w:rFonts w:ascii="宋体" w:hAnsi="宋体" w:cs="宋体" w:eastAsia="宋体" w:hint="default"/>
          <w:spacing w:val="-7"/>
          <w:sz w:val="18"/>
          <w:szCs w:val="18"/>
        </w:rPr>
        <w:t>《视觉中国：关于公司网站试运营的公告》（公告编号：</w:t>
      </w:r>
      <w:r>
        <w:rPr>
          <w:rFonts w:ascii="Times New Roman" w:hAnsi="Times New Roman" w:cs="Times New Roman" w:eastAsia="Times New Roman" w:hint="default"/>
          <w:spacing w:val="-7"/>
          <w:sz w:val="18"/>
          <w:szCs w:val="18"/>
        </w:rPr>
        <w:t>2020-001</w:t>
      </w:r>
      <w:r>
        <w:rPr>
          <w:rFonts w:ascii="宋体" w:hAnsi="宋体" w:cs="宋体" w:eastAsia="宋体" w:hint="default"/>
          <w:spacing w:val="-7"/>
          <w:sz w:val="18"/>
          <w:szCs w:val="18"/>
        </w:rPr>
        <w:t>）、《视觉中国：关于公司网站恢复正常运营的公告》（公</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2020-010</w:t>
      </w:r>
      <w:r>
        <w:rPr>
          <w:rFonts w:ascii="宋体" w:hAnsi="宋体" w:cs="宋体" w:eastAsia="宋体" w:hint="default"/>
          <w:sz w:val="18"/>
          <w:szCs w:val="18"/>
        </w:rPr>
        <w:t>）。</w:t>
      </w:r>
      <w:r>
        <w:rPr>
          <w:rFonts w:ascii="宋体" w:hAnsi="宋体" w:cs="宋体" w:eastAsia="宋体" w:hint="default"/>
          <w:spacing w:val="-87"/>
          <w:sz w:val="18"/>
          <w:szCs w:val="18"/>
        </w:rPr>
        <w:t> </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截至</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31</w:t>
      </w:r>
      <w:r>
        <w:rPr>
          <w:rFonts w:ascii="宋体" w:hAnsi="宋体" w:cs="宋体" w:eastAsia="宋体" w:hint="default"/>
          <w:spacing w:val="-3"/>
          <w:sz w:val="18"/>
          <w:szCs w:val="18"/>
        </w:rPr>
        <w:t>日，公司股东吴春红女士所持公司股份质押数量为</w:t>
      </w:r>
      <w:r>
        <w:rPr>
          <w:rFonts w:ascii="Times New Roman" w:hAnsi="Times New Roman" w:cs="Times New Roman" w:eastAsia="Times New Roman" w:hint="default"/>
          <w:spacing w:val="-3"/>
          <w:sz w:val="18"/>
          <w:szCs w:val="18"/>
        </w:rPr>
        <w:t>5,127</w:t>
      </w:r>
      <w:r>
        <w:rPr>
          <w:rFonts w:ascii="宋体" w:hAnsi="宋体" w:cs="宋体" w:eastAsia="宋体" w:hint="default"/>
          <w:spacing w:val="-3"/>
          <w:sz w:val="18"/>
          <w:szCs w:val="18"/>
        </w:rPr>
        <w:t>万股，占公司总股本的</w:t>
      </w:r>
      <w:r>
        <w:rPr>
          <w:rFonts w:ascii="Times New Roman" w:hAnsi="Times New Roman" w:cs="Times New Roman" w:eastAsia="Times New Roman" w:hint="default"/>
          <w:spacing w:val="-3"/>
          <w:sz w:val="18"/>
          <w:szCs w:val="18"/>
        </w:rPr>
        <w:t>7.32%</w:t>
      </w:r>
      <w:r>
        <w:rPr>
          <w:rFonts w:ascii="宋体" w:hAnsi="宋体" w:cs="宋体" w:eastAsia="宋体" w:hint="default"/>
          <w:spacing w:val="-3"/>
          <w:sz w:val="18"/>
          <w:szCs w:val="18"/>
        </w:rPr>
        <w:t>；股东廖道训先生</w:t>
      </w:r>
      <w:r>
        <w:rPr>
          <w:rFonts w:ascii="宋体" w:hAnsi="宋体" w:cs="宋体" w:eastAsia="宋体" w:hint="default"/>
          <w:sz w:val="18"/>
          <w:szCs w:val="18"/>
        </w:rPr>
        <w:t> </w:t>
      </w:r>
      <w:r>
        <w:rPr>
          <w:rFonts w:ascii="宋体" w:hAnsi="宋体" w:cs="宋体" w:eastAsia="宋体" w:hint="default"/>
          <w:sz w:val="18"/>
          <w:szCs w:val="18"/>
        </w:rPr>
      </w:r>
      <w:r>
        <w:rPr>
          <w:rFonts w:ascii="宋体" w:hAnsi="宋体" w:cs="宋体" w:eastAsia="宋体" w:hint="default"/>
          <w:spacing w:val="-3"/>
          <w:sz w:val="18"/>
          <w:szCs w:val="18"/>
        </w:rPr>
        <w:t>所持公司股份质押数量为</w:t>
      </w:r>
      <w:r>
        <w:rPr>
          <w:rFonts w:ascii="Times New Roman" w:hAnsi="Times New Roman" w:cs="Times New Roman" w:eastAsia="Times New Roman" w:hint="default"/>
          <w:spacing w:val="-3"/>
          <w:sz w:val="18"/>
          <w:szCs w:val="18"/>
        </w:rPr>
        <w:t>6,241.2</w:t>
      </w:r>
      <w:r>
        <w:rPr>
          <w:rFonts w:ascii="宋体" w:hAnsi="宋体" w:cs="宋体" w:eastAsia="宋体" w:hint="default"/>
          <w:spacing w:val="-3"/>
          <w:sz w:val="18"/>
          <w:szCs w:val="18"/>
        </w:rPr>
        <w:t>万股，占公司总股本的</w:t>
      </w:r>
      <w:r>
        <w:rPr>
          <w:rFonts w:ascii="Times New Roman" w:hAnsi="Times New Roman" w:cs="Times New Roman" w:eastAsia="Times New Roman" w:hint="default"/>
          <w:spacing w:val="-3"/>
          <w:sz w:val="18"/>
          <w:szCs w:val="18"/>
        </w:rPr>
        <w:t>8.91%</w:t>
      </w:r>
      <w:r>
        <w:rPr>
          <w:rFonts w:ascii="宋体" w:hAnsi="宋体" w:cs="宋体" w:eastAsia="宋体" w:hint="default"/>
          <w:spacing w:val="-3"/>
          <w:sz w:val="18"/>
          <w:szCs w:val="18"/>
        </w:rPr>
        <w:t>；股东吴玉瑞女士所持公司股份质押数量为</w:t>
      </w:r>
      <w:r>
        <w:rPr>
          <w:rFonts w:ascii="Times New Roman" w:hAnsi="Times New Roman" w:cs="Times New Roman" w:eastAsia="Times New Roman" w:hint="default"/>
          <w:spacing w:val="-3"/>
          <w:sz w:val="18"/>
          <w:szCs w:val="18"/>
        </w:rPr>
        <w:t>5,539</w:t>
      </w:r>
      <w:r>
        <w:rPr>
          <w:rFonts w:ascii="宋体" w:hAnsi="宋体" w:cs="宋体" w:eastAsia="宋体" w:hint="default"/>
          <w:spacing w:val="-3"/>
          <w:sz w:val="18"/>
          <w:szCs w:val="18"/>
        </w:rPr>
        <w:t>万股，占公司</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总股本的</w:t>
      </w:r>
      <w:r>
        <w:rPr>
          <w:rFonts w:ascii="Times New Roman" w:hAnsi="Times New Roman" w:cs="Times New Roman" w:eastAsia="Times New Roman" w:hint="default"/>
          <w:spacing w:val="-3"/>
          <w:sz w:val="18"/>
          <w:szCs w:val="18"/>
        </w:rPr>
        <w:t>7.91%</w:t>
      </w:r>
      <w:r>
        <w:rPr>
          <w:rFonts w:ascii="宋体" w:hAnsi="宋体" w:cs="宋体" w:eastAsia="宋体" w:hint="default"/>
          <w:spacing w:val="-3"/>
          <w:sz w:val="18"/>
          <w:szCs w:val="18"/>
        </w:rPr>
        <w:t>。详见</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31</w:t>
      </w:r>
      <w:r>
        <w:rPr>
          <w:rFonts w:ascii="宋体" w:hAnsi="宋体" w:cs="宋体" w:eastAsia="宋体" w:hint="default"/>
          <w:spacing w:val="-3"/>
          <w:sz w:val="18"/>
          <w:szCs w:val="18"/>
        </w:rPr>
        <w:t>日披露的《视觉中国：关于股东部分股份解除质押的公告》（公告编号：</w:t>
      </w:r>
      <w:r>
        <w:rPr>
          <w:rFonts w:ascii="Times New Roman" w:hAnsi="Times New Roman" w:cs="Times New Roman" w:eastAsia="Times New Roman" w:hint="default"/>
          <w:spacing w:val="-3"/>
          <w:sz w:val="18"/>
          <w:szCs w:val="18"/>
        </w:rPr>
        <w:t>2019-074</w:t>
      </w:r>
      <w:r>
        <w:rPr>
          <w:rFonts w:ascii="宋体" w:hAnsi="宋体" w:cs="宋体" w:eastAsia="宋体" w:hint="default"/>
          <w:spacing w:val="-3"/>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5"/>
          <w:szCs w:val="25"/>
        </w:rPr>
      </w:pPr>
    </w:p>
    <w:p>
      <w:pPr>
        <w:pStyle w:val="Heading2"/>
        <w:spacing w:line="240" w:lineRule="auto"/>
        <w:ind w:right="0"/>
        <w:jc w:val="left"/>
        <w:rPr>
          <w:b w:val="0"/>
          <w:bCs w:val="0"/>
        </w:rPr>
      </w:pPr>
      <w:bookmarkStart w:name="二十、公司子公司重大事项" w:id="103"/>
      <w:bookmarkEnd w:id="103"/>
      <w:r>
        <w:rPr>
          <w:b w:val="0"/>
          <w:bCs w:val="0"/>
        </w:rPr>
      </w:r>
      <w:r>
        <w:rPr/>
        <w:t>二十、公司子公司重大事项</w:t>
      </w:r>
      <w:r>
        <w:rPr>
          <w:b w:val="0"/>
          <w:bCs w:val="0"/>
        </w:rPr>
      </w:r>
    </w:p>
    <w:p>
      <w:pPr>
        <w:spacing w:line="240" w:lineRule="auto" w:before="3"/>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043" w:right="0"/>
        <w:jc w:val="left"/>
        <w:rPr>
          <w:b w:val="0"/>
          <w:bCs w:val="0"/>
        </w:rPr>
      </w:pPr>
      <w:bookmarkStart w:name="第六节股份变动及股东情况" w:id="104"/>
      <w:bookmarkEnd w:id="104"/>
      <w:r>
        <w:rPr>
          <w:b w:val="0"/>
          <w:bCs w:val="0"/>
        </w:rPr>
      </w:r>
      <w:bookmarkStart w:name="_bookmark5" w:id="105"/>
      <w:bookmarkEnd w:id="105"/>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6"/>
      <w:bookmarkEnd w:id="106"/>
      <w:r>
        <w:rPr>
          <w:b w:val="0"/>
          <w:bCs w:val="0"/>
        </w:rPr>
      </w:r>
      <w:r>
        <w:rPr/>
        <w:t>一、股份变动情况</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bookmarkStart w:name="1、股份变动情况" w:id="107"/>
      <w:bookmarkEnd w:id="107"/>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216"/>
        <w:gridCol w:w="821"/>
        <w:gridCol w:w="826"/>
        <w:gridCol w:w="821"/>
        <w:gridCol w:w="826"/>
        <w:gridCol w:w="821"/>
        <w:gridCol w:w="821"/>
        <w:gridCol w:w="821"/>
        <w:gridCol w:w="797"/>
        <w:gridCol w:w="792"/>
      </w:tblGrid>
      <w:tr>
        <w:trPr>
          <w:trHeight w:val="398"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61" w:right="0"/>
              <w:jc w:val="left"/>
              <w:rPr>
                <w:rFonts w:ascii="宋体" w:hAnsi="宋体" w:cs="宋体" w:eastAsia="宋体" w:hint="default"/>
                <w:sz w:val="18"/>
                <w:szCs w:val="18"/>
              </w:rPr>
            </w:pPr>
            <w:r>
              <w:rPr>
                <w:rFonts w:ascii="宋体" w:hAnsi="宋体" w:cs="宋体" w:eastAsia="宋体" w:hint="default"/>
                <w:spacing w:val="-3"/>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3"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317" w:right="36" w:hanging="270"/>
              <w:jc w:val="left"/>
              <w:rPr>
                <w:rFonts w:ascii="宋体" w:hAnsi="宋体" w:cs="宋体" w:eastAsia="宋体" w:hint="default"/>
                <w:sz w:val="18"/>
                <w:szCs w:val="18"/>
              </w:rPr>
            </w:pPr>
            <w:r>
              <w:rPr>
                <w:rFonts w:ascii="宋体" w:hAnsi="宋体" w:cs="宋体" w:eastAsia="宋体" w:hint="default"/>
                <w:sz w:val="18"/>
                <w:szCs w:val="18"/>
              </w:rPr>
              <w:t>公积金转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w:t>
            </w: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1" w:type="dxa"/>
            <w:vMerge/>
            <w:tcBorders>
              <w:left w:val="single" w:sz="4" w:space="0" w:color="000000"/>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6"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6"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10" w:space="0" w:color="D2D2D2"/>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390,114,8</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63</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55.68%</w:t>
            </w:r>
          </w:p>
        </w:tc>
        <w:tc>
          <w:tcPr>
            <w:tcW w:w="821" w:type="dxa"/>
            <w:vMerge w:val="restart"/>
            <w:tcBorders>
              <w:top w:val="single" w:sz="4" w:space="0" w:color="000000"/>
              <w:left w:val="single" w:sz="4" w:space="0" w:color="000000"/>
              <w:right w:val="single" w:sz="4" w:space="0" w:color="000000"/>
            </w:tcBorders>
          </w:tcPr>
          <w:p>
            <w:pPr/>
          </w:p>
        </w:tc>
        <w:tc>
          <w:tcPr>
            <w:tcW w:w="826"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-350,714,</w:t>
            </w:r>
          </w:p>
          <w:p>
            <w:pPr>
              <w:pStyle w:val="TableParagraph"/>
              <w:spacing w:line="240" w:lineRule="auto" w:before="110"/>
              <w:ind w:left="523" w:right="0"/>
              <w:jc w:val="left"/>
              <w:rPr>
                <w:rFonts w:ascii="Times New Roman" w:hAnsi="Times New Roman" w:cs="Times New Roman" w:eastAsia="Times New Roman" w:hint="default"/>
                <w:sz w:val="18"/>
                <w:szCs w:val="18"/>
              </w:rPr>
            </w:pPr>
            <w:r>
              <w:rPr>
                <w:rFonts w:ascii="Times New Roman"/>
                <w:sz w:val="18"/>
              </w:rPr>
              <w:t>995</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-350,714,</w:t>
            </w:r>
          </w:p>
          <w:p>
            <w:pPr>
              <w:pStyle w:val="TableParagraph"/>
              <w:spacing w:line="240" w:lineRule="auto" w:before="110"/>
              <w:ind w:left="523" w:right="0"/>
              <w:jc w:val="left"/>
              <w:rPr>
                <w:rFonts w:ascii="Times New Roman" w:hAnsi="Times New Roman" w:cs="Times New Roman" w:eastAsia="Times New Roman" w:hint="default"/>
                <w:sz w:val="18"/>
                <w:szCs w:val="18"/>
              </w:rPr>
            </w:pPr>
            <w:r>
              <w:rPr>
                <w:rFonts w:ascii="Times New Roman"/>
                <w:sz w:val="18"/>
              </w:rPr>
              <w:t>995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39,399,86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5.62%</w:t>
            </w:r>
          </w:p>
        </w:tc>
      </w:tr>
      <w:tr>
        <w:trPr>
          <w:trHeight w:val="389"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一、有限售条件股份</w:t>
            </w:r>
          </w:p>
        </w:tc>
        <w:tc>
          <w:tcPr>
            <w:tcW w:w="821" w:type="dxa"/>
            <w:vMerge/>
            <w:tcBorders>
              <w:left w:val="single" w:sz="10" w:space="0" w:color="D2D2D2"/>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3"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10" w:space="0" w:color="D2D2D2"/>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398"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16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10" w:space="0" w:color="D2D2D2"/>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390,114,8</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63</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55.68%</w:t>
            </w:r>
          </w:p>
        </w:tc>
        <w:tc>
          <w:tcPr>
            <w:tcW w:w="821" w:type="dxa"/>
            <w:vMerge w:val="restart"/>
            <w:tcBorders>
              <w:top w:val="single" w:sz="4" w:space="0" w:color="000000"/>
              <w:left w:val="single" w:sz="4" w:space="0" w:color="000000"/>
              <w:right w:val="single" w:sz="4" w:space="0" w:color="000000"/>
            </w:tcBorders>
          </w:tcPr>
          <w:p>
            <w:pPr/>
          </w:p>
        </w:tc>
        <w:tc>
          <w:tcPr>
            <w:tcW w:w="826"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-350,714,</w:t>
            </w:r>
          </w:p>
          <w:p>
            <w:pPr>
              <w:pStyle w:val="TableParagraph"/>
              <w:spacing w:line="240" w:lineRule="auto" w:before="110"/>
              <w:ind w:left="523" w:right="0"/>
              <w:jc w:val="left"/>
              <w:rPr>
                <w:rFonts w:ascii="Times New Roman" w:hAnsi="Times New Roman" w:cs="Times New Roman" w:eastAsia="Times New Roman" w:hint="default"/>
                <w:sz w:val="18"/>
                <w:szCs w:val="18"/>
              </w:rPr>
            </w:pPr>
            <w:r>
              <w:rPr>
                <w:rFonts w:ascii="Times New Roman"/>
                <w:sz w:val="18"/>
              </w:rPr>
              <w:t>995</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-350,714,</w:t>
            </w:r>
          </w:p>
          <w:p>
            <w:pPr>
              <w:pStyle w:val="TableParagraph"/>
              <w:spacing w:line="240" w:lineRule="auto" w:before="110"/>
              <w:ind w:left="523" w:right="0"/>
              <w:jc w:val="left"/>
              <w:rPr>
                <w:rFonts w:ascii="Times New Roman" w:hAnsi="Times New Roman" w:cs="Times New Roman" w:eastAsia="Times New Roman" w:hint="default"/>
                <w:sz w:val="18"/>
                <w:szCs w:val="18"/>
              </w:rPr>
            </w:pPr>
            <w:r>
              <w:rPr>
                <w:rFonts w:ascii="Times New Roman"/>
                <w:sz w:val="18"/>
              </w:rPr>
              <w:t>995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39,399,86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5.62%</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1" w:type="dxa"/>
            <w:vMerge/>
            <w:tcBorders>
              <w:left w:val="single" w:sz="10" w:space="0" w:color="D2D2D2"/>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58"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10" w:space="0" w:color="D2D2D2"/>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其中：境内法人持股</w:t>
            </w:r>
          </w:p>
        </w:tc>
        <w:tc>
          <w:tcPr>
            <w:tcW w:w="8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2,074,522</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0.29%</w:t>
            </w:r>
          </w:p>
        </w:tc>
        <w:tc>
          <w:tcPr>
            <w:tcW w:w="821"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2,074,522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0.29%</w:t>
            </w:r>
          </w:p>
        </w:tc>
      </w:tr>
      <w:tr>
        <w:trPr>
          <w:trHeight w:val="158"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10" w:space="0" w:color="D2D2D2"/>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388,040,3</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41</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55.39%</w:t>
            </w:r>
          </w:p>
        </w:tc>
        <w:tc>
          <w:tcPr>
            <w:tcW w:w="821" w:type="dxa"/>
            <w:vMerge w:val="restart"/>
            <w:tcBorders>
              <w:top w:val="single" w:sz="4" w:space="0" w:color="000000"/>
              <w:left w:val="single" w:sz="4" w:space="0" w:color="000000"/>
              <w:right w:val="single" w:sz="4" w:space="0" w:color="000000"/>
            </w:tcBorders>
          </w:tcPr>
          <w:p>
            <w:pPr/>
          </w:p>
        </w:tc>
        <w:tc>
          <w:tcPr>
            <w:tcW w:w="826"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-350,714,</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995</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-350,714,</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995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37,325,34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5.33%</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387"/>
              <w:jc w:val="right"/>
              <w:rPr>
                <w:rFonts w:ascii="宋体" w:hAnsi="宋体" w:cs="宋体" w:eastAsia="宋体" w:hint="default"/>
                <w:sz w:val="18"/>
                <w:szCs w:val="18"/>
              </w:rPr>
            </w:pPr>
            <w:r>
              <w:rPr>
                <w:rFonts w:ascii="宋体" w:hAnsi="宋体" w:cs="宋体" w:eastAsia="宋体" w:hint="default"/>
                <w:spacing w:val="-3"/>
                <w:sz w:val="18"/>
                <w:szCs w:val="18"/>
              </w:rPr>
              <w:t>境内自然人持股</w:t>
            </w:r>
          </w:p>
        </w:tc>
        <w:tc>
          <w:tcPr>
            <w:tcW w:w="821" w:type="dxa"/>
            <w:vMerge/>
            <w:tcBorders>
              <w:left w:val="single" w:sz="10" w:space="0" w:color="D2D2D2"/>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3"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10" w:space="0" w:color="D2D2D2"/>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399"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其中：境外法人持股</w:t>
            </w:r>
          </w:p>
        </w:tc>
        <w:tc>
          <w:tcPr>
            <w:tcW w:w="8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87"/>
              <w:jc w:val="right"/>
              <w:rPr>
                <w:rFonts w:ascii="宋体" w:hAnsi="宋体" w:cs="宋体" w:eastAsia="宋体" w:hint="default"/>
                <w:sz w:val="18"/>
                <w:szCs w:val="18"/>
              </w:rPr>
            </w:pPr>
            <w:r>
              <w:rPr>
                <w:rFonts w:ascii="宋体" w:hAnsi="宋体" w:cs="宋体" w:eastAsia="宋体" w:hint="default"/>
                <w:spacing w:val="-3"/>
                <w:sz w:val="18"/>
                <w:szCs w:val="18"/>
              </w:rPr>
              <w:t>境外自然人持股</w:t>
            </w:r>
          </w:p>
        </w:tc>
        <w:tc>
          <w:tcPr>
            <w:tcW w:w="8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158"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10" w:space="0" w:color="D2D2D2"/>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310,462,5</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73</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44.32%</w:t>
            </w:r>
          </w:p>
        </w:tc>
        <w:tc>
          <w:tcPr>
            <w:tcW w:w="821" w:type="dxa"/>
            <w:vMerge w:val="restart"/>
            <w:tcBorders>
              <w:top w:val="single" w:sz="4" w:space="0" w:color="000000"/>
              <w:left w:val="single" w:sz="4" w:space="0" w:color="000000"/>
              <w:right w:val="single" w:sz="4" w:space="0" w:color="000000"/>
            </w:tcBorders>
          </w:tcPr>
          <w:p>
            <w:pPr/>
          </w:p>
        </w:tc>
        <w:tc>
          <w:tcPr>
            <w:tcW w:w="826"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350,714,9</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95</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350,714,9</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95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661,177,5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68</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94.38%</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二、无限售条件股份</w:t>
            </w:r>
          </w:p>
        </w:tc>
        <w:tc>
          <w:tcPr>
            <w:tcW w:w="821" w:type="dxa"/>
            <w:vMerge/>
            <w:tcBorders>
              <w:left w:val="single" w:sz="10" w:space="0" w:color="D2D2D2"/>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3"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10" w:space="0" w:color="D2D2D2"/>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59"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13" w:space="0" w:color="D2D2D2"/>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310,462,5</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73</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44.32%</w:t>
            </w:r>
          </w:p>
        </w:tc>
        <w:tc>
          <w:tcPr>
            <w:tcW w:w="821" w:type="dxa"/>
            <w:vMerge w:val="restart"/>
            <w:tcBorders>
              <w:top w:val="single" w:sz="4" w:space="0" w:color="000000"/>
              <w:left w:val="single" w:sz="4" w:space="0" w:color="000000"/>
              <w:right w:val="single" w:sz="4" w:space="0" w:color="000000"/>
            </w:tcBorders>
          </w:tcPr>
          <w:p>
            <w:pPr/>
          </w:p>
        </w:tc>
        <w:tc>
          <w:tcPr>
            <w:tcW w:w="826"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350,714,9</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95</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350,714,9</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95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661,177,5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68</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94.38%</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1" w:type="dxa"/>
            <w:vMerge/>
            <w:tcBorders>
              <w:left w:val="single" w:sz="13" w:space="0" w:color="D2D2D2"/>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58"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13" w:space="0" w:color="D2D2D2"/>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、境外上市的外资股</w:t>
            </w:r>
            <w:r>
              <w:rPr>
                <w:rFonts w:ascii="宋体" w:hAnsi="宋体" w:cs="宋体" w:eastAsia="宋体" w:hint="default"/>
                <w:sz w:val="18"/>
                <w:szCs w:val="18"/>
              </w:rPr>
            </w:r>
          </w:p>
        </w:tc>
        <w:tc>
          <w:tcPr>
            <w:tcW w:w="8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158"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13" w:space="0" w:color="D2D2D2"/>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700,577,4</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36</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100.00%</w:t>
            </w:r>
          </w:p>
        </w:tc>
        <w:tc>
          <w:tcPr>
            <w:tcW w:w="821" w:type="dxa"/>
            <w:vMerge w:val="restart"/>
            <w:tcBorders>
              <w:top w:val="single" w:sz="4" w:space="0" w:color="000000"/>
              <w:left w:val="single" w:sz="4" w:space="0" w:color="000000"/>
              <w:right w:val="single" w:sz="4" w:space="0" w:color="000000"/>
            </w:tcBorders>
          </w:tcPr>
          <w:p>
            <w:pPr/>
          </w:p>
        </w:tc>
        <w:tc>
          <w:tcPr>
            <w:tcW w:w="826"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700,577,4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36</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100.00%</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1" w:type="dxa"/>
            <w:vMerge/>
            <w:tcBorders>
              <w:left w:val="single" w:sz="13" w:space="0" w:color="D2D2D2"/>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58"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13" w:space="0" w:color="D2D2D2"/>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股份变动的原因</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300" w:lineRule="auto" w:before="97"/>
        <w:ind w:left="153" w:right="1117" w:firstLine="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18</w:t>
      </w:r>
      <w:r>
        <w:rPr>
          <w:rFonts w:ascii="宋体" w:hAnsi="宋体" w:cs="宋体" w:eastAsia="宋体" w:hint="default"/>
          <w:spacing w:val="-2"/>
          <w:sz w:val="18"/>
          <w:szCs w:val="18"/>
        </w:rPr>
        <w:t>日，</w:t>
      </w:r>
      <w:r>
        <w:rPr>
          <w:rFonts w:ascii="Times New Roman" w:hAnsi="Times New Roman" w:cs="Times New Roman" w:eastAsia="Times New Roman" w:hint="default"/>
          <w:spacing w:val="-2"/>
          <w:sz w:val="18"/>
          <w:szCs w:val="18"/>
        </w:rPr>
        <w:t>388,039,891</w:t>
      </w:r>
      <w:r>
        <w:rPr>
          <w:rFonts w:ascii="Times New Roman" w:hAnsi="Times New Roman" w:cs="Times New Roman" w:eastAsia="Times New Roman" w:hint="default"/>
          <w:sz w:val="18"/>
          <w:szCs w:val="18"/>
        </w:rPr>
        <w:t> </w:t>
      </w:r>
      <w:r>
        <w:rPr>
          <w:rFonts w:ascii="宋体" w:hAnsi="宋体" w:cs="宋体" w:eastAsia="宋体" w:hint="default"/>
          <w:spacing w:val="-2"/>
          <w:sz w:val="18"/>
          <w:szCs w:val="18"/>
        </w:rPr>
        <w:t>股限售股份解除限售，实际可上市流通</w:t>
      </w:r>
      <w:r>
        <w:rPr>
          <w:rFonts w:ascii="Times New Roman" w:hAnsi="Times New Roman" w:cs="Times New Roman" w:eastAsia="Times New Roman" w:hint="default"/>
          <w:spacing w:val="-2"/>
          <w:sz w:val="18"/>
          <w:szCs w:val="18"/>
        </w:rPr>
        <w:t>350,718,295</w:t>
      </w:r>
      <w:r>
        <w:rPr>
          <w:rFonts w:ascii="宋体" w:hAnsi="宋体" w:cs="宋体" w:eastAsia="宋体" w:hint="default"/>
          <w:spacing w:val="-2"/>
          <w:sz w:val="18"/>
          <w:szCs w:val="18"/>
        </w:rPr>
        <w:t>股，详见公司于</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17</w:t>
      </w:r>
      <w:r>
        <w:rPr>
          <w:rFonts w:ascii="宋体" w:hAnsi="宋体" w:cs="宋体" w:eastAsia="宋体" w:hint="default"/>
          <w:spacing w:val="-2"/>
          <w:sz w:val="18"/>
          <w:szCs w:val="18"/>
        </w:rPr>
        <w:t>日披露的《关</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于部分限售股份解除限售的提示性公告》（公告编号：</w:t>
      </w:r>
      <w:r>
        <w:rPr>
          <w:rFonts w:ascii="Times New Roman" w:hAnsi="Times New Roman" w:cs="Times New Roman" w:eastAsia="Times New Roman" w:hint="default"/>
          <w:spacing w:val="-3"/>
          <w:sz w:val="18"/>
          <w:szCs w:val="18"/>
        </w:rPr>
        <w:t>2019-049</w:t>
      </w:r>
      <w:r>
        <w:rPr>
          <w:rFonts w:ascii="宋体" w:hAnsi="宋体" w:cs="宋体" w:eastAsia="宋体" w:hint="default"/>
          <w:spacing w:val="-3"/>
          <w:sz w:val="18"/>
          <w:szCs w:val="18"/>
        </w:rPr>
        <w:t>）。</w:t>
      </w:r>
      <w:r>
        <w:rPr>
          <w:rFonts w:ascii="宋体" w:hAnsi="宋体" w:cs="宋体" w:eastAsia="宋体" w:hint="default"/>
          <w:spacing w:val="3"/>
          <w:sz w:val="18"/>
          <w:szCs w:val="18"/>
        </w:rPr>
        <w:t> </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日，董事会聘任白怀志先生为公司副总裁，白怀志先生持有本公司股票</w:t>
      </w:r>
      <w:r>
        <w:rPr>
          <w:rFonts w:ascii="Times New Roman" w:hAnsi="Times New Roman" w:cs="Times New Roman" w:eastAsia="Times New Roman" w:hint="default"/>
          <w:spacing w:val="-3"/>
          <w:sz w:val="18"/>
          <w:szCs w:val="18"/>
        </w:rPr>
        <w:t>5,000</w:t>
      </w:r>
      <w:r>
        <w:rPr>
          <w:rFonts w:ascii="宋体" w:hAnsi="宋体" w:cs="宋体" w:eastAsia="宋体" w:hint="default"/>
          <w:spacing w:val="-3"/>
          <w:sz w:val="18"/>
          <w:szCs w:val="18"/>
        </w:rPr>
        <w:t>股，根据规定其中</w:t>
      </w:r>
      <w:r>
        <w:rPr>
          <w:rFonts w:ascii="Times New Roman" w:hAnsi="Times New Roman" w:cs="Times New Roman" w:eastAsia="Times New Roman" w:hint="default"/>
          <w:spacing w:val="-3"/>
          <w:sz w:val="18"/>
          <w:szCs w:val="18"/>
        </w:rPr>
        <w:t>75%</w:t>
      </w:r>
      <w:r>
        <w:rPr>
          <w:rFonts w:ascii="宋体" w:hAnsi="宋体" w:cs="宋体" w:eastAsia="宋体" w:hint="default"/>
          <w:spacing w:val="-3"/>
          <w:sz w:val="18"/>
          <w:szCs w:val="18"/>
        </w:rPr>
        <w:t>自动锁定。</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详见公司于</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13</w:t>
      </w:r>
      <w:r>
        <w:rPr>
          <w:rFonts w:ascii="宋体" w:hAnsi="宋体" w:cs="宋体" w:eastAsia="宋体" w:hint="default"/>
          <w:spacing w:val="-3"/>
          <w:sz w:val="18"/>
          <w:szCs w:val="18"/>
        </w:rPr>
        <w:t>日披露的《第九届董事会第六次会议决议公告》（公告编号：</w:t>
      </w:r>
      <w:r>
        <w:rPr>
          <w:rFonts w:ascii="Times New Roman" w:hAnsi="Times New Roman" w:cs="Times New Roman" w:eastAsia="Times New Roman" w:hint="default"/>
          <w:spacing w:val="-3"/>
          <w:sz w:val="18"/>
          <w:szCs w:val="18"/>
        </w:rPr>
        <w:t>2019-030</w:t>
      </w:r>
      <w:r>
        <w:rPr>
          <w:rFonts w:ascii="宋体" w:hAnsi="宋体" w:cs="宋体" w:eastAsia="宋体" w:hint="default"/>
          <w:spacing w:val="-3"/>
          <w:sz w:val="18"/>
          <w:szCs w:val="18"/>
        </w:rPr>
        <w:t>）。</w:t>
      </w:r>
      <w:r>
        <w:rPr>
          <w:rFonts w:ascii="宋体" w:hAnsi="宋体" w:cs="宋体" w:eastAsia="宋体" w:hint="default"/>
          <w:sz w:val="18"/>
          <w:szCs w:val="18"/>
        </w:rPr>
      </w:r>
    </w:p>
    <w:p>
      <w:pPr>
        <w:spacing w:after="0" w:line="30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职</w:t>
      </w:r>
      <w:r>
        <w:rPr>
          <w:rFonts w:ascii="宋体" w:hAnsi="宋体" w:cs="宋体" w:eastAsia="宋体" w:hint="default"/>
          <w:spacing w:val="-5"/>
          <w:w w:val="101"/>
          <w:sz w:val="18"/>
          <w:szCs w:val="18"/>
        </w:rPr>
        <w:t>工</w:t>
      </w:r>
      <w:r>
        <w:rPr>
          <w:rFonts w:ascii="宋体" w:hAnsi="宋体" w:cs="宋体" w:eastAsia="宋体" w:hint="default"/>
          <w:w w:val="101"/>
          <w:sz w:val="18"/>
          <w:szCs w:val="18"/>
        </w:rPr>
        <w:t>监</w:t>
      </w:r>
      <w:r>
        <w:rPr>
          <w:rFonts w:ascii="宋体" w:hAnsi="宋体" w:cs="宋体" w:eastAsia="宋体" w:hint="default"/>
          <w:spacing w:val="-5"/>
          <w:w w:val="101"/>
          <w:sz w:val="18"/>
          <w:szCs w:val="18"/>
        </w:rPr>
        <w:t>事</w:t>
      </w:r>
      <w:r>
        <w:rPr>
          <w:rFonts w:ascii="宋体" w:hAnsi="宋体" w:cs="宋体" w:eastAsia="宋体" w:hint="default"/>
          <w:w w:val="101"/>
          <w:sz w:val="18"/>
          <w:szCs w:val="18"/>
        </w:rPr>
        <w:t>苏</w:t>
      </w:r>
      <w:r>
        <w:rPr>
          <w:rFonts w:ascii="宋体" w:hAnsi="宋体" w:cs="宋体" w:eastAsia="宋体" w:hint="default"/>
          <w:spacing w:val="-5"/>
          <w:w w:val="101"/>
          <w:sz w:val="18"/>
          <w:szCs w:val="18"/>
        </w:rPr>
        <w:t>华</w:t>
      </w:r>
      <w:r>
        <w:rPr>
          <w:rFonts w:ascii="宋体" w:hAnsi="宋体" w:cs="宋体" w:eastAsia="宋体" w:hint="default"/>
          <w:w w:val="101"/>
          <w:sz w:val="18"/>
          <w:szCs w:val="18"/>
        </w:rPr>
        <w:t>先</w:t>
      </w:r>
      <w:r>
        <w:rPr>
          <w:rFonts w:ascii="宋体" w:hAnsi="宋体" w:cs="宋体" w:eastAsia="宋体" w:hint="default"/>
          <w:spacing w:val="-5"/>
          <w:w w:val="101"/>
          <w:sz w:val="18"/>
          <w:szCs w:val="18"/>
        </w:rPr>
        <w:t>生</w:t>
      </w:r>
      <w:r>
        <w:rPr>
          <w:rFonts w:ascii="宋体" w:hAnsi="宋体" w:cs="宋体" w:eastAsia="宋体" w:hint="default"/>
          <w:w w:val="101"/>
          <w:sz w:val="18"/>
          <w:szCs w:val="18"/>
        </w:rPr>
        <w:t>于</w:t>
      </w:r>
      <w:r>
        <w:rPr>
          <w:rFonts w:ascii="Times New Roman" w:hAnsi="Times New Roman" w:cs="Times New Roman" w:eastAsia="Times New Roman" w:hint="default"/>
          <w:w w:val="101"/>
          <w:sz w:val="18"/>
          <w:szCs w:val="18"/>
        </w:rPr>
        <w:t>20</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w w:val="101"/>
          <w:sz w:val="18"/>
          <w:szCs w:val="18"/>
        </w:rPr>
        <w:t>8</w:t>
      </w:r>
      <w:r>
        <w:rPr>
          <w:rFonts w:ascii="宋体" w:hAnsi="宋体" w:cs="宋体" w:eastAsia="宋体" w:hint="default"/>
          <w:w w:val="101"/>
          <w:sz w:val="18"/>
          <w:szCs w:val="18"/>
        </w:rPr>
        <w:t>年</w:t>
      </w:r>
      <w:r>
        <w:rPr>
          <w:rFonts w:ascii="Times New Roman" w:hAnsi="Times New Roman" w:cs="Times New Roman" w:eastAsia="Times New Roman" w:hint="default"/>
          <w:spacing w:val="-5"/>
          <w:w w:val="101"/>
          <w:sz w:val="18"/>
          <w:szCs w:val="18"/>
        </w:rPr>
        <w:t>1</w:t>
      </w:r>
      <w:r>
        <w:rPr>
          <w:rFonts w:ascii="宋体" w:hAnsi="宋体" w:cs="宋体" w:eastAsia="宋体" w:hint="default"/>
          <w:w w:val="101"/>
          <w:sz w:val="18"/>
          <w:szCs w:val="18"/>
        </w:rPr>
        <w:t>月</w:t>
      </w:r>
      <w:r>
        <w:rPr>
          <w:rFonts w:ascii="宋体" w:hAnsi="宋体" w:cs="宋体" w:eastAsia="宋体" w:hint="default"/>
          <w:spacing w:val="-5"/>
          <w:w w:val="101"/>
          <w:sz w:val="18"/>
          <w:szCs w:val="18"/>
        </w:rPr>
        <w:t>通</w:t>
      </w:r>
      <w:r>
        <w:rPr>
          <w:rFonts w:ascii="宋体" w:hAnsi="宋体" w:cs="宋体" w:eastAsia="宋体" w:hint="default"/>
          <w:w w:val="101"/>
          <w:sz w:val="18"/>
          <w:szCs w:val="18"/>
        </w:rPr>
        <w:t>过</w:t>
      </w:r>
      <w:r>
        <w:rPr>
          <w:rFonts w:ascii="宋体" w:hAnsi="宋体" w:cs="宋体" w:eastAsia="宋体" w:hint="default"/>
          <w:spacing w:val="-5"/>
          <w:w w:val="101"/>
          <w:sz w:val="18"/>
          <w:szCs w:val="18"/>
        </w:rPr>
        <w:t>深</w:t>
      </w:r>
      <w:r>
        <w:rPr>
          <w:rFonts w:ascii="宋体" w:hAnsi="宋体" w:cs="宋体" w:eastAsia="宋体" w:hint="default"/>
          <w:w w:val="101"/>
          <w:sz w:val="18"/>
          <w:szCs w:val="18"/>
        </w:rPr>
        <w:t>圳</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交</w:t>
      </w:r>
      <w:r>
        <w:rPr>
          <w:rFonts w:ascii="宋体" w:hAnsi="宋体" w:cs="宋体" w:eastAsia="宋体" w:hint="default"/>
          <w:w w:val="101"/>
          <w:sz w:val="18"/>
          <w:szCs w:val="18"/>
        </w:rPr>
        <w:t>易</w:t>
      </w:r>
      <w:r>
        <w:rPr>
          <w:rFonts w:ascii="宋体" w:hAnsi="宋体" w:cs="宋体" w:eastAsia="宋体" w:hint="default"/>
          <w:spacing w:val="-5"/>
          <w:w w:val="101"/>
          <w:sz w:val="18"/>
          <w:szCs w:val="18"/>
        </w:rPr>
        <w:t>所</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交</w:t>
      </w:r>
      <w:r>
        <w:rPr>
          <w:rFonts w:ascii="宋体" w:hAnsi="宋体" w:cs="宋体" w:eastAsia="宋体" w:hint="default"/>
          <w:spacing w:val="-5"/>
          <w:w w:val="101"/>
          <w:sz w:val="18"/>
          <w:szCs w:val="18"/>
        </w:rPr>
        <w:t>易</w:t>
      </w:r>
      <w:r>
        <w:rPr>
          <w:rFonts w:ascii="宋体" w:hAnsi="宋体" w:cs="宋体" w:eastAsia="宋体" w:hint="default"/>
          <w:w w:val="101"/>
          <w:sz w:val="18"/>
          <w:szCs w:val="18"/>
        </w:rPr>
        <w:t>系</w:t>
      </w:r>
      <w:r>
        <w:rPr>
          <w:rFonts w:ascii="宋体" w:hAnsi="宋体" w:cs="宋体" w:eastAsia="宋体" w:hint="default"/>
          <w:spacing w:val="-5"/>
          <w:w w:val="101"/>
          <w:sz w:val="18"/>
          <w:szCs w:val="18"/>
        </w:rPr>
        <w:t>统</w:t>
      </w:r>
      <w:r>
        <w:rPr>
          <w:rFonts w:ascii="宋体" w:hAnsi="宋体" w:cs="宋体" w:eastAsia="宋体" w:hint="default"/>
          <w:w w:val="101"/>
          <w:sz w:val="18"/>
          <w:szCs w:val="18"/>
        </w:rPr>
        <w:t>集</w:t>
      </w:r>
      <w:r>
        <w:rPr>
          <w:rFonts w:ascii="宋体" w:hAnsi="宋体" w:cs="宋体" w:eastAsia="宋体" w:hint="default"/>
          <w:spacing w:val="-5"/>
          <w:w w:val="101"/>
          <w:sz w:val="18"/>
          <w:szCs w:val="18"/>
        </w:rPr>
        <w:t>中</w:t>
      </w:r>
      <w:r>
        <w:rPr>
          <w:rFonts w:ascii="宋体" w:hAnsi="宋体" w:cs="宋体" w:eastAsia="宋体" w:hint="default"/>
          <w:w w:val="101"/>
          <w:sz w:val="18"/>
          <w:szCs w:val="18"/>
        </w:rPr>
        <w:t>竞</w:t>
      </w:r>
      <w:r>
        <w:rPr>
          <w:rFonts w:ascii="宋体" w:hAnsi="宋体" w:cs="宋体" w:eastAsia="宋体" w:hint="default"/>
          <w:spacing w:val="-5"/>
          <w:w w:val="101"/>
          <w:sz w:val="18"/>
          <w:szCs w:val="18"/>
        </w:rPr>
        <w:t>价</w:t>
      </w:r>
      <w:r>
        <w:rPr>
          <w:rFonts w:ascii="宋体" w:hAnsi="宋体" w:cs="宋体" w:eastAsia="宋体" w:hint="default"/>
          <w:w w:val="101"/>
          <w:sz w:val="18"/>
          <w:szCs w:val="18"/>
        </w:rPr>
        <w:t>方</w:t>
      </w:r>
      <w:r>
        <w:rPr>
          <w:rFonts w:ascii="宋体" w:hAnsi="宋体" w:cs="宋体" w:eastAsia="宋体" w:hint="default"/>
          <w:spacing w:val="-5"/>
          <w:w w:val="101"/>
          <w:sz w:val="18"/>
          <w:szCs w:val="18"/>
        </w:rPr>
        <w:t>式</w:t>
      </w:r>
      <w:r>
        <w:rPr>
          <w:rFonts w:ascii="宋体" w:hAnsi="宋体" w:cs="宋体" w:eastAsia="宋体" w:hint="default"/>
          <w:w w:val="101"/>
          <w:sz w:val="18"/>
          <w:szCs w:val="18"/>
        </w:rPr>
        <w:t>购</w:t>
      </w:r>
      <w:r>
        <w:rPr>
          <w:rFonts w:ascii="宋体" w:hAnsi="宋体" w:cs="宋体" w:eastAsia="宋体" w:hint="default"/>
          <w:spacing w:val="-5"/>
          <w:w w:val="101"/>
          <w:sz w:val="18"/>
          <w:szCs w:val="18"/>
        </w:rPr>
        <w:t>买</w:t>
      </w:r>
      <w:r>
        <w:rPr>
          <w:rFonts w:ascii="宋体" w:hAnsi="宋体" w:cs="宋体" w:eastAsia="宋体" w:hint="default"/>
          <w:w w:val="101"/>
          <w:sz w:val="18"/>
          <w:szCs w:val="18"/>
        </w:rPr>
        <w:t>了</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股</w:t>
      </w:r>
      <w:r>
        <w:rPr>
          <w:rFonts w:ascii="宋体" w:hAnsi="宋体" w:cs="宋体" w:eastAsia="宋体" w:hint="default"/>
          <w:spacing w:val="1"/>
          <w:w w:val="101"/>
          <w:sz w:val="18"/>
          <w:szCs w:val="18"/>
        </w:rPr>
        <w:t>票</w:t>
      </w:r>
      <w:r>
        <w:rPr>
          <w:rFonts w:ascii="Times New Roman" w:hAnsi="Times New Roman" w:cs="Times New Roman" w:eastAsia="Times New Roman" w:hint="default"/>
          <w:w w:val="101"/>
          <w:sz w:val="18"/>
          <w:szCs w:val="18"/>
        </w:rPr>
        <w:t>60</w:t>
      </w:r>
      <w:r>
        <w:rPr>
          <w:rFonts w:ascii="Times New Roman" w:hAnsi="Times New Roman" w:cs="Times New Roman" w:eastAsia="Times New Roman" w:hint="default"/>
          <w:spacing w:val="-5"/>
          <w:w w:val="101"/>
          <w:sz w:val="18"/>
          <w:szCs w:val="18"/>
        </w:rPr>
        <w:t>0</w:t>
      </w:r>
      <w:r>
        <w:rPr>
          <w:rFonts w:ascii="宋体" w:hAnsi="宋体" w:cs="宋体" w:eastAsia="宋体" w:hint="default"/>
          <w:w w:val="101"/>
          <w:sz w:val="18"/>
          <w:szCs w:val="18"/>
        </w:rPr>
        <w:t>股</w:t>
      </w:r>
      <w:r>
        <w:rPr>
          <w:rFonts w:ascii="宋体" w:hAnsi="宋体" w:cs="宋体" w:eastAsia="宋体" w:hint="default"/>
          <w:spacing w:val="-87"/>
          <w:w w:val="101"/>
          <w:sz w:val="18"/>
          <w:szCs w:val="18"/>
        </w:rPr>
        <w:t>，</w:t>
      </w:r>
      <w:r>
        <w:rPr>
          <w:rFonts w:ascii="宋体" w:hAnsi="宋体" w:cs="宋体" w:eastAsia="宋体" w:hint="default"/>
          <w:w w:val="101"/>
          <w:sz w:val="18"/>
          <w:szCs w:val="18"/>
        </w:rPr>
        <w:t>其</w:t>
      </w:r>
      <w:r>
        <w:rPr>
          <w:rFonts w:ascii="宋体" w:hAnsi="宋体" w:cs="宋体" w:eastAsia="宋体" w:hint="default"/>
          <w:spacing w:val="-5"/>
          <w:w w:val="101"/>
          <w:sz w:val="18"/>
          <w:szCs w:val="18"/>
        </w:rPr>
        <w:t>被</w:t>
      </w:r>
      <w:r>
        <w:rPr>
          <w:rFonts w:ascii="宋体" w:hAnsi="宋体" w:cs="宋体" w:eastAsia="宋体" w:hint="default"/>
          <w:w w:val="101"/>
          <w:sz w:val="18"/>
          <w:szCs w:val="18"/>
        </w:rPr>
        <w:t>锁</w:t>
      </w:r>
      <w:r>
        <w:rPr>
          <w:rFonts w:ascii="宋体" w:hAnsi="宋体" w:cs="宋体" w:eastAsia="宋体" w:hint="default"/>
          <w:spacing w:val="-5"/>
          <w:w w:val="101"/>
          <w:sz w:val="18"/>
          <w:szCs w:val="18"/>
        </w:rPr>
        <w:t>定</w:t>
      </w:r>
      <w:r>
        <w:rPr>
          <w:rFonts w:ascii="宋体" w:hAnsi="宋体" w:cs="宋体" w:eastAsia="宋体" w:hint="default"/>
          <w:w w:val="101"/>
          <w:sz w:val="18"/>
          <w:szCs w:val="18"/>
        </w:rPr>
        <w:t>部</w:t>
      </w:r>
      <w:r>
        <w:rPr>
          <w:rFonts w:ascii="宋体" w:hAnsi="宋体" w:cs="宋体" w:eastAsia="宋体" w:hint="default"/>
          <w:spacing w:val="-5"/>
          <w:w w:val="101"/>
          <w:sz w:val="18"/>
          <w:szCs w:val="18"/>
        </w:rPr>
        <w:t>分</w:t>
      </w:r>
      <w:r>
        <w:rPr>
          <w:rFonts w:ascii="宋体" w:hAnsi="宋体" w:cs="宋体" w:eastAsia="宋体" w:hint="default"/>
          <w:w w:val="101"/>
          <w:sz w:val="18"/>
          <w:szCs w:val="18"/>
        </w:rPr>
        <w:t>于</w:t>
      </w:r>
      <w:r>
        <w:rPr>
          <w:rFonts w:ascii="宋体" w:hAnsi="宋体" w:cs="宋体" w:eastAsia="宋体" w:hint="default"/>
          <w:sz w:val="18"/>
          <w:szCs w:val="18"/>
        </w:rPr>
      </w:r>
    </w:p>
    <w:p>
      <w:pPr>
        <w:spacing w:line="343" w:lineRule="auto" w:before="63"/>
        <w:ind w:left="153" w:right="7956" w:firstLine="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月解除锁定。</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3"/>
          <w:sz w:val="18"/>
          <w:szCs w:val="18"/>
        </w:rPr>
        <w:t>股份变动的批准情况</w:t>
      </w:r>
    </w:p>
    <w:p>
      <w:pPr>
        <w:spacing w:line="338" w:lineRule="auto" w:before="43"/>
        <w:ind w:left="153" w:right="795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股份变动的过户情况</w:t>
      </w:r>
    </w:p>
    <w:p>
      <w:pPr>
        <w:spacing w:line="343" w:lineRule="auto" w:before="41"/>
        <w:ind w:left="153" w:right="795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股份回购的实施进展情况</w:t>
      </w:r>
    </w:p>
    <w:p>
      <w:pPr>
        <w:spacing w:line="338" w:lineRule="auto" w:before="37"/>
        <w:ind w:left="153" w:right="628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采用集中竞价方式减持回购股份的实施进展情况</w:t>
      </w:r>
    </w:p>
    <w:p>
      <w:pPr>
        <w:spacing w:line="338" w:lineRule="auto" w:before="46"/>
        <w:ind w:left="153" w:right="11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股份变动对最近一年和最近一期基本每股收益和稀释每股收益、归属于公司普通股股东的每股净资产等财务指标的影响</w:t>
      </w:r>
    </w:p>
    <w:p>
      <w:pPr>
        <w:spacing w:line="343" w:lineRule="auto" w:before="41"/>
        <w:ind w:left="153" w:right="628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公司认为必要或证券监管机构要求披露的其他内容</w:t>
      </w:r>
    </w:p>
    <w:p>
      <w:pPr>
        <w:spacing w:before="38"/>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2、限售股份变动情况" w:id="108"/>
      <w:bookmarkEnd w:id="108"/>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6"/>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单位：股</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79"/>
        <w:gridCol w:w="1349"/>
        <w:gridCol w:w="1349"/>
        <w:gridCol w:w="1349"/>
        <w:gridCol w:w="1349"/>
        <w:gridCol w:w="1349"/>
        <w:gridCol w:w="1349"/>
      </w:tblGrid>
      <w:tr>
        <w:trPr>
          <w:trHeight w:val="715"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81" w:right="36" w:hanging="543"/>
              <w:jc w:val="left"/>
              <w:rPr>
                <w:rFonts w:ascii="宋体" w:hAnsi="宋体" w:cs="宋体" w:eastAsia="宋体" w:hint="default"/>
                <w:sz w:val="18"/>
                <w:szCs w:val="18"/>
              </w:rPr>
            </w:pPr>
            <w:r>
              <w:rPr>
                <w:rFonts w:ascii="宋体" w:hAnsi="宋体" w:cs="宋体" w:eastAsia="宋体" w:hint="default"/>
                <w:spacing w:val="-3"/>
                <w:sz w:val="18"/>
                <w:szCs w:val="18"/>
              </w:rPr>
              <w:t>本期增加限售股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81" w:right="36" w:hanging="543"/>
              <w:jc w:val="left"/>
              <w:rPr>
                <w:rFonts w:ascii="宋体" w:hAnsi="宋体" w:cs="宋体" w:eastAsia="宋体" w:hint="default"/>
                <w:sz w:val="18"/>
                <w:szCs w:val="18"/>
              </w:rPr>
            </w:pPr>
            <w:r>
              <w:rPr>
                <w:rFonts w:ascii="宋体" w:hAnsi="宋体" w:cs="宋体" w:eastAsia="宋体" w:hint="default"/>
                <w:spacing w:val="-3"/>
                <w:sz w:val="18"/>
                <w:szCs w:val="18"/>
              </w:rPr>
              <w:t>本期解除限售股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1"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吴春红</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97,912,627</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97,912,627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r>
      <w:tr>
        <w:trPr>
          <w:trHeight w:val="715"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廖道训</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89,161,290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89,161,290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r>
      <w:tr>
        <w:trPr>
          <w:trHeight w:val="715"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吴玉瑞</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89,161,290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89,161,290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r>
      <w:tr>
        <w:trPr>
          <w:trHeight w:val="102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柴继军</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49,762,128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04" w:right="0"/>
              <w:jc w:val="left"/>
              <w:rPr>
                <w:rFonts w:ascii="Times New Roman" w:hAnsi="Times New Roman" w:cs="Times New Roman" w:eastAsia="Times New Roman" w:hint="default"/>
                <w:sz w:val="18"/>
                <w:szCs w:val="18"/>
              </w:rPr>
            </w:pPr>
            <w:r>
              <w:rPr>
                <w:rFonts w:ascii="Times New Roman"/>
                <w:sz w:val="18"/>
              </w:rPr>
              <w:t>37,321,596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49,762,128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37,321,596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51"/>
              <w:jc w:val="left"/>
              <w:rPr>
                <w:rFonts w:ascii="宋体" w:hAnsi="宋体" w:cs="宋体" w:eastAsia="宋体" w:hint="default"/>
                <w:sz w:val="18"/>
                <w:szCs w:val="18"/>
              </w:rPr>
            </w:pPr>
            <w:r>
              <w:rPr>
                <w:rFonts w:ascii="宋体" w:hAnsi="宋体" w:cs="宋体" w:eastAsia="宋体" w:hint="default"/>
                <w:spacing w:val="-3"/>
                <w:sz w:val="18"/>
                <w:szCs w:val="18"/>
              </w:rPr>
              <w:t>首发后限售；高</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管锁定股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p>
          <w:p>
            <w:pPr>
              <w:pStyle w:val="TableParagraph"/>
              <w:spacing w:line="321" w:lineRule="auto" w:before="58"/>
              <w:ind w:left="24" w:right="31"/>
              <w:jc w:val="left"/>
              <w:rPr>
                <w:rFonts w:ascii="宋体" w:hAnsi="宋体" w:cs="宋体" w:eastAsia="宋体" w:hint="default"/>
                <w:sz w:val="18"/>
                <w:szCs w:val="18"/>
              </w:rPr>
            </w:pPr>
            <w:r>
              <w:rPr>
                <w:rFonts w:ascii="宋体" w:hAnsi="宋体" w:cs="宋体" w:eastAsia="宋体" w:hint="default"/>
                <w:spacing w:val="-3"/>
                <w:sz w:val="18"/>
                <w:szCs w:val="18"/>
              </w:rPr>
              <w:t>日；高管锁定股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按</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自动锁定</w:t>
            </w:r>
          </w:p>
        </w:tc>
      </w:tr>
      <w:tr>
        <w:trPr>
          <w:trHeight w:val="710"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姜海林</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30,610,125</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30,610,125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r>
      <w:tr>
        <w:trPr>
          <w:trHeight w:val="71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陈智华</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14,830,762</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14,830,762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r>
      <w:tr>
        <w:trPr>
          <w:trHeight w:val="715"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袁闯</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6,956,868</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6,956,868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r>
      <w:tr>
        <w:trPr>
          <w:trHeight w:val="71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李学凌</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6,115,710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6,115,710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r>
      <w:tr>
        <w:trPr>
          <w:trHeight w:val="710"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高玮</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3,057,855</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3,057,855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79"/>
        <w:gridCol w:w="1349"/>
        <w:gridCol w:w="1349"/>
        <w:gridCol w:w="1349"/>
        <w:gridCol w:w="1349"/>
        <w:gridCol w:w="1349"/>
        <w:gridCol w:w="1349"/>
      </w:tblGrid>
      <w:tr>
        <w:trPr>
          <w:trHeight w:val="715"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梁世平</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471,236</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471,236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r>
      <w:tr>
        <w:trPr>
          <w:trHeight w:val="399"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白怀志</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自动锁定</w:t>
            </w:r>
          </w:p>
        </w:tc>
      </w:tr>
      <w:tr>
        <w:trPr>
          <w:trHeight w:val="403"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苏华</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450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450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388,040,341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37,325,346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388,040,341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37,325,346</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二、证券发行与上市情况" w:id="109"/>
      <w:bookmarkEnd w:id="109"/>
      <w:r>
        <w:rPr>
          <w:b w:val="0"/>
          <w:bCs w:val="0"/>
        </w:rPr>
      </w: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报告期内证券发行（不含优先股）情况" w:id="110"/>
      <w:bookmarkEnd w:id="110"/>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2、公司股份总数及股东结构的变动、公司资产和负债结构的变动情况说明" w:id="111"/>
      <w:bookmarkEnd w:id="111"/>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pStyle w:val="Heading4"/>
        <w:spacing w:line="240" w:lineRule="auto"/>
        <w:ind w:right="0"/>
        <w:jc w:val="left"/>
        <w:rPr>
          <w:b w:val="0"/>
          <w:bCs w:val="0"/>
        </w:rPr>
      </w:pPr>
      <w:bookmarkStart w:name="3、现存的内部职工股情况" w:id="112"/>
      <w:bookmarkEnd w:id="112"/>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三、股东和实际控制人情况" w:id="113"/>
      <w:bookmarkEnd w:id="113"/>
      <w:r>
        <w:rPr>
          <w:b w:val="0"/>
          <w:bCs w:val="0"/>
        </w:rPr>
      </w:r>
      <w:r>
        <w:rPr/>
        <w:t>三、股东和实际控制人情况</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bookmarkStart w:name="1、公司股东数量及持股情况" w:id="114"/>
      <w:bookmarkEnd w:id="114"/>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pict>
          <v:shape style="position:absolute;margin-left:483.299133pt;margin-top:70.417732pt;width:51.85pt;height:31.25pt;mso-position-horizontal-relative:page;mso-position-vertical-relative:paragraph;z-index:-1167808" type="#_x0000_t202" filled="false" stroked="false">
            <v:textbox inset="0,0,0,0">
              <w:txbxContent>
                <w:p>
                  <w:pPr>
                    <w:spacing w:line="203" w:lineRule="exact"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group style="position:absolute;margin-left:489.309998pt;margin-top:70.417732pt;width:45.85pt;height:31.25pt;mso-position-horizontal-relative:page;mso-position-vertical-relative:paragraph;z-index:-1167784" coordorigin="9786,1408" coordsize="917,625">
            <v:shape style="position:absolute;left:9786;top:1408;width:917;height:625" coordorigin="9786,1408" coordsize="917,625" path="m9786,2033l10703,2033,10703,1408,9786,1408,9786,2033xe" filled="true" fillcolor="#ffffff" stroked="false">
              <v:path arrowok="t"/>
              <v:fill type="solid"/>
            </v:shape>
            <w10:wrap type="none"/>
          </v:group>
        </w:pict>
      </w:r>
      <w:r>
        <w:rPr>
          <w:rFonts w:ascii="宋体" w:hAnsi="宋体" w:cs="宋体" w:eastAsia="宋体" w:hint="default"/>
          <w:spacing w:val="-2"/>
          <w:sz w:val="18"/>
          <w:szCs w:val="18"/>
        </w:rPr>
        <w:t>单位：股</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1"/>
        <w:gridCol w:w="269"/>
        <w:gridCol w:w="939"/>
        <w:gridCol w:w="473"/>
        <w:gridCol w:w="811"/>
        <w:gridCol w:w="764"/>
        <w:gridCol w:w="348"/>
        <w:gridCol w:w="444"/>
        <w:gridCol w:w="783"/>
        <w:gridCol w:w="209"/>
        <w:gridCol w:w="631"/>
        <w:gridCol w:w="459"/>
        <w:gridCol w:w="890"/>
        <w:gridCol w:w="413"/>
        <w:gridCol w:w="449"/>
        <w:gridCol w:w="487"/>
      </w:tblGrid>
      <w:tr>
        <w:trPr>
          <w:trHeight w:val="163" w:hRule="exact"/>
        </w:trPr>
        <w:tc>
          <w:tcPr>
            <w:tcW w:w="1201"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8" w:space="0" w:color="D2D2D2"/>
              <w:right w:val="single" w:sz="8"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667" w:right="0"/>
              <w:jc w:val="left"/>
              <w:rPr>
                <w:rFonts w:ascii="Times New Roman" w:hAnsi="Times New Roman" w:cs="Times New Roman" w:eastAsia="Times New Roman" w:hint="default"/>
                <w:sz w:val="18"/>
                <w:szCs w:val="18"/>
              </w:rPr>
            </w:pPr>
            <w:r>
              <w:rPr>
                <w:rFonts w:ascii="Times New Roman"/>
                <w:sz w:val="18"/>
              </w:rPr>
              <w:t>43,142</w:t>
            </w:r>
          </w:p>
        </w:tc>
        <w:tc>
          <w:tcPr>
            <w:tcW w:w="1283" w:type="dxa"/>
            <w:gridSpan w:val="2"/>
            <w:vMerge w:val="restart"/>
            <w:tcBorders>
              <w:top w:val="single" w:sz="4" w:space="0" w:color="000000"/>
              <w:left w:val="single" w:sz="4" w:space="0" w:color="000000"/>
              <w:right w:val="single" w:sz="4" w:space="0" w:color="000000"/>
            </w:tcBorders>
            <w:shd w:val="clear" w:color="auto" w:fill="D2D2D2"/>
          </w:tcPr>
          <w:p>
            <w:pPr/>
          </w:p>
        </w:tc>
        <w:tc>
          <w:tcPr>
            <w:tcW w:w="1113" w:type="dxa"/>
            <w:gridSpan w:val="2"/>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49,880</w:t>
            </w:r>
          </w:p>
        </w:tc>
        <w:tc>
          <w:tcPr>
            <w:tcW w:w="1436"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090" w:type="dxa"/>
            <w:gridSpan w:val="2"/>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0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1" w:right="17"/>
              <w:jc w:val="both"/>
              <w:rPr>
                <w:rFonts w:ascii="宋体" w:hAnsi="宋体" w:cs="宋体" w:eastAsia="宋体" w:hint="default"/>
                <w:sz w:val="18"/>
                <w:szCs w:val="18"/>
              </w:rPr>
            </w:pPr>
            <w:r>
              <w:rPr>
                <w:rFonts w:ascii="宋体" w:hAnsi="宋体" w:cs="宋体" w:eastAsia="宋体" w:hint="default"/>
                <w:spacing w:val="-3"/>
                <w:sz w:val="18"/>
                <w:szCs w:val="18"/>
              </w:rPr>
              <w:t>年度报告披露日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前上一月末表决</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权恢复的优先股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3"/>
                <w:w w:val="101"/>
                <w:sz w:val="18"/>
                <w:szCs w:val="18"/>
              </w:rPr>
              <w:t>股东总数（如有</w:t>
            </w:r>
            <w:r>
              <w:rPr>
                <w:rFonts w:ascii="宋体" w:hAnsi="宋体" w:cs="宋体" w:eastAsia="宋体" w:hint="default"/>
                <w:spacing w:val="-13"/>
                <w:sz w:val="18"/>
                <w:szCs w:val="18"/>
              </w:rPr>
            </w:r>
          </w:p>
          <w:p>
            <w:pPr>
              <w:pStyle w:val="TableParagraph"/>
              <w:spacing w:line="240" w:lineRule="auto" w:before="24"/>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449" w:type="dxa"/>
            <w:vMerge w:val="restart"/>
            <w:tcBorders>
              <w:top w:val="single" w:sz="4" w:space="0" w:color="000000"/>
              <w:left w:val="single" w:sz="10" w:space="0" w:color="D2D2D2"/>
              <w:right w:val="nil" w:sz="6" w:space="0" w:color="auto"/>
            </w:tcBorders>
          </w:tcPr>
          <w:p>
            <w:pPr/>
          </w:p>
        </w:tc>
        <w:tc>
          <w:tcPr>
            <w:tcW w:w="487" w:type="dxa"/>
            <w:tcBorders>
              <w:top w:val="single" w:sz="4" w:space="0" w:color="000000"/>
              <w:left w:val="nil" w:sz="6" w:space="0" w:color="auto"/>
              <w:bottom w:val="nil" w:sz="6" w:space="0" w:color="auto"/>
              <w:right w:val="single" w:sz="4" w:space="0" w:color="000000"/>
            </w:tcBorders>
          </w:tcPr>
          <w:p>
            <w:pPr/>
          </w:p>
        </w:tc>
      </w:tr>
      <w:tr>
        <w:trPr>
          <w:trHeight w:val="154" w:hRule="exact"/>
        </w:trPr>
        <w:tc>
          <w:tcPr>
            <w:tcW w:w="1201" w:type="dxa"/>
            <w:vMerge/>
            <w:tcBorders>
              <w:left w:val="single" w:sz="4" w:space="0" w:color="000000"/>
              <w:right w:val="single" w:sz="4" w:space="0" w:color="000000"/>
            </w:tcBorders>
            <w:shd w:val="clear" w:color="auto" w:fill="D2D2D2"/>
          </w:tcPr>
          <w:p>
            <w:pPr/>
          </w:p>
        </w:tc>
        <w:tc>
          <w:tcPr>
            <w:tcW w:w="1208" w:type="dxa"/>
            <w:gridSpan w:val="2"/>
            <w:vMerge/>
            <w:tcBorders>
              <w:left w:val="single" w:sz="8" w:space="0" w:color="D2D2D2"/>
              <w:right w:val="single" w:sz="8" w:space="0" w:color="D2D2D2"/>
            </w:tcBorders>
          </w:tcPr>
          <w:p>
            <w:pPr/>
          </w:p>
        </w:tc>
        <w:tc>
          <w:tcPr>
            <w:tcW w:w="1283" w:type="dxa"/>
            <w:gridSpan w:val="2"/>
            <w:vMerge/>
            <w:tcBorders>
              <w:left w:val="single" w:sz="4" w:space="0" w:color="000000"/>
              <w:bottom w:val="nil" w:sz="6" w:space="0" w:color="auto"/>
              <w:right w:val="single" w:sz="4" w:space="0" w:color="000000"/>
            </w:tcBorders>
            <w:shd w:val="clear" w:color="auto" w:fill="D2D2D2"/>
          </w:tcPr>
          <w:p>
            <w:pPr/>
          </w:p>
        </w:tc>
        <w:tc>
          <w:tcPr>
            <w:tcW w:w="1113" w:type="dxa"/>
            <w:gridSpan w:val="2"/>
            <w:vMerge/>
            <w:tcBorders>
              <w:left w:val="single" w:sz="10" w:space="0" w:color="D2D2D2"/>
              <w:right w:val="single" w:sz="10" w:space="0" w:color="D2D2D2"/>
            </w:tcBorders>
          </w:tcPr>
          <w:p>
            <w:pPr/>
          </w:p>
        </w:tc>
        <w:tc>
          <w:tcPr>
            <w:tcW w:w="1436"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报告期末表决权</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恢复的优先股股</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6"/>
                <w:w w:val="101"/>
                <w:sz w:val="18"/>
                <w:szCs w:val="18"/>
              </w:rPr>
              <w:t>东总数（如有）（参</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090" w:type="dxa"/>
            <w:gridSpan w:val="2"/>
            <w:vMerge/>
            <w:tcBorders>
              <w:left w:val="single" w:sz="10" w:space="0" w:color="D2D2D2"/>
              <w:right w:val="single" w:sz="10" w:space="0" w:color="D2D2D2"/>
            </w:tcBorders>
          </w:tcPr>
          <w:p>
            <w:pPr/>
          </w:p>
        </w:tc>
        <w:tc>
          <w:tcPr>
            <w:tcW w:w="1304" w:type="dxa"/>
            <w:gridSpan w:val="2"/>
            <w:vMerge/>
            <w:tcBorders>
              <w:left w:val="single" w:sz="4" w:space="0" w:color="000000"/>
              <w:right w:val="single" w:sz="4" w:space="0" w:color="000000"/>
            </w:tcBorders>
            <w:shd w:val="clear" w:color="auto" w:fill="D2D2D2"/>
          </w:tcPr>
          <w:p>
            <w:pPr/>
          </w:p>
        </w:tc>
        <w:tc>
          <w:tcPr>
            <w:tcW w:w="449" w:type="dxa"/>
            <w:vMerge/>
            <w:tcBorders>
              <w:left w:val="single" w:sz="10" w:space="0" w:color="D2D2D2"/>
              <w:right w:val="nil" w:sz="6" w:space="0" w:color="auto"/>
            </w:tcBorders>
          </w:tcPr>
          <w:p>
            <w:pPr/>
          </w:p>
        </w:tc>
        <w:tc>
          <w:tcPr>
            <w:tcW w:w="487" w:type="dxa"/>
            <w:tcBorders>
              <w:top w:val="nil" w:sz="6" w:space="0" w:color="auto"/>
              <w:left w:val="nil" w:sz="6" w:space="0" w:color="auto"/>
              <w:bottom w:val="nil" w:sz="6" w:space="0" w:color="auto"/>
              <w:right w:val="single" w:sz="4" w:space="0" w:color="000000"/>
            </w:tcBorders>
          </w:tcPr>
          <w:p>
            <w:pPr/>
          </w:p>
        </w:tc>
      </w:tr>
      <w:tr>
        <w:trPr>
          <w:trHeight w:val="158" w:hRule="exact"/>
        </w:trPr>
        <w:tc>
          <w:tcPr>
            <w:tcW w:w="1201"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8" w:space="0" w:color="D2D2D2"/>
              <w:right w:val="single" w:sz="8" w:space="0" w:color="D2D2D2"/>
            </w:tcBorders>
          </w:tcPr>
          <w:p>
            <w:pPr/>
          </w:p>
        </w:tc>
        <w:tc>
          <w:tcPr>
            <w:tcW w:w="12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11" w:right="-1"/>
              <w:jc w:val="both"/>
              <w:rPr>
                <w:rFonts w:ascii="宋体" w:hAnsi="宋体" w:cs="宋体" w:eastAsia="宋体" w:hint="default"/>
                <w:sz w:val="18"/>
                <w:szCs w:val="18"/>
              </w:rPr>
            </w:pPr>
            <w:r>
              <w:rPr>
                <w:rFonts w:ascii="宋体" w:hAnsi="宋体" w:cs="宋体" w:eastAsia="宋体" w:hint="default"/>
                <w:spacing w:val="-3"/>
                <w:sz w:val="18"/>
                <w:szCs w:val="18"/>
              </w:rPr>
              <w:t>年度报告披露日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前上一月末普通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股股东总数</w:t>
            </w:r>
          </w:p>
        </w:tc>
        <w:tc>
          <w:tcPr>
            <w:tcW w:w="1113" w:type="dxa"/>
            <w:gridSpan w:val="2"/>
            <w:vMerge/>
            <w:tcBorders>
              <w:left w:val="single" w:sz="10" w:space="0" w:color="D2D2D2"/>
              <w:right w:val="single" w:sz="10" w:space="0" w:color="D2D2D2"/>
            </w:tcBorders>
          </w:tcPr>
          <w:p>
            <w:pPr/>
          </w:p>
        </w:tc>
        <w:tc>
          <w:tcPr>
            <w:tcW w:w="1436" w:type="dxa"/>
            <w:gridSpan w:val="3"/>
            <w:vMerge/>
            <w:tcBorders>
              <w:left w:val="single" w:sz="4" w:space="0" w:color="000000"/>
              <w:right w:val="single" w:sz="4" w:space="0" w:color="000000"/>
            </w:tcBorders>
            <w:shd w:val="clear" w:color="auto" w:fill="D2D2D2"/>
          </w:tcPr>
          <w:p>
            <w:pPr/>
          </w:p>
        </w:tc>
        <w:tc>
          <w:tcPr>
            <w:tcW w:w="1090" w:type="dxa"/>
            <w:gridSpan w:val="2"/>
            <w:vMerge/>
            <w:tcBorders>
              <w:left w:val="single" w:sz="10" w:space="0" w:color="D2D2D2"/>
              <w:right w:val="single" w:sz="10" w:space="0" w:color="D2D2D2"/>
            </w:tcBorders>
          </w:tcPr>
          <w:p>
            <w:pPr/>
          </w:p>
        </w:tc>
        <w:tc>
          <w:tcPr>
            <w:tcW w:w="1304" w:type="dxa"/>
            <w:gridSpan w:val="2"/>
            <w:vMerge/>
            <w:tcBorders>
              <w:left w:val="single" w:sz="4" w:space="0" w:color="000000"/>
              <w:right w:val="single" w:sz="4" w:space="0" w:color="000000"/>
            </w:tcBorders>
            <w:shd w:val="clear" w:color="auto" w:fill="D2D2D2"/>
          </w:tcPr>
          <w:p>
            <w:pPr/>
          </w:p>
        </w:tc>
        <w:tc>
          <w:tcPr>
            <w:tcW w:w="449" w:type="dxa"/>
            <w:vMerge/>
            <w:tcBorders>
              <w:left w:val="single" w:sz="10" w:space="0" w:color="D2D2D2"/>
              <w:right w:val="nil" w:sz="6" w:space="0" w:color="auto"/>
            </w:tcBorders>
          </w:tcPr>
          <w:p>
            <w:pPr/>
          </w:p>
        </w:tc>
        <w:tc>
          <w:tcPr>
            <w:tcW w:w="487" w:type="dxa"/>
            <w:tcBorders>
              <w:top w:val="nil" w:sz="6" w:space="0" w:color="auto"/>
              <w:left w:val="nil" w:sz="6" w:space="0" w:color="auto"/>
              <w:bottom w:val="nil" w:sz="6" w:space="0" w:color="auto"/>
              <w:right w:val="single" w:sz="4" w:space="0" w:color="000000"/>
            </w:tcBorders>
          </w:tcPr>
          <w:p>
            <w:pPr/>
          </w:p>
        </w:tc>
      </w:tr>
      <w:tr>
        <w:trPr>
          <w:trHeight w:val="701" w:hRule="exact"/>
        </w:trPr>
        <w:tc>
          <w:tcPr>
            <w:tcW w:w="12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24" w:right="80"/>
              <w:jc w:val="left"/>
              <w:rPr>
                <w:rFonts w:ascii="宋体" w:hAnsi="宋体" w:cs="宋体" w:eastAsia="宋体" w:hint="default"/>
                <w:sz w:val="18"/>
                <w:szCs w:val="18"/>
              </w:rPr>
            </w:pPr>
            <w:r>
              <w:rPr>
                <w:rFonts w:ascii="宋体" w:hAnsi="宋体" w:cs="宋体" w:eastAsia="宋体" w:hint="default"/>
                <w:spacing w:val="-2"/>
                <w:sz w:val="18"/>
                <w:szCs w:val="18"/>
              </w:rPr>
              <w:t>报告期末普通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股股东总数</w:t>
            </w:r>
          </w:p>
        </w:tc>
        <w:tc>
          <w:tcPr>
            <w:tcW w:w="1208" w:type="dxa"/>
            <w:gridSpan w:val="2"/>
            <w:vMerge/>
            <w:tcBorders>
              <w:left w:val="single" w:sz="8" w:space="0" w:color="D2D2D2"/>
              <w:right w:val="single" w:sz="8" w:space="0" w:color="D2D2D2"/>
            </w:tcBorders>
          </w:tcPr>
          <w:p>
            <w:pPr/>
          </w:p>
        </w:tc>
        <w:tc>
          <w:tcPr>
            <w:tcW w:w="1283" w:type="dxa"/>
            <w:gridSpan w:val="2"/>
            <w:vMerge/>
            <w:tcBorders>
              <w:left w:val="single" w:sz="4" w:space="0" w:color="000000"/>
              <w:right w:val="single" w:sz="4" w:space="0" w:color="000000"/>
            </w:tcBorders>
            <w:shd w:val="clear" w:color="auto" w:fill="D2D2D2"/>
          </w:tcPr>
          <w:p>
            <w:pPr/>
          </w:p>
        </w:tc>
        <w:tc>
          <w:tcPr>
            <w:tcW w:w="1113" w:type="dxa"/>
            <w:gridSpan w:val="2"/>
            <w:vMerge/>
            <w:tcBorders>
              <w:left w:val="single" w:sz="10" w:space="0" w:color="D2D2D2"/>
              <w:right w:val="single" w:sz="10" w:space="0" w:color="D2D2D2"/>
            </w:tcBorders>
          </w:tcPr>
          <w:p>
            <w:pPr/>
          </w:p>
        </w:tc>
        <w:tc>
          <w:tcPr>
            <w:tcW w:w="1436" w:type="dxa"/>
            <w:gridSpan w:val="3"/>
            <w:vMerge/>
            <w:tcBorders>
              <w:left w:val="single" w:sz="4" w:space="0" w:color="000000"/>
              <w:right w:val="single" w:sz="4" w:space="0" w:color="000000"/>
            </w:tcBorders>
            <w:shd w:val="clear" w:color="auto" w:fill="D2D2D2"/>
          </w:tcPr>
          <w:p>
            <w:pPr/>
          </w:p>
        </w:tc>
        <w:tc>
          <w:tcPr>
            <w:tcW w:w="1090" w:type="dxa"/>
            <w:gridSpan w:val="2"/>
            <w:vMerge/>
            <w:tcBorders>
              <w:left w:val="single" w:sz="10" w:space="0" w:color="D2D2D2"/>
              <w:right w:val="single" w:sz="10" w:space="0" w:color="D2D2D2"/>
            </w:tcBorders>
          </w:tcPr>
          <w:p>
            <w:pPr/>
          </w:p>
        </w:tc>
        <w:tc>
          <w:tcPr>
            <w:tcW w:w="1304" w:type="dxa"/>
            <w:gridSpan w:val="2"/>
            <w:vMerge/>
            <w:tcBorders>
              <w:left w:val="single" w:sz="4" w:space="0" w:color="000000"/>
              <w:right w:val="single" w:sz="4" w:space="0" w:color="000000"/>
            </w:tcBorders>
            <w:shd w:val="clear" w:color="auto" w:fill="D2D2D2"/>
          </w:tcPr>
          <w:p>
            <w:pPr/>
          </w:p>
        </w:tc>
        <w:tc>
          <w:tcPr>
            <w:tcW w:w="449" w:type="dxa"/>
            <w:vMerge/>
            <w:tcBorders>
              <w:left w:val="single" w:sz="10" w:space="0" w:color="D2D2D2"/>
              <w:right w:val="nil" w:sz="6" w:space="0" w:color="auto"/>
            </w:tcBorders>
          </w:tcPr>
          <w:p>
            <w:pPr/>
          </w:p>
        </w:tc>
        <w:tc>
          <w:tcPr>
            <w:tcW w:w="487" w:type="dxa"/>
            <w:tcBorders>
              <w:top w:val="nil" w:sz="6" w:space="0" w:color="auto"/>
              <w:left w:val="nil" w:sz="6" w:space="0" w:color="auto"/>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58" w:hRule="exact"/>
        </w:trPr>
        <w:tc>
          <w:tcPr>
            <w:tcW w:w="1201"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8" w:space="0" w:color="D2D2D2"/>
              <w:right w:val="single" w:sz="8" w:space="0" w:color="D2D2D2"/>
            </w:tcBorders>
          </w:tcPr>
          <w:p>
            <w:pPr/>
          </w:p>
        </w:tc>
        <w:tc>
          <w:tcPr>
            <w:tcW w:w="1283" w:type="dxa"/>
            <w:gridSpan w:val="2"/>
            <w:vMerge/>
            <w:tcBorders>
              <w:left w:val="single" w:sz="4" w:space="0" w:color="000000"/>
              <w:bottom w:val="nil" w:sz="6" w:space="0" w:color="auto"/>
              <w:right w:val="single" w:sz="4" w:space="0" w:color="000000"/>
            </w:tcBorders>
            <w:shd w:val="clear" w:color="auto" w:fill="D2D2D2"/>
          </w:tcPr>
          <w:p>
            <w:pPr/>
          </w:p>
        </w:tc>
        <w:tc>
          <w:tcPr>
            <w:tcW w:w="1113" w:type="dxa"/>
            <w:gridSpan w:val="2"/>
            <w:vMerge/>
            <w:tcBorders>
              <w:left w:val="single" w:sz="10" w:space="0" w:color="D2D2D2"/>
              <w:right w:val="single" w:sz="10" w:space="0" w:color="D2D2D2"/>
            </w:tcBorders>
          </w:tcPr>
          <w:p>
            <w:pPr/>
          </w:p>
        </w:tc>
        <w:tc>
          <w:tcPr>
            <w:tcW w:w="1436" w:type="dxa"/>
            <w:gridSpan w:val="3"/>
            <w:vMerge/>
            <w:tcBorders>
              <w:left w:val="single" w:sz="4" w:space="0" w:color="000000"/>
              <w:right w:val="single" w:sz="4" w:space="0" w:color="000000"/>
            </w:tcBorders>
            <w:shd w:val="clear" w:color="auto" w:fill="D2D2D2"/>
          </w:tcPr>
          <w:p>
            <w:pPr/>
          </w:p>
        </w:tc>
        <w:tc>
          <w:tcPr>
            <w:tcW w:w="1090" w:type="dxa"/>
            <w:gridSpan w:val="2"/>
            <w:vMerge/>
            <w:tcBorders>
              <w:left w:val="single" w:sz="10" w:space="0" w:color="D2D2D2"/>
              <w:right w:val="single" w:sz="10" w:space="0" w:color="D2D2D2"/>
            </w:tcBorders>
          </w:tcPr>
          <w:p>
            <w:pPr/>
          </w:p>
        </w:tc>
        <w:tc>
          <w:tcPr>
            <w:tcW w:w="1304" w:type="dxa"/>
            <w:gridSpan w:val="2"/>
            <w:vMerge/>
            <w:tcBorders>
              <w:left w:val="single" w:sz="4" w:space="0" w:color="000000"/>
              <w:right w:val="single" w:sz="4" w:space="0" w:color="000000"/>
            </w:tcBorders>
            <w:shd w:val="clear" w:color="auto" w:fill="D2D2D2"/>
          </w:tcPr>
          <w:p>
            <w:pPr/>
          </w:p>
        </w:tc>
        <w:tc>
          <w:tcPr>
            <w:tcW w:w="449" w:type="dxa"/>
            <w:vMerge/>
            <w:tcBorders>
              <w:left w:val="single" w:sz="10" w:space="0" w:color="D2D2D2"/>
              <w:right w:val="nil" w:sz="6" w:space="0" w:color="auto"/>
            </w:tcBorders>
          </w:tcPr>
          <w:p>
            <w:pPr/>
          </w:p>
        </w:tc>
        <w:tc>
          <w:tcPr>
            <w:tcW w:w="487" w:type="dxa"/>
            <w:tcBorders>
              <w:top w:val="nil" w:sz="6" w:space="0" w:color="auto"/>
              <w:left w:val="nil" w:sz="6" w:space="0" w:color="auto"/>
              <w:bottom w:val="nil" w:sz="6" w:space="0" w:color="auto"/>
              <w:right w:val="single" w:sz="4" w:space="0" w:color="000000"/>
            </w:tcBorders>
          </w:tcPr>
          <w:p>
            <w:pPr/>
          </w:p>
        </w:tc>
      </w:tr>
      <w:tr>
        <w:trPr>
          <w:trHeight w:val="154" w:hRule="exact"/>
        </w:trPr>
        <w:tc>
          <w:tcPr>
            <w:tcW w:w="1201" w:type="dxa"/>
            <w:vMerge/>
            <w:tcBorders>
              <w:left w:val="single" w:sz="4" w:space="0" w:color="000000"/>
              <w:right w:val="single" w:sz="4" w:space="0" w:color="000000"/>
            </w:tcBorders>
            <w:shd w:val="clear" w:color="auto" w:fill="D2D2D2"/>
          </w:tcPr>
          <w:p>
            <w:pPr/>
          </w:p>
        </w:tc>
        <w:tc>
          <w:tcPr>
            <w:tcW w:w="1208" w:type="dxa"/>
            <w:gridSpan w:val="2"/>
            <w:vMerge/>
            <w:tcBorders>
              <w:left w:val="single" w:sz="8" w:space="0" w:color="D2D2D2"/>
              <w:right w:val="single" w:sz="8" w:space="0" w:color="D2D2D2"/>
            </w:tcBorders>
          </w:tcPr>
          <w:p>
            <w:pPr/>
          </w:p>
        </w:tc>
        <w:tc>
          <w:tcPr>
            <w:tcW w:w="1283" w:type="dxa"/>
            <w:gridSpan w:val="2"/>
            <w:vMerge w:val="restart"/>
            <w:tcBorders>
              <w:top w:val="nil" w:sz="6" w:space="0" w:color="auto"/>
              <w:left w:val="single" w:sz="4" w:space="0" w:color="000000"/>
              <w:right w:val="single" w:sz="4" w:space="0" w:color="000000"/>
            </w:tcBorders>
            <w:shd w:val="clear" w:color="auto" w:fill="D2D2D2"/>
          </w:tcPr>
          <w:p>
            <w:pPr/>
          </w:p>
        </w:tc>
        <w:tc>
          <w:tcPr>
            <w:tcW w:w="1113" w:type="dxa"/>
            <w:gridSpan w:val="2"/>
            <w:vMerge/>
            <w:tcBorders>
              <w:left w:val="single" w:sz="10" w:space="0" w:color="D2D2D2"/>
              <w:right w:val="single" w:sz="10" w:space="0" w:color="D2D2D2"/>
            </w:tcBorders>
          </w:tcPr>
          <w:p>
            <w:pPr/>
          </w:p>
        </w:tc>
        <w:tc>
          <w:tcPr>
            <w:tcW w:w="1436" w:type="dxa"/>
            <w:gridSpan w:val="3"/>
            <w:vMerge/>
            <w:tcBorders>
              <w:left w:val="single" w:sz="4" w:space="0" w:color="000000"/>
              <w:bottom w:val="nil" w:sz="6" w:space="0" w:color="auto"/>
              <w:right w:val="single" w:sz="4" w:space="0" w:color="000000"/>
            </w:tcBorders>
            <w:shd w:val="clear" w:color="auto" w:fill="D2D2D2"/>
          </w:tcPr>
          <w:p>
            <w:pPr/>
          </w:p>
        </w:tc>
        <w:tc>
          <w:tcPr>
            <w:tcW w:w="1090" w:type="dxa"/>
            <w:gridSpan w:val="2"/>
            <w:vMerge/>
            <w:tcBorders>
              <w:left w:val="single" w:sz="10" w:space="0" w:color="D2D2D2"/>
              <w:right w:val="single" w:sz="10" w:space="0" w:color="D2D2D2"/>
            </w:tcBorders>
          </w:tcPr>
          <w:p>
            <w:pPr/>
          </w:p>
        </w:tc>
        <w:tc>
          <w:tcPr>
            <w:tcW w:w="1304" w:type="dxa"/>
            <w:gridSpan w:val="2"/>
            <w:vMerge/>
            <w:tcBorders>
              <w:left w:val="single" w:sz="4" w:space="0" w:color="000000"/>
              <w:right w:val="single" w:sz="4" w:space="0" w:color="000000"/>
            </w:tcBorders>
            <w:shd w:val="clear" w:color="auto" w:fill="D2D2D2"/>
          </w:tcPr>
          <w:p>
            <w:pPr/>
          </w:p>
        </w:tc>
        <w:tc>
          <w:tcPr>
            <w:tcW w:w="449" w:type="dxa"/>
            <w:vMerge/>
            <w:tcBorders>
              <w:left w:val="single" w:sz="10" w:space="0" w:color="D2D2D2"/>
              <w:right w:val="nil" w:sz="6" w:space="0" w:color="auto"/>
            </w:tcBorders>
          </w:tcPr>
          <w:p>
            <w:pPr/>
          </w:p>
        </w:tc>
        <w:tc>
          <w:tcPr>
            <w:tcW w:w="487" w:type="dxa"/>
            <w:tcBorders>
              <w:top w:val="nil" w:sz="6" w:space="0" w:color="auto"/>
              <w:left w:val="nil" w:sz="6" w:space="0" w:color="auto"/>
              <w:bottom w:val="nil" w:sz="6" w:space="0" w:color="auto"/>
              <w:right w:val="single" w:sz="4" w:space="0" w:color="000000"/>
            </w:tcBorders>
          </w:tcPr>
          <w:p>
            <w:pPr/>
          </w:p>
        </w:tc>
      </w:tr>
      <w:tr>
        <w:trPr>
          <w:trHeight w:val="168" w:hRule="exact"/>
        </w:trPr>
        <w:tc>
          <w:tcPr>
            <w:tcW w:w="1201"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8" w:space="0" w:color="D2D2D2"/>
              <w:bottom w:val="single" w:sz="4" w:space="0" w:color="000000"/>
              <w:right w:val="single" w:sz="8" w:space="0" w:color="D2D2D2"/>
            </w:tcBorders>
          </w:tcPr>
          <w:p>
            <w:pPr/>
          </w:p>
        </w:tc>
        <w:tc>
          <w:tcPr>
            <w:tcW w:w="1283" w:type="dxa"/>
            <w:gridSpan w:val="2"/>
            <w:vMerge/>
            <w:tcBorders>
              <w:left w:val="single" w:sz="4" w:space="0" w:color="000000"/>
              <w:bottom w:val="single" w:sz="4" w:space="0" w:color="000000"/>
              <w:right w:val="single" w:sz="4" w:space="0" w:color="000000"/>
            </w:tcBorders>
            <w:shd w:val="clear" w:color="auto" w:fill="D2D2D2"/>
          </w:tcPr>
          <w:p>
            <w:pPr/>
          </w:p>
        </w:tc>
        <w:tc>
          <w:tcPr>
            <w:tcW w:w="1113" w:type="dxa"/>
            <w:gridSpan w:val="2"/>
            <w:vMerge/>
            <w:tcBorders>
              <w:left w:val="single" w:sz="10" w:space="0" w:color="D2D2D2"/>
              <w:bottom w:val="single" w:sz="4" w:space="0" w:color="000000"/>
              <w:right w:val="single" w:sz="10" w:space="0" w:color="D2D2D2"/>
            </w:tcBorders>
          </w:tcPr>
          <w:p>
            <w:pPr/>
          </w:p>
        </w:tc>
        <w:tc>
          <w:tcPr>
            <w:tcW w:w="1436"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090" w:type="dxa"/>
            <w:gridSpan w:val="2"/>
            <w:vMerge/>
            <w:tcBorders>
              <w:left w:val="single" w:sz="10" w:space="0" w:color="D2D2D2"/>
              <w:bottom w:val="single" w:sz="4" w:space="0" w:color="000000"/>
              <w:right w:val="single" w:sz="10" w:space="0" w:color="D2D2D2"/>
            </w:tcBorders>
          </w:tcPr>
          <w:p>
            <w:pPr/>
          </w:p>
        </w:tc>
        <w:tc>
          <w:tcPr>
            <w:tcW w:w="1304" w:type="dxa"/>
            <w:gridSpan w:val="2"/>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10" w:space="0" w:color="D2D2D2"/>
              <w:bottom w:val="single" w:sz="4" w:space="0" w:color="000000"/>
              <w:right w:val="nil" w:sz="6" w:space="0" w:color="auto"/>
            </w:tcBorders>
          </w:tcPr>
          <w:p>
            <w:pPr/>
          </w:p>
        </w:tc>
        <w:tc>
          <w:tcPr>
            <w:tcW w:w="487" w:type="dxa"/>
            <w:tcBorders>
              <w:top w:val="nil" w:sz="6" w:space="0" w:color="auto"/>
              <w:left w:val="nil" w:sz="6" w:space="0" w:color="auto"/>
              <w:bottom w:val="single" w:sz="4" w:space="0" w:color="000000"/>
              <w:right w:val="single" w:sz="4" w:space="0" w:color="000000"/>
            </w:tcBorders>
          </w:tcPr>
          <w:p>
            <w:pPr/>
          </w:p>
        </w:tc>
      </w:tr>
      <w:tr>
        <w:trPr>
          <w:trHeight w:val="394" w:hRule="exact"/>
        </w:trPr>
        <w:tc>
          <w:tcPr>
            <w:tcW w:w="9570"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28"/>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以上的股东或前</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名股东持股情况</w:t>
            </w:r>
          </w:p>
        </w:tc>
      </w:tr>
      <w:tr>
        <w:trPr>
          <w:trHeight w:val="163"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811" w:type="dxa"/>
            <w:vMerge w:val="restart"/>
            <w:tcBorders>
              <w:top w:val="single" w:sz="4" w:space="0" w:color="000000"/>
              <w:left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8"/>
              <w:ind w:left="28" w:right="27"/>
              <w:jc w:val="center"/>
              <w:rPr>
                <w:rFonts w:ascii="宋体" w:hAnsi="宋体" w:cs="宋体" w:eastAsia="宋体" w:hint="default"/>
                <w:sz w:val="18"/>
                <w:szCs w:val="18"/>
              </w:rPr>
            </w:pPr>
            <w:r>
              <w:rPr>
                <w:rFonts w:ascii="宋体" w:hAnsi="宋体" w:cs="宋体" w:eastAsia="宋体" w:hint="default"/>
                <w:spacing w:val="-2"/>
                <w:sz w:val="18"/>
                <w:szCs w:val="18"/>
              </w:rPr>
              <w:t>报告期内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情况</w:t>
            </w:r>
          </w:p>
        </w:tc>
        <w:tc>
          <w:tcPr>
            <w:tcW w:w="7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8"/>
              <w:ind w:left="28" w:right="17"/>
              <w:jc w:val="both"/>
              <w:rPr>
                <w:rFonts w:ascii="宋体" w:hAnsi="宋体" w:cs="宋体" w:eastAsia="宋体" w:hint="default"/>
                <w:sz w:val="18"/>
                <w:szCs w:val="18"/>
              </w:rPr>
            </w:pPr>
            <w:r>
              <w:rPr>
                <w:rFonts w:ascii="宋体" w:hAnsi="宋体" w:cs="宋体" w:eastAsia="宋体" w:hint="default"/>
                <w:sz w:val="18"/>
                <w:szCs w:val="18"/>
              </w:rPr>
              <w:t>持有有限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售条件的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tc>
        <w:tc>
          <w:tcPr>
            <w:tcW w:w="84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8"/>
              <w:ind w:left="52" w:right="50"/>
              <w:jc w:val="both"/>
              <w:rPr>
                <w:rFonts w:ascii="宋体" w:hAnsi="宋体" w:cs="宋体" w:eastAsia="宋体" w:hint="default"/>
                <w:sz w:val="18"/>
                <w:szCs w:val="18"/>
              </w:rPr>
            </w:pPr>
            <w:r>
              <w:rPr>
                <w:rFonts w:ascii="宋体" w:hAnsi="宋体" w:cs="宋体" w:eastAsia="宋体" w:hint="default"/>
                <w:sz w:val="18"/>
                <w:szCs w:val="18"/>
              </w:rPr>
              <w:t>持有无限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售条件的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tc>
        <w:tc>
          <w:tcPr>
            <w:tcW w:w="269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715" w:right="0"/>
              <w:jc w:val="left"/>
              <w:rPr>
                <w:rFonts w:ascii="宋体" w:hAnsi="宋体" w:cs="宋体" w:eastAsia="宋体" w:hint="default"/>
                <w:sz w:val="18"/>
                <w:szCs w:val="18"/>
              </w:rPr>
            </w:pPr>
            <w:r>
              <w:rPr>
                <w:rFonts w:ascii="宋体" w:hAnsi="宋体" w:cs="宋体" w:eastAsia="宋体" w:hint="default"/>
                <w:spacing w:val="-3"/>
                <w:sz w:val="18"/>
                <w:szCs w:val="18"/>
              </w:rPr>
              <w:t>质押或冻结情况</w:t>
            </w:r>
          </w:p>
        </w:tc>
      </w:tr>
      <w:tr>
        <w:trPr>
          <w:trHeight w:val="158"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811" w:type="dxa"/>
            <w:vMerge/>
            <w:tcBorders>
              <w:left w:val="single" w:sz="4" w:space="0" w:color="000000"/>
              <w:bottom w:val="nil" w:sz="6" w:space="0" w:color="auto"/>
              <w:right w:val="single" w:sz="4" w:space="0" w:color="000000"/>
            </w:tcBorders>
            <w:shd w:val="clear" w:color="auto" w:fill="D2D2D2"/>
          </w:tcPr>
          <w:p>
            <w:pPr/>
          </w:p>
        </w:tc>
        <w:tc>
          <w:tcPr>
            <w:tcW w:w="7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6" w:right="21"/>
              <w:jc w:val="left"/>
              <w:rPr>
                <w:rFonts w:ascii="宋体" w:hAnsi="宋体" w:cs="宋体" w:eastAsia="宋体" w:hint="default"/>
                <w:sz w:val="18"/>
                <w:szCs w:val="18"/>
              </w:rPr>
            </w:pPr>
            <w:r>
              <w:rPr>
                <w:rFonts w:ascii="宋体" w:hAnsi="宋体" w:cs="宋体" w:eastAsia="宋体" w:hint="default"/>
                <w:sz w:val="18"/>
                <w:szCs w:val="18"/>
              </w:rPr>
              <w:t>报告期末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持股数量</w:t>
            </w:r>
          </w:p>
        </w:tc>
        <w:tc>
          <w:tcPr>
            <w:tcW w:w="792" w:type="dxa"/>
            <w:gridSpan w:val="2"/>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c>
          <w:tcPr>
            <w:tcW w:w="840" w:type="dxa"/>
            <w:gridSpan w:val="2"/>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right w:val="single" w:sz="4" w:space="0" w:color="000000"/>
            </w:tcBorders>
            <w:shd w:val="clear" w:color="auto" w:fill="D2D2D2"/>
          </w:tcPr>
          <w:p>
            <w:pPr/>
          </w:p>
        </w:tc>
      </w:tr>
      <w:tr>
        <w:trPr>
          <w:trHeight w:val="137"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6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64" w:type="dxa"/>
            <w:vMerge/>
            <w:tcBorders>
              <w:left w:val="single" w:sz="4" w:space="0" w:color="000000"/>
              <w:right w:val="single" w:sz="4" w:space="0" w:color="000000"/>
            </w:tcBorders>
            <w:shd w:val="clear" w:color="auto" w:fill="D2D2D2"/>
          </w:tcPr>
          <w:p>
            <w:pPr/>
          </w:p>
        </w:tc>
        <w:tc>
          <w:tcPr>
            <w:tcW w:w="792" w:type="dxa"/>
            <w:gridSpan w:val="2"/>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c>
          <w:tcPr>
            <w:tcW w:w="840" w:type="dxa"/>
            <w:gridSpan w:val="2"/>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811"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92" w:type="dxa"/>
            <w:gridSpan w:val="2"/>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c>
          <w:tcPr>
            <w:tcW w:w="840" w:type="dxa"/>
            <w:gridSpan w:val="2"/>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left="307"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left="5"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8"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811" w:type="dxa"/>
            <w:vMerge w:val="restart"/>
            <w:tcBorders>
              <w:top w:val="nil" w:sz="6" w:space="0" w:color="auto"/>
              <w:left w:val="single" w:sz="4" w:space="0" w:color="000000"/>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92" w:type="dxa"/>
            <w:gridSpan w:val="2"/>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c>
          <w:tcPr>
            <w:tcW w:w="840" w:type="dxa"/>
            <w:gridSpan w:val="2"/>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9" w:type="dxa"/>
            <w:gridSpan w:val="3"/>
            <w:vMerge/>
            <w:tcBorders>
              <w:left w:val="single" w:sz="4" w:space="0" w:color="000000"/>
              <w:right w:val="single" w:sz="4" w:space="0" w:color="000000"/>
            </w:tcBorders>
            <w:shd w:val="clear" w:color="auto" w:fill="D2D2D2"/>
          </w:tcPr>
          <w:p>
            <w:pPr/>
          </w:p>
        </w:tc>
      </w:tr>
      <w:tr>
        <w:trPr>
          <w:trHeight w:val="159"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811"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gridSpan w:val="2"/>
            <w:vMerge/>
            <w:tcBorders>
              <w:left w:val="single" w:sz="4" w:space="0" w:color="000000"/>
              <w:bottom w:val="single" w:sz="4" w:space="0" w:color="000000"/>
              <w:right w:val="single" w:sz="4" w:space="0" w:color="000000"/>
            </w:tcBorders>
            <w:shd w:val="clear" w:color="auto" w:fill="D2D2D2"/>
          </w:tcPr>
          <w:p>
            <w:pPr/>
          </w:p>
        </w:tc>
        <w:tc>
          <w:tcPr>
            <w:tcW w:w="783" w:type="dxa"/>
            <w:vMerge/>
            <w:tcBorders>
              <w:left w:val="single" w:sz="4" w:space="0" w:color="000000"/>
              <w:bottom w:val="single" w:sz="4" w:space="0" w:color="000000"/>
              <w:right w:val="single" w:sz="4" w:space="0" w:color="000000"/>
            </w:tcBorders>
            <w:shd w:val="clear" w:color="auto" w:fill="D2D2D2"/>
          </w:tcPr>
          <w:p>
            <w:pPr/>
          </w:p>
        </w:tc>
        <w:tc>
          <w:tcPr>
            <w:tcW w:w="840"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3"/>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吴春红</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37"/>
              <w:jc w:val="right"/>
              <w:rPr>
                <w:rFonts w:ascii="Times New Roman" w:hAnsi="Times New Roman" w:cs="Times New Roman" w:eastAsia="Times New Roman" w:hint="default"/>
                <w:sz w:val="18"/>
                <w:szCs w:val="18"/>
              </w:rPr>
            </w:pPr>
            <w:r>
              <w:rPr>
                <w:rFonts w:ascii="Times New Roman"/>
                <w:spacing w:val="-1"/>
                <w:sz w:val="18"/>
              </w:rPr>
              <w:t>13.41%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93,912,62</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93,912,62</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349" w:type="dxa"/>
            <w:gridSpan w:val="2"/>
            <w:tcBorders>
              <w:top w:val="single" w:sz="44" w:space="0" w:color="D2D2D2"/>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4" w:space="0" w:color="D2D2D2"/>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504" w:right="0"/>
              <w:jc w:val="left"/>
              <w:rPr>
                <w:rFonts w:ascii="Times New Roman" w:hAnsi="Times New Roman" w:cs="Times New Roman" w:eastAsia="Times New Roman" w:hint="default"/>
                <w:sz w:val="18"/>
                <w:szCs w:val="18"/>
              </w:rPr>
            </w:pPr>
            <w:r>
              <w:rPr>
                <w:rFonts w:ascii="Times New Roman"/>
                <w:sz w:val="18"/>
              </w:rPr>
              <w:t>51,270,000</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廖道训</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37"/>
              <w:jc w:val="right"/>
              <w:rPr>
                <w:rFonts w:ascii="Times New Roman" w:hAnsi="Times New Roman" w:cs="Times New Roman" w:eastAsia="Times New Roman" w:hint="default"/>
                <w:sz w:val="18"/>
                <w:szCs w:val="18"/>
              </w:rPr>
            </w:pPr>
            <w:r>
              <w:rPr>
                <w:rFonts w:ascii="Times New Roman"/>
                <w:spacing w:val="-1"/>
                <w:sz w:val="18"/>
              </w:rPr>
              <w:t>12.73%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89,161,29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89,161,29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04" w:right="0"/>
              <w:jc w:val="left"/>
              <w:rPr>
                <w:rFonts w:ascii="Times New Roman" w:hAnsi="Times New Roman" w:cs="Times New Roman" w:eastAsia="Times New Roman" w:hint="default"/>
                <w:sz w:val="18"/>
                <w:szCs w:val="18"/>
              </w:rPr>
            </w:pPr>
            <w:r>
              <w:rPr>
                <w:rFonts w:ascii="Times New Roman"/>
                <w:sz w:val="18"/>
              </w:rPr>
              <w:t>62,412,000</w:t>
            </w:r>
          </w:p>
        </w:tc>
      </w:tr>
      <w:tr>
        <w:trPr>
          <w:trHeight w:val="71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吴玉瑞</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37"/>
              <w:jc w:val="right"/>
              <w:rPr>
                <w:rFonts w:ascii="Times New Roman" w:hAnsi="Times New Roman" w:cs="Times New Roman" w:eastAsia="Times New Roman" w:hint="default"/>
                <w:sz w:val="18"/>
                <w:szCs w:val="18"/>
              </w:rPr>
            </w:pPr>
            <w:r>
              <w:rPr>
                <w:rFonts w:ascii="Times New Roman"/>
                <w:spacing w:val="-1"/>
                <w:sz w:val="18"/>
              </w:rPr>
              <w:t>12.44%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87,161,29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87,161,29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04" w:right="0"/>
              <w:jc w:val="left"/>
              <w:rPr>
                <w:rFonts w:ascii="Times New Roman" w:hAnsi="Times New Roman" w:cs="Times New Roman" w:eastAsia="Times New Roman" w:hint="default"/>
                <w:sz w:val="18"/>
                <w:szCs w:val="18"/>
              </w:rPr>
            </w:pPr>
            <w:r>
              <w:rPr>
                <w:rFonts w:ascii="Times New Roman"/>
                <w:sz w:val="18"/>
              </w:rPr>
              <w:t>55,390,000</w:t>
            </w:r>
          </w:p>
        </w:tc>
      </w:tr>
      <w:tr>
        <w:trPr>
          <w:trHeight w:val="39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柴继军</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7"/>
              <w:jc w:val="right"/>
              <w:rPr>
                <w:rFonts w:ascii="Times New Roman" w:hAnsi="Times New Roman" w:cs="Times New Roman" w:eastAsia="Times New Roman" w:hint="default"/>
                <w:sz w:val="18"/>
                <w:szCs w:val="18"/>
              </w:rPr>
            </w:pPr>
            <w:r>
              <w:rPr>
                <w:rFonts w:ascii="Times New Roman"/>
                <w:spacing w:val="-1"/>
                <w:sz w:val="18"/>
              </w:rPr>
              <w:t>6.53%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 w:right="0"/>
              <w:jc w:val="left"/>
              <w:rPr>
                <w:rFonts w:ascii="Times New Roman" w:hAnsi="Times New Roman" w:cs="Times New Roman" w:eastAsia="Times New Roman" w:hint="default"/>
                <w:sz w:val="18"/>
                <w:szCs w:val="18"/>
              </w:rPr>
            </w:pPr>
            <w:r>
              <w:rPr>
                <w:rFonts w:ascii="Times New Roman"/>
                <w:sz w:val="18"/>
              </w:rPr>
              <w:t>45,762,12</w:t>
            </w:r>
          </w:p>
        </w:tc>
        <w:tc>
          <w:tcPr>
            <w:tcW w:w="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3" w:right="0"/>
              <w:jc w:val="left"/>
              <w:rPr>
                <w:rFonts w:ascii="Times New Roman" w:hAnsi="Times New Roman" w:cs="Times New Roman" w:eastAsia="Times New Roman" w:hint="default"/>
                <w:sz w:val="18"/>
                <w:szCs w:val="18"/>
              </w:rPr>
            </w:pPr>
            <w:r>
              <w:rPr>
                <w:rFonts w:ascii="Times New Roman"/>
                <w:sz w:val="18"/>
              </w:rPr>
              <w:t>-4,000,00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3"/>
              <w:jc w:val="right"/>
              <w:rPr>
                <w:rFonts w:ascii="Times New Roman" w:hAnsi="Times New Roman" w:cs="Times New Roman" w:eastAsia="Times New Roman" w:hint="default"/>
                <w:sz w:val="18"/>
                <w:szCs w:val="18"/>
              </w:rPr>
            </w:pPr>
            <w:r>
              <w:rPr>
                <w:rFonts w:ascii="Times New Roman"/>
                <w:spacing w:val="-1"/>
                <w:sz w:val="18"/>
              </w:rPr>
              <w:t>37,321,59</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8,440,532</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24pt;margin-top:72.019981pt;width:479.25pt;height:684pt;mso-position-horizontal-relative:page;mso-position-vertical-relative:page;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69"/>
                    <w:gridCol w:w="1412"/>
                    <w:gridCol w:w="788"/>
                    <w:gridCol w:w="787"/>
                    <w:gridCol w:w="792"/>
                    <w:gridCol w:w="783"/>
                    <w:gridCol w:w="840"/>
                    <w:gridCol w:w="1349"/>
                    <w:gridCol w:w="1349"/>
                  </w:tblGrid>
                  <w:tr>
                    <w:trPr>
                      <w:trHeight w:val="360" w:hRule="exact"/>
                    </w:trPr>
                    <w:tc>
                      <w:tcPr>
                        <w:tcW w:w="1469"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姜海林</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3.08%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21,607,40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-9,002,72</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21,607,40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8,800,000</w:t>
                        </w: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陈智华</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2.12%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14,830,76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14,830,76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1"/>
                          <w:jc w:val="left"/>
                          <w:rPr>
                            <w:rFonts w:ascii="宋体" w:hAnsi="宋体" w:cs="宋体" w:eastAsia="宋体" w:hint="default"/>
                            <w:sz w:val="18"/>
                            <w:szCs w:val="18"/>
                          </w:rPr>
                        </w:pPr>
                        <w:r>
                          <w:rPr>
                            <w:rFonts w:ascii="宋体" w:hAnsi="宋体" w:cs="宋体" w:eastAsia="宋体" w:hint="default"/>
                            <w:spacing w:val="-3"/>
                            <w:sz w:val="18"/>
                            <w:szCs w:val="18"/>
                          </w:rPr>
                          <w:t>常州产业投资集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团有限公司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1.84%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12,868,63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12,868,63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5,618,633</w:t>
                        </w:r>
                      </w:p>
                    </w:tc>
                  </w:tr>
                  <w:tr>
                    <w:trPr>
                      <w:trHeight w:val="71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71"/>
                          <w:jc w:val="left"/>
                          <w:rPr>
                            <w:rFonts w:ascii="宋体" w:hAnsi="宋体" w:cs="宋体" w:eastAsia="宋体" w:hint="default"/>
                            <w:sz w:val="18"/>
                            <w:szCs w:val="18"/>
                          </w:rPr>
                        </w:pPr>
                        <w:r>
                          <w:rPr>
                            <w:rFonts w:ascii="宋体" w:hAnsi="宋体" w:cs="宋体" w:eastAsia="宋体" w:hint="default"/>
                            <w:spacing w:val="-3"/>
                            <w:sz w:val="18"/>
                            <w:szCs w:val="18"/>
                          </w:rPr>
                          <w:t>全国社保基金一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一八组合</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1.78%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12,435,44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12,435,44</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12,435,44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71"/>
                          <w:jc w:val="left"/>
                          <w:rPr>
                            <w:rFonts w:ascii="宋体" w:hAnsi="宋体" w:cs="宋体" w:eastAsia="宋体" w:hint="default"/>
                            <w:sz w:val="18"/>
                            <w:szCs w:val="18"/>
                          </w:rPr>
                        </w:pPr>
                        <w:r>
                          <w:rPr>
                            <w:rFonts w:ascii="宋体" w:hAnsi="宋体" w:cs="宋体" w:eastAsia="宋体" w:hint="default"/>
                            <w:spacing w:val="-3"/>
                            <w:sz w:val="18"/>
                            <w:szCs w:val="18"/>
                          </w:rPr>
                          <w:t>香港中央结算有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1.52%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10,622,30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8,151,040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10,622,30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171"/>
                          <w:jc w:val="left"/>
                          <w:rPr>
                            <w:rFonts w:ascii="宋体" w:hAnsi="宋体" w:cs="宋体" w:eastAsia="宋体" w:hint="default"/>
                            <w:sz w:val="18"/>
                            <w:szCs w:val="18"/>
                          </w:rPr>
                        </w:pPr>
                        <w:r>
                          <w:rPr>
                            <w:rFonts w:ascii="宋体" w:hAnsi="宋体" w:cs="宋体" w:eastAsia="宋体" w:hint="default"/>
                            <w:spacing w:val="-3"/>
                            <w:sz w:val="18"/>
                            <w:szCs w:val="18"/>
                          </w:rPr>
                          <w:t>常州服装集团有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1.45%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10,178,71</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10,178,71</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战略投资者或一般法人因配售新股</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w w:val="101"/>
                            <w:sz w:val="18"/>
                            <w:szCs w:val="18"/>
                          </w:rPr>
                          <w:t>成为前</w:t>
                        </w:r>
                        <w:r>
                          <w:rPr>
                            <w:rFonts w:ascii="宋体" w:hAnsi="宋体" w:cs="宋体" w:eastAsia="宋体" w:hint="default"/>
                            <w:spacing w:val="-46"/>
                            <w:w w:val="101"/>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6"/>
                            <w:w w:val="101"/>
                            <w:sz w:val="18"/>
                            <w:szCs w:val="18"/>
                          </w:rPr>
                          <w:t> </w:t>
                        </w:r>
                        <w:r>
                          <w:rPr>
                            <w:rFonts w:ascii="宋体" w:hAnsi="宋体" w:cs="宋体" w:eastAsia="宋体" w:hint="default"/>
                            <w:spacing w:val="-15"/>
                            <w:w w:val="101"/>
                            <w:sz w:val="18"/>
                            <w:szCs w:val="18"/>
                          </w:rPr>
                          <w:t>名股东的情况（如有）（参</w:t>
                        </w:r>
                        <w:r>
                          <w:rPr>
                            <w:rFonts w:ascii="宋体" w:hAnsi="宋体" w:cs="宋体" w:eastAsia="宋体" w:hint="default"/>
                            <w:w w:val="101"/>
                            <w:sz w:val="18"/>
                            <w:szCs w:val="18"/>
                          </w:rPr>
                          <w:t> </w:t>
                        </w:r>
                        <w:r>
                          <w:rPr>
                            <w:rFonts w:ascii="宋体" w:hAnsi="宋体" w:cs="宋体" w:eastAsia="宋体" w:hint="default"/>
                            <w:sz w:val="18"/>
                            <w:szCs w:val="18"/>
                          </w:rPr>
                          <w:t>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9" w:type="dxa"/>
                        <w:gridSpan w:val="7"/>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158"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9" w:type="dxa"/>
                        <w:gridSpan w:val="7"/>
                        <w:vMerge w:val="restart"/>
                        <w:tcBorders>
                          <w:top w:val="single" w:sz="4" w:space="0" w:color="000000"/>
                          <w:left w:val="single" w:sz="12" w:space="0" w:color="D2D2D2"/>
                          <w:right w:val="single" w:sz="4" w:space="0" w:color="000000"/>
                        </w:tcBorders>
                      </w:tcPr>
                      <w:p>
                        <w:pPr>
                          <w:pStyle w:val="TableParagraph"/>
                          <w:spacing w:line="319" w:lineRule="auto" w:before="53"/>
                          <w:ind w:left="14" w:right="18"/>
                          <w:jc w:val="left"/>
                          <w:rPr>
                            <w:rFonts w:ascii="宋体" w:hAnsi="宋体" w:cs="宋体" w:eastAsia="宋体" w:hint="default"/>
                            <w:sz w:val="18"/>
                            <w:szCs w:val="18"/>
                          </w:rPr>
                        </w:pPr>
                        <w:r>
                          <w:rPr>
                            <w:rFonts w:ascii="宋体" w:hAnsi="宋体" w:cs="宋体" w:eastAsia="宋体" w:hint="default"/>
                            <w:spacing w:val="-6"/>
                            <w:w w:val="101"/>
                            <w:sz w:val="18"/>
                            <w:szCs w:val="18"/>
                          </w:rPr>
                          <w:t>吴春红、廖道训、吴玉瑞、柴继军同为公司实际控制人（即五名一致行动人范围内）</w:t>
                        </w:r>
                        <w:r>
                          <w:rPr>
                            <w:rFonts w:ascii="宋体" w:hAnsi="宋体" w:cs="宋体" w:eastAsia="宋体" w:hint="default"/>
                            <w:spacing w:val="-91"/>
                            <w:w w:val="101"/>
                            <w:sz w:val="18"/>
                            <w:szCs w:val="18"/>
                          </w:rPr>
                          <w:t> </w:t>
                        </w:r>
                        <w:r>
                          <w:rPr>
                            <w:rFonts w:ascii="宋体" w:hAnsi="宋体" w:cs="宋体" w:eastAsia="宋体" w:hint="default"/>
                            <w:spacing w:val="-91"/>
                            <w:w w:val="101"/>
                            <w:sz w:val="18"/>
                            <w:szCs w:val="18"/>
                          </w:rPr>
                        </w:r>
                        <w:r>
                          <w:rPr>
                            <w:rFonts w:ascii="宋体" w:hAnsi="宋体" w:cs="宋体" w:eastAsia="宋体" w:hint="default"/>
                            <w:spacing w:val="-4"/>
                            <w:sz w:val="18"/>
                            <w:szCs w:val="18"/>
                          </w:rPr>
                          <w:t>常州产业投资集团有限公司、常州服装集团有限公司实际控制人同为江苏省常州市国</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资委，为公司战略投资者。</w:t>
                        </w:r>
                      </w:p>
                    </w:tc>
                  </w:tr>
                  <w:tr>
                    <w:trPr>
                      <w:trHeight w:val="706" w:hRule="exact"/>
                    </w:trPr>
                    <w:tc>
                      <w:tcPr>
                        <w:tcW w:w="288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4" w:lineRule="auto" w:before="54"/>
                          <w:ind w:left="24" w:right="142"/>
                          <w:jc w:val="left"/>
                          <w:rPr>
                            <w:rFonts w:ascii="宋体" w:hAnsi="宋体" w:cs="宋体" w:eastAsia="宋体" w:hint="default"/>
                            <w:sz w:val="18"/>
                            <w:szCs w:val="18"/>
                          </w:rPr>
                        </w:pPr>
                        <w:r>
                          <w:rPr>
                            <w:rFonts w:ascii="宋体" w:hAnsi="宋体" w:cs="宋体" w:eastAsia="宋体" w:hint="default"/>
                            <w:spacing w:val="-3"/>
                            <w:sz w:val="18"/>
                            <w:szCs w:val="18"/>
                          </w:rPr>
                          <w:t>上述股东关联关系或一致行动的说</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明</w:t>
                        </w:r>
                      </w:p>
                    </w:tc>
                    <w:tc>
                      <w:tcPr>
                        <w:tcW w:w="6689" w:type="dxa"/>
                        <w:gridSpan w:val="7"/>
                        <w:vMerge/>
                        <w:tcBorders>
                          <w:left w:val="single" w:sz="12" w:space="0" w:color="D2D2D2"/>
                          <w:right w:val="single" w:sz="4" w:space="0" w:color="000000"/>
                        </w:tcBorders>
                      </w:tcPr>
                      <w:p>
                        <w:pPr/>
                      </w:p>
                    </w:tc>
                  </w:tr>
                  <w:tr>
                    <w:trPr>
                      <w:trHeight w:val="158"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9" w:type="dxa"/>
                        <w:gridSpan w:val="7"/>
                        <w:vMerge/>
                        <w:tcBorders>
                          <w:left w:val="single" w:sz="12" w:space="0" w:color="D2D2D2"/>
                          <w:bottom w:val="single" w:sz="4" w:space="0" w:color="000000"/>
                          <w:right w:val="single" w:sz="4" w:space="0" w:color="000000"/>
                        </w:tcBorders>
                      </w:tcPr>
                      <w:p>
                        <w:pPr/>
                      </w:p>
                    </w:tc>
                  </w:tr>
                  <w:tr>
                    <w:trPr>
                      <w:trHeight w:val="398"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名无限售条件股东持股情况</w:t>
                        </w:r>
                      </w:p>
                    </w:tc>
                  </w:tr>
                  <w:tr>
                    <w:trPr>
                      <w:trHeight w:val="211"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90"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639" w:right="0"/>
                          <w:jc w:val="left"/>
                          <w:rPr>
                            <w:rFonts w:ascii="宋体" w:hAnsi="宋体" w:cs="宋体" w:eastAsia="宋体" w:hint="default"/>
                            <w:sz w:val="18"/>
                            <w:szCs w:val="18"/>
                          </w:rPr>
                        </w:pPr>
                        <w:r>
                          <w:rPr>
                            <w:rFonts w:ascii="宋体" w:hAnsi="宋体" w:cs="宋体" w:eastAsia="宋体" w:hint="default"/>
                            <w:spacing w:val="-3"/>
                            <w:sz w:val="18"/>
                            <w:szCs w:val="18"/>
                          </w:rPr>
                          <w:t>报告期末持有无限售条件股份数量</w:t>
                        </w:r>
                      </w:p>
                    </w:tc>
                    <w:tc>
                      <w:tcPr>
                        <w:tcW w:w="269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81" w:type="dxa"/>
                        <w:gridSpan w:val="2"/>
                        <w:vMerge/>
                        <w:tcBorders>
                          <w:left w:val="single" w:sz="4" w:space="0" w:color="000000"/>
                          <w:bottom w:val="nil" w:sz="6" w:space="0" w:color="auto"/>
                          <w:right w:val="single" w:sz="4" w:space="0" w:color="000000"/>
                        </w:tcBorders>
                        <w:shd w:val="clear" w:color="auto" w:fill="D2D2D2"/>
                      </w:tcPr>
                      <w:p>
                        <w:pPr/>
                      </w:p>
                    </w:tc>
                    <w:tc>
                      <w:tcPr>
                        <w:tcW w:w="3990"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07"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7"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90"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吴春红</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93,912,627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93,912,627</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廖道训</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89,161,290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89,161,290</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吴玉瑞</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87,161,290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87,161,290</w:t>
                        </w:r>
                      </w:p>
                    </w:tc>
                  </w:tr>
                  <w:tr>
                    <w:trPr>
                      <w:trHeight w:val="404"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姜海林</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21,607,400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21,607,400</w:t>
                        </w:r>
                      </w:p>
                    </w:tc>
                  </w:tr>
                  <w:tr>
                    <w:trPr>
                      <w:trHeight w:val="398"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陈智华</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14,830,762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14,830,762</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常州产业投资集团有限公司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12,868,633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12,868,633</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全国社保基金一一八组合</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12,435,449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12,435,449</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10,622,301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10,622,301</w:t>
                        </w:r>
                      </w:p>
                    </w:tc>
                  </w:tr>
                  <w:tr>
                    <w:trPr>
                      <w:trHeight w:val="399"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常州服装集团有限公司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10,178,711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10,178,711</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全国社保基金一零八组合</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9,630,012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9,630,012</w:t>
                        </w:r>
                      </w:p>
                    </w:tc>
                  </w:tr>
                  <w:tr>
                    <w:trPr>
                      <w:trHeight w:val="1340"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名无限售流通股股东之间，以</w:t>
                        </w:r>
                      </w:p>
                      <w:p>
                        <w:pPr>
                          <w:pStyle w:val="TableParagraph"/>
                          <w:spacing w:line="312" w:lineRule="auto" w:before="63"/>
                          <w:ind w:left="24"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名无限售流通股股东和前</w:t>
                        </w:r>
                        <w:r>
                          <w:rPr>
                            <w:rFonts w:ascii="宋体" w:hAnsi="宋体" w:cs="宋体" w:eastAsia="宋体" w:hint="default"/>
                            <w:spacing w:val="-33"/>
                            <w:sz w:val="18"/>
                            <w:szCs w:val="18"/>
                          </w:rPr>
                          <w:t> </w:t>
                        </w:r>
                        <w:r>
                          <w:rPr>
                            <w:rFonts w:ascii="Times New Roman" w:hAnsi="Times New Roman" w:cs="Times New Roman" w:eastAsia="Times New Roman" w:hint="default"/>
                            <w:spacing w:val="-5"/>
                            <w:sz w:val="18"/>
                            <w:szCs w:val="18"/>
                          </w:rPr>
                          <w:t>10</w:t>
                        </w:r>
                        <w:r>
                          <w:rPr>
                            <w:rFonts w:ascii="Times New Roman" w:hAnsi="Times New Roman" w:cs="Times New Roman" w:eastAsia="Times New Roman" w:hint="default"/>
                            <w:spacing w:val="-41"/>
                            <w:sz w:val="18"/>
                            <w:szCs w:val="18"/>
                          </w:rPr>
                          <w:t> </w:t>
                        </w:r>
                        <w:r>
                          <w:rPr>
                            <w:rFonts w:ascii="宋体" w:hAnsi="宋体" w:cs="宋体" w:eastAsia="宋体" w:hint="default"/>
                            <w:spacing w:val="-3"/>
                            <w:sz w:val="18"/>
                            <w:szCs w:val="18"/>
                          </w:rPr>
                          <w:t>名股东之间关联关系或一致行动的</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说明</w:t>
                        </w:r>
                      </w:p>
                    </w:tc>
                    <w:tc>
                      <w:tcPr>
                        <w:tcW w:w="668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4" w:right="-9"/>
                          <w:jc w:val="left"/>
                          <w:rPr>
                            <w:rFonts w:ascii="宋体" w:hAnsi="宋体" w:cs="宋体" w:eastAsia="宋体" w:hint="default"/>
                            <w:sz w:val="18"/>
                            <w:szCs w:val="18"/>
                          </w:rPr>
                        </w:pPr>
                        <w:r>
                          <w:rPr>
                            <w:rFonts w:ascii="宋体" w:hAnsi="宋体" w:cs="宋体" w:eastAsia="宋体" w:hint="default"/>
                            <w:spacing w:val="-5"/>
                            <w:w w:val="101"/>
                            <w:sz w:val="18"/>
                            <w:szCs w:val="18"/>
                          </w:rPr>
                          <w:t>吴春红、廖道训、吴玉瑞同为公司实际控制人（即五名一致行动人范围内）。常州产</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3"/>
                            <w:sz w:val="18"/>
                            <w:szCs w:val="18"/>
                          </w:rPr>
                          <w:t>业投资集团有限公司、常州服装集团有限公司实际控制人同为江苏省常州市国资委，</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pacing w:val="-3"/>
                            <w:sz w:val="18"/>
                            <w:szCs w:val="18"/>
                          </w:rPr>
                          <w:t>为公司战略投资者。</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名普通股股东参与融资融券业</w:t>
                        </w:r>
                      </w:p>
                    </w:tc>
                    <w:tc>
                      <w:tcPr>
                        <w:tcW w:w="668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spacing w:before="46"/>
        <w:ind w:left="0" w:right="1133" w:firstLine="0"/>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after="0"/>
        <w:jc w:val="right"/>
        <w:rPr>
          <w:rFonts w:ascii="宋体" w:hAnsi="宋体" w:cs="宋体" w:eastAsia="宋体" w:hint="default"/>
          <w:sz w:val="18"/>
          <w:szCs w:val="18"/>
        </w:rPr>
        <w:sectPr>
          <w:pgSz w:w="11910" w:h="16840"/>
          <w:pgMar w:header="741" w:footer="979" w:top="1060" w:bottom="1160" w:left="980" w:right="0"/>
        </w:sectPr>
      </w:pPr>
    </w:p>
    <w:p>
      <w:pPr>
        <w:spacing w:line="240" w:lineRule="auto" w:before="6"/>
        <w:rPr>
          <w:rFonts w:ascii="宋体" w:hAnsi="宋体" w:cs="宋体" w:eastAsia="宋体" w:hint="default"/>
          <w:sz w:val="28"/>
          <w:szCs w:val="28"/>
        </w:rPr>
      </w:pPr>
    </w:p>
    <w:p>
      <w:pPr>
        <w:spacing w:line="379"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pt;height:19pt;mso-position-horizontal-relative:char;mso-position-vertical-relative:line" coordorigin="0,0" coordsize="9580,380">
            <v:group style="position:absolute;left:22;top:14;width:2;height:351" coordorigin="22,14" coordsize="2,351">
              <v:shape style="position:absolute;left:22;top:14;width:2;height:351" coordorigin="22,14" coordsize="0,351" path="m22,14l22,365e" filled="false" stroked="true" strokeweight="1.2pt" strokecolor="#d2d2d2">
                <v:path arrowok="t"/>
              </v:shape>
            </v:group>
            <v:group style="position:absolute;left:2871;top:14;width:2;height:351" coordorigin="2871,14" coordsize="2,351">
              <v:shape style="position:absolute;left:2871;top:14;width:2;height:351" coordorigin="2871,14" coordsize="0,351" path="m2871,14l2871,365e" filled="false" stroked="true" strokeweight=".95999pt" strokecolor="#d2d2d2">
                <v:path arrowok="t"/>
              </v:shape>
            </v:group>
            <v:group style="position:absolute;left:34;top:14;width:2829;height:351" coordorigin="34,14" coordsize="2829,351">
              <v:shape style="position:absolute;left:34;top:14;width:2829;height:351" coordorigin="34,14" coordsize="2829,351" path="m34,365l2862,365,2862,14,34,14,34,365xe" filled="true" fillcolor="#d2d2d2" stroked="false">
                <v:path arrowok="t"/>
                <v:fill type="solid"/>
              </v:shape>
            </v:group>
            <v:group style="position:absolute;left:10;top:10;width:2872;height:2" coordorigin="10,10" coordsize="2872,2">
              <v:shape style="position:absolute;left:10;top:10;width:2872;height:2" coordorigin="10,10" coordsize="2872,0" path="m10,10l2881,10e" filled="false" stroked="true" strokeweight=".48pt" strokecolor="#000000">
                <v:path arrowok="t"/>
              </v:shape>
            </v:group>
            <v:group style="position:absolute;left:2891;top:10;width:6680;height:2" coordorigin="2891,10" coordsize="6680,2">
              <v:shape style="position:absolute;left:2891;top:10;width:6680;height:2" coordorigin="2891,10" coordsize="6680,0" path="m2891,10l9570,10e" filled="false" stroked="true" strokeweight=".48pt" strokecolor="#000000">
                <v:path arrowok="t"/>
              </v:shape>
            </v:group>
            <v:group style="position:absolute;left:5;top:5;width:2;height:370" coordorigin="5,5" coordsize="2,370">
              <v:shape style="position:absolute;left:5;top:5;width:2;height:370" coordorigin="5,5" coordsize="0,370" path="m5,5l5,374e" filled="false" stroked="true" strokeweight=".48pt" strokecolor="#000000">
                <v:path arrowok="t"/>
              </v:shape>
            </v:group>
            <v:group style="position:absolute;left:10;top:370;width:2872;height:2" coordorigin="10,370" coordsize="2872,2">
              <v:shape style="position:absolute;left:10;top:370;width:2872;height:2" coordorigin="10,370" coordsize="2872,0" path="m10,370l2881,370e" filled="false" stroked="true" strokeweight=".48pt" strokecolor="#000000">
                <v:path arrowok="t"/>
              </v:shape>
            </v:group>
            <v:group style="position:absolute;left:2886;top:5;width:2;height:370" coordorigin="2886,5" coordsize="2,370">
              <v:shape style="position:absolute;left:2886;top:5;width:2;height:370" coordorigin="2886,5" coordsize="0,370" path="m2886,5l2886,374e" filled="false" stroked="true" strokeweight=".48pt" strokecolor="#000000">
                <v:path arrowok="t"/>
              </v:shape>
            </v:group>
            <v:group style="position:absolute;left:2891;top:370;width:6680;height:2" coordorigin="2891,370" coordsize="6680,2">
              <v:shape style="position:absolute;left:2891;top:370;width:6680;height:2" coordorigin="2891,370" coordsize="6680,0" path="m2891,370l9570,370e" filled="false" stroked="true" strokeweight=".48pt" strokecolor="#000000">
                <v:path arrowok="t"/>
              </v:shape>
            </v:group>
            <v:group style="position:absolute;left:9575;top:5;width:2;height:370" coordorigin="9575,5" coordsize="2,370">
              <v:shape style="position:absolute;left:9575;top:5;width:2;height:370" coordorigin="9575,5" coordsize="0,370" path="m9575,5l9575,374e" filled="false" stroked="true" strokeweight=".48004pt" strokecolor="#000000">
                <v:path arrowok="t"/>
              </v:shape>
              <v:shape style="position:absolute;left:5;top:10;width:2881;height:360" type="#_x0000_t202" filled="false" stroked="false">
                <v:textbox inset="0,0,0,0">
                  <w:txbxContent>
                    <w:p>
                      <w:pPr>
                        <w:spacing w:before="20"/>
                        <w:ind w:left="28" w:right="0" w:firstLine="0"/>
                        <w:jc w:val="left"/>
                        <w:rPr>
                          <w:rFonts w:ascii="宋体" w:hAnsi="宋体" w:cs="宋体" w:eastAsia="宋体" w:hint="default"/>
                          <w:sz w:val="18"/>
                          <w:szCs w:val="18"/>
                        </w:rPr>
                      </w:pPr>
                      <w:r>
                        <w:rPr>
                          <w:rFonts w:ascii="宋体" w:hAnsi="宋体" w:cs="宋体" w:eastAsia="宋体" w:hint="default"/>
                          <w:w w:val="101"/>
                          <w:sz w:val="18"/>
                          <w:szCs w:val="18"/>
                        </w:rPr>
                        <w:t>务</w:t>
                      </w:r>
                      <w:r>
                        <w:rPr>
                          <w:rFonts w:ascii="宋体" w:hAnsi="宋体" w:cs="宋体" w:eastAsia="宋体" w:hint="default"/>
                          <w:spacing w:val="-5"/>
                          <w:w w:val="101"/>
                          <w:sz w:val="18"/>
                          <w:szCs w:val="18"/>
                        </w:rPr>
                        <w:t>情</w:t>
                      </w:r>
                      <w:r>
                        <w:rPr>
                          <w:rFonts w:ascii="宋体" w:hAnsi="宋体" w:cs="宋体" w:eastAsia="宋体" w:hint="default"/>
                          <w:w w:val="101"/>
                          <w:sz w:val="18"/>
                          <w:szCs w:val="18"/>
                        </w:rPr>
                        <w:t>况</w:t>
                      </w:r>
                      <w:r>
                        <w:rPr>
                          <w:rFonts w:ascii="宋体" w:hAnsi="宋体" w:cs="宋体" w:eastAsia="宋体" w:hint="default"/>
                          <w:spacing w:val="-5"/>
                          <w:w w:val="101"/>
                          <w:sz w:val="18"/>
                          <w:szCs w:val="18"/>
                        </w:rPr>
                        <w:t>说</w:t>
                      </w:r>
                      <w:r>
                        <w:rPr>
                          <w:rFonts w:ascii="宋体" w:hAnsi="宋体" w:cs="宋体" w:eastAsia="宋体" w:hint="default"/>
                          <w:w w:val="101"/>
                          <w:sz w:val="18"/>
                          <w:szCs w:val="18"/>
                        </w:rPr>
                        <w:t>明</w:t>
                      </w:r>
                      <w:r>
                        <w:rPr>
                          <w:rFonts w:ascii="宋体" w:hAnsi="宋体" w:cs="宋体" w:eastAsia="宋体" w:hint="default"/>
                          <w:spacing w:val="-5"/>
                          <w:w w:val="101"/>
                          <w:sz w:val="18"/>
                          <w:szCs w:val="18"/>
                        </w:rPr>
                        <w:t>（</w:t>
                      </w:r>
                      <w:r>
                        <w:rPr>
                          <w:rFonts w:ascii="宋体" w:hAnsi="宋体" w:cs="宋体" w:eastAsia="宋体" w:hint="default"/>
                          <w:w w:val="101"/>
                          <w:sz w:val="18"/>
                          <w:szCs w:val="18"/>
                        </w:rPr>
                        <w:t>如有</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参</w:t>
                      </w:r>
                      <w:r>
                        <w:rPr>
                          <w:rFonts w:ascii="宋体" w:hAnsi="宋体" w:cs="宋体" w:eastAsia="宋体" w:hint="default"/>
                          <w:w w:val="101"/>
                          <w:sz w:val="18"/>
                          <w:szCs w:val="18"/>
                        </w:rPr>
                        <w:t>见注</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4</w:t>
                      </w: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v:group>
          </v:group>
        </w:pict>
      </w:r>
      <w:r>
        <w:rPr>
          <w:rFonts w:ascii="宋体" w:hAnsi="宋体" w:cs="宋体" w:eastAsia="宋体" w:hint="default"/>
          <w:position w:val="-7"/>
          <w:sz w:val="20"/>
          <w:szCs w:val="20"/>
        </w:rPr>
      </w:r>
    </w:p>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名无限售条件普通股股东在报告期内是否进行约定购回交易</w:t>
      </w:r>
    </w:p>
    <w:p>
      <w:pPr>
        <w:spacing w:before="10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2"/>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名无限售条件普通股股东在报告期内未进行约定购回交易。</w:t>
      </w:r>
    </w:p>
    <w:p>
      <w:pPr>
        <w:spacing w:line="240" w:lineRule="auto" w:before="8"/>
        <w:rPr>
          <w:rFonts w:ascii="宋体" w:hAnsi="宋体" w:cs="宋体" w:eastAsia="宋体" w:hint="default"/>
          <w:sz w:val="25"/>
          <w:szCs w:val="25"/>
        </w:rPr>
      </w:pPr>
    </w:p>
    <w:p>
      <w:pPr>
        <w:pStyle w:val="Heading4"/>
        <w:spacing w:line="240" w:lineRule="auto"/>
        <w:ind w:right="0"/>
        <w:jc w:val="left"/>
        <w:rPr>
          <w:b w:val="0"/>
          <w:bCs w:val="0"/>
        </w:rPr>
      </w:pPr>
      <w:bookmarkStart w:name="2、公司控股股东情况" w:id="115"/>
      <w:bookmarkEnd w:id="115"/>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1"/>
        <w:rPr>
          <w:rFonts w:ascii="宋体" w:hAnsi="宋体" w:cs="宋体" w:eastAsia="宋体" w:hint="default"/>
          <w:b/>
          <w:bCs/>
          <w:sz w:val="27"/>
          <w:szCs w:val="27"/>
        </w:rPr>
      </w:pPr>
    </w:p>
    <w:p>
      <w:pPr>
        <w:spacing w:line="357" w:lineRule="auto" w:before="0"/>
        <w:ind w:left="153" w:right="7272" w:firstLine="0"/>
        <w:jc w:val="left"/>
        <w:rPr>
          <w:rFonts w:ascii="宋体" w:hAnsi="宋体" w:cs="宋体" w:eastAsia="宋体" w:hint="default"/>
          <w:sz w:val="18"/>
          <w:szCs w:val="18"/>
        </w:rPr>
      </w:pPr>
      <w:r>
        <w:rPr>
          <w:rFonts w:ascii="宋体" w:hAnsi="宋体" w:cs="宋体" w:eastAsia="宋体" w:hint="default"/>
          <w:spacing w:val="-3"/>
          <w:sz w:val="18"/>
          <w:szCs w:val="18"/>
        </w:rPr>
        <w:t>控股股东性质：自然人控股</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控股股东类型：自然人</w:t>
      </w:r>
    </w:p>
    <w:tbl>
      <w:tblPr>
        <w:tblW w:w="0" w:type="auto"/>
        <w:jc w:val="left"/>
        <w:tblInd w:w="148" w:type="dxa"/>
        <w:tblLayout w:type="fixed"/>
        <w:tblCellMar>
          <w:top w:w="0" w:type="dxa"/>
          <w:left w:w="0" w:type="dxa"/>
          <w:bottom w:w="0" w:type="dxa"/>
          <w:right w:w="0" w:type="dxa"/>
        </w:tblCellMar>
        <w:tblLook w:val="01E0"/>
      </w:tblPr>
      <w:tblGrid>
        <w:gridCol w:w="3419"/>
        <w:gridCol w:w="2170"/>
        <w:gridCol w:w="3981"/>
      </w:tblGrid>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25" w:right="0"/>
              <w:jc w:val="left"/>
              <w:rPr>
                <w:rFonts w:ascii="宋体" w:hAnsi="宋体" w:cs="宋体" w:eastAsia="宋体" w:hint="default"/>
                <w:sz w:val="18"/>
                <w:szCs w:val="18"/>
              </w:rPr>
            </w:pPr>
            <w:r>
              <w:rPr>
                <w:rFonts w:ascii="宋体" w:hAnsi="宋体" w:cs="宋体" w:eastAsia="宋体" w:hint="default"/>
                <w:spacing w:val="-3"/>
                <w:sz w:val="18"/>
                <w:szCs w:val="18"/>
              </w:rPr>
              <w:t>是否取得其他国家或地区居留权</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吴春红</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廖道训</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9"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吴玉瑞</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柴继军</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梁世平</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主要职业及职务</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柴继军为公司董事、副总裁。其他自然人股东均未在公司任职。</w:t>
            </w:r>
          </w:p>
        </w:tc>
      </w:tr>
      <w:tr>
        <w:trPr>
          <w:trHeight w:val="716"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138"/>
              <w:jc w:val="left"/>
              <w:rPr>
                <w:rFonts w:ascii="宋体" w:hAnsi="宋体" w:cs="宋体" w:eastAsia="宋体" w:hint="default"/>
                <w:sz w:val="18"/>
                <w:szCs w:val="18"/>
              </w:rPr>
            </w:pPr>
            <w:r>
              <w:rPr>
                <w:rFonts w:ascii="宋体" w:hAnsi="宋体" w:cs="宋体" w:eastAsia="宋体" w:hint="default"/>
                <w:spacing w:val="-3"/>
                <w:sz w:val="18"/>
                <w:szCs w:val="18"/>
              </w:rPr>
              <w:t>报告期内控股和参股的其他境内外上市公</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司的股权情况</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316" w:lineRule="auto" w:before="54"/>
              <w:ind w:left="11" w:right="18"/>
              <w:jc w:val="left"/>
              <w:rPr>
                <w:rFonts w:ascii="宋体" w:hAnsi="宋体" w:cs="宋体" w:eastAsia="宋体" w:hint="default"/>
                <w:sz w:val="18"/>
                <w:szCs w:val="18"/>
              </w:rPr>
            </w:pPr>
            <w:r>
              <w:rPr>
                <w:rFonts w:ascii="宋体" w:hAnsi="宋体" w:cs="宋体" w:eastAsia="宋体" w:hint="default"/>
                <w:spacing w:val="-4"/>
                <w:sz w:val="18"/>
                <w:szCs w:val="18"/>
              </w:rPr>
              <w:t>吴春红、廖道训、吴玉瑞、梁世平间接控制中国智能交通系统（控股）有限公</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pacing w:val="-18"/>
                <w:w w:val="101"/>
                <w:sz w:val="18"/>
                <w:szCs w:val="18"/>
              </w:rPr>
              <w:t>司（</w:t>
            </w:r>
            <w:r>
              <w:rPr>
                <w:rFonts w:ascii="Times New Roman" w:hAnsi="Times New Roman" w:cs="Times New Roman" w:eastAsia="Times New Roman" w:hint="default"/>
                <w:spacing w:val="-18"/>
                <w:w w:val="101"/>
                <w:sz w:val="18"/>
                <w:szCs w:val="18"/>
              </w:rPr>
              <w:t>HK.1900</w:t>
            </w:r>
            <w:r>
              <w:rPr>
                <w:rFonts w:ascii="宋体" w:hAnsi="宋体" w:cs="宋体" w:eastAsia="宋体" w:hint="default"/>
                <w:spacing w:val="-18"/>
                <w:w w:val="101"/>
                <w:sz w:val="18"/>
                <w:szCs w:val="18"/>
              </w:rPr>
              <w:t>）。</w:t>
            </w:r>
            <w:r>
              <w:rPr>
                <w:rFonts w:ascii="宋体" w:hAnsi="宋体" w:cs="宋体" w:eastAsia="宋体" w:hint="default"/>
                <w:sz w:val="18"/>
                <w:szCs w:val="18"/>
              </w:rPr>
            </w:r>
          </w:p>
        </w:tc>
      </w:tr>
    </w:tbl>
    <w:p>
      <w:pPr>
        <w:spacing w:before="67"/>
        <w:ind w:left="153"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8"/>
          <w:szCs w:val="8"/>
        </w:rPr>
      </w:pPr>
    </w:p>
    <w:p>
      <w:pPr>
        <w:spacing w:before="46"/>
        <w:ind w:left="0" w:right="1127" w:firstLine="0"/>
        <w:jc w:val="right"/>
        <w:rPr>
          <w:rFonts w:ascii="宋体" w:hAnsi="宋体" w:cs="宋体" w:eastAsia="宋体" w:hint="default"/>
          <w:sz w:val="18"/>
          <w:szCs w:val="18"/>
        </w:rPr>
      </w:pPr>
      <w:r>
        <w:rPr/>
        <w:pict>
          <v:shape style="position:absolute;margin-left:56.424pt;margin-top:-.868277pt;width:479.25pt;height:112.15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8"/>
                    <w:gridCol w:w="4782"/>
                  </w:tblGrid>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新控股股东名称</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5"/>
                            <w:sz w:val="18"/>
                            <w:szCs w:val="18"/>
                          </w:rPr>
                          <w:t>吴春红、廖道训、吴玉瑞、柴继军、梁世平五名一致行动人</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7"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60"/>
                          <w:jc w:val="both"/>
                          <w:rPr>
                            <w:rFonts w:ascii="宋体" w:hAnsi="宋体" w:cs="宋体" w:eastAsia="宋体" w:hint="default"/>
                            <w:sz w:val="18"/>
                            <w:szCs w:val="18"/>
                          </w:rPr>
                        </w:pPr>
                        <w:r>
                          <w:rPr>
                            <w:rFonts w:ascii="宋体" w:hAnsi="宋体" w:cs="宋体" w:eastAsia="宋体" w:hint="default"/>
                            <w:spacing w:val="-3"/>
                            <w:sz w:val="18"/>
                            <w:szCs w:val="18"/>
                          </w:rPr>
                          <w:t>《视觉中国：关于控股股东、实际控制人一致行动关系部分</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w w:val="101"/>
                            <w:sz w:val="18"/>
                            <w:szCs w:val="18"/>
                          </w:rPr>
                          <w:t>解除暨控股股东、实际控制人变更的提示性公告</w:t>
                        </w:r>
                        <w:r>
                          <w:rPr>
                            <w:rFonts w:ascii="宋体" w:hAnsi="宋体" w:cs="宋体" w:eastAsia="宋体" w:hint="default"/>
                            <w:spacing w:val="11"/>
                            <w:w w:val="101"/>
                            <w:sz w:val="18"/>
                            <w:szCs w:val="18"/>
                          </w:rPr>
                          <w:t> </w:t>
                        </w:r>
                        <w:r>
                          <w:rPr>
                            <w:rFonts w:ascii="宋体" w:hAnsi="宋体" w:cs="宋体" w:eastAsia="宋体" w:hint="default"/>
                            <w:spacing w:val="-20"/>
                            <w:w w:val="101"/>
                            <w:sz w:val="18"/>
                            <w:szCs w:val="18"/>
                          </w:rPr>
                          <w:t>》（公告编</w:t>
                        </w:r>
                        <w:r>
                          <w:rPr>
                            <w:rFonts w:ascii="宋体" w:hAnsi="宋体" w:cs="宋体" w:eastAsia="宋体" w:hint="default"/>
                            <w:w w:val="101"/>
                            <w:sz w:val="18"/>
                            <w:szCs w:val="18"/>
                          </w:rPr>
                          <w:t> </w:t>
                        </w:r>
                        <w:r>
                          <w:rPr>
                            <w:rFonts w:ascii="宋体" w:hAnsi="宋体" w:cs="宋体" w:eastAsia="宋体" w:hint="default"/>
                            <w:spacing w:val="-1"/>
                            <w:w w:val="101"/>
                            <w:sz w:val="18"/>
                            <w:szCs w:val="18"/>
                          </w:rPr>
                          <w:t>号：</w:t>
                        </w:r>
                        <w:r>
                          <w:rPr>
                            <w:rFonts w:ascii="Times New Roman" w:hAnsi="Times New Roman" w:cs="Times New Roman" w:eastAsia="Times New Roman" w:hint="default"/>
                            <w:spacing w:val="-1"/>
                            <w:w w:val="101"/>
                            <w:sz w:val="18"/>
                            <w:szCs w:val="18"/>
                          </w:rPr>
                          <w:t>2019-062</w:t>
                        </w:r>
                        <w:r>
                          <w:rPr>
                            <w:rFonts w:ascii="Times New Roman" w:hAnsi="Times New Roman" w:cs="Times New Roman" w:eastAsia="Times New Roman" w:hint="default"/>
                            <w:spacing w:val="44"/>
                            <w:w w:val="101"/>
                            <w:sz w:val="18"/>
                            <w:szCs w:val="18"/>
                          </w:rPr>
                          <w:t> </w:t>
                        </w:r>
                        <w:r>
                          <w:rPr>
                            <w:rFonts w:ascii="宋体" w:hAnsi="宋体" w:cs="宋体" w:eastAsia="宋体" w:hint="default"/>
                            <w:spacing w:val="-6"/>
                            <w:w w:val="101"/>
                            <w:sz w:val="18"/>
                            <w:szCs w:val="18"/>
                          </w:rPr>
                          <w:t>），巨潮资讯网（</w:t>
                        </w:r>
                        <w:hyperlink r:id="rId11">
                          <w:r>
                            <w:rPr>
                              <w:rFonts w:ascii="Times New Roman" w:hAnsi="Times New Roman" w:cs="Times New Roman" w:eastAsia="Times New Roman" w:hint="default"/>
                              <w:spacing w:val="-6"/>
                              <w:w w:val="101"/>
                              <w:sz w:val="18"/>
                              <w:szCs w:val="18"/>
                            </w:rPr>
                            <w:t>www.cninfo.com.cn</w:t>
                          </w:r>
                        </w:hyperlink>
                        <w:r>
                          <w:rPr>
                            <w:rFonts w:ascii="宋体" w:hAnsi="宋体" w:cs="宋体" w:eastAsia="宋体" w:hint="default"/>
                            <w:spacing w:val="-6"/>
                            <w:w w:val="101"/>
                            <w:sz w:val="18"/>
                            <w:szCs w:val="18"/>
                          </w:rPr>
                          <w:t>）</w:t>
                        </w:r>
                        <w:r>
                          <w:rPr>
                            <w:rFonts w:ascii="宋体" w:hAnsi="宋体" w:cs="宋体" w:eastAsia="宋体" w:hint="default"/>
                            <w:spacing w:val="-6"/>
                            <w:sz w:val="18"/>
                            <w:szCs w:val="18"/>
                          </w:rPr>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Heading4"/>
        <w:spacing w:line="240" w:lineRule="auto" w:before="36"/>
        <w:ind w:right="0"/>
        <w:jc w:val="left"/>
        <w:rPr>
          <w:b w:val="0"/>
          <w:bCs w:val="0"/>
        </w:rPr>
      </w:pPr>
      <w:bookmarkStart w:name="3、公司实际控制人及其一致行动人" w:id="116"/>
      <w:bookmarkEnd w:id="116"/>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7272" w:firstLine="0"/>
        <w:jc w:val="left"/>
        <w:rPr>
          <w:rFonts w:ascii="宋体" w:hAnsi="宋体" w:cs="宋体" w:eastAsia="宋体" w:hint="default"/>
          <w:sz w:val="18"/>
          <w:szCs w:val="18"/>
        </w:rPr>
      </w:pPr>
      <w:r>
        <w:rPr>
          <w:rFonts w:ascii="宋体" w:hAnsi="宋体" w:cs="宋体" w:eastAsia="宋体" w:hint="default"/>
          <w:spacing w:val="-3"/>
          <w:sz w:val="18"/>
          <w:szCs w:val="18"/>
        </w:rPr>
        <w:t>实际控制人性质：境内自然人</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实际控制人类型：自然人</w:t>
      </w:r>
    </w:p>
    <w:tbl>
      <w:tblPr>
        <w:tblW w:w="0" w:type="auto"/>
        <w:jc w:val="left"/>
        <w:tblInd w:w="148" w:type="dxa"/>
        <w:tblLayout w:type="fixed"/>
        <w:tblCellMar>
          <w:top w:w="0" w:type="dxa"/>
          <w:left w:w="0" w:type="dxa"/>
          <w:bottom w:w="0" w:type="dxa"/>
          <w:right w:w="0" w:type="dxa"/>
        </w:tblCellMar>
        <w:tblLook w:val="01E0"/>
      </w:tblPr>
      <w:tblGrid>
        <w:gridCol w:w="2756"/>
        <w:gridCol w:w="1652"/>
        <w:gridCol w:w="1647"/>
        <w:gridCol w:w="3515"/>
      </w:tblGrid>
      <w:tr>
        <w:trPr>
          <w:trHeight w:val="398" w:hRule="exact"/>
        </w:trPr>
        <w:tc>
          <w:tcPr>
            <w:tcW w:w="2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实际控制人姓名</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1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9" w:right="0"/>
              <w:jc w:val="left"/>
              <w:rPr>
                <w:rFonts w:ascii="宋体" w:hAnsi="宋体" w:cs="宋体" w:eastAsia="宋体" w:hint="default"/>
                <w:sz w:val="18"/>
                <w:szCs w:val="18"/>
              </w:rPr>
            </w:pPr>
            <w:r>
              <w:rPr>
                <w:rFonts w:ascii="宋体" w:hAnsi="宋体" w:cs="宋体" w:eastAsia="宋体" w:hint="default"/>
                <w:spacing w:val="-3"/>
                <w:sz w:val="18"/>
                <w:szCs w:val="18"/>
              </w:rPr>
              <w:t>是否取得其他国家或地区居留权</w:t>
            </w:r>
          </w:p>
        </w:tc>
      </w:tr>
      <w:tr>
        <w:trPr>
          <w:trHeight w:val="403"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吴春红</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廖道训</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吴玉瑞</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9"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柴继军</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梁世平</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756"/>
        <w:gridCol w:w="6814"/>
      </w:tblGrid>
      <w:tr>
        <w:trPr>
          <w:trHeight w:val="403" w:hRule="exact"/>
        </w:trPr>
        <w:tc>
          <w:tcPr>
            <w:tcW w:w="2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主要职业及职务</w:t>
            </w:r>
          </w:p>
        </w:tc>
        <w:tc>
          <w:tcPr>
            <w:tcW w:w="6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柴继军为公司董事、副总裁。其他自然人股东均未在公司任职。</w:t>
            </w:r>
          </w:p>
        </w:tc>
      </w:tr>
      <w:tr>
        <w:trPr>
          <w:trHeight w:val="716" w:hRule="exact"/>
        </w:trPr>
        <w:tc>
          <w:tcPr>
            <w:tcW w:w="2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04"/>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6"/>
                <w:sz w:val="18"/>
                <w:szCs w:val="18"/>
              </w:rPr>
              <w:t> </w:t>
            </w:r>
            <w:r>
              <w:rPr>
                <w:rFonts w:ascii="宋体" w:hAnsi="宋体" w:cs="宋体" w:eastAsia="宋体" w:hint="default"/>
                <w:spacing w:val="-3"/>
                <w:sz w:val="18"/>
                <w:szCs w:val="18"/>
              </w:rPr>
              <w:t>年曾控股的境内外上市公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司情况</w:t>
            </w:r>
          </w:p>
        </w:tc>
        <w:tc>
          <w:tcPr>
            <w:tcW w:w="6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吴春红、廖道训、吴玉瑞、梁世平间接控制中国智能交通系统（控股）有限公司</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Times New Roman" w:hAnsi="Times New Roman" w:cs="Times New Roman" w:eastAsia="Times New Roman" w:hint="default"/>
                <w:spacing w:val="-2"/>
                <w:w w:val="101"/>
                <w:sz w:val="18"/>
                <w:szCs w:val="18"/>
              </w:rPr>
              <w:t>HK</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5"/>
                <w:w w:val="101"/>
                <w:sz w:val="18"/>
                <w:szCs w:val="18"/>
              </w:rPr>
              <w:t>9</w:t>
            </w:r>
            <w:r>
              <w:rPr>
                <w:rFonts w:ascii="Times New Roman" w:hAnsi="Times New Roman" w:cs="Times New Roman" w:eastAsia="Times New Roman" w:hint="default"/>
                <w:w w:val="101"/>
                <w:sz w:val="18"/>
                <w:szCs w:val="18"/>
              </w:rPr>
              <w:t>00</w:t>
            </w:r>
            <w:r>
              <w:rPr>
                <w:rFonts w:ascii="宋体" w:hAnsi="宋体" w:cs="宋体" w:eastAsia="宋体" w:hint="default"/>
                <w:spacing w:val="-96"/>
                <w:w w:val="101"/>
                <w:sz w:val="18"/>
                <w:szCs w:val="18"/>
              </w:rPr>
              <w:t>）。</w:t>
            </w:r>
            <w:r>
              <w:rPr>
                <w:rFonts w:ascii="宋体" w:hAnsi="宋体" w:cs="宋体" w:eastAsia="宋体" w:hint="default"/>
                <w:sz w:val="18"/>
                <w:szCs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实际控制人报告期内变更</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8"/>
          <w:szCs w:val="8"/>
        </w:rPr>
      </w:pPr>
    </w:p>
    <w:p>
      <w:pPr>
        <w:spacing w:before="46"/>
        <w:ind w:left="0" w:right="1127" w:firstLine="0"/>
        <w:jc w:val="right"/>
        <w:rPr>
          <w:rFonts w:ascii="宋体" w:hAnsi="宋体" w:cs="宋体" w:eastAsia="宋体" w:hint="default"/>
          <w:sz w:val="18"/>
          <w:szCs w:val="18"/>
        </w:rPr>
      </w:pPr>
      <w:r>
        <w:rPr/>
        <w:pict>
          <v:shape style="position:absolute;margin-left:56.424pt;margin-top:-.868264pt;width:479.25pt;height:112.1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8"/>
                    <w:gridCol w:w="4782"/>
                  </w:tblGrid>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新实际控制人名称</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5"/>
                            <w:sz w:val="18"/>
                            <w:szCs w:val="18"/>
                          </w:rPr>
                          <w:t>吴春红、廖道训、吴玉瑞、柴继军、梁世平五名一致行动人</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60"/>
                          <w:jc w:val="both"/>
                          <w:rPr>
                            <w:rFonts w:ascii="宋体" w:hAnsi="宋体" w:cs="宋体" w:eastAsia="宋体" w:hint="default"/>
                            <w:sz w:val="18"/>
                            <w:szCs w:val="18"/>
                          </w:rPr>
                        </w:pPr>
                        <w:r>
                          <w:rPr>
                            <w:rFonts w:ascii="宋体" w:hAnsi="宋体" w:cs="宋体" w:eastAsia="宋体" w:hint="default"/>
                            <w:spacing w:val="-3"/>
                            <w:sz w:val="18"/>
                            <w:szCs w:val="18"/>
                          </w:rPr>
                          <w:t>《视觉中国：关于控股股东、实际控制人一致行动关系部分</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w w:val="101"/>
                            <w:sz w:val="18"/>
                            <w:szCs w:val="18"/>
                          </w:rPr>
                          <w:t>解除暨控股股东、实际控制人变更的提示性公告</w:t>
                        </w:r>
                        <w:r>
                          <w:rPr>
                            <w:rFonts w:ascii="宋体" w:hAnsi="宋体" w:cs="宋体" w:eastAsia="宋体" w:hint="default"/>
                            <w:spacing w:val="11"/>
                            <w:w w:val="101"/>
                            <w:sz w:val="18"/>
                            <w:szCs w:val="18"/>
                          </w:rPr>
                          <w:t> </w:t>
                        </w:r>
                        <w:r>
                          <w:rPr>
                            <w:rFonts w:ascii="宋体" w:hAnsi="宋体" w:cs="宋体" w:eastAsia="宋体" w:hint="default"/>
                            <w:spacing w:val="-20"/>
                            <w:w w:val="101"/>
                            <w:sz w:val="18"/>
                            <w:szCs w:val="18"/>
                          </w:rPr>
                          <w:t>》（公告编</w:t>
                        </w:r>
                        <w:r>
                          <w:rPr>
                            <w:rFonts w:ascii="宋体" w:hAnsi="宋体" w:cs="宋体" w:eastAsia="宋体" w:hint="default"/>
                            <w:w w:val="101"/>
                            <w:sz w:val="18"/>
                            <w:szCs w:val="18"/>
                          </w:rPr>
                          <w:t> </w:t>
                        </w:r>
                        <w:r>
                          <w:rPr>
                            <w:rFonts w:ascii="宋体" w:hAnsi="宋体" w:cs="宋体" w:eastAsia="宋体" w:hint="default"/>
                            <w:spacing w:val="-1"/>
                            <w:w w:val="101"/>
                            <w:sz w:val="18"/>
                            <w:szCs w:val="18"/>
                          </w:rPr>
                          <w:t>号：</w:t>
                        </w:r>
                        <w:r>
                          <w:rPr>
                            <w:rFonts w:ascii="Times New Roman" w:hAnsi="Times New Roman" w:cs="Times New Roman" w:eastAsia="Times New Roman" w:hint="default"/>
                            <w:spacing w:val="-1"/>
                            <w:w w:val="101"/>
                            <w:sz w:val="18"/>
                            <w:szCs w:val="18"/>
                          </w:rPr>
                          <w:t>2019-062</w:t>
                        </w:r>
                        <w:r>
                          <w:rPr>
                            <w:rFonts w:ascii="Times New Roman" w:hAnsi="Times New Roman" w:cs="Times New Roman" w:eastAsia="Times New Roman" w:hint="default"/>
                            <w:spacing w:val="44"/>
                            <w:w w:val="101"/>
                            <w:sz w:val="18"/>
                            <w:szCs w:val="18"/>
                          </w:rPr>
                          <w:t> </w:t>
                        </w:r>
                        <w:r>
                          <w:rPr>
                            <w:rFonts w:ascii="宋体" w:hAnsi="宋体" w:cs="宋体" w:eastAsia="宋体" w:hint="default"/>
                            <w:spacing w:val="-6"/>
                            <w:w w:val="101"/>
                            <w:sz w:val="18"/>
                            <w:szCs w:val="18"/>
                          </w:rPr>
                          <w:t>），巨潮资讯网（</w:t>
                        </w:r>
                        <w:hyperlink r:id="rId11">
                          <w:r>
                            <w:rPr>
                              <w:rFonts w:ascii="Times New Roman" w:hAnsi="Times New Roman" w:cs="Times New Roman" w:eastAsia="Times New Roman" w:hint="default"/>
                              <w:spacing w:val="-6"/>
                              <w:w w:val="101"/>
                              <w:sz w:val="18"/>
                              <w:szCs w:val="18"/>
                            </w:rPr>
                            <w:t>www.cninfo.com.cn</w:t>
                          </w:r>
                        </w:hyperlink>
                        <w:r>
                          <w:rPr>
                            <w:rFonts w:ascii="宋体" w:hAnsi="宋体" w:cs="宋体" w:eastAsia="宋体" w:hint="default"/>
                            <w:spacing w:val="-6"/>
                            <w:w w:val="101"/>
                            <w:sz w:val="18"/>
                            <w:szCs w:val="18"/>
                          </w:rPr>
                          <w:t>）</w:t>
                        </w:r>
                        <w:r>
                          <w:rPr>
                            <w:rFonts w:ascii="宋体" w:hAnsi="宋体" w:cs="宋体" w:eastAsia="宋体" w:hint="default"/>
                            <w:spacing w:val="-6"/>
                            <w:sz w:val="18"/>
                            <w:szCs w:val="18"/>
                          </w:rPr>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公司与实际控制人之间的产权及控制关系的方框图</w:t>
      </w:r>
    </w:p>
    <w:p>
      <w:pPr>
        <w:spacing w:line="240" w:lineRule="auto" w:before="6"/>
        <w:rPr>
          <w:rFonts w:ascii="宋体" w:hAnsi="宋体" w:cs="宋体" w:eastAsia="宋体" w:hint="default"/>
          <w:sz w:val="29"/>
          <w:szCs w:val="29"/>
        </w:rPr>
      </w:pPr>
    </w:p>
    <w:p>
      <w:pPr>
        <w:spacing w:line="2862" w:lineRule="exact"/>
        <w:ind w:left="2438" w:right="0" w:firstLine="0"/>
        <w:rPr>
          <w:rFonts w:ascii="宋体" w:hAnsi="宋体" w:cs="宋体" w:eastAsia="宋体" w:hint="default"/>
          <w:sz w:val="20"/>
          <w:szCs w:val="20"/>
        </w:rPr>
      </w:pPr>
      <w:r>
        <w:rPr>
          <w:rFonts w:ascii="宋体" w:hAnsi="宋体" w:cs="宋体" w:eastAsia="宋体" w:hint="default"/>
          <w:position w:val="-56"/>
          <w:sz w:val="20"/>
          <w:szCs w:val="20"/>
        </w:rPr>
        <w:drawing>
          <wp:inline distT="0" distB="0" distL="0" distR="0">
            <wp:extent cx="3216763" cy="1817370"/>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5" cstate="print"/>
                    <a:stretch>
                      <a:fillRect/>
                    </a:stretch>
                  </pic:blipFill>
                  <pic:spPr>
                    <a:xfrm>
                      <a:off x="0" y="0"/>
                      <a:ext cx="3216763" cy="1817370"/>
                    </a:xfrm>
                    <a:prstGeom prst="rect">
                      <a:avLst/>
                    </a:prstGeom>
                  </pic:spPr>
                </pic:pic>
              </a:graphicData>
            </a:graphic>
          </wp:inline>
        </w:drawing>
      </w:r>
      <w:r>
        <w:rPr>
          <w:rFonts w:ascii="宋体" w:hAnsi="宋体" w:cs="宋体" w:eastAsia="宋体" w:hint="default"/>
          <w:position w:val="-56"/>
          <w:sz w:val="20"/>
          <w:szCs w:val="20"/>
        </w:rPr>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实际控制人通过信托或其他资产管理方式控制公司</w:t>
      </w: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4、其他持股在10%以上的法人股东" w:id="117"/>
      <w:bookmarkEnd w:id="117"/>
      <w:r>
        <w:rPr>
          <w:b w:val="0"/>
          <w:bCs w:val="0"/>
        </w:rPr>
      </w:r>
      <w:r>
        <w:rPr>
          <w:rFonts w:ascii="Times New Roman" w:hAnsi="Times New Roman" w:cs="Times New Roman" w:eastAsia="Times New Roman" w:hint="default"/>
        </w:rPr>
        <w:t>4</w:t>
      </w:r>
      <w:r>
        <w:rPr/>
        <w:t>、其他持股在</w:t>
      </w:r>
      <w:r>
        <w:rPr>
          <w:spacing w:val="-51"/>
        </w:rPr>
        <w:t> </w:t>
      </w:r>
      <w:r>
        <w:rPr>
          <w:rFonts w:ascii="Times New Roman" w:hAnsi="Times New Roman" w:cs="Times New Roman" w:eastAsia="Times New Roman" w:hint="default"/>
        </w:rPr>
        <w:t>10%</w:t>
      </w:r>
      <w:r>
        <w:rPr/>
        <w:t>以上的法人股东</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pStyle w:val="Heading4"/>
        <w:spacing w:line="240" w:lineRule="auto"/>
        <w:ind w:right="0"/>
        <w:jc w:val="left"/>
        <w:rPr>
          <w:b w:val="0"/>
          <w:bCs w:val="0"/>
        </w:rPr>
      </w:pPr>
      <w:bookmarkStart w:name="5、控股股东、实际控制人、重组方及其他承诺主体股份限制减持情况" w:id="118"/>
      <w:bookmarkEnd w:id="118"/>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365" w:right="0"/>
        <w:jc w:val="left"/>
        <w:rPr>
          <w:b w:val="0"/>
          <w:bCs w:val="0"/>
        </w:rPr>
      </w:pPr>
      <w:bookmarkStart w:name="第七节优先股相关情况" w:id="119"/>
      <w:bookmarkEnd w:id="119"/>
      <w:r>
        <w:rPr>
          <w:b w:val="0"/>
          <w:bCs w:val="0"/>
        </w:rPr>
      </w:r>
      <w:bookmarkStart w:name="_bookmark6" w:id="120"/>
      <w:bookmarkEnd w:id="120"/>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line="338" w:lineRule="auto" w:before="46"/>
        <w:ind w:left="153" w:right="795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报告期公司不存在优先股。</w:t>
      </w:r>
    </w:p>
    <w:p>
      <w:pPr>
        <w:spacing w:after="0" w:line="338"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2722" w:right="0"/>
        <w:jc w:val="left"/>
        <w:rPr>
          <w:b w:val="0"/>
          <w:bCs w:val="0"/>
        </w:rPr>
      </w:pPr>
      <w:bookmarkStart w:name="第八节可转换公司债券相关情况" w:id="121"/>
      <w:bookmarkEnd w:id="121"/>
      <w:r>
        <w:rPr>
          <w:b w:val="0"/>
          <w:bCs w:val="0"/>
        </w:rPr>
      </w:r>
      <w:bookmarkStart w:name="_bookmark7" w:id="122"/>
      <w:bookmarkEnd w:id="122"/>
      <w:r>
        <w:rPr>
          <w:b w:val="0"/>
          <w:bCs w:val="0"/>
        </w:rPr>
      </w:r>
      <w:r>
        <w:rPr/>
        <w:t>第八节可转换公司债券相关情况</w:t>
      </w:r>
      <w:r>
        <w:rPr>
          <w:b w:val="0"/>
          <w:bCs w:val="0"/>
        </w:rPr>
      </w:r>
    </w:p>
    <w:p>
      <w:pPr>
        <w:spacing w:line="240" w:lineRule="auto" w:before="12"/>
        <w:rPr>
          <w:rFonts w:ascii="宋体" w:hAnsi="宋体" w:cs="宋体" w:eastAsia="宋体" w:hint="default"/>
          <w:b/>
          <w:bCs/>
          <w:sz w:val="42"/>
          <w:szCs w:val="42"/>
        </w:rPr>
      </w:pPr>
    </w:p>
    <w:p>
      <w:pPr>
        <w:spacing w:line="338" w:lineRule="auto" w:before="0"/>
        <w:ind w:left="153" w:right="72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报告期公司不存在可转换公司债券。</w:t>
      </w:r>
    </w:p>
    <w:p>
      <w:pPr>
        <w:spacing w:after="0" w:line="338"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1757" w:right="0"/>
        <w:jc w:val="left"/>
        <w:rPr>
          <w:b w:val="0"/>
          <w:bCs w:val="0"/>
        </w:rPr>
      </w:pPr>
      <w:bookmarkStart w:name="第九节董事、监事、高级管理人员和员工情况" w:id="123"/>
      <w:bookmarkEnd w:id="123"/>
      <w:r>
        <w:rPr>
          <w:b w:val="0"/>
          <w:bCs w:val="0"/>
        </w:rPr>
      </w:r>
      <w:bookmarkStart w:name="_bookmark8" w:id="124"/>
      <w:bookmarkEnd w:id="124"/>
      <w:r>
        <w:rPr>
          <w:b w:val="0"/>
          <w:bCs w:val="0"/>
        </w:rPr>
      </w:r>
      <w:r>
        <w:rPr/>
        <w:t>第九节董事、监事、高级管理人员和员工情况</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5"/>
      <w:bookmarkEnd w:id="125"/>
      <w:r>
        <w:rPr>
          <w:b w:val="0"/>
          <w:bCs w:val="0"/>
        </w:rPr>
      </w:r>
      <w:r>
        <w:rPr/>
        <w:t>一、董事、监事和高级管理人员持股变动</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802"/>
        <w:gridCol w:w="797"/>
        <w:gridCol w:w="797"/>
        <w:gridCol w:w="797"/>
        <w:gridCol w:w="797"/>
        <w:gridCol w:w="802"/>
        <w:gridCol w:w="797"/>
        <w:gridCol w:w="797"/>
      </w:tblGrid>
      <w:tr>
        <w:trPr>
          <w:trHeight w:val="102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1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1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11"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16"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1" w:right="27" w:hanging="178"/>
              <w:jc w:val="left"/>
              <w:rPr>
                <w:rFonts w:ascii="宋体" w:hAnsi="宋体" w:cs="宋体" w:eastAsia="宋体" w:hint="default"/>
                <w:sz w:val="18"/>
                <w:szCs w:val="18"/>
              </w:rPr>
            </w:pPr>
            <w:r>
              <w:rPr>
                <w:rFonts w:ascii="宋体" w:hAnsi="宋体" w:cs="宋体" w:eastAsia="宋体" w:hint="default"/>
                <w:sz w:val="18"/>
                <w:szCs w:val="18"/>
              </w:rPr>
              <w:t>任期起始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5" w:right="26" w:hanging="183"/>
              <w:jc w:val="left"/>
              <w:rPr>
                <w:rFonts w:ascii="宋体" w:hAnsi="宋体" w:cs="宋体" w:eastAsia="宋体" w:hint="default"/>
                <w:sz w:val="18"/>
                <w:szCs w:val="18"/>
              </w:rPr>
            </w:pPr>
            <w:r>
              <w:rPr>
                <w:rFonts w:ascii="宋体" w:hAnsi="宋体" w:cs="宋体" w:eastAsia="宋体" w:hint="default"/>
                <w:sz w:val="18"/>
                <w:szCs w:val="18"/>
              </w:rPr>
              <w:t>任期终止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3" w:right="27"/>
              <w:jc w:val="left"/>
              <w:rPr>
                <w:rFonts w:ascii="宋体" w:hAnsi="宋体" w:cs="宋体" w:eastAsia="宋体" w:hint="default"/>
                <w:sz w:val="18"/>
                <w:szCs w:val="18"/>
              </w:rPr>
            </w:pPr>
            <w:r>
              <w:rPr>
                <w:rFonts w:ascii="宋体" w:hAnsi="宋体" w:cs="宋体" w:eastAsia="宋体" w:hint="default"/>
                <w:sz w:val="18"/>
                <w:szCs w:val="18"/>
              </w:rPr>
              <w:t>期初持股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33" w:right="27"/>
              <w:jc w:val="left"/>
              <w:rPr>
                <w:rFonts w:ascii="宋体" w:hAnsi="宋体" w:cs="宋体" w:eastAsia="宋体" w:hint="default"/>
                <w:sz w:val="18"/>
                <w:szCs w:val="18"/>
              </w:rPr>
            </w:pPr>
            <w:r>
              <w:rPr>
                <w:rFonts w:ascii="宋体" w:hAnsi="宋体" w:cs="宋体" w:eastAsia="宋体" w:hint="default"/>
                <w:sz w:val="18"/>
                <w:szCs w:val="18"/>
              </w:rPr>
              <w:t>本期增持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p>
            <w:pPr>
              <w:pStyle w:val="TableParagraph"/>
              <w:spacing w:line="240" w:lineRule="auto" w:before="27"/>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33" w:right="31"/>
              <w:jc w:val="left"/>
              <w:rPr>
                <w:rFonts w:ascii="宋体" w:hAnsi="宋体" w:cs="宋体" w:eastAsia="宋体" w:hint="default"/>
                <w:sz w:val="18"/>
                <w:szCs w:val="18"/>
              </w:rPr>
            </w:pPr>
            <w:r>
              <w:rPr>
                <w:rFonts w:ascii="宋体" w:hAnsi="宋体" w:cs="宋体" w:eastAsia="宋体" w:hint="default"/>
                <w:sz w:val="18"/>
                <w:szCs w:val="18"/>
              </w:rPr>
              <w:t>本期减持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p>
            <w:pPr>
              <w:pStyle w:val="TableParagraph"/>
              <w:spacing w:line="240" w:lineRule="auto" w:before="27"/>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3" w:right="-44" w:firstLine="9"/>
              <w:jc w:val="left"/>
              <w:rPr>
                <w:rFonts w:ascii="宋体" w:hAnsi="宋体" w:cs="宋体" w:eastAsia="宋体" w:hint="default"/>
                <w:sz w:val="18"/>
                <w:szCs w:val="18"/>
              </w:rPr>
            </w:pPr>
            <w:r>
              <w:rPr>
                <w:rFonts w:ascii="宋体" w:hAnsi="宋体" w:cs="宋体" w:eastAsia="宋体" w:hint="default"/>
                <w:sz w:val="18"/>
                <w:szCs w:val="18"/>
              </w:rPr>
              <w:t>其他增减</w:t>
            </w:r>
            <w:r>
              <w:rPr>
                <w:rFonts w:ascii="宋体" w:hAnsi="宋体" w:cs="宋体" w:eastAsia="宋体" w:hint="default"/>
                <w:w w:val="101"/>
                <w:sz w:val="18"/>
                <w:szCs w:val="18"/>
              </w:rPr>
              <w:t> </w:t>
            </w:r>
            <w:r>
              <w:rPr>
                <w:rFonts w:ascii="宋体" w:hAnsi="宋体" w:cs="宋体" w:eastAsia="宋体" w:hint="default"/>
                <w:spacing w:val="-22"/>
                <w:w w:val="101"/>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3" w:right="26"/>
              <w:jc w:val="left"/>
              <w:rPr>
                <w:rFonts w:ascii="宋体" w:hAnsi="宋体" w:cs="宋体" w:eastAsia="宋体" w:hint="default"/>
                <w:sz w:val="18"/>
                <w:szCs w:val="18"/>
              </w:rPr>
            </w:pPr>
            <w:r>
              <w:rPr>
                <w:rFonts w:ascii="宋体" w:hAnsi="宋体" w:cs="宋体" w:eastAsia="宋体" w:hint="default"/>
                <w:sz w:val="18"/>
                <w:szCs w:val="18"/>
              </w:rPr>
              <w:t>期末持股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数（股）</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廖杰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09</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吴斯远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梁军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1" w:lineRule="auto"/>
              <w:ind w:left="24" w:right="36"/>
              <w:jc w:val="left"/>
              <w:rPr>
                <w:rFonts w:ascii="宋体" w:hAnsi="宋体" w:cs="宋体" w:eastAsia="宋体" w:hint="default"/>
                <w:sz w:val="18"/>
                <w:szCs w:val="18"/>
              </w:rPr>
            </w:pPr>
            <w:r>
              <w:rPr>
                <w:rFonts w:ascii="宋体" w:hAnsi="宋体" w:cs="宋体" w:eastAsia="宋体" w:hint="default"/>
                <w:sz w:val="18"/>
                <w:szCs w:val="18"/>
              </w:rPr>
              <w:t>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柴继军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4" w:right="36"/>
              <w:jc w:val="left"/>
              <w:rPr>
                <w:rFonts w:ascii="宋体" w:hAnsi="宋体" w:cs="宋体" w:eastAsia="宋体" w:hint="default"/>
                <w:sz w:val="18"/>
                <w:szCs w:val="18"/>
              </w:rPr>
            </w:pPr>
            <w:r>
              <w:rPr>
                <w:rFonts w:ascii="宋体" w:hAnsi="宋体" w:cs="宋体" w:eastAsia="宋体" w:hint="default"/>
                <w:sz w:val="18"/>
                <w:szCs w:val="18"/>
              </w:rPr>
              <w:t>董事、副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49,762,12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45,762,12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周云东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09</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500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500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汪天润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04</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朱武祥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潘帅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岳蓉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24" w:right="36"/>
              <w:jc w:val="left"/>
              <w:rPr>
                <w:rFonts w:ascii="宋体" w:hAnsi="宋体" w:cs="宋体" w:eastAsia="宋体" w:hint="default"/>
                <w:sz w:val="18"/>
                <w:szCs w:val="18"/>
              </w:rPr>
            </w:pPr>
            <w:r>
              <w:rPr>
                <w:rFonts w:ascii="宋体" w:hAnsi="宋体" w:cs="宋体" w:eastAsia="宋体" w:hint="default"/>
                <w:sz w:val="18"/>
                <w:szCs w:val="18"/>
              </w:rPr>
              <w:t>监事会主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14</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杨霞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01</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苏华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600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600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802"/>
        <w:gridCol w:w="797"/>
        <w:gridCol w:w="797"/>
        <w:gridCol w:w="797"/>
        <w:gridCol w:w="797"/>
        <w:gridCol w:w="802"/>
        <w:gridCol w:w="797"/>
        <w:gridCol w:w="797"/>
      </w:tblGrid>
      <w:tr>
        <w:trPr>
          <w:trHeight w:val="672" w:hRule="exact"/>
        </w:trPr>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王刚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right="396"/>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张宏麟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396"/>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19</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白怀志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396"/>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5,000</w:t>
            </w: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刘楠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4" w:lineRule="auto"/>
              <w:ind w:left="24" w:right="36"/>
              <w:jc w:val="left"/>
              <w:rPr>
                <w:rFonts w:ascii="宋体" w:hAnsi="宋体" w:cs="宋体" w:eastAsia="宋体" w:hint="default"/>
                <w:sz w:val="18"/>
                <w:szCs w:val="18"/>
              </w:rPr>
            </w:pPr>
            <w:r>
              <w:rPr>
                <w:rFonts w:ascii="宋体" w:hAnsi="宋体" w:cs="宋体" w:eastAsia="宋体" w:hint="default"/>
                <w:sz w:val="18"/>
                <w:szCs w:val="18"/>
              </w:rPr>
              <w:t>董事会秘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396"/>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339"/>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49,768,22</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45,768,22</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二、公司董事、监事、高级管理人员变动情况" w:id="126"/>
      <w:bookmarkEnd w:id="126"/>
      <w:r>
        <w:rPr>
          <w:b w:val="0"/>
          <w:bCs w:val="0"/>
        </w:rPr>
      </w:r>
      <w:r>
        <w:rPr/>
        <w:t>二、公司董事、监事、高级管理人员变动情况</w:t>
      </w:r>
      <w:r>
        <w:rPr>
          <w:b w:val="0"/>
          <w:bCs w:val="0"/>
        </w:rPr>
      </w:r>
    </w:p>
    <w:p>
      <w:pPr>
        <w:spacing w:line="240" w:lineRule="auto" w:before="8"/>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柴继军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12</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工作调整</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白怀志</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12</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聘任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刘楠</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12</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聘任</w:t>
            </w:r>
          </w:p>
        </w:tc>
      </w:tr>
    </w:tbl>
    <w:p>
      <w:pPr>
        <w:spacing w:line="240" w:lineRule="auto" w:before="9"/>
        <w:rPr>
          <w:rFonts w:ascii="宋体" w:hAnsi="宋体" w:cs="宋体" w:eastAsia="宋体" w:hint="default"/>
          <w:sz w:val="17"/>
          <w:szCs w:val="17"/>
        </w:rPr>
      </w:pPr>
    </w:p>
    <w:p>
      <w:pPr>
        <w:pStyle w:val="Heading2"/>
        <w:spacing w:line="240" w:lineRule="auto" w:before="26"/>
        <w:ind w:right="0"/>
        <w:jc w:val="both"/>
        <w:rPr>
          <w:b w:val="0"/>
          <w:bCs w:val="0"/>
        </w:rPr>
      </w:pPr>
      <w:bookmarkStart w:name="三、任职情况" w:id="127"/>
      <w:bookmarkEnd w:id="127"/>
      <w:r>
        <w:rPr>
          <w:b w:val="0"/>
          <w:bCs w:val="0"/>
        </w:rPr>
      </w:r>
      <w:r>
        <w:rPr/>
        <w:t>三、任职情况</w:t>
      </w:r>
      <w:r>
        <w:rPr>
          <w:b w:val="0"/>
          <w:bCs w:val="0"/>
        </w:rPr>
      </w:r>
    </w:p>
    <w:p>
      <w:pPr>
        <w:spacing w:line="240" w:lineRule="auto" w:before="3"/>
        <w:rPr>
          <w:rFonts w:ascii="宋体" w:hAnsi="宋体" w:cs="宋体" w:eastAsia="宋体" w:hint="default"/>
          <w:b/>
          <w:bCs/>
          <w:sz w:val="27"/>
          <w:szCs w:val="27"/>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pacing w:val="-3"/>
          <w:sz w:val="18"/>
          <w:szCs w:val="18"/>
        </w:rPr>
        <w:t>公司现任董事、监事、高级管理人员专业背景、主要工作经历以及目前在公司的主要职责</w:t>
      </w:r>
    </w:p>
    <w:p>
      <w:pPr>
        <w:spacing w:line="300" w:lineRule="auto" w:before="115"/>
        <w:ind w:left="153" w:right="1036" w:firstLine="0"/>
        <w:jc w:val="both"/>
        <w:rPr>
          <w:rFonts w:ascii="宋体" w:hAnsi="宋体" w:cs="宋体" w:eastAsia="宋体" w:hint="default"/>
          <w:sz w:val="18"/>
          <w:szCs w:val="18"/>
        </w:rPr>
      </w:pPr>
      <w:r>
        <w:rPr>
          <w:rFonts w:ascii="宋体" w:hAnsi="宋体" w:cs="宋体" w:eastAsia="宋体" w:hint="default"/>
          <w:spacing w:val="-3"/>
          <w:sz w:val="18"/>
          <w:szCs w:val="18"/>
        </w:rPr>
        <w:t>廖杰，男，</w:t>
      </w:r>
      <w:r>
        <w:rPr>
          <w:rFonts w:ascii="Times New Roman" w:hAnsi="Times New Roman" w:cs="Times New Roman" w:eastAsia="Times New Roman" w:hint="default"/>
          <w:spacing w:val="-3"/>
          <w:sz w:val="18"/>
          <w:szCs w:val="18"/>
        </w:rPr>
        <w:t>1966</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月出生，加拿大国籍，硕士学历。</w:t>
      </w:r>
      <w:r>
        <w:rPr>
          <w:rFonts w:ascii="Times New Roman" w:hAnsi="Times New Roman" w:cs="Times New Roman" w:eastAsia="Times New Roman" w:hint="default"/>
          <w:spacing w:val="-3"/>
          <w:sz w:val="18"/>
          <w:szCs w:val="18"/>
        </w:rPr>
        <w:t>2011</w:t>
      </w:r>
      <w:r>
        <w:rPr>
          <w:rFonts w:ascii="宋体" w:hAnsi="宋体" w:cs="宋体" w:eastAsia="宋体" w:hint="default"/>
          <w:spacing w:val="-3"/>
          <w:sz w:val="18"/>
          <w:szCs w:val="18"/>
        </w:rPr>
        <w:t>年至今，历任中国智能交通系统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控股</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有限公司执行董事、总裁，</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3"/>
          <w:sz w:val="18"/>
          <w:szCs w:val="18"/>
        </w:rPr>
        <w:t>现任董事会主席。</w:t>
      </w:r>
      <w:r>
        <w:rPr>
          <w:rFonts w:ascii="Times New Roman" w:hAnsi="Times New Roman" w:cs="Times New Roman" w:eastAsia="Times New Roman" w:hint="default"/>
          <w:spacing w:val="-3"/>
          <w:sz w:val="18"/>
          <w:szCs w:val="18"/>
        </w:rPr>
        <w:t>2014</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日至今任视觉（中国）文化发展股份有限公司董事长。</w:t>
      </w:r>
    </w:p>
    <w:p>
      <w:pPr>
        <w:spacing w:line="240" w:lineRule="auto" w:before="11"/>
        <w:rPr>
          <w:rFonts w:ascii="宋体" w:hAnsi="宋体" w:cs="宋体" w:eastAsia="宋体" w:hint="default"/>
          <w:sz w:val="24"/>
          <w:szCs w:val="24"/>
        </w:rPr>
      </w:pPr>
    </w:p>
    <w:p>
      <w:pPr>
        <w:spacing w:line="300" w:lineRule="auto" w:before="0"/>
        <w:ind w:left="153" w:right="1122" w:firstLine="0"/>
        <w:jc w:val="both"/>
        <w:rPr>
          <w:rFonts w:ascii="宋体" w:hAnsi="宋体" w:cs="宋体" w:eastAsia="宋体" w:hint="default"/>
          <w:sz w:val="18"/>
          <w:szCs w:val="18"/>
        </w:rPr>
      </w:pPr>
      <w:r>
        <w:rPr>
          <w:rFonts w:ascii="宋体" w:hAnsi="宋体" w:cs="宋体" w:eastAsia="宋体" w:hint="default"/>
          <w:spacing w:val="-5"/>
          <w:sz w:val="18"/>
          <w:szCs w:val="18"/>
        </w:rPr>
        <w:t>吴斯远，男，</w:t>
      </w:r>
      <w:r>
        <w:rPr>
          <w:rFonts w:ascii="Times New Roman" w:hAnsi="Times New Roman" w:cs="Times New Roman" w:eastAsia="Times New Roman" w:hint="default"/>
          <w:spacing w:val="-5"/>
          <w:sz w:val="18"/>
          <w:szCs w:val="18"/>
        </w:rPr>
        <w:t>1964</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月出生，硕士研究生学历。</w:t>
      </w:r>
      <w:r>
        <w:rPr>
          <w:rFonts w:ascii="Times New Roman" w:hAnsi="Times New Roman" w:cs="Times New Roman" w:eastAsia="Times New Roman" w:hint="default"/>
          <w:spacing w:val="-5"/>
          <w:sz w:val="18"/>
          <w:szCs w:val="18"/>
        </w:rPr>
        <w:t>2010</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月至</w:t>
      </w:r>
      <w:r>
        <w:rPr>
          <w:rFonts w:ascii="Times New Roman" w:hAnsi="Times New Roman" w:cs="Times New Roman" w:eastAsia="Times New Roman" w:hint="default"/>
          <w:spacing w:val="-5"/>
          <w:sz w:val="18"/>
          <w:szCs w:val="18"/>
        </w:rPr>
        <w:t>2014</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9</w:t>
      </w:r>
      <w:r>
        <w:rPr>
          <w:rFonts w:ascii="宋体" w:hAnsi="宋体" w:cs="宋体" w:eastAsia="宋体" w:hint="default"/>
          <w:spacing w:val="-5"/>
          <w:sz w:val="18"/>
          <w:szCs w:val="18"/>
        </w:rPr>
        <w:t>月，任华侨城股份有限公司副总裁；</w:t>
      </w:r>
      <w:r>
        <w:rPr>
          <w:rFonts w:ascii="Times New Roman" w:hAnsi="Times New Roman" w:cs="Times New Roman" w:eastAsia="Times New Roman" w:hint="default"/>
          <w:spacing w:val="-5"/>
          <w:sz w:val="18"/>
          <w:szCs w:val="18"/>
        </w:rPr>
        <w:t>2013</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10</w:t>
      </w:r>
      <w:r>
        <w:rPr>
          <w:rFonts w:ascii="宋体" w:hAnsi="宋体" w:cs="宋体" w:eastAsia="宋体" w:hint="default"/>
          <w:spacing w:val="-5"/>
          <w:sz w:val="18"/>
          <w:szCs w:val="18"/>
        </w:rPr>
        <w:t>月至</w:t>
      </w:r>
      <w:r>
        <w:rPr>
          <w:rFonts w:ascii="Times New Roman" w:hAnsi="Times New Roman" w:cs="Times New Roman" w:eastAsia="Times New Roman" w:hint="default"/>
          <w:spacing w:val="-5"/>
          <w:sz w:val="18"/>
          <w:szCs w:val="18"/>
        </w:rPr>
        <w:t>2014</w:t>
      </w:r>
      <w:r>
        <w:rPr>
          <w:rFonts w:ascii="Times New Roman" w:hAnsi="Times New Roman" w:cs="Times New Roman" w:eastAsia="Times New Roman" w:hint="default"/>
          <w:spacing w:val="28"/>
          <w:sz w:val="18"/>
          <w:szCs w:val="18"/>
        </w:rPr>
        <w:t> </w:t>
      </w:r>
      <w:r>
        <w:rPr>
          <w:rFonts w:ascii="Times New Roman" w:hAnsi="Times New Roman" w:cs="Times New Roman" w:eastAsia="Times New Roman" w:hint="default"/>
          <w:spacing w:val="28"/>
          <w:sz w:val="18"/>
          <w:szCs w:val="18"/>
        </w:rPr>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11</w:t>
      </w:r>
      <w:r>
        <w:rPr>
          <w:rFonts w:ascii="宋体" w:hAnsi="宋体" w:cs="宋体" w:eastAsia="宋体" w:hint="default"/>
          <w:spacing w:val="-4"/>
          <w:sz w:val="18"/>
          <w:szCs w:val="18"/>
        </w:rPr>
        <w:t>月，任康佳集团股份公司董事长；</w:t>
      </w:r>
      <w:r>
        <w:rPr>
          <w:rFonts w:ascii="Times New Roman" w:hAnsi="Times New Roman" w:cs="Times New Roman" w:eastAsia="Times New Roman" w:hint="default"/>
          <w:spacing w:val="-4"/>
          <w:sz w:val="18"/>
          <w:szCs w:val="18"/>
        </w:rPr>
        <w:t>2014</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9</w:t>
      </w:r>
      <w:r>
        <w:rPr>
          <w:rFonts w:ascii="宋体" w:hAnsi="宋体" w:cs="宋体" w:eastAsia="宋体" w:hint="default"/>
          <w:spacing w:val="-4"/>
          <w:sz w:val="18"/>
          <w:szCs w:val="18"/>
        </w:rPr>
        <w:t>月至</w:t>
      </w:r>
      <w:r>
        <w:rPr>
          <w:rFonts w:ascii="Times New Roman" w:hAnsi="Times New Roman" w:cs="Times New Roman" w:eastAsia="Times New Roman" w:hint="default"/>
          <w:spacing w:val="-4"/>
          <w:sz w:val="18"/>
          <w:szCs w:val="18"/>
        </w:rPr>
        <w:t>2015</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9</w:t>
      </w:r>
      <w:r>
        <w:rPr>
          <w:rFonts w:ascii="宋体" w:hAnsi="宋体" w:cs="宋体" w:eastAsia="宋体" w:hint="default"/>
          <w:spacing w:val="-4"/>
          <w:sz w:val="18"/>
          <w:szCs w:val="18"/>
        </w:rPr>
        <w:t>月，任华侨城集团公司副总经理；</w:t>
      </w:r>
      <w:r>
        <w:rPr>
          <w:rFonts w:ascii="Times New Roman" w:hAnsi="Times New Roman" w:cs="Times New Roman" w:eastAsia="Times New Roman" w:hint="default"/>
          <w:spacing w:val="-4"/>
          <w:sz w:val="18"/>
          <w:szCs w:val="18"/>
        </w:rPr>
        <w:t>2016</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月至</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月，任唱</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4"/>
          <w:sz w:val="18"/>
          <w:szCs w:val="18"/>
        </w:rPr>
        <w:t>游信息技术有限公司董事长、法定代表人；</w:t>
      </w:r>
      <w:r>
        <w:rPr>
          <w:rFonts w:ascii="Times New Roman" w:hAnsi="Times New Roman" w:cs="Times New Roman" w:eastAsia="Times New Roman" w:hint="default"/>
          <w:spacing w:val="-4"/>
          <w:sz w:val="18"/>
          <w:szCs w:val="18"/>
        </w:rPr>
        <w:t>2017</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7</w:t>
      </w:r>
      <w:r>
        <w:rPr>
          <w:rFonts w:ascii="宋体" w:hAnsi="宋体" w:cs="宋体" w:eastAsia="宋体" w:hint="default"/>
          <w:spacing w:val="-4"/>
          <w:sz w:val="18"/>
          <w:szCs w:val="18"/>
        </w:rPr>
        <w:t>月至今任深圳海王集团股份有限公司副董事长。</w:t>
      </w:r>
      <w:r>
        <w:rPr>
          <w:rFonts w:ascii="Times New Roman" w:hAnsi="Times New Roman" w:cs="Times New Roman" w:eastAsia="Times New Roman" w:hint="default"/>
          <w:spacing w:val="-4"/>
          <w:sz w:val="18"/>
          <w:szCs w:val="18"/>
        </w:rPr>
        <w:t>2016</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7</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29</w:t>
      </w:r>
      <w:r>
        <w:rPr>
          <w:rFonts w:ascii="宋体" w:hAnsi="宋体" w:cs="宋体" w:eastAsia="宋体" w:hint="default"/>
          <w:spacing w:val="-4"/>
          <w:sz w:val="18"/>
          <w:szCs w:val="18"/>
        </w:rPr>
        <w:t>日至今任视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觉（中国）文化发展股份有限公司副董事长。</w:t>
      </w:r>
    </w:p>
    <w:p>
      <w:pPr>
        <w:spacing w:line="240" w:lineRule="auto" w:before="4"/>
        <w:rPr>
          <w:rFonts w:ascii="宋体" w:hAnsi="宋体" w:cs="宋体" w:eastAsia="宋体" w:hint="default"/>
          <w:sz w:val="26"/>
          <w:szCs w:val="26"/>
        </w:rPr>
      </w:pPr>
    </w:p>
    <w:p>
      <w:pPr>
        <w:spacing w:line="300" w:lineRule="auto" w:before="0"/>
        <w:ind w:left="153" w:right="1122" w:firstLine="0"/>
        <w:jc w:val="both"/>
        <w:rPr>
          <w:rFonts w:ascii="宋体" w:hAnsi="宋体" w:cs="宋体" w:eastAsia="宋体" w:hint="default"/>
          <w:sz w:val="18"/>
          <w:szCs w:val="18"/>
        </w:rPr>
      </w:pPr>
      <w:r>
        <w:rPr>
          <w:rFonts w:ascii="宋体" w:hAnsi="宋体" w:cs="宋体" w:eastAsia="宋体" w:hint="default"/>
          <w:spacing w:val="-7"/>
          <w:sz w:val="18"/>
          <w:szCs w:val="18"/>
        </w:rPr>
        <w:t>梁军，女，</w:t>
      </w:r>
      <w:r>
        <w:rPr>
          <w:rFonts w:ascii="Times New Roman" w:hAnsi="Times New Roman" w:cs="Times New Roman" w:eastAsia="Times New Roman" w:hint="default"/>
          <w:spacing w:val="-7"/>
          <w:sz w:val="18"/>
          <w:szCs w:val="18"/>
        </w:rPr>
        <w:t>1966</w:t>
      </w: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7</w:t>
      </w:r>
      <w:r>
        <w:rPr>
          <w:rFonts w:ascii="宋体" w:hAnsi="宋体" w:cs="宋体" w:eastAsia="宋体" w:hint="default"/>
          <w:spacing w:val="-7"/>
          <w:sz w:val="18"/>
          <w:szCs w:val="18"/>
        </w:rPr>
        <w:t>月出生，美国国籍，硕士学历。</w:t>
      </w:r>
      <w:r>
        <w:rPr>
          <w:rFonts w:ascii="Times New Roman" w:hAnsi="Times New Roman" w:cs="Times New Roman" w:eastAsia="Times New Roman" w:hint="default"/>
          <w:spacing w:val="-7"/>
          <w:sz w:val="18"/>
          <w:szCs w:val="18"/>
        </w:rPr>
        <w:t>2005</w:t>
      </w: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11</w:t>
      </w:r>
      <w:r>
        <w:rPr>
          <w:rFonts w:ascii="宋体" w:hAnsi="宋体" w:cs="宋体" w:eastAsia="宋体" w:hint="default"/>
          <w:spacing w:val="-7"/>
          <w:sz w:val="18"/>
          <w:szCs w:val="18"/>
        </w:rPr>
        <w:t>月至</w:t>
      </w:r>
      <w:r>
        <w:rPr>
          <w:rFonts w:ascii="Times New Roman" w:hAnsi="Times New Roman" w:cs="Times New Roman" w:eastAsia="Times New Roman" w:hint="default"/>
          <w:spacing w:val="-7"/>
          <w:sz w:val="18"/>
          <w:szCs w:val="18"/>
        </w:rPr>
        <w:t>2012</w:t>
      </w: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8</w:t>
      </w:r>
      <w:r>
        <w:rPr>
          <w:rFonts w:ascii="宋体" w:hAnsi="宋体" w:cs="宋体" w:eastAsia="宋体" w:hint="default"/>
          <w:spacing w:val="-7"/>
          <w:sz w:val="18"/>
          <w:szCs w:val="18"/>
        </w:rPr>
        <w:t>月任优力易美（北京）图像技术有限公司董事；</w:t>
      </w:r>
      <w:r>
        <w:rPr>
          <w:rFonts w:ascii="Times New Roman" w:hAnsi="Times New Roman" w:cs="Times New Roman" w:eastAsia="Times New Roman" w:hint="default"/>
          <w:spacing w:val="-7"/>
          <w:sz w:val="18"/>
          <w:szCs w:val="18"/>
        </w:rPr>
        <w:t>2005 </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8</w:t>
      </w:r>
      <w:r>
        <w:rPr>
          <w:rFonts w:ascii="宋体" w:hAnsi="宋体" w:cs="宋体" w:eastAsia="宋体" w:hint="default"/>
          <w:spacing w:val="-4"/>
          <w:sz w:val="18"/>
          <w:szCs w:val="18"/>
        </w:rPr>
        <w:t>月至</w:t>
      </w:r>
      <w:r>
        <w:rPr>
          <w:rFonts w:ascii="Times New Roman" w:hAnsi="Times New Roman" w:cs="Times New Roman" w:eastAsia="Times New Roman" w:hint="default"/>
          <w:spacing w:val="-4"/>
          <w:sz w:val="18"/>
          <w:szCs w:val="18"/>
        </w:rPr>
        <w:t>2016</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7</w:t>
      </w:r>
      <w:r>
        <w:rPr>
          <w:rFonts w:ascii="宋体" w:hAnsi="宋体" w:cs="宋体" w:eastAsia="宋体" w:hint="default"/>
          <w:spacing w:val="-4"/>
          <w:sz w:val="18"/>
          <w:szCs w:val="18"/>
        </w:rPr>
        <w:t>月任华盖创意（北京）图像技术有限公司董事、总经理；</w:t>
      </w:r>
      <w:r>
        <w:rPr>
          <w:rFonts w:ascii="Times New Roman" w:hAnsi="Times New Roman" w:cs="Times New Roman" w:eastAsia="Times New Roman" w:hint="default"/>
          <w:spacing w:val="-4"/>
          <w:sz w:val="18"/>
          <w:szCs w:val="18"/>
        </w:rPr>
        <w:t>2006</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8</w:t>
      </w:r>
      <w:r>
        <w:rPr>
          <w:rFonts w:ascii="宋体" w:hAnsi="宋体" w:cs="宋体" w:eastAsia="宋体" w:hint="default"/>
          <w:spacing w:val="-4"/>
          <w:sz w:val="18"/>
          <w:szCs w:val="18"/>
        </w:rPr>
        <w:t>月至</w:t>
      </w:r>
      <w:r>
        <w:rPr>
          <w:rFonts w:ascii="Times New Roman" w:hAnsi="Times New Roman" w:cs="Times New Roman" w:eastAsia="Times New Roman" w:hint="default"/>
          <w:spacing w:val="-4"/>
          <w:sz w:val="18"/>
          <w:szCs w:val="18"/>
        </w:rPr>
        <w:t>2016</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7</w:t>
      </w:r>
      <w:r>
        <w:rPr>
          <w:rFonts w:ascii="宋体" w:hAnsi="宋体" w:cs="宋体" w:eastAsia="宋体" w:hint="default"/>
          <w:spacing w:val="-4"/>
          <w:sz w:val="18"/>
          <w:szCs w:val="18"/>
        </w:rPr>
        <w:t>月任北京汉华易美图片有限公</w:t>
      </w:r>
    </w:p>
    <w:p>
      <w:pPr>
        <w:spacing w:after="0" w:line="300" w:lineRule="auto"/>
        <w:jc w:val="both"/>
        <w:rPr>
          <w:rFonts w:ascii="宋体" w:hAnsi="宋体" w:cs="宋体" w:eastAsia="宋体" w:hint="default"/>
          <w:sz w:val="18"/>
          <w:szCs w:val="18"/>
        </w:rPr>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spacing w:line="300" w:lineRule="auto" w:before="46"/>
        <w:ind w:left="153" w:right="1122" w:firstLine="0"/>
        <w:jc w:val="both"/>
        <w:rPr>
          <w:rFonts w:ascii="宋体" w:hAnsi="宋体" w:cs="宋体" w:eastAsia="宋体" w:hint="default"/>
          <w:sz w:val="18"/>
          <w:szCs w:val="18"/>
        </w:rPr>
      </w:pPr>
      <w:r>
        <w:rPr>
          <w:rFonts w:ascii="宋体" w:hAnsi="宋体" w:cs="宋体" w:eastAsia="宋体" w:hint="default"/>
          <w:spacing w:val="-3"/>
          <w:sz w:val="18"/>
          <w:szCs w:val="18"/>
        </w:rPr>
        <w:t>司董事、总经理。</w:t>
      </w:r>
      <w:r>
        <w:rPr>
          <w:rFonts w:ascii="Times New Roman" w:hAnsi="Times New Roman" w:cs="Times New Roman" w:eastAsia="Times New Roman" w:hint="default"/>
          <w:spacing w:val="-3"/>
          <w:sz w:val="18"/>
          <w:szCs w:val="18"/>
        </w:rPr>
        <w:t>2014</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15</w:t>
      </w:r>
      <w:r>
        <w:rPr>
          <w:rFonts w:ascii="宋体" w:hAnsi="宋体" w:cs="宋体" w:eastAsia="宋体" w:hint="default"/>
          <w:spacing w:val="-3"/>
          <w:sz w:val="18"/>
          <w:szCs w:val="18"/>
        </w:rPr>
        <w:t>日至今任视觉（中国）文化发展股份有限公司总裁，</w:t>
      </w:r>
      <w:r>
        <w:rPr>
          <w:rFonts w:ascii="Times New Roman" w:hAnsi="Times New Roman" w:cs="Times New Roman" w:eastAsia="Times New Roman" w:hint="default"/>
          <w:spacing w:val="-3"/>
          <w:sz w:val="18"/>
          <w:szCs w:val="18"/>
        </w:rPr>
        <w:t>2014</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日至今任视觉（中国）文化</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发展股份有限公司董事。</w:t>
      </w:r>
    </w:p>
    <w:p>
      <w:pPr>
        <w:spacing w:line="240" w:lineRule="auto" w:before="4"/>
        <w:rPr>
          <w:rFonts w:ascii="宋体" w:hAnsi="宋体" w:cs="宋体" w:eastAsia="宋体" w:hint="default"/>
          <w:sz w:val="26"/>
          <w:szCs w:val="26"/>
        </w:rPr>
      </w:pPr>
    </w:p>
    <w:p>
      <w:pPr>
        <w:spacing w:line="300" w:lineRule="auto" w:before="0"/>
        <w:ind w:left="153" w:right="0" w:firstLine="0"/>
        <w:jc w:val="left"/>
        <w:rPr>
          <w:rFonts w:ascii="宋体" w:hAnsi="宋体" w:cs="宋体" w:eastAsia="宋体" w:hint="default"/>
          <w:sz w:val="18"/>
          <w:szCs w:val="18"/>
        </w:rPr>
      </w:pPr>
      <w:r>
        <w:rPr>
          <w:rFonts w:ascii="宋体" w:hAnsi="宋体" w:cs="宋体" w:eastAsia="宋体" w:hint="default"/>
          <w:spacing w:val="-4"/>
          <w:sz w:val="18"/>
          <w:szCs w:val="18"/>
        </w:rPr>
        <w:t>柴继军，男，</w:t>
      </w:r>
      <w:r>
        <w:rPr>
          <w:rFonts w:ascii="Times New Roman" w:hAnsi="Times New Roman" w:cs="Times New Roman" w:eastAsia="Times New Roman" w:hint="default"/>
          <w:spacing w:val="-4"/>
          <w:sz w:val="18"/>
          <w:szCs w:val="18"/>
        </w:rPr>
        <w:t>1974</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月出生，本科学历。</w:t>
      </w:r>
      <w:r>
        <w:rPr>
          <w:rFonts w:ascii="Times New Roman" w:hAnsi="Times New Roman" w:cs="Times New Roman" w:eastAsia="Times New Roman" w:hint="default"/>
          <w:spacing w:val="-4"/>
          <w:sz w:val="18"/>
          <w:szCs w:val="18"/>
        </w:rPr>
        <w:t>1995</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8</w:t>
      </w:r>
      <w:r>
        <w:rPr>
          <w:rFonts w:ascii="宋体" w:hAnsi="宋体" w:cs="宋体" w:eastAsia="宋体" w:hint="default"/>
          <w:spacing w:val="-4"/>
          <w:sz w:val="18"/>
          <w:szCs w:val="18"/>
        </w:rPr>
        <w:t>月至</w:t>
      </w:r>
      <w:r>
        <w:rPr>
          <w:rFonts w:ascii="Times New Roman" w:hAnsi="Times New Roman" w:cs="Times New Roman" w:eastAsia="Times New Roman" w:hint="default"/>
          <w:spacing w:val="-4"/>
          <w:sz w:val="18"/>
          <w:szCs w:val="18"/>
        </w:rPr>
        <w:t>2006</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月任中国青年报图片编辑、摄影记者；</w:t>
      </w:r>
      <w:r>
        <w:rPr>
          <w:rFonts w:ascii="Times New Roman" w:hAnsi="Times New Roman" w:cs="Times New Roman" w:eastAsia="Times New Roman" w:hint="default"/>
          <w:spacing w:val="-4"/>
          <w:sz w:val="18"/>
          <w:szCs w:val="18"/>
        </w:rPr>
        <w:t>2006</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月至今任北京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汉华易美图片有限公司董事、总编辑；</w:t>
      </w:r>
      <w:r>
        <w:rPr>
          <w:rFonts w:ascii="Times New Roman" w:hAnsi="Times New Roman" w:cs="Times New Roman" w:eastAsia="Times New Roman" w:hint="default"/>
          <w:spacing w:val="-3"/>
          <w:sz w:val="18"/>
          <w:szCs w:val="18"/>
        </w:rPr>
        <w:t>2012</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月至今任华夏视觉（北京）图像技术有限公司执行董事、总编辑；</w:t>
      </w:r>
      <w:r>
        <w:rPr>
          <w:rFonts w:ascii="Times New Roman" w:hAnsi="Times New Roman" w:cs="Times New Roman" w:eastAsia="Times New Roman" w:hint="default"/>
          <w:spacing w:val="-3"/>
          <w:sz w:val="18"/>
          <w:szCs w:val="18"/>
        </w:rPr>
        <w:t>2016</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日任视觉（中国）文化发展股份有限公司董事会秘书；</w:t>
      </w:r>
      <w:r>
        <w:rPr>
          <w:rFonts w:ascii="Times New Roman" w:hAnsi="Times New Roman" w:cs="Times New Roman" w:eastAsia="Times New Roman" w:hint="default"/>
          <w:sz w:val="18"/>
          <w:szCs w:val="18"/>
        </w:rPr>
        <w:t>2014 </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15</w:t>
      </w:r>
      <w:r>
        <w:rPr>
          <w:rFonts w:ascii="宋体" w:hAnsi="宋体" w:cs="宋体" w:eastAsia="宋体" w:hint="default"/>
          <w:spacing w:val="-3"/>
          <w:sz w:val="18"/>
          <w:szCs w:val="18"/>
        </w:rPr>
        <w:t>日至今任视觉（中国）文化发展</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3"/>
          <w:sz w:val="18"/>
          <w:szCs w:val="18"/>
        </w:rPr>
        <w:t>股份有限公司副总裁、总编辑；</w:t>
      </w:r>
      <w:r>
        <w:rPr>
          <w:rFonts w:ascii="Times New Roman" w:hAnsi="Times New Roman" w:cs="Times New Roman" w:eastAsia="Times New Roman" w:hint="default"/>
          <w:spacing w:val="-3"/>
          <w:sz w:val="18"/>
          <w:szCs w:val="18"/>
        </w:rPr>
        <w:t>2014</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日至今任视觉（中国）文化发展股份有限公司董事。</w:t>
      </w:r>
    </w:p>
    <w:p>
      <w:pPr>
        <w:spacing w:line="240" w:lineRule="auto" w:before="11"/>
        <w:rPr>
          <w:rFonts w:ascii="宋体" w:hAnsi="宋体" w:cs="宋体" w:eastAsia="宋体" w:hint="default"/>
          <w:sz w:val="24"/>
          <w:szCs w:val="24"/>
        </w:rPr>
      </w:pPr>
    </w:p>
    <w:p>
      <w:pPr>
        <w:spacing w:line="300" w:lineRule="auto" w:before="0"/>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周云东，男，</w:t>
      </w:r>
      <w:r>
        <w:rPr>
          <w:rFonts w:ascii="Times New Roman" w:hAnsi="Times New Roman" w:cs="Times New Roman" w:eastAsia="Times New Roman" w:hint="default"/>
          <w:spacing w:val="-2"/>
          <w:sz w:val="18"/>
          <w:szCs w:val="18"/>
        </w:rPr>
        <w:t>1971</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月出生，研究生学历，中共党员。</w:t>
      </w:r>
      <w:r>
        <w:rPr>
          <w:rFonts w:ascii="Times New Roman" w:hAnsi="Times New Roman" w:cs="Times New Roman" w:eastAsia="Times New Roman" w:hint="default"/>
          <w:spacing w:val="-2"/>
          <w:sz w:val="18"/>
          <w:szCs w:val="18"/>
        </w:rPr>
        <w:t>2007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月任常州市发展和改革委员会副主任；</w:t>
      </w:r>
      <w:r>
        <w:rPr>
          <w:rFonts w:ascii="Times New Roman" w:hAnsi="Times New Roman" w:cs="Times New Roman" w:eastAsia="Times New Roman" w:hint="default"/>
          <w:spacing w:val="-2"/>
          <w:sz w:val="18"/>
          <w:szCs w:val="18"/>
        </w:rPr>
        <w:t>2013</w:t>
      </w:r>
      <w:r>
        <w:rPr>
          <w:rFonts w:ascii="Times New Roman" w:hAnsi="Times New Roman" w:cs="Times New Roman" w:eastAsia="Times New Roman" w:hint="default"/>
          <w:spacing w:val="37"/>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月至</w:t>
      </w:r>
      <w:r>
        <w:rPr>
          <w:rFonts w:ascii="Times New Roman" w:hAnsi="Times New Roman" w:cs="Times New Roman" w:eastAsia="Times New Roman" w:hint="default"/>
          <w:spacing w:val="-3"/>
          <w:sz w:val="18"/>
          <w:szCs w:val="18"/>
        </w:rPr>
        <w:t>2014</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月任常州工贸国有资产经营有限公司党委书记；</w:t>
      </w:r>
      <w:r>
        <w:rPr>
          <w:rFonts w:ascii="Times New Roman" w:hAnsi="Times New Roman" w:cs="Times New Roman" w:eastAsia="Times New Roman" w:hint="default"/>
          <w:spacing w:val="-3"/>
          <w:sz w:val="18"/>
          <w:szCs w:val="18"/>
        </w:rPr>
        <w:t>2014</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月至</w:t>
      </w:r>
      <w:r>
        <w:rPr>
          <w:rFonts w:ascii="Times New Roman" w:hAnsi="Times New Roman" w:cs="Times New Roman" w:eastAsia="Times New Roman" w:hint="default"/>
          <w:spacing w:val="-3"/>
          <w:sz w:val="18"/>
          <w:szCs w:val="18"/>
        </w:rPr>
        <w:t>2014</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月任常州产业投资集团有限公司党委</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pacing w:val="-4"/>
          <w:sz w:val="18"/>
          <w:szCs w:val="18"/>
        </w:rPr>
        <w:t>书记；</w:t>
      </w:r>
      <w:r>
        <w:rPr>
          <w:rFonts w:ascii="Times New Roman" w:hAnsi="Times New Roman" w:cs="Times New Roman" w:eastAsia="Times New Roman" w:hint="default"/>
          <w:spacing w:val="-4"/>
          <w:sz w:val="18"/>
          <w:szCs w:val="18"/>
        </w:rPr>
        <w:t>2014</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8</w:t>
      </w:r>
      <w:r>
        <w:rPr>
          <w:rFonts w:ascii="宋体" w:hAnsi="宋体" w:cs="宋体" w:eastAsia="宋体" w:hint="default"/>
          <w:spacing w:val="-4"/>
          <w:sz w:val="18"/>
          <w:szCs w:val="18"/>
        </w:rPr>
        <w:t>月至今任常州产业投资集团有限公司党委书记、董事长兼总经理；</w:t>
      </w:r>
      <w:r>
        <w:rPr>
          <w:rFonts w:ascii="Times New Roman" w:hAnsi="Times New Roman" w:cs="Times New Roman" w:eastAsia="Times New Roman" w:hint="default"/>
          <w:spacing w:val="-4"/>
          <w:sz w:val="18"/>
          <w:szCs w:val="18"/>
        </w:rPr>
        <w:t>2014</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月至今任常州高新技术风险投资有</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4"/>
          <w:sz w:val="18"/>
          <w:szCs w:val="18"/>
        </w:rPr>
        <w:t>限公司董事；</w:t>
      </w:r>
      <w:r>
        <w:rPr>
          <w:rFonts w:ascii="Times New Roman" w:hAnsi="Times New Roman" w:cs="Times New Roman" w:eastAsia="Times New Roman" w:hint="default"/>
          <w:spacing w:val="-4"/>
          <w:sz w:val="18"/>
          <w:szCs w:val="18"/>
        </w:rPr>
        <w:t>2014</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月至今任常州服装集团有限公司法定代表人、董事长、总经理；</w:t>
      </w:r>
      <w:r>
        <w:rPr>
          <w:rFonts w:ascii="Times New Roman" w:hAnsi="Times New Roman" w:cs="Times New Roman" w:eastAsia="Times New Roman" w:hint="default"/>
          <w:spacing w:val="-4"/>
          <w:sz w:val="18"/>
          <w:szCs w:val="18"/>
        </w:rPr>
        <w:t>2014</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9</w:t>
      </w:r>
      <w:r>
        <w:rPr>
          <w:rFonts w:ascii="宋体" w:hAnsi="宋体" w:cs="宋体" w:eastAsia="宋体" w:hint="default"/>
          <w:spacing w:val="-4"/>
          <w:sz w:val="18"/>
          <w:szCs w:val="18"/>
        </w:rPr>
        <w:t>月至今任常州金润服饰有限公</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3"/>
          <w:sz w:val="18"/>
          <w:szCs w:val="18"/>
        </w:rPr>
        <w:t>司法定代表人、执行董事、总经理；</w:t>
      </w:r>
      <w:r>
        <w:rPr>
          <w:rFonts w:ascii="Times New Roman" w:hAnsi="Times New Roman" w:cs="Times New Roman" w:eastAsia="Times New Roman" w:hint="default"/>
          <w:spacing w:val="-3"/>
          <w:sz w:val="18"/>
          <w:szCs w:val="18"/>
        </w:rPr>
        <w:t>2015</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月至</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11</w:t>
      </w:r>
      <w:r>
        <w:rPr>
          <w:rFonts w:ascii="宋体" w:hAnsi="宋体" w:cs="宋体" w:eastAsia="宋体" w:hint="default"/>
          <w:spacing w:val="-3"/>
          <w:sz w:val="18"/>
          <w:szCs w:val="18"/>
        </w:rPr>
        <w:t>月任江南金融租赁有限公司董事；</w:t>
      </w:r>
      <w:r>
        <w:rPr>
          <w:rFonts w:ascii="Times New Roman" w:hAnsi="Times New Roman" w:cs="Times New Roman" w:eastAsia="Times New Roman" w:hint="default"/>
          <w:spacing w:val="-3"/>
          <w:sz w:val="18"/>
          <w:szCs w:val="18"/>
        </w:rPr>
        <w:t>2016</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月至</w:t>
      </w:r>
      <w:r>
        <w:rPr>
          <w:rFonts w:ascii="Times New Roman" w:hAnsi="Times New Roman" w:cs="Times New Roman" w:eastAsia="Times New Roman" w:hint="default"/>
          <w:spacing w:val="-3"/>
          <w:sz w:val="18"/>
          <w:szCs w:val="18"/>
        </w:rPr>
        <w:t>2020</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月任江苏</w:t>
      </w:r>
      <w:r>
        <w:rPr>
          <w:rFonts w:ascii="宋体" w:hAnsi="宋体" w:cs="宋体" w:eastAsia="宋体" w:hint="default"/>
          <w:spacing w:val="12"/>
          <w:sz w:val="18"/>
          <w:szCs w:val="18"/>
        </w:rPr>
        <w:t> </w:t>
      </w:r>
      <w:r>
        <w:rPr>
          <w:rFonts w:ascii="宋体" w:hAnsi="宋体" w:cs="宋体" w:eastAsia="宋体" w:hint="default"/>
          <w:spacing w:val="12"/>
          <w:sz w:val="18"/>
          <w:szCs w:val="18"/>
        </w:rPr>
      </w:r>
      <w:r>
        <w:rPr>
          <w:rFonts w:ascii="宋体" w:hAnsi="宋体" w:cs="宋体" w:eastAsia="宋体" w:hint="default"/>
          <w:spacing w:val="-4"/>
          <w:sz w:val="18"/>
          <w:szCs w:val="18"/>
        </w:rPr>
        <w:t>国光信息产业股份有限公司董事；</w:t>
      </w:r>
      <w:r>
        <w:rPr>
          <w:rFonts w:ascii="Times New Roman" w:hAnsi="Times New Roman" w:cs="Times New Roman" w:eastAsia="Times New Roman" w:hint="default"/>
          <w:spacing w:val="-4"/>
          <w:sz w:val="18"/>
          <w:szCs w:val="18"/>
        </w:rPr>
        <w:t>2016</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月至</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月任常州企业征信服务有限公司法定代表人、董事长、总经理；</w:t>
      </w:r>
      <w:r>
        <w:rPr>
          <w:rFonts w:ascii="Times New Roman" w:hAnsi="Times New Roman" w:cs="Times New Roman" w:eastAsia="Times New Roman" w:hint="default"/>
          <w:spacing w:val="-4"/>
          <w:sz w:val="18"/>
          <w:szCs w:val="18"/>
        </w:rPr>
        <w:t>2014</w:t>
      </w:r>
      <w:r>
        <w:rPr>
          <w:rFonts w:ascii="Times New Roman" w:hAnsi="Times New Roman" w:cs="Times New Roman" w:eastAsia="Times New Roman" w:hint="default"/>
          <w:spacing w:val="31"/>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日至今任视觉（中国）文化发展股份有限公司董事。</w:t>
      </w:r>
    </w:p>
    <w:p>
      <w:pPr>
        <w:spacing w:line="240" w:lineRule="auto" w:before="11"/>
        <w:rPr>
          <w:rFonts w:ascii="宋体" w:hAnsi="宋体" w:cs="宋体" w:eastAsia="宋体" w:hint="default"/>
          <w:sz w:val="24"/>
          <w:szCs w:val="24"/>
        </w:rPr>
      </w:pPr>
    </w:p>
    <w:p>
      <w:pPr>
        <w:spacing w:line="307" w:lineRule="auto"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朱武祥，男，</w:t>
      </w:r>
      <w:r>
        <w:rPr>
          <w:rFonts w:ascii="Times New Roman" w:hAnsi="Times New Roman" w:cs="Times New Roman" w:eastAsia="Times New Roman" w:hint="default"/>
          <w:spacing w:val="-3"/>
          <w:sz w:val="18"/>
          <w:szCs w:val="18"/>
        </w:rPr>
        <w:t>1965</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月出生，清华大学数量经济专业博士。</w:t>
      </w:r>
      <w:r>
        <w:rPr>
          <w:rFonts w:ascii="Times New Roman" w:hAnsi="Times New Roman" w:cs="Times New Roman" w:eastAsia="Times New Roman" w:hint="default"/>
          <w:spacing w:val="-3"/>
          <w:sz w:val="18"/>
          <w:szCs w:val="18"/>
        </w:rPr>
        <w:t>1989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月至今，任教于清华大学经济管理学院。现任清华大</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4"/>
          <w:sz w:val="18"/>
          <w:szCs w:val="18"/>
        </w:rPr>
        <w:t>学经济管理学院金融系教授、博士生导师。目前担任中国信达、北京建设（控股）有限公司、汉迪移动股份有限公司独立董</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3"/>
          <w:sz w:val="18"/>
          <w:szCs w:val="18"/>
        </w:rPr>
        <w:t>事，光大证券、紫光股份监事；最近五年，还担任过中兴通讯、东兴证券、华夏幸福基业等上市公司独立董事；</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10</w:t>
      </w:r>
      <w:r>
        <w:rPr>
          <w:rFonts w:ascii="Times New Roman" w:hAnsi="Times New Roman" w:cs="Times New Roman" w:eastAsia="Times New Roman" w:hint="default"/>
          <w:spacing w:val="37"/>
          <w:sz w:val="18"/>
          <w:szCs w:val="18"/>
        </w:rPr>
        <w:t> </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24</w:t>
      </w:r>
      <w:r>
        <w:rPr>
          <w:rFonts w:ascii="宋体" w:hAnsi="宋体" w:cs="宋体" w:eastAsia="宋体" w:hint="default"/>
          <w:spacing w:val="-3"/>
          <w:sz w:val="18"/>
          <w:szCs w:val="18"/>
        </w:rPr>
        <w:t>日至今任视觉（中国）文化发展股份有限公司独立董事。</w:t>
      </w:r>
    </w:p>
    <w:p>
      <w:pPr>
        <w:spacing w:line="240" w:lineRule="auto" w:before="5"/>
        <w:rPr>
          <w:rFonts w:ascii="宋体" w:hAnsi="宋体" w:cs="宋体" w:eastAsia="宋体" w:hint="default"/>
          <w:sz w:val="24"/>
          <w:szCs w:val="24"/>
        </w:rPr>
      </w:pPr>
    </w:p>
    <w:p>
      <w:pPr>
        <w:spacing w:line="300" w:lineRule="auto" w:before="0"/>
        <w:ind w:left="153" w:right="1122" w:firstLine="0"/>
        <w:jc w:val="both"/>
        <w:rPr>
          <w:rFonts w:ascii="宋体" w:hAnsi="宋体" w:cs="宋体" w:eastAsia="宋体" w:hint="default"/>
          <w:sz w:val="18"/>
          <w:szCs w:val="18"/>
        </w:rPr>
      </w:pPr>
      <w:r>
        <w:rPr>
          <w:rFonts w:ascii="宋体" w:hAnsi="宋体" w:cs="宋体" w:eastAsia="宋体" w:hint="default"/>
          <w:spacing w:val="-3"/>
          <w:sz w:val="18"/>
          <w:szCs w:val="18"/>
        </w:rPr>
        <w:t>汪天润，男，</w:t>
      </w:r>
      <w:r>
        <w:rPr>
          <w:rFonts w:ascii="Times New Roman" w:hAnsi="Times New Roman" w:cs="Times New Roman" w:eastAsia="Times New Roman" w:hint="default"/>
          <w:spacing w:val="-3"/>
          <w:sz w:val="18"/>
          <w:szCs w:val="18"/>
        </w:rPr>
        <w:t>1967</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月出生，中国科学院大学管理科学博士。现任北京中财富国投资管理有限公司监事；北京天旭投资管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理有限公司、北京天润财富投资管理有限公司董事长、经理、法定代表人；</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日至今任视觉（中国）文化发展股份</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3"/>
          <w:sz w:val="18"/>
          <w:szCs w:val="18"/>
        </w:rPr>
        <w:t>有限公司独立董事。</w:t>
      </w:r>
    </w:p>
    <w:p>
      <w:pPr>
        <w:spacing w:line="240" w:lineRule="auto" w:before="4"/>
        <w:rPr>
          <w:rFonts w:ascii="宋体" w:hAnsi="宋体" w:cs="宋体" w:eastAsia="宋体" w:hint="default"/>
          <w:sz w:val="26"/>
          <w:szCs w:val="26"/>
        </w:rPr>
      </w:pPr>
    </w:p>
    <w:p>
      <w:pPr>
        <w:spacing w:line="300" w:lineRule="auto" w:before="0"/>
        <w:ind w:left="153" w:right="1122" w:firstLine="0"/>
        <w:jc w:val="both"/>
        <w:rPr>
          <w:rFonts w:ascii="宋体" w:hAnsi="宋体" w:cs="宋体" w:eastAsia="宋体" w:hint="default"/>
          <w:sz w:val="18"/>
          <w:szCs w:val="18"/>
        </w:rPr>
      </w:pPr>
      <w:r>
        <w:rPr>
          <w:rFonts w:ascii="宋体" w:hAnsi="宋体" w:cs="宋体" w:eastAsia="宋体" w:hint="default"/>
          <w:spacing w:val="-3"/>
          <w:sz w:val="18"/>
          <w:szCs w:val="18"/>
        </w:rPr>
        <w:t>潘帅，女，</w:t>
      </w:r>
      <w:r>
        <w:rPr>
          <w:rFonts w:ascii="Times New Roman" w:hAnsi="Times New Roman" w:cs="Times New Roman" w:eastAsia="Times New Roman" w:hint="default"/>
          <w:spacing w:val="-3"/>
          <w:sz w:val="18"/>
          <w:szCs w:val="18"/>
        </w:rPr>
        <w:t>1974</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月出生，硕士。中国注册会计师、高级会计师，致同会计师事务所合伙人。潘帅自</w:t>
      </w:r>
      <w:r>
        <w:rPr>
          <w:rFonts w:ascii="Times New Roman" w:hAnsi="Times New Roman" w:cs="Times New Roman" w:eastAsia="Times New Roman" w:hint="default"/>
          <w:spacing w:val="-3"/>
          <w:sz w:val="18"/>
          <w:szCs w:val="18"/>
        </w:rPr>
        <w:t>2007</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月至</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宋体" w:hAnsi="宋体" w:cs="宋体" w:eastAsia="宋体" w:hint="default"/>
          <w:spacing w:val="4"/>
          <w:sz w:val="18"/>
          <w:szCs w:val="18"/>
        </w:rPr>
        <w:t> </w:t>
      </w:r>
      <w:r>
        <w:rPr>
          <w:rFonts w:ascii="Times New Roman" w:hAnsi="Times New Roman" w:cs="Times New Roman" w:eastAsia="Times New Roman" w:hint="default"/>
          <w:spacing w:val="-4"/>
          <w:sz w:val="18"/>
          <w:szCs w:val="18"/>
        </w:rPr>
        <w:t>11</w:t>
      </w:r>
      <w:r>
        <w:rPr>
          <w:rFonts w:ascii="宋体" w:hAnsi="宋体" w:cs="宋体" w:eastAsia="宋体" w:hint="default"/>
          <w:spacing w:val="-4"/>
          <w:sz w:val="18"/>
          <w:szCs w:val="18"/>
        </w:rPr>
        <w:t>月任中瑞岳华会计师事务所（现瑞华会计师事务所）合伙人；</w:t>
      </w:r>
      <w:r>
        <w:rPr>
          <w:rFonts w:ascii="Times New Roman" w:hAnsi="Times New Roman" w:cs="Times New Roman" w:eastAsia="Times New Roman" w:hint="default"/>
          <w:spacing w:val="-4"/>
          <w:sz w:val="18"/>
          <w:szCs w:val="18"/>
        </w:rPr>
        <w:t>2012</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9</w:t>
      </w:r>
      <w:r>
        <w:rPr>
          <w:rFonts w:ascii="宋体" w:hAnsi="宋体" w:cs="宋体" w:eastAsia="宋体" w:hint="default"/>
          <w:spacing w:val="-4"/>
          <w:sz w:val="18"/>
          <w:szCs w:val="18"/>
        </w:rPr>
        <w:t>月至</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9</w:t>
      </w:r>
      <w:r>
        <w:rPr>
          <w:rFonts w:ascii="宋体" w:hAnsi="宋体" w:cs="宋体" w:eastAsia="宋体" w:hint="default"/>
          <w:spacing w:val="-4"/>
          <w:sz w:val="18"/>
          <w:szCs w:val="18"/>
        </w:rPr>
        <w:t>月北京世纪瑞尔技术股份有限公司独立</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董事，</w:t>
      </w:r>
      <w:r>
        <w:rPr>
          <w:rFonts w:ascii="Times New Roman" w:hAnsi="Times New Roman" w:cs="Times New Roman" w:eastAsia="Times New Roman" w:hint="default"/>
          <w:spacing w:val="-3"/>
          <w:sz w:val="18"/>
          <w:szCs w:val="18"/>
        </w:rPr>
        <w:t>2015</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月至今任北京城市副中心投资建设集团有限公司外部董事；</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24</w:t>
      </w:r>
      <w:r>
        <w:rPr>
          <w:rFonts w:ascii="宋体" w:hAnsi="宋体" w:cs="宋体" w:eastAsia="宋体" w:hint="default"/>
          <w:spacing w:val="-3"/>
          <w:sz w:val="18"/>
          <w:szCs w:val="18"/>
        </w:rPr>
        <w:t>日至今任视觉（中国）文化发展股</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份有限公司独立董事。</w:t>
      </w:r>
    </w:p>
    <w:p>
      <w:pPr>
        <w:spacing w:line="240" w:lineRule="auto" w:before="4"/>
        <w:rPr>
          <w:rFonts w:ascii="宋体" w:hAnsi="宋体" w:cs="宋体" w:eastAsia="宋体" w:hint="default"/>
          <w:sz w:val="26"/>
          <w:szCs w:val="26"/>
        </w:rPr>
      </w:pPr>
    </w:p>
    <w:p>
      <w:pPr>
        <w:spacing w:line="300" w:lineRule="auto" w:before="0"/>
        <w:ind w:left="153" w:right="1122" w:firstLine="0"/>
        <w:jc w:val="both"/>
        <w:rPr>
          <w:rFonts w:ascii="宋体" w:hAnsi="宋体" w:cs="宋体" w:eastAsia="宋体" w:hint="default"/>
          <w:sz w:val="18"/>
          <w:szCs w:val="18"/>
        </w:rPr>
      </w:pPr>
      <w:r>
        <w:rPr>
          <w:rFonts w:ascii="宋体" w:hAnsi="宋体" w:cs="宋体" w:eastAsia="宋体" w:hint="default"/>
          <w:spacing w:val="-3"/>
          <w:sz w:val="18"/>
          <w:szCs w:val="18"/>
        </w:rPr>
        <w:t>岳蓉，女，</w:t>
      </w:r>
      <w:r>
        <w:rPr>
          <w:rFonts w:ascii="Times New Roman" w:hAnsi="Times New Roman" w:cs="Times New Roman" w:eastAsia="Times New Roman" w:hint="default"/>
          <w:spacing w:val="-3"/>
          <w:sz w:val="18"/>
          <w:szCs w:val="18"/>
        </w:rPr>
        <w:t>1974</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月出生，博士研究生学历。</w:t>
      </w:r>
      <w:r>
        <w:rPr>
          <w:rFonts w:ascii="Times New Roman" w:hAnsi="Times New Roman" w:cs="Times New Roman" w:eastAsia="Times New Roman" w:hint="default"/>
          <w:spacing w:val="-3"/>
          <w:sz w:val="18"/>
          <w:szCs w:val="18"/>
        </w:rPr>
        <w:t>2003</w:t>
      </w:r>
      <w:r>
        <w:rPr>
          <w:rFonts w:ascii="宋体" w:hAnsi="宋体" w:cs="宋体" w:eastAsia="宋体" w:hint="default"/>
          <w:spacing w:val="-3"/>
          <w:sz w:val="18"/>
          <w:szCs w:val="18"/>
        </w:rPr>
        <w:t>年至今，任武汉华工创业投资有限责任公司副总经理；</w:t>
      </w:r>
      <w:r>
        <w:rPr>
          <w:rFonts w:ascii="Times New Roman" w:hAnsi="Times New Roman" w:cs="Times New Roman" w:eastAsia="Times New Roman" w:hint="default"/>
          <w:spacing w:val="-3"/>
          <w:sz w:val="18"/>
          <w:szCs w:val="18"/>
        </w:rPr>
        <w:t>2005</w:t>
      </w:r>
      <w:r>
        <w:rPr>
          <w:rFonts w:ascii="宋体" w:hAnsi="宋体" w:cs="宋体" w:eastAsia="宋体" w:hint="default"/>
          <w:spacing w:val="-3"/>
          <w:sz w:val="18"/>
          <w:szCs w:val="18"/>
        </w:rPr>
        <w:t>年至今，任</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武汉华科大生命科技有限公司董事长、法定代表人；</w:t>
      </w:r>
      <w:r>
        <w:rPr>
          <w:rFonts w:ascii="Times New Roman" w:hAnsi="Times New Roman" w:cs="Times New Roman" w:eastAsia="Times New Roman" w:hint="default"/>
          <w:spacing w:val="-3"/>
          <w:sz w:val="18"/>
          <w:szCs w:val="18"/>
        </w:rPr>
        <w:t>2011</w:t>
      </w:r>
      <w:r>
        <w:rPr>
          <w:rFonts w:ascii="宋体" w:hAnsi="宋体" w:cs="宋体" w:eastAsia="宋体" w:hint="default"/>
          <w:spacing w:val="-3"/>
          <w:sz w:val="18"/>
          <w:szCs w:val="18"/>
        </w:rPr>
        <w:t>年至今，任科华银赛创业投资有限公司董事、总经理。</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月</w:t>
      </w:r>
      <w:r>
        <w:rPr>
          <w:rFonts w:ascii="宋体" w:hAnsi="宋体" w:cs="宋体" w:eastAsia="宋体" w:hint="default"/>
          <w:spacing w:val="82"/>
          <w:sz w:val="18"/>
          <w:szCs w:val="18"/>
        </w:rPr>
        <w:t> </w:t>
      </w:r>
      <w:r>
        <w:rPr>
          <w:rFonts w:ascii="Times New Roman" w:hAnsi="Times New Roman" w:cs="Times New Roman" w:eastAsia="Times New Roman" w:hint="default"/>
          <w:spacing w:val="-3"/>
          <w:sz w:val="18"/>
          <w:szCs w:val="18"/>
        </w:rPr>
        <w:t>14</w:t>
      </w:r>
      <w:r>
        <w:rPr>
          <w:rFonts w:ascii="宋体" w:hAnsi="宋体" w:cs="宋体" w:eastAsia="宋体" w:hint="default"/>
          <w:spacing w:val="-3"/>
          <w:sz w:val="18"/>
          <w:szCs w:val="18"/>
        </w:rPr>
        <w:t>日至今任视觉（中国）文化发展股份有限公司监事、监事会主席。</w:t>
      </w:r>
    </w:p>
    <w:p>
      <w:pPr>
        <w:spacing w:line="240" w:lineRule="auto" w:before="11"/>
        <w:rPr>
          <w:rFonts w:ascii="宋体" w:hAnsi="宋体" w:cs="宋体" w:eastAsia="宋体" w:hint="default"/>
          <w:sz w:val="24"/>
          <w:szCs w:val="24"/>
        </w:rPr>
      </w:pPr>
    </w:p>
    <w:p>
      <w:pPr>
        <w:spacing w:line="300" w:lineRule="auto" w:before="0"/>
        <w:ind w:left="153" w:right="1046" w:firstLine="0"/>
        <w:jc w:val="both"/>
        <w:rPr>
          <w:rFonts w:ascii="宋体" w:hAnsi="宋体" w:cs="宋体" w:eastAsia="宋体" w:hint="default"/>
          <w:sz w:val="18"/>
          <w:szCs w:val="18"/>
        </w:rPr>
      </w:pPr>
      <w:r>
        <w:rPr>
          <w:rFonts w:ascii="宋体" w:hAnsi="宋体" w:cs="宋体" w:eastAsia="宋体" w:hint="default"/>
          <w:spacing w:val="-7"/>
          <w:sz w:val="18"/>
          <w:szCs w:val="18"/>
        </w:rPr>
        <w:t>杨霞，女，</w:t>
      </w:r>
      <w:r>
        <w:rPr>
          <w:rFonts w:ascii="Times New Roman" w:hAnsi="Times New Roman" w:cs="Times New Roman" w:eastAsia="Times New Roman" w:hint="default"/>
          <w:spacing w:val="-7"/>
          <w:sz w:val="18"/>
          <w:szCs w:val="18"/>
        </w:rPr>
        <w:t>1982</w:t>
      </w: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月出生，本科学历。</w:t>
      </w:r>
      <w:r>
        <w:rPr>
          <w:rFonts w:ascii="Times New Roman" w:hAnsi="Times New Roman" w:cs="Times New Roman" w:eastAsia="Times New Roman" w:hint="default"/>
          <w:spacing w:val="-7"/>
          <w:sz w:val="18"/>
          <w:szCs w:val="18"/>
        </w:rPr>
        <w:t>2007</w:t>
      </w: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月至今在华盖创意（北京）图像技术有限公司任职，现任助理运营总监。</w:t>
      </w:r>
      <w:r>
        <w:rPr>
          <w:rFonts w:ascii="Times New Roman" w:hAnsi="Times New Roman" w:cs="Times New Roman" w:eastAsia="Times New Roman" w:hint="default"/>
          <w:spacing w:val="-7"/>
          <w:sz w:val="18"/>
          <w:szCs w:val="18"/>
        </w:rPr>
        <w:t>2017</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pacing w:val="11"/>
          <w:sz w:val="18"/>
          <w:szCs w:val="18"/>
        </w:rPr>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日至今任视觉（中国）文化发展股份有限公司监事。</w:t>
      </w:r>
    </w:p>
    <w:p>
      <w:pPr>
        <w:spacing w:line="240" w:lineRule="auto" w:before="11"/>
        <w:rPr>
          <w:rFonts w:ascii="宋体" w:hAnsi="宋体" w:cs="宋体" w:eastAsia="宋体" w:hint="default"/>
          <w:sz w:val="24"/>
          <w:szCs w:val="24"/>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pacing w:val="-3"/>
          <w:sz w:val="18"/>
          <w:szCs w:val="18"/>
        </w:rPr>
        <w:t>苏华，男，</w:t>
      </w:r>
      <w:r>
        <w:rPr>
          <w:rFonts w:ascii="Times New Roman" w:hAnsi="Times New Roman" w:cs="Times New Roman" w:eastAsia="Times New Roman" w:hint="default"/>
          <w:spacing w:val="-3"/>
          <w:sz w:val="18"/>
          <w:szCs w:val="18"/>
        </w:rPr>
        <w:t>1978</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月出生，本科学历。</w:t>
      </w:r>
      <w:r>
        <w:rPr>
          <w:rFonts w:ascii="Times New Roman" w:hAnsi="Times New Roman" w:cs="Times New Roman" w:eastAsia="Times New Roman" w:hint="default"/>
          <w:spacing w:val="-3"/>
          <w:sz w:val="18"/>
          <w:szCs w:val="18"/>
        </w:rPr>
        <w:t>2007</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月至今在视觉（中国）文化发展股份有限公司任职，现任技术部技术总监；</w:t>
      </w:r>
    </w:p>
    <w:p>
      <w:pPr>
        <w:spacing w:before="63"/>
        <w:ind w:left="153" w:right="0" w:firstLine="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2014</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11</w:t>
      </w:r>
      <w:r>
        <w:rPr>
          <w:rFonts w:ascii="宋体" w:hAnsi="宋体" w:cs="宋体" w:eastAsia="宋体" w:hint="default"/>
          <w:spacing w:val="-3"/>
          <w:sz w:val="18"/>
          <w:szCs w:val="18"/>
        </w:rPr>
        <w:t>月至今任常州远东文化产业有限公司监事；</w:t>
      </w:r>
      <w:r>
        <w:rPr>
          <w:rFonts w:ascii="Times New Roman" w:hAnsi="Times New Roman" w:cs="Times New Roman" w:eastAsia="Times New Roman" w:hint="default"/>
          <w:spacing w:val="-3"/>
          <w:sz w:val="18"/>
          <w:szCs w:val="18"/>
        </w:rPr>
        <w:t>2014</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15</w:t>
      </w:r>
      <w:r>
        <w:rPr>
          <w:rFonts w:ascii="宋体" w:hAnsi="宋体" w:cs="宋体" w:eastAsia="宋体" w:hint="default"/>
          <w:spacing w:val="-3"/>
          <w:sz w:val="18"/>
          <w:szCs w:val="18"/>
        </w:rPr>
        <w:t>日至今任视觉（中国）文化发展股份有限公司职工监事。</w:t>
      </w:r>
    </w:p>
    <w:p>
      <w:pPr>
        <w:spacing w:line="240" w:lineRule="auto" w:before="0"/>
        <w:rPr>
          <w:rFonts w:ascii="宋体" w:hAnsi="宋体" w:cs="宋体" w:eastAsia="宋体" w:hint="default"/>
          <w:sz w:val="18"/>
          <w:szCs w:val="18"/>
        </w:rPr>
      </w:pPr>
    </w:p>
    <w:p>
      <w:pPr>
        <w:spacing w:line="300" w:lineRule="auto" w:before="139"/>
        <w:ind w:left="153" w:right="1126" w:firstLine="0"/>
        <w:jc w:val="both"/>
        <w:rPr>
          <w:rFonts w:ascii="宋体" w:hAnsi="宋体" w:cs="宋体" w:eastAsia="宋体" w:hint="default"/>
          <w:sz w:val="18"/>
          <w:szCs w:val="18"/>
        </w:rPr>
      </w:pPr>
      <w:r>
        <w:rPr>
          <w:rFonts w:ascii="宋体" w:hAnsi="宋体" w:cs="宋体" w:eastAsia="宋体" w:hint="default"/>
          <w:spacing w:val="-3"/>
          <w:sz w:val="18"/>
          <w:szCs w:val="18"/>
        </w:rPr>
        <w:t>王刚，男，</w:t>
      </w:r>
      <w:r>
        <w:rPr>
          <w:rFonts w:ascii="Times New Roman" w:hAnsi="Times New Roman" w:cs="Times New Roman" w:eastAsia="Times New Roman" w:hint="default"/>
          <w:spacing w:val="-3"/>
          <w:sz w:val="18"/>
          <w:szCs w:val="18"/>
        </w:rPr>
        <w:t>1968</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月出生，硕士学历。</w:t>
      </w:r>
      <w:r>
        <w:rPr>
          <w:rFonts w:ascii="Times New Roman" w:hAnsi="Times New Roman" w:cs="Times New Roman" w:eastAsia="Times New Roman" w:hint="default"/>
          <w:spacing w:val="-3"/>
          <w:sz w:val="18"/>
          <w:szCs w:val="18"/>
        </w:rPr>
        <w:t>2007</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月至今任华盖创意（北京）图像技术有限公司副总裁；</w:t>
      </w:r>
      <w:r>
        <w:rPr>
          <w:rFonts w:ascii="Times New Roman" w:hAnsi="Times New Roman" w:cs="Times New Roman" w:eastAsia="Times New Roman" w:hint="default"/>
          <w:spacing w:val="-3"/>
          <w:sz w:val="18"/>
          <w:szCs w:val="18"/>
        </w:rPr>
        <w:t>2007</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月至今 </w:t>
      </w:r>
      <w:r>
        <w:rPr>
          <w:rFonts w:ascii="宋体" w:hAnsi="宋体" w:cs="宋体" w:eastAsia="宋体" w:hint="default"/>
          <w:sz w:val="18"/>
          <w:szCs w:val="18"/>
        </w:rPr>
        <w:t>任</w:t>
      </w:r>
      <w:r>
        <w:rPr>
          <w:rFonts w:ascii="宋体" w:hAnsi="宋体" w:cs="宋体" w:eastAsia="宋体" w:hint="default"/>
          <w:spacing w:val="-12"/>
          <w:sz w:val="18"/>
          <w:szCs w:val="18"/>
        </w:rPr>
        <w:t> </w:t>
      </w:r>
      <w:r>
        <w:rPr>
          <w:rFonts w:ascii="宋体" w:hAnsi="宋体" w:cs="宋体" w:eastAsia="宋体" w:hint="default"/>
          <w:spacing w:val="-12"/>
          <w:sz w:val="18"/>
          <w:szCs w:val="18"/>
        </w:rPr>
      </w:r>
      <w:r>
        <w:rPr>
          <w:rFonts w:ascii="宋体" w:hAnsi="宋体" w:cs="宋体" w:eastAsia="宋体" w:hint="default"/>
          <w:spacing w:val="-4"/>
          <w:sz w:val="18"/>
          <w:szCs w:val="18"/>
        </w:rPr>
        <w:t>北京汉华易美图片有限公司副总裁；</w:t>
      </w:r>
      <w:r>
        <w:rPr>
          <w:rFonts w:ascii="Times New Roman" w:hAnsi="Times New Roman" w:cs="Times New Roman" w:eastAsia="Times New Roman" w:hint="default"/>
          <w:spacing w:val="-4"/>
          <w:sz w:val="18"/>
          <w:szCs w:val="18"/>
        </w:rPr>
        <w:t>2007</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8</w:t>
      </w:r>
      <w:r>
        <w:rPr>
          <w:rFonts w:ascii="宋体" w:hAnsi="宋体" w:cs="宋体" w:eastAsia="宋体" w:hint="default"/>
          <w:spacing w:val="-4"/>
          <w:sz w:val="18"/>
          <w:szCs w:val="18"/>
        </w:rPr>
        <w:t>月至今任华夏视觉（北京）图像技术有限公司副总裁。</w:t>
      </w:r>
      <w:r>
        <w:rPr>
          <w:rFonts w:ascii="Times New Roman" w:hAnsi="Times New Roman" w:cs="Times New Roman" w:eastAsia="Times New Roman" w:hint="default"/>
          <w:spacing w:val="-4"/>
          <w:sz w:val="18"/>
          <w:szCs w:val="18"/>
        </w:rPr>
        <w:t>2014</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15</w:t>
      </w:r>
      <w:r>
        <w:rPr>
          <w:rFonts w:ascii="宋体" w:hAnsi="宋体" w:cs="宋体" w:eastAsia="宋体" w:hint="default"/>
          <w:spacing w:val="-4"/>
          <w:sz w:val="18"/>
          <w:szCs w:val="18"/>
        </w:rPr>
        <w:t>日至今任视</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3"/>
          <w:sz w:val="18"/>
          <w:szCs w:val="18"/>
        </w:rPr>
        <w:t>觉（中国）文化发展股份有限公司副总裁。</w:t>
      </w:r>
    </w:p>
    <w:p>
      <w:pPr>
        <w:spacing w:after="0" w:line="300" w:lineRule="auto"/>
        <w:jc w:val="both"/>
        <w:rPr>
          <w:rFonts w:ascii="宋体" w:hAnsi="宋体" w:cs="宋体" w:eastAsia="宋体" w:hint="default"/>
          <w:sz w:val="18"/>
          <w:szCs w:val="18"/>
        </w:rPr>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spacing w:line="300" w:lineRule="auto" w:before="46"/>
        <w:ind w:left="153" w:right="1126" w:firstLine="0"/>
        <w:jc w:val="both"/>
        <w:rPr>
          <w:rFonts w:ascii="宋体" w:hAnsi="宋体" w:cs="宋体" w:eastAsia="宋体" w:hint="default"/>
          <w:sz w:val="18"/>
          <w:szCs w:val="18"/>
        </w:rPr>
      </w:pPr>
      <w:r>
        <w:rPr>
          <w:rFonts w:ascii="宋体" w:hAnsi="宋体" w:cs="宋体" w:eastAsia="宋体" w:hint="default"/>
          <w:spacing w:val="-3"/>
          <w:sz w:val="18"/>
          <w:szCs w:val="18"/>
        </w:rPr>
        <w:t>张宏麟，男，</w:t>
      </w:r>
      <w:r>
        <w:rPr>
          <w:rFonts w:ascii="Times New Roman" w:hAnsi="Times New Roman" w:cs="Times New Roman" w:eastAsia="Times New Roman" w:hint="default"/>
          <w:spacing w:val="-3"/>
          <w:sz w:val="18"/>
          <w:szCs w:val="18"/>
        </w:rPr>
        <w:t>1967</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月出生，大学本科学历。自</w:t>
      </w:r>
      <w:r>
        <w:rPr>
          <w:rFonts w:ascii="Times New Roman" w:hAnsi="Times New Roman" w:cs="Times New Roman" w:eastAsia="Times New Roman" w:hint="default"/>
          <w:spacing w:val="-3"/>
          <w:sz w:val="18"/>
          <w:szCs w:val="18"/>
        </w:rPr>
        <w:t>2005</w:t>
      </w:r>
      <w:r>
        <w:rPr>
          <w:rFonts w:ascii="宋体" w:hAnsi="宋体" w:cs="宋体" w:eastAsia="宋体" w:hint="default"/>
          <w:spacing w:val="-3"/>
          <w:sz w:val="18"/>
          <w:szCs w:val="18"/>
        </w:rPr>
        <w:t>年加入视觉中国集团旗下华盖创意（北京）图像技术有限公司，历任</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4"/>
          <w:sz w:val="18"/>
          <w:szCs w:val="18"/>
        </w:rPr>
        <w:t>经理、高级经理、总监、高级总监；</w:t>
      </w:r>
      <w:r>
        <w:rPr>
          <w:rFonts w:ascii="Times New Roman" w:hAnsi="Times New Roman" w:cs="Times New Roman" w:eastAsia="Times New Roman" w:hint="default"/>
          <w:spacing w:val="-4"/>
          <w:sz w:val="18"/>
          <w:szCs w:val="18"/>
        </w:rPr>
        <w:t>2014</w:t>
      </w:r>
      <w:r>
        <w:rPr>
          <w:rFonts w:ascii="宋体" w:hAnsi="宋体" w:cs="宋体" w:eastAsia="宋体" w:hint="default"/>
          <w:spacing w:val="-4"/>
          <w:sz w:val="18"/>
          <w:szCs w:val="18"/>
        </w:rPr>
        <w:t>年起担任视觉（中国）文化发展股份有限公司助理副总裁。</w:t>
      </w:r>
      <w:r>
        <w:rPr>
          <w:rFonts w:ascii="Times New Roman" w:hAnsi="Times New Roman" w:cs="Times New Roman" w:eastAsia="Times New Roman" w:hint="default"/>
          <w:spacing w:val="-4"/>
          <w:sz w:val="18"/>
          <w:szCs w:val="18"/>
        </w:rPr>
        <w:t>2017</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12</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19</w:t>
      </w:r>
      <w:r>
        <w:rPr>
          <w:rFonts w:ascii="宋体" w:hAnsi="宋体" w:cs="宋体" w:eastAsia="宋体" w:hint="default"/>
          <w:spacing w:val="-4"/>
          <w:sz w:val="18"/>
          <w:szCs w:val="18"/>
        </w:rPr>
        <w:t>日至今任</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3"/>
          <w:sz w:val="18"/>
          <w:szCs w:val="18"/>
        </w:rPr>
        <w:t>视觉（中国）文化发展股份有限公司副总裁。</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spacing w:line="302" w:lineRule="auto" w:before="0"/>
        <w:ind w:left="153" w:right="1126" w:firstLine="0"/>
        <w:jc w:val="both"/>
        <w:rPr>
          <w:rFonts w:ascii="宋体" w:hAnsi="宋体" w:cs="宋体" w:eastAsia="宋体" w:hint="default"/>
          <w:sz w:val="18"/>
          <w:szCs w:val="18"/>
        </w:rPr>
      </w:pPr>
      <w:r>
        <w:rPr>
          <w:rFonts w:ascii="宋体" w:hAnsi="宋体" w:cs="宋体" w:eastAsia="宋体" w:hint="default"/>
          <w:spacing w:val="-2"/>
          <w:sz w:val="18"/>
          <w:szCs w:val="18"/>
        </w:rPr>
        <w:t>白怀志，男，</w:t>
      </w:r>
      <w:r>
        <w:rPr>
          <w:rFonts w:ascii="Times New Roman" w:hAnsi="Times New Roman" w:cs="Times New Roman" w:eastAsia="Times New Roman" w:hint="default"/>
          <w:spacing w:val="-2"/>
          <w:sz w:val="18"/>
          <w:szCs w:val="18"/>
        </w:rPr>
        <w:t>1975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月出生，研究生学历。</w:t>
      </w:r>
      <w:r>
        <w:rPr>
          <w:rFonts w:ascii="Times New Roman" w:hAnsi="Times New Roman" w:cs="Times New Roman" w:eastAsia="Times New Roman" w:hint="default"/>
          <w:spacing w:val="-2"/>
          <w:sz w:val="18"/>
          <w:szCs w:val="18"/>
        </w:rPr>
        <w:t>2012</w:t>
      </w:r>
      <w:r>
        <w:rPr>
          <w:rFonts w:ascii="Times New Roman" w:hAnsi="Times New Roman" w:cs="Times New Roman" w:eastAsia="Times New Roman" w:hint="default"/>
          <w:sz w:val="18"/>
          <w:szCs w:val="18"/>
        </w:rPr>
        <w:t> </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月，任北京当当网信息技术有限公司副总裁；</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w:t>
      </w:r>
      <w:r>
        <w:rPr>
          <w:rFonts w:ascii="宋体" w:hAnsi="宋体" w:cs="宋体" w:eastAsia="宋体" w:hint="default"/>
          <w:spacing w:val="-53"/>
          <w:sz w:val="18"/>
          <w:szCs w:val="18"/>
        </w:rPr>
        <w:t> </w:t>
      </w:r>
      <w:r>
        <w:rPr>
          <w:rFonts w:ascii="宋体" w:hAnsi="宋体" w:cs="宋体" w:eastAsia="宋体" w:hint="default"/>
          <w:spacing w:val="-3"/>
          <w:sz w:val="18"/>
          <w:szCs w:val="18"/>
        </w:rPr>
        <w:t>至</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月，任北京机到网络科技有限公司联合创始人；</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月至</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月，任视觉（中国）文化发展有限公司人力</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pacing w:val="-3"/>
          <w:sz w:val="18"/>
          <w:szCs w:val="18"/>
        </w:rPr>
        <w:t>行政中心总经理；</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日至今任视觉（中国）文化发展股份有限公司副总裁。</w:t>
      </w:r>
    </w:p>
    <w:p>
      <w:pPr>
        <w:spacing w:line="240" w:lineRule="auto" w:before="0"/>
        <w:rPr>
          <w:rFonts w:ascii="宋体" w:hAnsi="宋体" w:cs="宋体" w:eastAsia="宋体" w:hint="default"/>
          <w:sz w:val="18"/>
          <w:szCs w:val="18"/>
        </w:rPr>
      </w:pPr>
    </w:p>
    <w:p>
      <w:pPr>
        <w:spacing w:line="302" w:lineRule="auto" w:before="160"/>
        <w:ind w:left="153" w:right="1122" w:firstLine="0"/>
        <w:jc w:val="both"/>
        <w:rPr>
          <w:rFonts w:ascii="宋体" w:hAnsi="宋体" w:cs="宋体" w:eastAsia="宋体" w:hint="default"/>
          <w:sz w:val="18"/>
          <w:szCs w:val="18"/>
        </w:rPr>
      </w:pPr>
      <w:r>
        <w:rPr>
          <w:rFonts w:ascii="宋体" w:hAnsi="宋体" w:cs="宋体" w:eastAsia="宋体" w:hint="default"/>
          <w:spacing w:val="-2"/>
          <w:sz w:val="18"/>
          <w:szCs w:val="18"/>
        </w:rPr>
        <w:t>刘楠，男，</w:t>
      </w:r>
      <w:r>
        <w:rPr>
          <w:rFonts w:ascii="Times New Roman" w:hAnsi="Times New Roman" w:cs="Times New Roman" w:eastAsia="Times New Roman" w:hint="default"/>
          <w:spacing w:val="-2"/>
          <w:sz w:val="18"/>
          <w:szCs w:val="18"/>
        </w:rPr>
        <w:t>1980</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月出生，硕士学历。</w:t>
      </w:r>
      <w:r>
        <w:rPr>
          <w:rFonts w:ascii="Times New Roman" w:hAnsi="Times New Roman" w:cs="Times New Roman" w:eastAsia="Times New Roman" w:hint="default"/>
          <w:spacing w:val="-2"/>
          <w:sz w:val="18"/>
          <w:szCs w:val="18"/>
        </w:rPr>
        <w:t>2004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2007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任职于普华永道会计师事务所北京分所；</w:t>
      </w:r>
      <w:r>
        <w:rPr>
          <w:rFonts w:ascii="Times New Roman" w:hAnsi="Times New Roman" w:cs="Times New Roman" w:eastAsia="Times New Roman" w:hint="default"/>
          <w:spacing w:val="-2"/>
          <w:sz w:val="18"/>
          <w:szCs w:val="18"/>
        </w:rPr>
        <w:t>2007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2008</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z w:val="18"/>
          <w:szCs w:val="18"/>
        </w:rPr>
      </w:r>
      <w:r>
        <w:rPr>
          <w:rFonts w:ascii="宋体" w:hAnsi="宋体" w:cs="宋体" w:eastAsia="宋体" w:hint="default"/>
          <w:spacing w:val="-5"/>
          <w:w w:val="101"/>
          <w:sz w:val="18"/>
          <w:szCs w:val="18"/>
        </w:rPr>
        <w:t>年</w:t>
      </w:r>
      <w:r>
        <w:rPr>
          <w:rFonts w:ascii="Times New Roman" w:hAnsi="Times New Roman" w:cs="Times New Roman" w:eastAsia="Times New Roman" w:hint="default"/>
          <w:spacing w:val="-5"/>
          <w:w w:val="101"/>
          <w:sz w:val="18"/>
          <w:szCs w:val="18"/>
        </w:rPr>
        <w:t>8</w:t>
      </w:r>
      <w:r>
        <w:rPr>
          <w:rFonts w:ascii="宋体" w:hAnsi="宋体" w:cs="宋体" w:eastAsia="宋体" w:hint="default"/>
          <w:spacing w:val="-5"/>
          <w:w w:val="101"/>
          <w:sz w:val="18"/>
          <w:szCs w:val="18"/>
        </w:rPr>
        <w:t>月</w:t>
      </w:r>
      <w:r>
        <w:rPr>
          <w:rFonts w:ascii="Times New Roman" w:hAnsi="Times New Roman" w:cs="Times New Roman" w:eastAsia="Times New Roman" w:hint="default"/>
          <w:spacing w:val="-5"/>
          <w:w w:val="101"/>
          <w:sz w:val="18"/>
          <w:szCs w:val="18"/>
        </w:rPr>
        <w:t>,</w:t>
      </w:r>
      <w:r>
        <w:rPr>
          <w:rFonts w:ascii="宋体" w:hAnsi="宋体" w:cs="宋体" w:eastAsia="宋体" w:hint="default"/>
          <w:spacing w:val="-5"/>
          <w:w w:val="101"/>
          <w:sz w:val="18"/>
          <w:szCs w:val="18"/>
        </w:rPr>
        <w:t>任职于安永华明会计师事务所企业风险管理部；</w:t>
      </w:r>
      <w:r>
        <w:rPr>
          <w:rFonts w:ascii="Times New Roman" w:hAnsi="Times New Roman" w:cs="Times New Roman" w:eastAsia="Times New Roman" w:hint="default"/>
          <w:spacing w:val="-5"/>
          <w:w w:val="101"/>
          <w:sz w:val="18"/>
          <w:szCs w:val="18"/>
        </w:rPr>
        <w:t>2008</w:t>
      </w:r>
      <w:r>
        <w:rPr>
          <w:rFonts w:ascii="宋体" w:hAnsi="宋体" w:cs="宋体" w:eastAsia="宋体" w:hint="default"/>
          <w:spacing w:val="-5"/>
          <w:w w:val="101"/>
          <w:sz w:val="18"/>
          <w:szCs w:val="18"/>
        </w:rPr>
        <w:t>年</w:t>
      </w:r>
      <w:r>
        <w:rPr>
          <w:rFonts w:ascii="Times New Roman" w:hAnsi="Times New Roman" w:cs="Times New Roman" w:eastAsia="Times New Roman" w:hint="default"/>
          <w:spacing w:val="-5"/>
          <w:w w:val="101"/>
          <w:sz w:val="18"/>
          <w:szCs w:val="18"/>
        </w:rPr>
        <w:t>8</w:t>
      </w:r>
      <w:r>
        <w:rPr>
          <w:rFonts w:ascii="宋体" w:hAnsi="宋体" w:cs="宋体" w:eastAsia="宋体" w:hint="default"/>
          <w:spacing w:val="-5"/>
          <w:w w:val="101"/>
          <w:sz w:val="18"/>
          <w:szCs w:val="18"/>
        </w:rPr>
        <w:t>月至</w:t>
      </w:r>
      <w:r>
        <w:rPr>
          <w:rFonts w:ascii="Times New Roman" w:hAnsi="Times New Roman" w:cs="Times New Roman" w:eastAsia="Times New Roman" w:hint="default"/>
          <w:spacing w:val="-5"/>
          <w:w w:val="101"/>
          <w:sz w:val="18"/>
          <w:szCs w:val="18"/>
        </w:rPr>
        <w:t>2011</w:t>
      </w:r>
      <w:r>
        <w:rPr>
          <w:rFonts w:ascii="宋体" w:hAnsi="宋体" w:cs="宋体" w:eastAsia="宋体" w:hint="default"/>
          <w:spacing w:val="-5"/>
          <w:w w:val="101"/>
          <w:sz w:val="18"/>
          <w:szCs w:val="18"/>
        </w:rPr>
        <w:t>年</w:t>
      </w:r>
      <w:r>
        <w:rPr>
          <w:rFonts w:ascii="Times New Roman" w:hAnsi="Times New Roman" w:cs="Times New Roman" w:eastAsia="Times New Roman" w:hint="default"/>
          <w:spacing w:val="-5"/>
          <w:w w:val="101"/>
          <w:sz w:val="18"/>
          <w:szCs w:val="18"/>
        </w:rPr>
        <w:t>1</w:t>
      </w:r>
      <w:r>
        <w:rPr>
          <w:rFonts w:ascii="宋体" w:hAnsi="宋体" w:cs="宋体" w:eastAsia="宋体" w:hint="default"/>
          <w:spacing w:val="-5"/>
          <w:w w:val="101"/>
          <w:sz w:val="18"/>
          <w:szCs w:val="18"/>
        </w:rPr>
        <w:t>月</w:t>
      </w:r>
      <w:r>
        <w:rPr>
          <w:rFonts w:ascii="Times New Roman" w:hAnsi="Times New Roman" w:cs="Times New Roman" w:eastAsia="Times New Roman" w:hint="default"/>
          <w:spacing w:val="-5"/>
          <w:w w:val="101"/>
          <w:sz w:val="18"/>
          <w:szCs w:val="18"/>
        </w:rPr>
        <w:t>,</w:t>
      </w:r>
      <w:r>
        <w:rPr>
          <w:rFonts w:ascii="宋体" w:hAnsi="宋体" w:cs="宋体" w:eastAsia="宋体" w:hint="default"/>
          <w:spacing w:val="-5"/>
          <w:w w:val="101"/>
          <w:sz w:val="18"/>
          <w:szCs w:val="18"/>
        </w:rPr>
        <w:t>任职于中信证券投资银行部；</w:t>
      </w:r>
      <w:r>
        <w:rPr>
          <w:rFonts w:ascii="Times New Roman" w:hAnsi="Times New Roman" w:cs="Times New Roman" w:eastAsia="Times New Roman" w:hint="default"/>
          <w:spacing w:val="-5"/>
          <w:w w:val="101"/>
          <w:sz w:val="18"/>
          <w:szCs w:val="18"/>
        </w:rPr>
        <w:t>2011</w:t>
      </w:r>
      <w:r>
        <w:rPr>
          <w:rFonts w:ascii="宋体" w:hAnsi="宋体" w:cs="宋体" w:eastAsia="宋体" w:hint="default"/>
          <w:spacing w:val="-5"/>
          <w:w w:val="101"/>
          <w:sz w:val="18"/>
          <w:szCs w:val="18"/>
        </w:rPr>
        <w:t>年</w:t>
      </w:r>
      <w:r>
        <w:rPr>
          <w:rFonts w:ascii="Times New Roman" w:hAnsi="Times New Roman" w:cs="Times New Roman" w:eastAsia="Times New Roman" w:hint="default"/>
          <w:spacing w:val="-5"/>
          <w:w w:val="101"/>
          <w:sz w:val="18"/>
          <w:szCs w:val="18"/>
        </w:rPr>
        <w:t>1</w:t>
      </w:r>
      <w:r>
        <w:rPr>
          <w:rFonts w:ascii="宋体" w:hAnsi="宋体" w:cs="宋体" w:eastAsia="宋体" w:hint="default"/>
          <w:spacing w:val="-5"/>
          <w:w w:val="101"/>
          <w:sz w:val="18"/>
          <w:szCs w:val="18"/>
        </w:rPr>
        <w:t>月至</w:t>
      </w:r>
      <w:r>
        <w:rPr>
          <w:rFonts w:ascii="Times New Roman" w:hAnsi="Times New Roman" w:cs="Times New Roman" w:eastAsia="Times New Roman" w:hint="default"/>
          <w:spacing w:val="-5"/>
          <w:w w:val="101"/>
          <w:sz w:val="18"/>
          <w:szCs w:val="18"/>
        </w:rPr>
        <w:t>2015</w:t>
      </w:r>
      <w:r>
        <w:rPr>
          <w:rFonts w:ascii="Times New Roman" w:hAnsi="Times New Roman" w:cs="Times New Roman" w:eastAsia="Times New Roman" w:hint="default"/>
          <w:spacing w:val="-19"/>
          <w:w w:val="101"/>
          <w:sz w:val="18"/>
          <w:szCs w:val="18"/>
        </w:rPr>
        <w:t> </w:t>
      </w:r>
      <w:r>
        <w:rPr>
          <w:rFonts w:ascii="Times New Roman" w:hAnsi="Times New Roman" w:cs="Times New Roman" w:eastAsia="Times New Roman" w:hint="default"/>
          <w:spacing w:val="-19"/>
          <w:w w:val="101"/>
          <w:sz w:val="18"/>
          <w:szCs w:val="18"/>
        </w:rPr>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任人民网股份有限公司董事会秘书；</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任掌阅科技股份有限公司副总裁</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董事会秘书</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财务总监；</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Times New Roman" w:hAnsi="Times New Roman" w:cs="Times New Roman" w:eastAsia="Times New Roman" w:hint="default"/>
          <w:spacing w:val="-3"/>
          <w:sz w:val="18"/>
          <w:szCs w:val="18"/>
        </w:rPr>
        <w:t>2016</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月至</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月，任游族网络股份有限公司副总经理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董事会秘书。</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日至今任视觉（中国）文化发展股份</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有限公司董事会秘书。</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4"/>
          <w:szCs w:val="14"/>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pacing w:val="-3"/>
          <w:sz w:val="18"/>
          <w:szCs w:val="18"/>
        </w:rPr>
        <w:t>在股东单位任职情况</w:t>
      </w:r>
    </w:p>
    <w:p>
      <w:pPr>
        <w:spacing w:before="115"/>
        <w:ind w:left="153" w:right="0" w:firstLine="0"/>
        <w:jc w:val="both"/>
        <w:rPr>
          <w:rFonts w:ascii="宋体" w:hAnsi="宋体" w:cs="宋体" w:eastAsia="宋体" w:hint="default"/>
          <w:sz w:val="18"/>
          <w:szCs w:val="18"/>
        </w:rPr>
      </w:pPr>
      <w:r>
        <w:rPr/>
        <w:pict>
          <v:group style="position:absolute;margin-left:333.239990pt;margin-top:94.521713pt;width:60.3pt;height:7.95pt;mso-position-horizontal-relative:page;mso-position-vertical-relative:paragraph;z-index:-1167640" coordorigin="6665,1890" coordsize="1206,159">
            <v:shape style="position:absolute;left:6665;top:1890;width:1206;height:159" coordorigin="6665,1890" coordsize="1206,159" path="m6665,2049l7870,2049,7870,1890,6665,1890,6665,2049xe" filled="true" fillcolor="#ffffff" stroked="false">
              <v:path arrowok="t"/>
              <v:fill type="solid"/>
            </v:shape>
            <w10:wrap type="none"/>
          </v:group>
        </w:pic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220"/>
        <w:gridCol w:w="3227"/>
        <w:gridCol w:w="1080"/>
        <w:gridCol w:w="1210"/>
        <w:gridCol w:w="1349"/>
        <w:gridCol w:w="1484"/>
      </w:tblGrid>
      <w:tr>
        <w:trPr>
          <w:trHeight w:val="710"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7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91" w:right="74"/>
              <w:jc w:val="left"/>
              <w:rPr>
                <w:rFonts w:ascii="宋体" w:hAnsi="宋体" w:cs="宋体" w:eastAsia="宋体" w:hint="default"/>
                <w:sz w:val="18"/>
                <w:szCs w:val="18"/>
              </w:rPr>
            </w:pPr>
            <w:r>
              <w:rPr>
                <w:rFonts w:ascii="宋体" w:hAnsi="宋体" w:cs="宋体" w:eastAsia="宋体" w:hint="default"/>
                <w:spacing w:val="-2"/>
                <w:sz w:val="18"/>
                <w:szCs w:val="18"/>
              </w:rPr>
              <w:t>在股东单位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担任的职务</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96" w:right="99" w:hanging="87"/>
              <w:jc w:val="left"/>
              <w:rPr>
                <w:rFonts w:ascii="宋体" w:hAnsi="宋体" w:cs="宋体" w:eastAsia="宋体" w:hint="default"/>
                <w:sz w:val="18"/>
                <w:szCs w:val="18"/>
              </w:rPr>
            </w:pPr>
            <w:r>
              <w:rPr>
                <w:rFonts w:ascii="宋体" w:hAnsi="宋体" w:cs="宋体" w:eastAsia="宋体" w:hint="default"/>
                <w:spacing w:val="-3"/>
                <w:sz w:val="18"/>
                <w:szCs w:val="18"/>
              </w:rPr>
              <w:t>在股东单位是否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领取报酬津贴</w:t>
            </w:r>
          </w:p>
        </w:tc>
      </w:tr>
      <w:tr>
        <w:trPr>
          <w:trHeight w:val="716"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周云东</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常州产业投资集团有限公司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8" w:right="12"/>
              <w:jc w:val="left"/>
              <w:rPr>
                <w:rFonts w:ascii="宋体" w:hAnsi="宋体" w:cs="宋体" w:eastAsia="宋体" w:hint="default"/>
                <w:sz w:val="18"/>
                <w:szCs w:val="18"/>
              </w:rPr>
            </w:pPr>
            <w:r>
              <w:rPr>
                <w:rFonts w:ascii="宋体" w:hAnsi="宋体" w:cs="宋体" w:eastAsia="宋体" w:hint="default"/>
                <w:spacing w:val="-12"/>
                <w:sz w:val="18"/>
                <w:szCs w:val="18"/>
              </w:rPr>
              <w:t>党委书记、董</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2"/>
                <w:sz w:val="18"/>
                <w:szCs w:val="18"/>
              </w:rPr>
              <w:t>事长、总经理</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027"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周云东</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常州服装集团有限公司</w:t>
            </w:r>
          </w:p>
        </w:tc>
        <w:tc>
          <w:tcPr>
            <w:tcW w:w="1080"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3"/>
              <w:ind w:left="28" w:right="-56"/>
              <w:jc w:val="both"/>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sz w:val="18"/>
                <w:szCs w:val="18"/>
              </w:rPr>
              <w:t>董事长、总经</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理</w:t>
            </w:r>
          </w:p>
        </w:tc>
        <w:tc>
          <w:tcPr>
            <w:tcW w:w="121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99"/>
              <w:jc w:val="left"/>
              <w:rPr>
                <w:rFonts w:ascii="宋体" w:hAnsi="宋体" w:cs="宋体" w:eastAsia="宋体" w:hint="default"/>
                <w:sz w:val="18"/>
                <w:szCs w:val="18"/>
              </w:rPr>
            </w:pPr>
            <w:r>
              <w:rPr>
                <w:rFonts w:ascii="宋体" w:hAnsi="宋体" w:cs="宋体" w:eastAsia="宋体" w:hint="default"/>
                <w:spacing w:val="-2"/>
                <w:sz w:val="18"/>
                <w:szCs w:val="18"/>
              </w:rPr>
              <w:t>在股东单位任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职情况的说明</w:t>
            </w:r>
          </w:p>
        </w:tc>
        <w:tc>
          <w:tcPr>
            <w:tcW w:w="8350"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pacing w:val="-3"/>
                <w:sz w:val="18"/>
                <w:szCs w:val="18"/>
              </w:rPr>
              <w:t>详见简历部分。</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在其他单位任职情况</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234"/>
        <w:gridCol w:w="3279"/>
        <w:gridCol w:w="1090"/>
        <w:gridCol w:w="1229"/>
        <w:gridCol w:w="1359"/>
        <w:gridCol w:w="1378"/>
      </w:tblGrid>
      <w:tr>
        <w:trPr>
          <w:trHeight w:val="711"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91" w:right="84"/>
              <w:jc w:val="left"/>
              <w:rPr>
                <w:rFonts w:ascii="宋体" w:hAnsi="宋体" w:cs="宋体" w:eastAsia="宋体" w:hint="default"/>
                <w:sz w:val="18"/>
                <w:szCs w:val="18"/>
              </w:rPr>
            </w:pPr>
            <w:r>
              <w:rPr>
                <w:rFonts w:ascii="宋体" w:hAnsi="宋体" w:cs="宋体" w:eastAsia="宋体" w:hint="default"/>
                <w:spacing w:val="-2"/>
                <w:sz w:val="18"/>
                <w:szCs w:val="18"/>
              </w:rPr>
              <w:t>在其他单位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担任的职务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49" w:right="46" w:hanging="92"/>
              <w:jc w:val="left"/>
              <w:rPr>
                <w:rFonts w:ascii="宋体" w:hAnsi="宋体" w:cs="宋体" w:eastAsia="宋体" w:hint="default"/>
                <w:sz w:val="18"/>
                <w:szCs w:val="18"/>
              </w:rPr>
            </w:pPr>
            <w:r>
              <w:rPr>
                <w:rFonts w:ascii="宋体" w:hAnsi="宋体" w:cs="宋体" w:eastAsia="宋体" w:hint="default"/>
                <w:spacing w:val="-3"/>
                <w:sz w:val="18"/>
                <w:szCs w:val="18"/>
              </w:rPr>
              <w:t>在其他单位是否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领取报酬津贴</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廖杰</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中国智能交通系统（控股）有限公司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董事会主席</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09</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廖杰</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中国智能交通系统有限公司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10</w:t>
            </w:r>
            <w:r>
              <w:rPr>
                <w:rFonts w:ascii="Times New Roman" w:hAnsi="Times New Roman" w:cs="Times New Roman" w:eastAsia="Times New Roman" w:hint="default"/>
                <w:sz w:val="18"/>
                <w:szCs w:val="18"/>
              </w:rPr>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廖杰</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常州瑞华赢数字技术有限公司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23</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廖杰</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上海科锐福克斯人才顾问有限公司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07</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廖杰</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唱游信息技术有限公司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05</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廖杰</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江苏唱游数据技术有限公司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17</w:t>
            </w:r>
            <w:r>
              <w:rPr>
                <w:rFonts w:ascii="Times New Roman" w:hAnsi="Times New Roman" w:cs="Times New Roman" w:eastAsia="Times New Roman"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9"/>
        <w:gridCol w:w="1090"/>
        <w:gridCol w:w="1229"/>
        <w:gridCol w:w="1359"/>
        <w:gridCol w:w="1378"/>
      </w:tblGrid>
      <w:tr>
        <w:trPr>
          <w:trHeight w:val="360" w:hRule="exact"/>
        </w:trPr>
        <w:tc>
          <w:tcPr>
            <w:tcW w:w="1234"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廖杰</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Best Partners Developments</w:t>
            </w:r>
            <w:r>
              <w:rPr>
                <w:rFonts w:ascii="Times New Roman"/>
                <w:spacing w:val="-14"/>
                <w:sz w:val="18"/>
              </w:rPr>
              <w:t> </w:t>
            </w:r>
            <w:r>
              <w:rPr>
                <w:rFonts w:ascii="Times New Roman"/>
                <w:sz w:val="18"/>
              </w:rPr>
              <w:t>Limited</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07</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廖杰</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96"/>
              <w:ind w:left="23" w:right="31"/>
              <w:jc w:val="left"/>
              <w:rPr>
                <w:rFonts w:ascii="Times New Roman" w:hAnsi="Times New Roman" w:cs="Times New Roman" w:eastAsia="Times New Roman" w:hint="default"/>
                <w:sz w:val="18"/>
                <w:szCs w:val="18"/>
              </w:rPr>
            </w:pPr>
            <w:r>
              <w:rPr>
                <w:rFonts w:ascii="Times New Roman"/>
                <w:sz w:val="18"/>
              </w:rPr>
              <w:t>China Expressway intelligent </w:t>
            </w:r>
            <w:r>
              <w:rPr>
                <w:rFonts w:ascii="Times New Roman"/>
                <w:spacing w:val="-3"/>
                <w:sz w:val="18"/>
              </w:rPr>
              <w:t>Transportation</w:t>
            </w:r>
            <w:r>
              <w:rPr>
                <w:rFonts w:ascii="Times New Roman"/>
                <w:spacing w:val="-33"/>
                <w:sz w:val="18"/>
              </w:rPr>
              <w:t> </w:t>
            </w:r>
            <w:r>
              <w:rPr>
                <w:rFonts w:ascii="Times New Roman"/>
                <w:spacing w:val="-33"/>
                <w:sz w:val="18"/>
              </w:rPr>
            </w:r>
            <w:r>
              <w:rPr>
                <w:rFonts w:ascii="Times New Roman"/>
                <w:spacing w:val="-3"/>
                <w:sz w:val="18"/>
              </w:rPr>
              <w:t>Technology </w:t>
            </w:r>
            <w:r>
              <w:rPr>
                <w:rFonts w:ascii="Times New Roman"/>
                <w:sz w:val="18"/>
              </w:rPr>
              <w:t>Group</w:t>
            </w:r>
            <w:r>
              <w:rPr>
                <w:rFonts w:ascii="Times New Roman"/>
                <w:spacing w:val="12"/>
                <w:sz w:val="18"/>
              </w:rPr>
              <w:t> </w:t>
            </w:r>
            <w:r>
              <w:rPr>
                <w:rFonts w:ascii="Times New Roman"/>
                <w:sz w:val="18"/>
              </w:rPr>
              <w:t>Ltd</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28</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廖杰</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Joyful Business Holdings</w:t>
            </w:r>
            <w:r>
              <w:rPr>
                <w:rFonts w:ascii="Times New Roman"/>
                <w:spacing w:val="7"/>
                <w:sz w:val="18"/>
              </w:rPr>
              <w:t> </w:t>
            </w:r>
            <w:r>
              <w:rPr>
                <w:rFonts w:ascii="Times New Roman"/>
                <w:spacing w:val="-3"/>
                <w:sz w:val="18"/>
              </w:rPr>
              <w:t>Limited</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08</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廖杰</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King </w:t>
            </w:r>
            <w:r>
              <w:rPr>
                <w:rFonts w:ascii="Times New Roman"/>
                <w:spacing w:val="-3"/>
                <w:sz w:val="18"/>
              </w:rPr>
              <w:t>Victory </w:t>
            </w:r>
            <w:r>
              <w:rPr>
                <w:rFonts w:ascii="Times New Roman"/>
                <w:sz w:val="18"/>
              </w:rPr>
              <w:t>Holdings</w:t>
            </w:r>
            <w:r>
              <w:rPr>
                <w:rFonts w:ascii="Times New Roman"/>
                <w:spacing w:val="1"/>
                <w:sz w:val="18"/>
              </w:rPr>
              <w:t> </w:t>
            </w:r>
            <w:r>
              <w:rPr>
                <w:rFonts w:ascii="Times New Roman"/>
                <w:sz w:val="18"/>
              </w:rPr>
              <w:t>Limited</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18</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廖杰</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Golden Circuit </w:t>
            </w:r>
            <w:r>
              <w:rPr>
                <w:rFonts w:ascii="Times New Roman"/>
                <w:spacing w:val="-5"/>
                <w:sz w:val="18"/>
              </w:rPr>
              <w:t>Ventures</w:t>
            </w:r>
            <w:r>
              <w:rPr>
                <w:rFonts w:ascii="Times New Roman"/>
                <w:spacing w:val="4"/>
                <w:sz w:val="18"/>
              </w:rPr>
              <w:t> </w:t>
            </w:r>
            <w:r>
              <w:rPr>
                <w:rFonts w:ascii="Times New Roman"/>
                <w:sz w:val="18"/>
              </w:rPr>
              <w:t>Limited</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03</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廖杰</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Gold Insight Investments</w:t>
            </w:r>
            <w:r>
              <w:rPr>
                <w:rFonts w:ascii="Times New Roman"/>
                <w:spacing w:val="-15"/>
                <w:sz w:val="18"/>
              </w:rPr>
              <w:t> </w:t>
            </w:r>
            <w:r>
              <w:rPr>
                <w:rFonts w:ascii="Times New Roman"/>
                <w:sz w:val="18"/>
              </w:rPr>
              <w:t>Limited</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03</w:t>
            </w:r>
            <w:r>
              <w:rPr>
                <w:rFonts w:ascii="Times New Roman" w:hAnsi="Times New Roman" w:cs="Times New Roman" w:eastAsia="Times New Roman" w:hint="default"/>
                <w:sz w:val="18"/>
                <w:szCs w:val="18"/>
              </w:rPr>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廖杰</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pacing w:val="-3"/>
                <w:sz w:val="18"/>
              </w:rPr>
              <w:t>eSoon</w:t>
            </w:r>
            <w:r>
              <w:rPr>
                <w:rFonts w:ascii="Times New Roman"/>
                <w:spacing w:val="13"/>
                <w:sz w:val="18"/>
              </w:rPr>
              <w:t> </w:t>
            </w:r>
            <w:r>
              <w:rPr>
                <w:rFonts w:ascii="Times New Roman"/>
                <w:sz w:val="18"/>
              </w:rPr>
              <w:t>Limited</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06</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廖杰</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pacing w:val="-3"/>
                <w:sz w:val="18"/>
              </w:rPr>
              <w:t>eSoon</w:t>
            </w:r>
            <w:r>
              <w:rPr>
                <w:rFonts w:ascii="Times New Roman"/>
                <w:spacing w:val="20"/>
                <w:sz w:val="18"/>
              </w:rPr>
              <w:t> </w:t>
            </w:r>
            <w:r>
              <w:rPr>
                <w:rFonts w:ascii="Times New Roman"/>
                <w:spacing w:val="-3"/>
                <w:sz w:val="18"/>
              </w:rPr>
              <w:t>Inc</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13</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廖杰</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pacing w:val="-3"/>
                <w:sz w:val="18"/>
              </w:rPr>
              <w:t>eSoon </w:t>
            </w:r>
            <w:r>
              <w:rPr>
                <w:rFonts w:ascii="Times New Roman"/>
                <w:sz w:val="18"/>
              </w:rPr>
              <w:t>Group Holdings</w:t>
            </w:r>
            <w:r>
              <w:rPr>
                <w:rFonts w:ascii="Times New Roman"/>
                <w:spacing w:val="12"/>
                <w:sz w:val="18"/>
              </w:rPr>
              <w:t> </w:t>
            </w:r>
            <w:r>
              <w:rPr>
                <w:rFonts w:ascii="Times New Roman"/>
                <w:sz w:val="18"/>
              </w:rPr>
              <w:t>Limited</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24</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廖杰</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CSDN Group</w:t>
            </w:r>
            <w:r>
              <w:rPr>
                <w:rFonts w:ascii="Times New Roman"/>
                <w:spacing w:val="16"/>
                <w:sz w:val="18"/>
              </w:rPr>
              <w:t> </w:t>
            </w:r>
            <w:r>
              <w:rPr>
                <w:rFonts w:ascii="Times New Roman"/>
                <w:spacing w:val="-3"/>
                <w:sz w:val="18"/>
              </w:rPr>
              <w:t>Limited</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18</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廖杰</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北京拓扑瑞斯信息咨询有限公司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
              <w:jc w:val="left"/>
              <w:rPr>
                <w:rFonts w:ascii="宋体" w:hAnsi="宋体" w:cs="宋体" w:eastAsia="宋体" w:hint="default"/>
                <w:sz w:val="18"/>
                <w:szCs w:val="18"/>
              </w:rPr>
            </w:pPr>
            <w:r>
              <w:rPr>
                <w:rFonts w:ascii="宋体" w:hAnsi="宋体" w:cs="宋体" w:eastAsia="宋体" w:hint="default"/>
                <w:spacing w:val="-9"/>
                <w:sz w:val="18"/>
                <w:szCs w:val="18"/>
              </w:rPr>
              <w:t>执行董事、总</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04</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廖杰</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北京万康弘瑞商贸有限公司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
              <w:jc w:val="left"/>
              <w:rPr>
                <w:rFonts w:ascii="宋体" w:hAnsi="宋体" w:cs="宋体" w:eastAsia="宋体" w:hint="default"/>
                <w:sz w:val="18"/>
                <w:szCs w:val="18"/>
              </w:rPr>
            </w:pPr>
            <w:r>
              <w:rPr>
                <w:rFonts w:ascii="宋体" w:hAnsi="宋体" w:cs="宋体" w:eastAsia="宋体" w:hint="default"/>
                <w:spacing w:val="-9"/>
                <w:sz w:val="18"/>
                <w:szCs w:val="18"/>
              </w:rPr>
              <w:t>董事长、总经</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12</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廖杰</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亿迅信息技术有限公司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13</w:t>
            </w:r>
            <w:r>
              <w:rPr>
                <w:rFonts w:ascii="Times New Roman" w:hAnsi="Times New Roman" w:cs="Times New Roman" w:eastAsia="Times New Roman" w:hint="default"/>
                <w:sz w:val="18"/>
                <w:szCs w:val="18"/>
              </w:rPr>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廖杰</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宝东信息技术有限公司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13</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吴斯远</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深圳海王集团股份有限公司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吴斯远</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深圳市国民健康云科技有限公司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13</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吴斯远</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吉林省吉商实业有限公司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51"/>
              <w:jc w:val="left"/>
              <w:rPr>
                <w:rFonts w:ascii="宋体" w:hAnsi="宋体" w:cs="宋体" w:eastAsia="宋体" w:hint="default"/>
                <w:sz w:val="18"/>
                <w:szCs w:val="18"/>
              </w:rPr>
            </w:pPr>
            <w:r>
              <w:rPr>
                <w:rFonts w:ascii="宋体" w:hAnsi="宋体" w:cs="宋体" w:eastAsia="宋体" w:hint="default"/>
                <w:spacing w:val="-2"/>
                <w:sz w:val="18"/>
                <w:szCs w:val="18"/>
              </w:rPr>
              <w:t>董事、总经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理、法人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13</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吴斯远</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湖州海王康山投资发展有限公司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31</w:t>
            </w:r>
            <w:r>
              <w:rPr>
                <w:rFonts w:ascii="Times New Roman" w:hAnsi="Times New Roman" w:cs="Times New Roman" w:eastAsia="Times New Roman" w:hint="default"/>
                <w:sz w:val="18"/>
                <w:szCs w:val="18"/>
              </w:rPr>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吴斯远</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杭州海王生物工程有限公司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9"/>
        <w:gridCol w:w="1090"/>
        <w:gridCol w:w="1229"/>
        <w:gridCol w:w="1359"/>
        <w:gridCol w:w="1378"/>
      </w:tblGrid>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吴斯远</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南宁海王健康发展有限公司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09</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吴斯远</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南宁海王健康生物科技有限公司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22</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吴斯远</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吉林海王健康生物科技有限公司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吴斯远</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杭州海王实业投资有限公司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08</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吴斯远</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江苏海王健康生物科技有限公司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29</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吴斯远</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三亚海王海洋生物科技有限公司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23</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吴斯远</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湖州海王康山地产发展有限公司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05</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吴斯远</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东莞海王医药健康产业发展有限公司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24</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吴斯远</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深圳市海王医药智能制造股份有限公司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22</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吴斯远</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海王鹿宥堂健康管理（深圳）有限公司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16</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吴斯远</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湖州海王医药科技有限公司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27</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吴斯远</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湖州海王星辰投资发展有限公司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20</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吴斯远</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湖州海王健康产业发展有限公司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20</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吴斯远</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深圳华瑞资本资产管理有限公司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07</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吴斯远</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深圳市海王星辰实业有限公司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2"/>
              <w:jc w:val="left"/>
              <w:rPr>
                <w:rFonts w:ascii="宋体" w:hAnsi="宋体" w:cs="宋体" w:eastAsia="宋体" w:hint="default"/>
                <w:sz w:val="18"/>
                <w:szCs w:val="18"/>
              </w:rPr>
            </w:pPr>
            <w:r>
              <w:rPr>
                <w:rFonts w:ascii="宋体" w:hAnsi="宋体" w:cs="宋体" w:eastAsia="宋体" w:hint="default"/>
                <w:spacing w:val="-9"/>
                <w:sz w:val="18"/>
                <w:szCs w:val="18"/>
              </w:rPr>
              <w:t>执行董事、总</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27</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吴斯远</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深圳市前海深商金融控股集团有限公司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24</w:t>
            </w:r>
            <w:r>
              <w:rPr>
                <w:rFonts w:ascii="Times New Roman" w:hAnsi="Times New Roman" w:cs="Times New Roman" w:eastAsia="Times New Roman" w:hint="default"/>
                <w:sz w:val="18"/>
                <w:szCs w:val="18"/>
              </w:rPr>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梁军</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辽宁奥克实业有限公司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02</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梁军</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三亚奥克玉成培训有限公司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13</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梁军</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辽宁奥克华辉新材料有限公司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02</w:t>
            </w:r>
            <w:r>
              <w:rPr>
                <w:rFonts w:ascii="Times New Roman" w:hAnsi="Times New Roman" w:cs="Times New Roman" w:eastAsia="Times New Roman" w:hint="default"/>
                <w:sz w:val="18"/>
                <w:szCs w:val="18"/>
              </w:rPr>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9"/>
        <w:gridCol w:w="1090"/>
        <w:gridCol w:w="1229"/>
        <w:gridCol w:w="1359"/>
        <w:gridCol w:w="1378"/>
      </w:tblGrid>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柴继军</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常州天博文化发展有限公司</w:t>
            </w:r>
          </w:p>
        </w:tc>
        <w:tc>
          <w:tcPr>
            <w:tcW w:w="1090"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53"/>
              <w:ind w:left="24" w:right="-3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执行董事</w:t>
            </w:r>
          </w:p>
        </w:tc>
        <w:tc>
          <w:tcPr>
            <w:tcW w:w="1229"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53"/>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16</w:t>
            </w:r>
            <w:r>
              <w:rPr>
                <w:rFonts w:ascii="Times New Roman" w:hAnsi="Times New Roman" w:cs="Times New Roman" w:eastAsia="Times New Roman" w:hint="default"/>
                <w:sz w:val="18"/>
                <w:szCs w:val="18"/>
              </w:rPr>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柴继军</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pacing w:val="-3"/>
                <w:sz w:val="18"/>
                <w:szCs w:val="18"/>
              </w:rPr>
              <w:t>常州天博投资管理中心（有限合伙）</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51"/>
              <w:jc w:val="both"/>
              <w:rPr>
                <w:rFonts w:ascii="宋体" w:hAnsi="宋体" w:cs="宋体" w:eastAsia="宋体" w:hint="default"/>
                <w:sz w:val="18"/>
                <w:szCs w:val="18"/>
              </w:rPr>
            </w:pPr>
            <w:r>
              <w:rPr>
                <w:rFonts w:ascii="宋体" w:hAnsi="宋体" w:cs="宋体" w:eastAsia="宋体" w:hint="default"/>
                <w:spacing w:val="-2"/>
                <w:sz w:val="18"/>
                <w:szCs w:val="18"/>
              </w:rPr>
              <w:t>执行事务合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伙人委派代</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表</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23</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柴继军</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Superb Silvery</w:t>
            </w:r>
            <w:r>
              <w:rPr>
                <w:rFonts w:ascii="Times New Roman"/>
                <w:spacing w:val="-6"/>
                <w:sz w:val="18"/>
              </w:rPr>
              <w:t> </w:t>
            </w:r>
            <w:r>
              <w:rPr>
                <w:rFonts w:ascii="Times New Roman"/>
                <w:sz w:val="18"/>
              </w:rPr>
              <w:t>Limited</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22</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周云东</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常州高新技术风险投资有限公司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周云东</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江苏国光信息产业股份有限公司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周云东</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常州金润服饰有限公司</w:t>
            </w:r>
          </w:p>
        </w:tc>
        <w:tc>
          <w:tcPr>
            <w:tcW w:w="1090" w:type="dxa"/>
            <w:tcBorders>
              <w:top w:val="single" w:sz="4" w:space="0" w:color="000000"/>
              <w:left w:val="single" w:sz="4" w:space="0" w:color="000000"/>
              <w:bottom w:val="single" w:sz="4" w:space="0" w:color="000000"/>
              <w:right w:val="single" w:sz="10" w:space="0" w:color="FFFFFF"/>
            </w:tcBorders>
          </w:tcPr>
          <w:p>
            <w:pPr>
              <w:pStyle w:val="TableParagraph"/>
              <w:spacing w:line="319" w:lineRule="auto" w:before="53"/>
              <w:ind w:left="24" w:right="-37"/>
              <w:jc w:val="both"/>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执行董事、总</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经理</w:t>
            </w:r>
          </w:p>
        </w:tc>
        <w:tc>
          <w:tcPr>
            <w:tcW w:w="1229" w:type="dxa"/>
            <w:tcBorders>
              <w:top w:val="single" w:sz="4" w:space="0" w:color="000000"/>
              <w:left w:val="single" w:sz="10" w:space="0" w:color="FFFFFF"/>
              <w:bottom w:val="single" w:sz="4" w:space="0" w:color="000000"/>
              <w:right w:val="single" w:sz="4" w:space="0" w:color="000000"/>
            </w:tcBorders>
          </w:tcPr>
          <w:p>
            <w:pPr>
              <w:pStyle w:val="TableParagraph"/>
              <w:spacing w:line="153" w:lineRule="exact"/>
              <w:ind w:left="-8" w:right="-51"/>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position w:val="-2"/>
                <w:sz w:val="15"/>
                <w:szCs w:val="15"/>
              </w:rPr>
              <w:pict>
                <v:group style="width:61pt;height:7.7pt;mso-position-horizontal-relative:char;mso-position-vertical-relative:line" coordorigin="0,0" coordsize="1220,154">
                  <v:group style="position:absolute;left:0;top:0;width:1220;height:154" coordorigin="0,0" coordsize="1220,154">
                    <v:shape style="position:absolute;left:0;top:0;width:1220;height:154" coordorigin="0,0" coordsize="1220,154" path="m0,154l1220,154,1220,0,0,0,0,154xe" filled="true" fillcolor="#ffffff" stroked="false">
                      <v:path arrowok="t"/>
                      <v:fill type="solid"/>
                    </v:shape>
                  </v:group>
                </v:group>
              </w:pict>
            </w:r>
            <w:r>
              <w:rPr>
                <w:rFonts w:ascii="Times New Roman" w:hAnsi="Times New Roman" w:cs="Times New Roman" w:eastAsia="Times New Roman" w:hint="default"/>
                <w:position w:val="-2"/>
                <w:sz w:val="15"/>
                <w:szCs w:val="15"/>
              </w:rPr>
            </w:r>
          </w:p>
          <w:p>
            <w:pPr>
              <w:pStyle w:val="TableParagraph"/>
              <w:spacing w:line="240" w:lineRule="auto" w:before="54"/>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8"/>
              <w:ind w:left="16"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周云东</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江南金融租赁股份有限公司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周云东</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常州企业征信服务有限公司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12"/>
              <w:jc w:val="left"/>
              <w:rPr>
                <w:rFonts w:ascii="宋体" w:hAnsi="宋体" w:cs="宋体" w:eastAsia="宋体" w:hint="default"/>
                <w:sz w:val="18"/>
                <w:szCs w:val="18"/>
              </w:rPr>
            </w:pPr>
            <w:r>
              <w:rPr>
                <w:rFonts w:ascii="宋体" w:hAnsi="宋体" w:cs="宋体" w:eastAsia="宋体" w:hint="default"/>
                <w:spacing w:val="-9"/>
                <w:sz w:val="18"/>
                <w:szCs w:val="18"/>
              </w:rPr>
              <w:t>董事长、总经</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04</w:t>
            </w:r>
            <w:r>
              <w:rPr>
                <w:rFonts w:ascii="Times New Roman" w:hAnsi="Times New Roman" w:cs="Times New Roman" w:eastAsia="Times New Roman" w:hint="default"/>
                <w:sz w:val="18"/>
                <w:szCs w:val="18"/>
              </w:rPr>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周云东</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常州市服装工业联社</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周云东</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常州塑料集团公司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周云东</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常州市塑料集体工业联社</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周云东</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坦中合资友谊纺织有限公司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朱武祥</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
              <w:jc w:val="left"/>
              <w:rPr>
                <w:rFonts w:ascii="宋体" w:hAnsi="宋体" w:cs="宋体" w:eastAsia="宋体" w:hint="default"/>
                <w:sz w:val="18"/>
                <w:szCs w:val="18"/>
              </w:rPr>
            </w:pPr>
            <w:r>
              <w:rPr>
                <w:rFonts w:ascii="宋体" w:hAnsi="宋体" w:cs="宋体" w:eastAsia="宋体" w:hint="default"/>
                <w:spacing w:val="-9"/>
                <w:sz w:val="18"/>
                <w:szCs w:val="18"/>
              </w:rPr>
              <w:t>教授、博士生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导师</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02</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朱武祥</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中国信达资产管理股份有限公司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25</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朱武祥</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华夏幸福基业股份有限公司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20</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24</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朱武祥</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北京建设（控股）有限公司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朱武祥</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光大证券股份有限公司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20</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朱武祥</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紫光股份有限公司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27</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朱武祥</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北京汉迪移动互联网科技股份有限公司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29</w:t>
            </w:r>
            <w:r>
              <w:rPr>
                <w:rFonts w:ascii="Times New Roman" w:hAnsi="Times New Roman" w:cs="Times New Roman" w:eastAsia="Times New Roman"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9"/>
        <w:gridCol w:w="1090"/>
        <w:gridCol w:w="1229"/>
        <w:gridCol w:w="1359"/>
        <w:gridCol w:w="1378"/>
      </w:tblGrid>
      <w:tr>
        <w:trPr>
          <w:trHeight w:val="360" w:hRule="exact"/>
        </w:trPr>
        <w:tc>
          <w:tcPr>
            <w:tcW w:w="1234"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朱武祥</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中航信托股份有限公司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04</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朱武祥</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北京福至久久软件科技股份有限公司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14</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朱武祥</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上海慧晰管理咨询合伙企业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有限合伙</w:t>
            </w:r>
            <w:r>
              <w:rPr>
                <w:rFonts w:ascii="Times New Roman" w:hAnsi="Times New Roman" w:cs="Times New Roman" w:eastAsia="Times New Roman" w:hint="default"/>
                <w:spacing w:val="-3"/>
                <w:sz w:val="18"/>
                <w:szCs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51"/>
              <w:jc w:val="left"/>
              <w:rPr>
                <w:rFonts w:ascii="宋体" w:hAnsi="宋体" w:cs="宋体" w:eastAsia="宋体" w:hint="default"/>
                <w:sz w:val="18"/>
                <w:szCs w:val="18"/>
              </w:rPr>
            </w:pPr>
            <w:r>
              <w:rPr>
                <w:rFonts w:ascii="宋体" w:hAnsi="宋体" w:cs="宋体" w:eastAsia="宋体" w:hint="default"/>
                <w:spacing w:val="-2"/>
                <w:sz w:val="18"/>
                <w:szCs w:val="18"/>
              </w:rPr>
              <w:t>执行事务合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08</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朱武祥</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商模智星</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咨询有限公司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17</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朱武祥</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广州博融智库咨询股份有限公司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29</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朱武祥</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山东先大健康产业股份有限公司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15</w:t>
            </w:r>
            <w:r>
              <w:rPr>
                <w:rFonts w:ascii="Times New Roman" w:hAnsi="Times New Roman" w:cs="Times New Roman" w:eastAsia="Times New Roman" w:hint="default"/>
                <w:sz w:val="18"/>
                <w:szCs w:val="18"/>
              </w:rPr>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朱武祥</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北京晨翕资本管理有限公司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24</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朱武祥</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80"/>
              <w:jc w:val="left"/>
              <w:rPr>
                <w:rFonts w:ascii="宋体" w:hAnsi="宋体" w:cs="宋体" w:eastAsia="宋体" w:hint="default"/>
                <w:sz w:val="18"/>
                <w:szCs w:val="18"/>
              </w:rPr>
            </w:pPr>
            <w:r>
              <w:rPr>
                <w:rFonts w:ascii="宋体" w:hAnsi="宋体" w:cs="宋体" w:eastAsia="宋体" w:hint="default"/>
                <w:spacing w:val="-3"/>
                <w:sz w:val="18"/>
                <w:szCs w:val="18"/>
              </w:rPr>
              <w:t>山东白鹭晨翕股权投资基金管理有限公</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20</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朱武祥</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北京爱投资本管理有限公司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30</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汪天润</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北京中财富国投资管理中心（有限合伙）</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51"/>
              <w:jc w:val="left"/>
              <w:rPr>
                <w:rFonts w:ascii="宋体" w:hAnsi="宋体" w:cs="宋体" w:eastAsia="宋体" w:hint="default"/>
                <w:sz w:val="18"/>
                <w:szCs w:val="18"/>
              </w:rPr>
            </w:pPr>
            <w:r>
              <w:rPr>
                <w:rFonts w:ascii="宋体" w:hAnsi="宋体" w:cs="宋体" w:eastAsia="宋体" w:hint="default"/>
                <w:spacing w:val="-2"/>
                <w:sz w:val="18"/>
                <w:szCs w:val="18"/>
              </w:rPr>
              <w:t>执行事务合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20</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8"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汪天润</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北京天旭投资管理有限公司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
              <w:jc w:val="left"/>
              <w:rPr>
                <w:rFonts w:ascii="宋体" w:hAnsi="宋体" w:cs="宋体" w:eastAsia="宋体" w:hint="default"/>
                <w:sz w:val="18"/>
                <w:szCs w:val="18"/>
              </w:rPr>
            </w:pPr>
            <w:r>
              <w:rPr>
                <w:rFonts w:ascii="宋体" w:hAnsi="宋体" w:cs="宋体" w:eastAsia="宋体" w:hint="default"/>
                <w:sz w:val="18"/>
                <w:szCs w:val="18"/>
              </w:rPr>
              <w:t>董事长、经</w:t>
            </w:r>
            <w:r>
              <w:rPr>
                <w:rFonts w:ascii="宋体" w:hAnsi="宋体" w:cs="宋体" w:eastAsia="宋体" w:hint="default"/>
                <w:w w:val="101"/>
                <w:sz w:val="18"/>
                <w:szCs w:val="18"/>
              </w:rPr>
              <w:t> </w:t>
            </w:r>
            <w:r>
              <w:rPr>
                <w:rFonts w:ascii="宋体" w:hAnsi="宋体" w:cs="宋体" w:eastAsia="宋体" w:hint="default"/>
                <w:spacing w:val="-9"/>
                <w:sz w:val="18"/>
                <w:szCs w:val="18"/>
              </w:rPr>
              <w:t>理、法定代表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20</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02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汪天润</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北京天润财富投资管理有限公司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
              <w:jc w:val="left"/>
              <w:rPr>
                <w:rFonts w:ascii="宋体" w:hAnsi="宋体" w:cs="宋体" w:eastAsia="宋体" w:hint="default"/>
                <w:sz w:val="18"/>
                <w:szCs w:val="18"/>
              </w:rPr>
            </w:pPr>
            <w:r>
              <w:rPr>
                <w:rFonts w:ascii="宋体" w:hAnsi="宋体" w:cs="宋体" w:eastAsia="宋体" w:hint="default"/>
                <w:sz w:val="18"/>
                <w:szCs w:val="18"/>
              </w:rPr>
              <w:t>董事长、经</w:t>
            </w:r>
            <w:r>
              <w:rPr>
                <w:rFonts w:ascii="宋体" w:hAnsi="宋体" w:cs="宋体" w:eastAsia="宋体" w:hint="default"/>
                <w:w w:val="101"/>
                <w:sz w:val="18"/>
                <w:szCs w:val="18"/>
              </w:rPr>
              <w:t> </w:t>
            </w:r>
            <w:r>
              <w:rPr>
                <w:rFonts w:ascii="宋体" w:hAnsi="宋体" w:cs="宋体" w:eastAsia="宋体" w:hint="default"/>
                <w:spacing w:val="-9"/>
                <w:sz w:val="18"/>
                <w:szCs w:val="18"/>
              </w:rPr>
              <w:t>理、法定代表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20</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汪天润</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上海助势企业管理中心（有限合伙）</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51"/>
              <w:jc w:val="left"/>
              <w:rPr>
                <w:rFonts w:ascii="宋体" w:hAnsi="宋体" w:cs="宋体" w:eastAsia="宋体" w:hint="default"/>
                <w:sz w:val="18"/>
                <w:szCs w:val="18"/>
              </w:rPr>
            </w:pPr>
            <w:r>
              <w:rPr>
                <w:rFonts w:ascii="宋体" w:hAnsi="宋体" w:cs="宋体" w:eastAsia="宋体" w:hint="default"/>
                <w:spacing w:val="-2"/>
                <w:sz w:val="18"/>
                <w:szCs w:val="18"/>
              </w:rPr>
              <w:t>执行事务合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09</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汪天润</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哈尔滨哈船导航技术有限公司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15</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潘帅</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瑞华会计师事务所（特殊普通合伙）</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潘帅</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北京城市副中心投资建设集团有限公司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潘帅</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致同会计师事务所（特殊普通合伙）</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岳蓉</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武汉固德银赛创业投资管理有限公司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21</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9"/>
        <w:gridCol w:w="1090"/>
        <w:gridCol w:w="1229"/>
        <w:gridCol w:w="1359"/>
        <w:gridCol w:w="1378"/>
      </w:tblGrid>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岳蓉</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科华银赛创业投资有限公司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15</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岳蓉</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武汉华科大生命科技有限公司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
              <w:jc w:val="left"/>
              <w:rPr>
                <w:rFonts w:ascii="宋体" w:hAnsi="宋体" w:cs="宋体" w:eastAsia="宋体" w:hint="default"/>
                <w:sz w:val="18"/>
                <w:szCs w:val="18"/>
              </w:rPr>
            </w:pPr>
            <w:r>
              <w:rPr>
                <w:rFonts w:ascii="宋体" w:hAnsi="宋体" w:cs="宋体" w:eastAsia="宋体" w:hint="default"/>
                <w:spacing w:val="-9"/>
                <w:sz w:val="18"/>
                <w:szCs w:val="18"/>
              </w:rPr>
              <w:t>董事长、法定</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代表人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18</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岳蓉</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湖北菲利华石英玻璃股份有限公司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12</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岳蓉</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武汉天喻信息产业股份有限公司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12</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岳蓉</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天津灏洋华科生物科技有限公司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14</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岳蓉</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天津市灏洋生物制品科技有限责任公司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24</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岳蓉</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湖北省中国青年旅行社有限公司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18</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岳蓉</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80"/>
              <w:jc w:val="left"/>
              <w:rPr>
                <w:rFonts w:ascii="宋体" w:hAnsi="宋体" w:cs="宋体" w:eastAsia="宋体" w:hint="default"/>
                <w:sz w:val="18"/>
                <w:szCs w:val="18"/>
              </w:rPr>
            </w:pPr>
            <w:r>
              <w:rPr>
                <w:rFonts w:ascii="宋体" w:hAnsi="宋体" w:cs="宋体" w:eastAsia="宋体" w:hint="default"/>
                <w:spacing w:val="-3"/>
                <w:sz w:val="18"/>
                <w:szCs w:val="18"/>
              </w:rPr>
              <w:t>湖北宏泰科华创业投资基金管理有限公</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20</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岳蓉</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湖北科华炎帝创业投资有限公司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26</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岳蓉</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宁波华慈蓝海投资管理有限公司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pacing w:val="-5"/>
                <w:sz w:val="18"/>
                <w:szCs w:val="18"/>
              </w:rPr>
              <w:t>09</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13"/>
              <w:jc w:val="left"/>
              <w:rPr>
                <w:rFonts w:ascii="宋体" w:hAnsi="宋体" w:cs="宋体" w:eastAsia="宋体" w:hint="default"/>
                <w:sz w:val="18"/>
                <w:szCs w:val="18"/>
              </w:rPr>
            </w:pPr>
            <w:r>
              <w:rPr>
                <w:rFonts w:ascii="宋体" w:hAnsi="宋体" w:cs="宋体" w:eastAsia="宋体" w:hint="default"/>
                <w:spacing w:val="-2"/>
                <w:sz w:val="18"/>
                <w:szCs w:val="18"/>
              </w:rPr>
              <w:t>在其他单位任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职情况的说明</w:t>
            </w:r>
          </w:p>
        </w:tc>
        <w:tc>
          <w:tcPr>
            <w:tcW w:w="833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公司现任及报告期内离任董事、监事和高级管理人员近三年证券监管机构处罚的情况</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四、董事、监事、高级管理人员报酬情况" w:id="128"/>
      <w:bookmarkEnd w:id="128"/>
      <w:r>
        <w:rPr>
          <w:b w:val="0"/>
          <w:bCs w:val="0"/>
        </w:rPr>
      </w:r>
      <w:r>
        <w:rPr/>
        <w:t>四、董事、监事、高级管理人员报酬情况</w:t>
      </w:r>
      <w:r>
        <w:rPr>
          <w:b w:val="0"/>
          <w:bCs w:val="0"/>
        </w:rPr>
      </w:r>
    </w:p>
    <w:p>
      <w:pPr>
        <w:spacing w:line="240" w:lineRule="auto" w:before="8"/>
        <w:rPr>
          <w:rFonts w:ascii="宋体" w:hAnsi="宋体" w:cs="宋体" w:eastAsia="宋体" w:hint="default"/>
          <w:b/>
          <w:bCs/>
          <w:sz w:val="27"/>
          <w:szCs w:val="27"/>
        </w:rPr>
      </w:pPr>
    </w:p>
    <w:p>
      <w:pPr>
        <w:spacing w:line="338" w:lineRule="auto"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董事、监事、高级管理人员报酬的决策程序、确定依据、实际支付情况</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董事、监事、高级管理人员报酬的决策程序：独立董事、董事、监事报酬由股东大会审议通过，其他高管各自所在的岗位、</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所承担的责任风险和所做贡献等因素，核定其薪酬。</w:t>
      </w:r>
    </w:p>
    <w:p>
      <w:pPr>
        <w:spacing w:line="340" w:lineRule="auto" w:before="2"/>
        <w:ind w:left="153" w:right="0" w:firstLine="0"/>
        <w:jc w:val="left"/>
        <w:rPr>
          <w:rFonts w:ascii="宋体" w:hAnsi="宋体" w:cs="宋体" w:eastAsia="宋体" w:hint="default"/>
          <w:sz w:val="18"/>
          <w:szCs w:val="18"/>
        </w:rPr>
      </w:pPr>
      <w:r>
        <w:rPr>
          <w:rFonts w:ascii="宋体" w:hAnsi="宋体" w:cs="宋体" w:eastAsia="宋体" w:hint="default"/>
          <w:spacing w:val="-4"/>
          <w:sz w:val="18"/>
          <w:szCs w:val="18"/>
        </w:rPr>
        <w:t>董事、监事、高级管理人员报酬确定依据：根据董事、监事及高级管理人员管理岗位的主要范围、职责、重要性，参照同行</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业其他相关企业相关岗位的薪酬水平并结合本公司的具体情况制定薪酬标准。</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pacing w:val="-3"/>
          <w:sz w:val="18"/>
          <w:szCs w:val="18"/>
        </w:rPr>
        <w:t>董事、监事和高级管理人员报酬的实际支付情况：董事、监事和高级管理人员报酬按月支付。</w:t>
      </w:r>
    </w:p>
    <w:p>
      <w:pPr>
        <w:spacing w:line="240" w:lineRule="auto" w:before="3"/>
        <w:rPr>
          <w:rFonts w:ascii="宋体" w:hAnsi="宋体" w:cs="宋体" w:eastAsia="宋体" w:hint="default"/>
          <w:sz w:val="26"/>
          <w:szCs w:val="26"/>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公司报告期内董事、监事和高级管理人员报酬情况</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71"/>
        <w:gridCol w:w="1366"/>
      </w:tblGrid>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31" w:right="48" w:hanging="183"/>
              <w:jc w:val="left"/>
              <w:rPr>
                <w:rFonts w:ascii="宋体" w:hAnsi="宋体" w:cs="宋体" w:eastAsia="宋体" w:hint="default"/>
                <w:sz w:val="18"/>
                <w:szCs w:val="18"/>
              </w:rPr>
            </w:pPr>
            <w:r>
              <w:rPr>
                <w:rFonts w:ascii="宋体" w:hAnsi="宋体" w:cs="宋体" w:eastAsia="宋体" w:hint="default"/>
                <w:spacing w:val="-3"/>
                <w:sz w:val="18"/>
                <w:szCs w:val="18"/>
              </w:rPr>
              <w:t>从公司获得的税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前报酬总额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28" w:right="46" w:hanging="183"/>
              <w:jc w:val="left"/>
              <w:rPr>
                <w:rFonts w:ascii="宋体" w:hAnsi="宋体" w:cs="宋体" w:eastAsia="宋体" w:hint="default"/>
                <w:sz w:val="18"/>
                <w:szCs w:val="18"/>
              </w:rPr>
            </w:pPr>
            <w:r>
              <w:rPr>
                <w:rFonts w:ascii="宋体" w:hAnsi="宋体" w:cs="宋体" w:eastAsia="宋体" w:hint="default"/>
                <w:spacing w:val="-3"/>
                <w:sz w:val="18"/>
                <w:szCs w:val="18"/>
              </w:rPr>
              <w:t>是否在公司关联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方获取报酬</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廖杰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吴斯远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梁军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柴继军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46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53.27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周云东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朱武祥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汪天润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潘帅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46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岳蓉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杨霞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24.95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苏华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49.65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王刚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52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66.27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张宏麟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白怀志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1"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1"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8"/>
              <w:ind w:right="9"/>
              <w:jc w:val="right"/>
              <w:rPr>
                <w:rFonts w:ascii="Times New Roman" w:hAnsi="Times New Roman" w:cs="Times New Roman" w:eastAsia="Times New Roman" w:hint="default"/>
                <w:sz w:val="18"/>
                <w:szCs w:val="18"/>
              </w:rPr>
            </w:pPr>
            <w:r>
              <w:rPr>
                <w:rFonts w:ascii="Times New Roman"/>
                <w:spacing w:val="-1"/>
                <w:sz w:val="18"/>
              </w:rPr>
              <w:t>493.21</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公司董事、高级管理人员报告期内被授予的股权激励情况</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五、公司员工情况" w:id="129"/>
      <w:bookmarkEnd w:id="129"/>
      <w:r>
        <w:rPr>
          <w:b w:val="0"/>
          <w:bCs w:val="0"/>
        </w:rPr>
      </w:r>
      <w:r>
        <w:rPr/>
        <w:t>五、公司员工情况</w:t>
      </w:r>
      <w:r>
        <w:rPr>
          <w:b w:val="0"/>
          <w:bCs w:val="0"/>
        </w:rPr>
      </w:r>
    </w:p>
    <w:p>
      <w:pPr>
        <w:spacing w:line="240" w:lineRule="auto" w:before="4"/>
        <w:rPr>
          <w:rFonts w:ascii="宋体" w:hAnsi="宋体" w:cs="宋体" w:eastAsia="宋体" w:hint="default"/>
          <w:b/>
          <w:bCs/>
          <w:sz w:val="25"/>
          <w:szCs w:val="25"/>
        </w:rPr>
      </w:pPr>
    </w:p>
    <w:p>
      <w:pPr>
        <w:pStyle w:val="Heading4"/>
        <w:spacing w:line="240" w:lineRule="auto"/>
        <w:ind w:right="0"/>
        <w:jc w:val="left"/>
        <w:rPr>
          <w:b w:val="0"/>
          <w:bCs w:val="0"/>
        </w:rPr>
      </w:pPr>
      <w:bookmarkStart w:name="1、员工数量、专业构成及教育程度" w:id="130"/>
      <w:bookmarkEnd w:id="130"/>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母公司在职员工的数量（人）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42</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主要子公司在职员工的数量（人）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479</w:t>
            </w:r>
          </w:p>
        </w:tc>
      </w:tr>
      <w:tr>
        <w:trPr>
          <w:trHeight w:val="39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在职员工的数量合计（人）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521</w:t>
            </w:r>
          </w:p>
        </w:tc>
      </w:tr>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当期领取薪酬员工总人数（人）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521</w:t>
            </w:r>
          </w:p>
        </w:tc>
      </w:tr>
      <w:tr>
        <w:trPr>
          <w:trHeight w:val="40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母公司及主要子公司需承担费用的离退休职工人数（人）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4"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591" w:right="0"/>
              <w:jc w:val="left"/>
              <w:rPr>
                <w:rFonts w:ascii="宋体" w:hAnsi="宋体" w:cs="宋体" w:eastAsia="宋体" w:hint="default"/>
                <w:sz w:val="18"/>
                <w:szCs w:val="18"/>
              </w:rPr>
            </w:pPr>
            <w:r>
              <w:rPr>
                <w:rFonts w:ascii="宋体" w:hAnsi="宋体" w:cs="宋体" w:eastAsia="宋体" w:hint="default"/>
                <w:spacing w:val="-3"/>
                <w:sz w:val="18"/>
                <w:szCs w:val="18"/>
              </w:rPr>
              <w:t>专业构成人数（人）</w:t>
            </w:r>
          </w:p>
        </w:tc>
      </w:tr>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210</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136</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31</w:t>
            </w:r>
          </w:p>
        </w:tc>
      </w:tr>
      <w:tr>
        <w:trPr>
          <w:trHeight w:val="39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21</w:t>
            </w:r>
          </w:p>
        </w:tc>
      </w:tr>
      <w:tr>
        <w:trPr>
          <w:trHeight w:val="404" w:hRule="exact"/>
        </w:trPr>
        <w:tc>
          <w:tcPr>
            <w:tcW w:w="4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其他人员</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123</w:t>
            </w:r>
          </w:p>
        </w:tc>
      </w:tr>
      <w:tr>
        <w:trPr>
          <w:trHeight w:val="40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521</w:t>
            </w:r>
          </w:p>
        </w:tc>
      </w:tr>
      <w:tr>
        <w:trPr>
          <w:trHeight w:val="398"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44</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本科学历</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413</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专科学历</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64</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专科以下学历</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521</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bookmarkStart w:name="2、薪酬政策" w:id="131"/>
      <w:bookmarkEnd w:id="131"/>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4"/>
        <w:rPr>
          <w:rFonts w:ascii="宋体" w:hAnsi="宋体" w:cs="宋体" w:eastAsia="宋体" w:hint="default"/>
          <w:b/>
          <w:bCs/>
          <w:sz w:val="26"/>
          <w:szCs w:val="26"/>
        </w:rPr>
      </w:pPr>
    </w:p>
    <w:p>
      <w:pPr>
        <w:spacing w:line="319" w:lineRule="auto" w:before="0"/>
        <w:ind w:left="153" w:right="1123" w:firstLine="0"/>
        <w:jc w:val="both"/>
        <w:rPr>
          <w:rFonts w:ascii="宋体" w:hAnsi="宋体" w:cs="宋体" w:eastAsia="宋体" w:hint="default"/>
          <w:sz w:val="18"/>
          <w:szCs w:val="18"/>
        </w:rPr>
      </w:pPr>
      <w:r>
        <w:rPr>
          <w:rFonts w:ascii="宋体" w:hAnsi="宋体" w:cs="宋体" w:eastAsia="宋体" w:hint="default"/>
          <w:spacing w:val="-4"/>
          <w:sz w:val="18"/>
          <w:szCs w:val="18"/>
        </w:rPr>
        <w:t>公司按照《中华人民共和国劳动合同法》和其他有关劳动法律、法规的规定，与员工签订劳动合同，并严格执行国家用工制</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5"/>
          <w:sz w:val="18"/>
          <w:szCs w:val="18"/>
        </w:rPr>
        <w:t>度、劳动保护制度、社会保障制度和医疗保障制度，按照国家规定为员工缴纳五险一金。根据公平、竞争、激励的原则，公</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4"/>
          <w:sz w:val="18"/>
          <w:szCs w:val="18"/>
        </w:rPr>
        <w:t>司建立了具备市场竞争力与内部公平性的薪酬体系，以岗位和职级为薪酬基准线，同时完善了绩效考核管理制度，将绩效考</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4"/>
          <w:sz w:val="18"/>
          <w:szCs w:val="18"/>
        </w:rPr>
        <w:t>核结果运用到员工薪酬调整中去，公司也会定期根据市场情况、公司业绩完成情况对员工薪酬作出适当调整。公司薪酬政策</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确保了个人绩效公平，充分调动了公司员工的积极性，同时增加了对人才的吸引力。</w:t>
      </w:r>
    </w:p>
    <w:p>
      <w:pPr>
        <w:spacing w:line="240" w:lineRule="auto" w:before="6"/>
        <w:rPr>
          <w:rFonts w:ascii="宋体" w:hAnsi="宋体" w:cs="宋体" w:eastAsia="宋体" w:hint="default"/>
          <w:sz w:val="22"/>
          <w:szCs w:val="22"/>
        </w:rPr>
      </w:pPr>
    </w:p>
    <w:p>
      <w:pPr>
        <w:pStyle w:val="Heading4"/>
        <w:spacing w:line="240" w:lineRule="auto"/>
        <w:ind w:right="0"/>
        <w:jc w:val="left"/>
        <w:rPr>
          <w:b w:val="0"/>
          <w:bCs w:val="0"/>
        </w:rPr>
      </w:pPr>
      <w:bookmarkStart w:name="3、培训计划" w:id="132"/>
      <w:bookmarkEnd w:id="132"/>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4"/>
        <w:rPr>
          <w:rFonts w:ascii="宋体" w:hAnsi="宋体" w:cs="宋体" w:eastAsia="宋体" w:hint="default"/>
          <w:b/>
          <w:bCs/>
          <w:sz w:val="26"/>
          <w:szCs w:val="26"/>
        </w:rPr>
      </w:pPr>
    </w:p>
    <w:p>
      <w:pPr>
        <w:spacing w:line="319" w:lineRule="auto"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公司通过内训、外训、行业精英交流会、案例分享等形式，开展一系列的培训活动。课程涵盖几大方向：新员工入职培训、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专业技能、通用技能、管理能力、商务礼仪、社保报销培训等。同时，公司也通过员工生日会、运动会等一系列员工关怀项</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3"/>
          <w:sz w:val="18"/>
          <w:szCs w:val="18"/>
        </w:rPr>
        <w:t>目，增强员工对集团的主人翁意识和归属感。</w:t>
      </w:r>
    </w:p>
    <w:p>
      <w:pPr>
        <w:spacing w:line="240" w:lineRule="auto" w:before="6"/>
        <w:rPr>
          <w:rFonts w:ascii="宋体" w:hAnsi="宋体" w:cs="宋体" w:eastAsia="宋体" w:hint="default"/>
          <w:sz w:val="22"/>
          <w:szCs w:val="22"/>
        </w:rPr>
      </w:pPr>
    </w:p>
    <w:p>
      <w:pPr>
        <w:pStyle w:val="Heading4"/>
        <w:spacing w:line="240" w:lineRule="auto"/>
        <w:ind w:right="0"/>
        <w:jc w:val="left"/>
        <w:rPr>
          <w:b w:val="0"/>
          <w:bCs w:val="0"/>
        </w:rPr>
      </w:pPr>
      <w:bookmarkStart w:name="4、劳务外包情况" w:id="133"/>
      <w:bookmarkEnd w:id="133"/>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right="1104"/>
        <w:jc w:val="center"/>
        <w:rPr>
          <w:b w:val="0"/>
          <w:bCs w:val="0"/>
        </w:rPr>
      </w:pPr>
      <w:bookmarkStart w:name="第十节公司治理" w:id="134"/>
      <w:bookmarkEnd w:id="134"/>
      <w:r>
        <w:rPr>
          <w:b w:val="0"/>
          <w:bCs w:val="0"/>
        </w:rPr>
      </w:r>
      <w:bookmarkStart w:name="_bookmark9" w:id="135"/>
      <w:bookmarkEnd w:id="135"/>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6"/>
      <w:bookmarkEnd w:id="136"/>
      <w:r>
        <w:rPr>
          <w:b w:val="0"/>
          <w:bCs w:val="0"/>
        </w:rPr>
      </w:r>
      <w:r>
        <w:rPr/>
        <w:t>一、公司治理的基本状况</w:t>
      </w:r>
      <w:r>
        <w:rPr>
          <w:b w:val="0"/>
          <w:bCs w:val="0"/>
        </w:rPr>
      </w:r>
    </w:p>
    <w:p>
      <w:pPr>
        <w:spacing w:line="240" w:lineRule="auto" w:before="3"/>
        <w:rPr>
          <w:rFonts w:ascii="宋体" w:hAnsi="宋体" w:cs="宋体" w:eastAsia="宋体" w:hint="default"/>
          <w:b/>
          <w:bCs/>
          <w:sz w:val="27"/>
          <w:szCs w:val="27"/>
        </w:rPr>
      </w:pPr>
    </w:p>
    <w:p>
      <w:pPr>
        <w:spacing w:line="319" w:lineRule="auto"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（一）公司治理基本情况</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公司按照《公司法》、《企业内部控制基本规范》及配套指引、《上市公司治理准则》、《深圳证券交易所股票上市规则》</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等相关法律法规和业务规则的要求，不断完善公司法人治理结构和提升内部控制的有效性，形成了以《公司章程》为基础的</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8"/>
          <w:sz w:val="18"/>
          <w:szCs w:val="18"/>
        </w:rPr>
        <w:t>内控制度体系和以股东大会、董事会、监事会为主体的较为完善的法人治理结构。报告期内，公司重新修订及审议通过了《总</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3"/>
          <w:sz w:val="18"/>
          <w:szCs w:val="18"/>
        </w:rPr>
        <w:t>裁工作细则》、《商誉减值测试内部控制制度》等重要制度。</w:t>
      </w:r>
    </w:p>
    <w:p>
      <w:pPr>
        <w:spacing w:line="319" w:lineRule="auto" w:before="17"/>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（二）内幕信息知情人管理工作</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4"/>
          <w:sz w:val="18"/>
          <w:szCs w:val="18"/>
        </w:rPr>
        <w:t>报告期内，公司董事、监事、高级管理人员及员工严格遵守《深圳证券交易所股票上市规则》、《深圳证券交易所主板上市</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4"/>
          <w:sz w:val="18"/>
          <w:szCs w:val="18"/>
        </w:rPr>
        <w:t>公司规范运作指引》、公司《董事、监事和高级管理人员持有和买卖本公司股票管理制度》及《内幕信息知情人登记管理制</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5"/>
          <w:sz w:val="18"/>
          <w:szCs w:val="18"/>
        </w:rPr>
        <w:t>度》、《重大信息内部报告制度》的相关规定，严格内幕信息的防控，对于有可能影响公司股价的重大财务或经营信息做到</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4"/>
          <w:sz w:val="18"/>
          <w:szCs w:val="18"/>
        </w:rPr>
        <w:t>严控知情人范围，并尽量缩短从信息产生到对外发布的时间。在公司重大事项、定期报告等窗口期及时对相关内幕信息知情</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人员进行提醒，杜绝内幕交易。报告期内，公司无内幕信息知情人违规买卖公司股票的行为。</w:t>
      </w:r>
    </w:p>
    <w:p>
      <w:pPr>
        <w:spacing w:before="6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公司治理的实际状况与中国证监会发布的有关上市公司治理的规范性文件是否存在重大差异</w:t>
      </w:r>
    </w:p>
    <w:p>
      <w:pPr>
        <w:spacing w:line="343" w:lineRule="auto" w:before="115"/>
        <w:ind w:left="153" w:right="335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3"/>
          <w:sz w:val="18"/>
          <w:szCs w:val="18"/>
        </w:rPr>
        <w:t> </w:t>
      </w:r>
      <w:r>
        <w:rPr>
          <w:rFonts w:ascii="宋体" w:hAnsi="宋体" w:cs="宋体" w:eastAsia="宋体" w:hint="default"/>
          <w:spacing w:val="-3"/>
          <w:sz w:val="18"/>
          <w:szCs w:val="18"/>
        </w:rPr>
        <w:t>公司治理的实际状况与中国证监会发布的有关上市公司治理的规范性文件不存在重大差异。</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二、公司相对于控股股东在业务、人员、资产、机构、财务等方面的独立情况" w:id="137"/>
      <w:bookmarkEnd w:id="137"/>
      <w:r>
        <w:rPr>
          <w:b w:val="0"/>
          <w:bCs w:val="0"/>
        </w:rPr>
      </w:r>
      <w:r>
        <w:rPr/>
        <w:t>二、公司相对于控股股东在业务、人员、资产、机构、财务等方面的独立情况</w:t>
      </w:r>
      <w:r>
        <w:rPr>
          <w:b w:val="0"/>
          <w:bCs w:val="0"/>
        </w:rPr>
      </w:r>
    </w:p>
    <w:p>
      <w:pPr>
        <w:spacing w:line="240" w:lineRule="auto" w:before="3"/>
        <w:rPr>
          <w:rFonts w:ascii="宋体" w:hAnsi="宋体" w:cs="宋体" w:eastAsia="宋体" w:hint="default"/>
          <w:b/>
          <w:bCs/>
          <w:sz w:val="27"/>
          <w:szCs w:val="27"/>
        </w:rPr>
      </w:pPr>
    </w:p>
    <w:p>
      <w:pPr>
        <w:spacing w:line="319" w:lineRule="auto" w:before="0"/>
        <w:ind w:left="153" w:right="1127" w:firstLine="0"/>
        <w:jc w:val="left"/>
        <w:rPr>
          <w:rFonts w:ascii="宋体" w:hAnsi="宋体" w:cs="宋体" w:eastAsia="宋体" w:hint="default"/>
          <w:sz w:val="18"/>
          <w:szCs w:val="18"/>
        </w:rPr>
      </w:pPr>
      <w:r>
        <w:rPr>
          <w:rFonts w:ascii="宋体" w:hAnsi="宋体" w:cs="宋体" w:eastAsia="宋体" w:hint="default"/>
          <w:spacing w:val="-4"/>
          <w:sz w:val="18"/>
          <w:szCs w:val="18"/>
        </w:rPr>
        <w:t>公司的实际控制人为五名一致行动人，公司业务、人员、资产、机构、财务等方面具有独立性，不存在不能保持自主经营能</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z w:val="18"/>
          <w:szCs w:val="18"/>
        </w:rPr>
        <w:t>力的情况。</w:t>
      </w:r>
    </w:p>
    <w:p>
      <w:pPr>
        <w:spacing w:line="240" w:lineRule="auto" w:before="2"/>
        <w:rPr>
          <w:rFonts w:ascii="宋体" w:hAnsi="宋体" w:cs="宋体" w:eastAsia="宋体" w:hint="default"/>
          <w:sz w:val="20"/>
          <w:szCs w:val="20"/>
        </w:rPr>
      </w:pPr>
    </w:p>
    <w:p>
      <w:pPr>
        <w:pStyle w:val="Heading2"/>
        <w:spacing w:line="240" w:lineRule="auto"/>
        <w:ind w:right="0"/>
        <w:jc w:val="left"/>
        <w:rPr>
          <w:b w:val="0"/>
          <w:bCs w:val="0"/>
        </w:rPr>
      </w:pPr>
      <w:bookmarkStart w:name="三、同业竞争情况" w:id="138"/>
      <w:bookmarkEnd w:id="138"/>
      <w:r>
        <w:rPr>
          <w:b w:val="0"/>
          <w:bCs w:val="0"/>
        </w:rPr>
      </w:r>
      <w:r>
        <w:rPr/>
        <w:t>三、同业竞争情况</w:t>
      </w:r>
      <w:r>
        <w:rPr>
          <w:b w:val="0"/>
          <w:bCs w:val="0"/>
        </w:rPr>
      </w:r>
    </w:p>
    <w:p>
      <w:pPr>
        <w:spacing w:line="240" w:lineRule="auto" w:before="3"/>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2"/>
          <w:szCs w:val="22"/>
        </w:rPr>
      </w:pPr>
    </w:p>
    <w:p>
      <w:pPr>
        <w:pStyle w:val="Heading2"/>
        <w:spacing w:line="240" w:lineRule="auto"/>
        <w:ind w:right="0"/>
        <w:jc w:val="left"/>
        <w:rPr>
          <w:b w:val="0"/>
          <w:bCs w:val="0"/>
        </w:rPr>
      </w:pPr>
      <w:bookmarkStart w:name="四、报告期内召开的年度股东大会和临时股东大会的有关情况" w:id="139"/>
      <w:bookmarkEnd w:id="139"/>
      <w:r>
        <w:rPr>
          <w:b w:val="0"/>
          <w:bCs w:val="0"/>
        </w:rPr>
      </w:r>
      <w:r>
        <w:rPr/>
        <w:t>四、报告期内召开的年度股东大会和临时股东大会的有关情况</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bookmarkStart w:name="1、本报告期股东大会情况" w:id="140"/>
      <w:bookmarkEnd w:id="140"/>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25"/>
              <w:jc w:val="right"/>
              <w:rPr>
                <w:rFonts w:ascii="宋体" w:hAnsi="宋体" w:cs="宋体" w:eastAsia="宋体" w:hint="default"/>
                <w:sz w:val="18"/>
                <w:szCs w:val="18"/>
              </w:rPr>
            </w:pPr>
            <w:r>
              <w:rPr>
                <w:rFonts w:ascii="宋体" w:hAnsi="宋体" w:cs="宋体" w:eastAsia="宋体" w:hint="default"/>
                <w:spacing w:val="-2"/>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pacing w:val="-3"/>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5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04" w:lineRule="auto"/>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年第一次临时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473"/>
              <w:jc w:val="right"/>
              <w:rPr>
                <w:rFonts w:ascii="宋体" w:hAnsi="宋体" w:cs="宋体" w:eastAsia="宋体" w:hint="default"/>
                <w:sz w:val="18"/>
                <w:szCs w:val="18"/>
              </w:rPr>
            </w:pPr>
            <w:r>
              <w:rPr>
                <w:rFonts w:ascii="宋体" w:hAnsi="宋体" w:cs="宋体" w:eastAsia="宋体" w:hint="default"/>
                <w:spacing w:val="-2"/>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5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年第一次临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时股东大会决议公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4"/>
                <w:w w:val="101"/>
                <w:sz w:val="18"/>
                <w:szCs w:val="18"/>
              </w:rPr>
              <w:t>告》（公告编号：</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Times New Roman" w:hAnsi="Times New Roman" w:cs="Times New Roman" w:eastAsia="Times New Roman" w:hint="default"/>
                <w:spacing w:val="-9"/>
                <w:w w:val="101"/>
                <w:sz w:val="18"/>
                <w:szCs w:val="18"/>
              </w:rPr>
              <w:t>2019-001</w:t>
            </w:r>
            <w:r>
              <w:rPr>
                <w:rFonts w:ascii="宋体" w:hAnsi="宋体" w:cs="宋体" w:eastAsia="宋体" w:hint="default"/>
                <w:spacing w:val="-9"/>
                <w:w w:val="101"/>
                <w:sz w:val="18"/>
                <w:szCs w:val="18"/>
              </w:rPr>
              <w:t>），巨潮资</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讯网</w:t>
            </w:r>
          </w:p>
        </w:tc>
      </w:tr>
      <w:tr>
        <w:trPr>
          <w:trHeight w:val="98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300" w:lineRule="auto"/>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年年度股东大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right="473"/>
              <w:jc w:val="right"/>
              <w:rPr>
                <w:rFonts w:ascii="宋体" w:hAnsi="宋体" w:cs="宋体" w:eastAsia="宋体" w:hint="default"/>
                <w:sz w:val="18"/>
                <w:szCs w:val="18"/>
              </w:rPr>
            </w:pPr>
            <w:r>
              <w:rPr>
                <w:rFonts w:ascii="宋体" w:hAnsi="宋体" w:cs="宋体" w:eastAsia="宋体" w:hint="default"/>
                <w:spacing w:val="-2"/>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4"/>
              <w:ind w:right="19"/>
              <w:jc w:val="right"/>
              <w:rPr>
                <w:rFonts w:ascii="Times New Roman" w:hAnsi="Times New Roman" w:cs="Times New Roman" w:eastAsia="Times New Roman" w:hint="default"/>
                <w:sz w:val="18"/>
                <w:szCs w:val="18"/>
              </w:rPr>
            </w:pPr>
            <w:r>
              <w:rPr>
                <w:rFonts w:ascii="Times New Roman"/>
                <w:spacing w:val="-1"/>
                <w:sz w:val="18"/>
              </w:rPr>
              <w:t>56.91%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4"/>
              <w:ind w:left="23" w:right="22"/>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年年度股东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2"/>
                <w:w w:val="101"/>
                <w:sz w:val="18"/>
                <w:szCs w:val="18"/>
              </w:rPr>
              <w:t>大会决议公告》（公</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告编号：</w:t>
            </w:r>
          </w:p>
        </w:tc>
      </w:tr>
    </w:tbl>
    <w:p>
      <w:pPr>
        <w:spacing w:after="0" w:line="307" w:lineRule="auto"/>
        <w:jc w:val="both"/>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672" w:hRule="exact"/>
        </w:trPr>
        <w:tc>
          <w:tcPr>
            <w:tcW w:w="159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10"/>
              <w:ind w:left="23" w:right="55"/>
              <w:jc w:val="left"/>
              <w:rPr>
                <w:rFonts w:ascii="宋体" w:hAnsi="宋体" w:cs="宋体" w:eastAsia="宋体" w:hint="default"/>
                <w:sz w:val="18"/>
                <w:szCs w:val="18"/>
              </w:rPr>
            </w:pPr>
            <w:r>
              <w:rPr>
                <w:rFonts w:ascii="Times New Roman" w:hAnsi="Times New Roman" w:cs="Times New Roman" w:eastAsia="Times New Roman" w:hint="default"/>
                <w:spacing w:val="-9"/>
                <w:w w:val="101"/>
                <w:sz w:val="18"/>
                <w:szCs w:val="18"/>
              </w:rPr>
              <w:t>2019-023</w:t>
            </w:r>
            <w:r>
              <w:rPr>
                <w:rFonts w:ascii="宋体" w:hAnsi="宋体" w:cs="宋体" w:eastAsia="宋体" w:hint="default"/>
                <w:spacing w:val="-9"/>
                <w:w w:val="101"/>
                <w:sz w:val="18"/>
                <w:szCs w:val="18"/>
              </w:rPr>
              <w:t>），巨潮资</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讯网</w:t>
            </w:r>
          </w:p>
        </w:tc>
      </w:tr>
      <w:tr>
        <w:trPr>
          <w:trHeight w:val="165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300" w:lineRule="auto"/>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年第二次临时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5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年第二次临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时股东大会决议公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4"/>
                <w:w w:val="101"/>
                <w:sz w:val="18"/>
                <w:szCs w:val="18"/>
              </w:rPr>
              <w:t>告》（公告编号：</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Times New Roman" w:hAnsi="Times New Roman" w:cs="Times New Roman" w:eastAsia="Times New Roman" w:hint="default"/>
                <w:spacing w:val="-9"/>
                <w:w w:val="101"/>
                <w:sz w:val="18"/>
                <w:szCs w:val="18"/>
              </w:rPr>
              <w:t>2019-038</w:t>
            </w:r>
            <w:r>
              <w:rPr>
                <w:rFonts w:ascii="宋体" w:hAnsi="宋体" w:cs="宋体" w:eastAsia="宋体" w:hint="default"/>
                <w:spacing w:val="-9"/>
                <w:w w:val="101"/>
                <w:sz w:val="18"/>
                <w:szCs w:val="18"/>
              </w:rPr>
              <w:t>），巨潮资</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讯网</w:t>
            </w:r>
          </w:p>
        </w:tc>
      </w:tr>
      <w:tr>
        <w:trPr>
          <w:trHeight w:val="165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300" w:lineRule="auto"/>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年第三次临时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5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年第三次临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时股东大会决议公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4"/>
                <w:w w:val="101"/>
                <w:sz w:val="18"/>
                <w:szCs w:val="18"/>
              </w:rPr>
              <w:t>告》（公告编号：</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Times New Roman" w:hAnsi="Times New Roman" w:cs="Times New Roman" w:eastAsia="Times New Roman" w:hint="default"/>
                <w:spacing w:val="-9"/>
                <w:w w:val="101"/>
                <w:sz w:val="18"/>
                <w:szCs w:val="18"/>
              </w:rPr>
              <w:t>2019-064</w:t>
            </w:r>
            <w:r>
              <w:rPr>
                <w:rFonts w:ascii="宋体" w:hAnsi="宋体" w:cs="宋体" w:eastAsia="宋体" w:hint="default"/>
                <w:spacing w:val="-9"/>
                <w:w w:val="101"/>
                <w:sz w:val="18"/>
                <w:szCs w:val="18"/>
              </w:rPr>
              <w:t>），巨潮资</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讯网</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bookmarkStart w:name="2、表决权恢复的优先股股东请求召开临时股东大会" w:id="141"/>
      <w:bookmarkEnd w:id="141"/>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42"/>
      <w:bookmarkEnd w:id="142"/>
      <w:r>
        <w:rPr>
          <w:b w:val="0"/>
          <w:bCs w:val="0"/>
        </w:rPr>
      </w:r>
      <w:r>
        <w:rPr/>
        <w:t>五、报告期内独立董事履行职责的情况</w:t>
      </w:r>
      <w:r>
        <w:rPr>
          <w:b w:val="0"/>
          <w:bCs w:val="0"/>
        </w:rPr>
      </w:r>
    </w:p>
    <w:p>
      <w:pPr>
        <w:spacing w:line="240" w:lineRule="auto" w:before="4"/>
        <w:rPr>
          <w:rFonts w:ascii="宋体" w:hAnsi="宋体" w:cs="宋体" w:eastAsia="宋体" w:hint="default"/>
          <w:b/>
          <w:bCs/>
          <w:sz w:val="25"/>
          <w:szCs w:val="25"/>
        </w:rPr>
      </w:pPr>
    </w:p>
    <w:p>
      <w:pPr>
        <w:pStyle w:val="Heading4"/>
        <w:spacing w:line="240" w:lineRule="auto"/>
        <w:ind w:right="0"/>
        <w:jc w:val="left"/>
        <w:rPr>
          <w:b w:val="0"/>
          <w:bCs w:val="0"/>
        </w:rPr>
      </w:pPr>
      <w:bookmarkStart w:name="1、独立董事出席董事会及股东大会的情况" w:id="143"/>
      <w:bookmarkEnd w:id="143"/>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6"/>
        <w:gridCol w:w="1167"/>
        <w:gridCol w:w="1162"/>
        <w:gridCol w:w="1167"/>
        <w:gridCol w:w="1162"/>
        <w:gridCol w:w="1162"/>
        <w:gridCol w:w="1162"/>
        <w:gridCol w:w="1167"/>
      </w:tblGrid>
      <w:tr>
        <w:trPr>
          <w:trHeight w:val="403" w:hRule="exact"/>
        </w:trPr>
        <w:tc>
          <w:tcPr>
            <w:tcW w:w="957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pacing w:val="-3"/>
                <w:sz w:val="18"/>
                <w:szCs w:val="18"/>
              </w:rPr>
              <w:t>独立董事出席董事会及股东大会的情况</w:t>
            </w:r>
          </w:p>
        </w:tc>
      </w:tr>
      <w:tr>
        <w:trPr>
          <w:trHeight w:val="1028"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9" w:lineRule="auto"/>
              <w:ind w:left="38" w:right="31"/>
              <w:jc w:val="left"/>
              <w:rPr>
                <w:rFonts w:ascii="宋体" w:hAnsi="宋体" w:cs="宋体" w:eastAsia="宋体" w:hint="default"/>
                <w:sz w:val="18"/>
                <w:szCs w:val="18"/>
              </w:rPr>
            </w:pPr>
            <w:r>
              <w:rPr>
                <w:rFonts w:ascii="宋体" w:hAnsi="宋体" w:cs="宋体" w:eastAsia="宋体" w:hint="default"/>
                <w:spacing w:val="-2"/>
                <w:sz w:val="18"/>
                <w:szCs w:val="18"/>
              </w:rPr>
              <w:t>本报告期应参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加董事会次数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9" w:lineRule="auto"/>
              <w:ind w:left="307" w:right="27" w:hanging="269"/>
              <w:jc w:val="left"/>
              <w:rPr>
                <w:rFonts w:ascii="宋体" w:hAnsi="宋体" w:cs="宋体" w:eastAsia="宋体" w:hint="default"/>
                <w:sz w:val="18"/>
                <w:szCs w:val="18"/>
              </w:rPr>
            </w:pPr>
            <w:r>
              <w:rPr>
                <w:rFonts w:ascii="宋体" w:hAnsi="宋体" w:cs="宋体" w:eastAsia="宋体" w:hint="default"/>
                <w:spacing w:val="-2"/>
                <w:sz w:val="18"/>
                <w:szCs w:val="18"/>
              </w:rPr>
              <w:t>现场出席董事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会次数</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9" w:lineRule="auto"/>
              <w:ind w:left="38" w:right="31"/>
              <w:jc w:val="left"/>
              <w:rPr>
                <w:rFonts w:ascii="宋体" w:hAnsi="宋体" w:cs="宋体" w:eastAsia="宋体" w:hint="default"/>
                <w:sz w:val="18"/>
                <w:szCs w:val="18"/>
              </w:rPr>
            </w:pPr>
            <w:r>
              <w:rPr>
                <w:rFonts w:ascii="宋体" w:hAnsi="宋体" w:cs="宋体" w:eastAsia="宋体" w:hint="default"/>
                <w:spacing w:val="-2"/>
                <w:sz w:val="18"/>
                <w:szCs w:val="18"/>
              </w:rPr>
              <w:t>以通讯方式参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加董事会次数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9" w:lineRule="auto"/>
              <w:ind w:left="307" w:right="27" w:hanging="269"/>
              <w:jc w:val="left"/>
              <w:rPr>
                <w:rFonts w:ascii="宋体" w:hAnsi="宋体" w:cs="宋体" w:eastAsia="宋体" w:hint="default"/>
                <w:sz w:val="18"/>
                <w:szCs w:val="18"/>
              </w:rPr>
            </w:pPr>
            <w:r>
              <w:rPr>
                <w:rFonts w:ascii="宋体" w:hAnsi="宋体" w:cs="宋体" w:eastAsia="宋体" w:hint="default"/>
                <w:spacing w:val="-2"/>
                <w:sz w:val="18"/>
                <w:szCs w:val="18"/>
              </w:rPr>
              <w:t>委托出席董事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9" w:lineRule="auto"/>
              <w:ind w:left="489" w:right="27" w:hanging="452"/>
              <w:jc w:val="left"/>
              <w:rPr>
                <w:rFonts w:ascii="宋体" w:hAnsi="宋体" w:cs="宋体" w:eastAsia="宋体" w:hint="default"/>
                <w:sz w:val="18"/>
                <w:szCs w:val="18"/>
              </w:rPr>
            </w:pPr>
            <w:r>
              <w:rPr>
                <w:rFonts w:ascii="宋体" w:hAnsi="宋体" w:cs="宋体" w:eastAsia="宋体" w:hint="default"/>
                <w:spacing w:val="-2"/>
                <w:sz w:val="18"/>
                <w:szCs w:val="18"/>
              </w:rPr>
              <w:t>缺席董事会次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38" w:right="27"/>
              <w:jc w:val="center"/>
              <w:rPr>
                <w:rFonts w:ascii="宋体" w:hAnsi="宋体" w:cs="宋体" w:eastAsia="宋体" w:hint="default"/>
                <w:sz w:val="18"/>
                <w:szCs w:val="18"/>
              </w:rPr>
            </w:pPr>
            <w:r>
              <w:rPr>
                <w:rFonts w:ascii="宋体" w:hAnsi="宋体" w:cs="宋体" w:eastAsia="宋体" w:hint="default"/>
                <w:spacing w:val="-2"/>
                <w:sz w:val="18"/>
                <w:szCs w:val="18"/>
              </w:rPr>
              <w:t>是否连续两次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未亲自参加董</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事会会议</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9" w:lineRule="auto"/>
              <w:ind w:left="403" w:right="26" w:hanging="360"/>
              <w:jc w:val="left"/>
              <w:rPr>
                <w:rFonts w:ascii="宋体" w:hAnsi="宋体" w:cs="宋体" w:eastAsia="宋体" w:hint="default"/>
                <w:sz w:val="18"/>
                <w:szCs w:val="18"/>
              </w:rPr>
            </w:pPr>
            <w:r>
              <w:rPr>
                <w:rFonts w:ascii="宋体" w:hAnsi="宋体" w:cs="宋体" w:eastAsia="宋体" w:hint="default"/>
                <w:spacing w:val="-2"/>
                <w:sz w:val="18"/>
                <w:szCs w:val="18"/>
              </w:rPr>
              <w:t>出席股东大会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次数</w:t>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朱武祥</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r>
      <w:tr>
        <w:trPr>
          <w:trHeight w:val="398"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汪天润</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潘帅</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连续两次未亲自出席董事会的说明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bookmarkStart w:name="2、独立董事对公司有关事项提出异议的情况" w:id="144"/>
      <w:bookmarkEnd w:id="144"/>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独立董事对公司有关事项是否提出异议</w:t>
      </w:r>
    </w:p>
    <w:p>
      <w:pPr>
        <w:spacing w:line="338" w:lineRule="auto" w:before="115"/>
        <w:ind w:left="153" w:right="628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4"/>
          <w:sz w:val="18"/>
          <w:szCs w:val="18"/>
        </w:rPr>
        <w:t> </w:t>
      </w:r>
      <w:r>
        <w:rPr>
          <w:rFonts w:ascii="宋体" w:hAnsi="宋体" w:cs="宋体" w:eastAsia="宋体" w:hint="default"/>
          <w:spacing w:val="-3"/>
          <w:sz w:val="18"/>
          <w:szCs w:val="18"/>
        </w:rPr>
        <w:t>报告期内独立董事对公司有关事项未提出异议。</w:t>
      </w:r>
    </w:p>
    <w:p>
      <w:pPr>
        <w:spacing w:line="240" w:lineRule="auto" w:before="0"/>
        <w:rPr>
          <w:rFonts w:ascii="宋体" w:hAnsi="宋体" w:cs="宋体" w:eastAsia="宋体" w:hint="default"/>
          <w:sz w:val="21"/>
          <w:szCs w:val="21"/>
        </w:rPr>
      </w:pPr>
    </w:p>
    <w:p>
      <w:pPr>
        <w:pStyle w:val="Heading4"/>
        <w:spacing w:line="240" w:lineRule="auto"/>
        <w:ind w:right="0"/>
        <w:jc w:val="left"/>
        <w:rPr>
          <w:b w:val="0"/>
          <w:bCs w:val="0"/>
        </w:rPr>
      </w:pPr>
      <w:bookmarkStart w:name="3、独立董事履行职责的其他说明" w:id="145"/>
      <w:bookmarkEnd w:id="145"/>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独立董事对公司有关建议是否被采纳</w:t>
      </w:r>
    </w:p>
    <w:p>
      <w:pPr>
        <w:spacing w:line="338" w:lineRule="auto" w:before="115"/>
        <w:ind w:left="153" w:right="628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否</w:t>
      </w:r>
      <w:r>
        <w:rPr>
          <w:rFonts w:ascii="宋体" w:hAnsi="宋体" w:cs="宋体" w:eastAsia="宋体" w:hint="default"/>
          <w:spacing w:val="-83"/>
          <w:sz w:val="18"/>
          <w:szCs w:val="18"/>
        </w:rPr>
        <w:t> </w:t>
      </w:r>
      <w:r>
        <w:rPr>
          <w:rFonts w:ascii="宋体" w:hAnsi="宋体" w:cs="宋体" w:eastAsia="宋体" w:hint="default"/>
          <w:spacing w:val="-3"/>
          <w:sz w:val="18"/>
          <w:szCs w:val="18"/>
        </w:rPr>
        <w:t>独立董事对公司有关建议被采纳或未被采纳的说明</w:t>
      </w:r>
    </w:p>
    <w:p>
      <w:pPr>
        <w:spacing w:before="41"/>
        <w:ind w:left="153" w:right="0" w:firstLine="0"/>
        <w:jc w:val="left"/>
        <w:rPr>
          <w:rFonts w:ascii="宋体" w:hAnsi="宋体" w:cs="宋体" w:eastAsia="宋体" w:hint="default"/>
          <w:sz w:val="18"/>
          <w:szCs w:val="18"/>
        </w:rPr>
      </w:pPr>
      <w:r>
        <w:rPr>
          <w:rFonts w:ascii="宋体" w:hAnsi="宋体" w:cs="宋体" w:eastAsia="宋体" w:hint="default"/>
          <w:spacing w:val="-4"/>
          <w:sz w:val="18"/>
          <w:szCs w:val="18"/>
        </w:rPr>
        <w:t>报告期内，独立董事严格按照《公司法》、《关于在上市公司建立独立董事的指导意见》等法律法规和《公司章程》的规定</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spacing w:line="316" w:lineRule="auto" w:before="46"/>
        <w:ind w:left="153" w:right="1123" w:firstLine="0"/>
        <w:jc w:val="both"/>
        <w:rPr>
          <w:rFonts w:ascii="宋体" w:hAnsi="宋体" w:cs="宋体" w:eastAsia="宋体" w:hint="default"/>
          <w:sz w:val="18"/>
          <w:szCs w:val="18"/>
        </w:rPr>
      </w:pPr>
      <w:r>
        <w:rPr>
          <w:rFonts w:ascii="宋体" w:hAnsi="宋体" w:cs="宋体" w:eastAsia="宋体" w:hint="default"/>
          <w:spacing w:val="-4"/>
          <w:sz w:val="18"/>
          <w:szCs w:val="18"/>
        </w:rPr>
        <w:t>和要求，积极参加董事会会议，认真审阅董事会的各项议案，并对聘任审计机构、内部控制、关联交易、对外担保、关联方</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4"/>
          <w:sz w:val="18"/>
          <w:szCs w:val="18"/>
        </w:rPr>
        <w:t>资金占用、利润分配、会计政策变更、高管聘任等事项进行核查，谨慎发表了独立意见，确保全体股东特别是中小股民的利</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益，提高了公司决策的科学性和客观性，对完善公司监督机制发挥了应有的作用。</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pStyle w:val="Heading2"/>
        <w:spacing w:line="240" w:lineRule="auto"/>
        <w:ind w:right="0"/>
        <w:jc w:val="both"/>
        <w:rPr>
          <w:b w:val="0"/>
          <w:bCs w:val="0"/>
        </w:rPr>
      </w:pPr>
      <w:bookmarkStart w:name="六、董事会下设专门委员会在报告期内履行职责情况" w:id="146"/>
      <w:bookmarkEnd w:id="146"/>
      <w:r>
        <w:rPr>
          <w:b w:val="0"/>
          <w:bCs w:val="0"/>
        </w:rPr>
      </w:r>
      <w:r>
        <w:rPr/>
        <w:t>六、董事会下设专门委员会在报告期内履行职责情况</w:t>
      </w:r>
      <w:r>
        <w:rPr>
          <w:b w:val="0"/>
          <w:bCs w:val="0"/>
        </w:rPr>
      </w:r>
    </w:p>
    <w:p>
      <w:pPr>
        <w:spacing w:line="240" w:lineRule="auto" w:before="11"/>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董事会战略委员会履职情况</w:t>
      </w:r>
    </w:p>
    <w:p>
      <w:pPr>
        <w:spacing w:before="63"/>
        <w:ind w:left="153" w:right="0" w:firstLine="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年，战略委员会召开</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次会议，审议通过了减资退出华融创新投资股份有限公司事项。</w:t>
      </w:r>
    </w:p>
    <w:p>
      <w:pPr>
        <w:spacing w:before="63"/>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董事会审计委员会履职情况</w:t>
      </w:r>
    </w:p>
    <w:p>
      <w:pPr>
        <w:spacing w:line="300" w:lineRule="auto" w:before="63"/>
        <w:ind w:left="153" w:right="1122" w:firstLine="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年，审计委员会召开</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次会议，审议通过了</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年报审计相关事项、</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年度经审计的财务报告、《</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年年度报告》</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pacing w:val="-9"/>
          <w:w w:val="101"/>
          <w:sz w:val="18"/>
          <w:szCs w:val="18"/>
        </w:rPr>
        <w:t>及《</w:t>
      </w:r>
      <w:r>
        <w:rPr>
          <w:rFonts w:ascii="Times New Roman" w:hAnsi="Times New Roman" w:cs="Times New Roman" w:eastAsia="Times New Roman" w:hint="default"/>
          <w:spacing w:val="-9"/>
          <w:w w:val="101"/>
          <w:sz w:val="18"/>
          <w:szCs w:val="18"/>
        </w:rPr>
        <w:t>2018</w:t>
      </w:r>
      <w:r>
        <w:rPr>
          <w:rFonts w:ascii="宋体" w:hAnsi="宋体" w:cs="宋体" w:eastAsia="宋体" w:hint="default"/>
          <w:spacing w:val="-9"/>
          <w:w w:val="101"/>
          <w:sz w:val="18"/>
          <w:szCs w:val="18"/>
        </w:rPr>
        <w:t>年年度报告摘要》、《</w:t>
      </w:r>
      <w:r>
        <w:rPr>
          <w:rFonts w:ascii="Times New Roman" w:hAnsi="Times New Roman" w:cs="Times New Roman" w:eastAsia="Times New Roman" w:hint="default"/>
          <w:spacing w:val="-9"/>
          <w:w w:val="101"/>
          <w:sz w:val="18"/>
          <w:szCs w:val="18"/>
        </w:rPr>
        <w:t>2019</w:t>
      </w:r>
      <w:r>
        <w:rPr>
          <w:rFonts w:ascii="宋体" w:hAnsi="宋体" w:cs="宋体" w:eastAsia="宋体" w:hint="default"/>
          <w:spacing w:val="-9"/>
          <w:w w:val="101"/>
          <w:sz w:val="18"/>
          <w:szCs w:val="18"/>
        </w:rPr>
        <w:t>年第一季度报告全文》及《</w:t>
      </w:r>
      <w:r>
        <w:rPr>
          <w:rFonts w:ascii="Times New Roman" w:hAnsi="Times New Roman" w:cs="Times New Roman" w:eastAsia="Times New Roman" w:hint="default"/>
          <w:spacing w:val="-9"/>
          <w:w w:val="101"/>
          <w:sz w:val="18"/>
          <w:szCs w:val="18"/>
        </w:rPr>
        <w:t>2019</w:t>
      </w:r>
      <w:r>
        <w:rPr>
          <w:rFonts w:ascii="宋体" w:hAnsi="宋体" w:cs="宋体" w:eastAsia="宋体" w:hint="default"/>
          <w:spacing w:val="-9"/>
          <w:w w:val="101"/>
          <w:sz w:val="18"/>
          <w:szCs w:val="18"/>
        </w:rPr>
        <w:t>年第一季度报告正文》、</w:t>
      </w:r>
      <w:r>
        <w:rPr>
          <w:rFonts w:ascii="Times New Roman" w:hAnsi="Times New Roman" w:cs="Times New Roman" w:eastAsia="Times New Roman" w:hint="default"/>
          <w:spacing w:val="-9"/>
          <w:w w:val="101"/>
          <w:sz w:val="18"/>
          <w:szCs w:val="18"/>
        </w:rPr>
        <w:t>2018</w:t>
      </w:r>
      <w:r>
        <w:rPr>
          <w:rFonts w:ascii="宋体" w:hAnsi="宋体" w:cs="宋体" w:eastAsia="宋体" w:hint="default"/>
          <w:spacing w:val="-9"/>
          <w:w w:val="101"/>
          <w:sz w:val="18"/>
          <w:szCs w:val="18"/>
        </w:rPr>
        <w:t>年年度利润分配预案、《</w:t>
      </w:r>
      <w:r>
        <w:rPr>
          <w:rFonts w:ascii="Times New Roman" w:hAnsi="Times New Roman" w:cs="Times New Roman" w:eastAsia="Times New Roman" w:hint="default"/>
          <w:spacing w:val="-9"/>
          <w:w w:val="101"/>
          <w:sz w:val="18"/>
          <w:szCs w:val="18"/>
        </w:rPr>
        <w:t>2018</w:t>
      </w:r>
      <w:r>
        <w:rPr>
          <w:rFonts w:ascii="Times New Roman" w:hAnsi="Times New Roman" w:cs="Times New Roman" w:eastAsia="Times New Roman" w:hint="default"/>
          <w:spacing w:val="-39"/>
          <w:w w:val="101"/>
          <w:sz w:val="18"/>
          <w:szCs w:val="18"/>
        </w:rPr>
        <w:t> </w:t>
      </w:r>
      <w:r>
        <w:rPr>
          <w:rFonts w:ascii="Times New Roman" w:hAnsi="Times New Roman" w:cs="Times New Roman" w:eastAsia="Times New Roman" w:hint="default"/>
          <w:spacing w:val="-39"/>
          <w:w w:val="101"/>
          <w:sz w:val="18"/>
          <w:szCs w:val="18"/>
        </w:rPr>
      </w:r>
      <w:r>
        <w:rPr>
          <w:rFonts w:ascii="宋体" w:hAnsi="宋体" w:cs="宋体" w:eastAsia="宋体" w:hint="default"/>
          <w:spacing w:val="-4"/>
          <w:sz w:val="18"/>
          <w:szCs w:val="18"/>
        </w:rPr>
        <w:t>年度内部控制评价报告》、预计公司</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年度日常关联交易、会计政策变更、核销资产、续聘中审众环会计师事务所（特殊</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4"/>
          <w:sz w:val="18"/>
          <w:szCs w:val="18"/>
        </w:rPr>
        <w:t>普通合伙）作为公司</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年度审计机构、对全资子公司增加担保额度、</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年半年度报告全文及摘要、《</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年第三季度报</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告全文》及《</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年第三季度报告正文》、为全资子公司提供担保的事项。</w:t>
      </w:r>
    </w:p>
    <w:p>
      <w:pPr>
        <w:spacing w:before="13"/>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董事会提名委员会履职情况</w:t>
      </w:r>
    </w:p>
    <w:p>
      <w:pPr>
        <w:spacing w:before="63"/>
        <w:ind w:left="153" w:right="0" w:firstLine="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年，提名委员会召开</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次会议，审议通过了聘任公司高级管理人员及董事会秘书的事项。</w:t>
      </w:r>
    </w:p>
    <w:p>
      <w:pPr>
        <w:spacing w:before="63"/>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董事会薪酬与考核委员会履职情况</w:t>
      </w:r>
    </w:p>
    <w:p>
      <w:pPr>
        <w:spacing w:before="63"/>
        <w:ind w:left="153" w:right="0" w:firstLine="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年，薪酬与考核委员会召开</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次会议，审议通过了公司高级管理人员</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年度薪酬议案。</w:t>
      </w:r>
    </w:p>
    <w:p>
      <w:pPr>
        <w:spacing w:line="240" w:lineRule="auto" w:before="9"/>
        <w:rPr>
          <w:rFonts w:ascii="宋体" w:hAnsi="宋体" w:cs="宋体" w:eastAsia="宋体" w:hint="default"/>
          <w:sz w:val="23"/>
          <w:szCs w:val="23"/>
        </w:rPr>
      </w:pPr>
    </w:p>
    <w:p>
      <w:pPr>
        <w:pStyle w:val="Heading2"/>
        <w:spacing w:line="240" w:lineRule="auto"/>
        <w:ind w:right="0"/>
        <w:jc w:val="both"/>
        <w:rPr>
          <w:b w:val="0"/>
          <w:bCs w:val="0"/>
        </w:rPr>
      </w:pPr>
      <w:bookmarkStart w:name="七、监事会工作情况" w:id="147"/>
      <w:bookmarkEnd w:id="147"/>
      <w:r>
        <w:rPr>
          <w:b w:val="0"/>
          <w:bCs w:val="0"/>
        </w:rPr>
      </w:r>
      <w:r>
        <w:rPr/>
        <w:t>七、监事会工作情况</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pacing w:val="-3"/>
          <w:sz w:val="18"/>
          <w:szCs w:val="18"/>
        </w:rPr>
        <w:t>监事会在报告期内的监督活动中发现公司是否存在风险</w:t>
      </w:r>
    </w:p>
    <w:p>
      <w:pPr>
        <w:spacing w:line="338" w:lineRule="auto" w:before="115"/>
        <w:ind w:left="153" w:right="72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4"/>
          <w:sz w:val="18"/>
          <w:szCs w:val="18"/>
        </w:rPr>
        <w:t> </w:t>
      </w:r>
      <w:r>
        <w:rPr>
          <w:rFonts w:ascii="宋体" w:hAnsi="宋体" w:cs="宋体" w:eastAsia="宋体" w:hint="default"/>
          <w:spacing w:val="-3"/>
          <w:sz w:val="18"/>
          <w:szCs w:val="18"/>
        </w:rPr>
        <w:t>监事会对报告期内的监督事项无异议。</w:t>
      </w:r>
    </w:p>
    <w:p>
      <w:pPr>
        <w:spacing w:line="240" w:lineRule="auto" w:before="9"/>
        <w:rPr>
          <w:rFonts w:ascii="宋体" w:hAnsi="宋体" w:cs="宋体" w:eastAsia="宋体" w:hint="default"/>
          <w:sz w:val="18"/>
          <w:szCs w:val="18"/>
        </w:rPr>
      </w:pPr>
    </w:p>
    <w:p>
      <w:pPr>
        <w:pStyle w:val="Heading2"/>
        <w:spacing w:line="240" w:lineRule="auto"/>
        <w:ind w:right="0"/>
        <w:jc w:val="both"/>
        <w:rPr>
          <w:b w:val="0"/>
          <w:bCs w:val="0"/>
        </w:rPr>
      </w:pPr>
      <w:bookmarkStart w:name="八、高级管理人员的考评及激励情况" w:id="148"/>
      <w:bookmarkEnd w:id="148"/>
      <w:r>
        <w:rPr>
          <w:b w:val="0"/>
          <w:bCs w:val="0"/>
        </w:rPr>
      </w:r>
      <w:r>
        <w:rPr/>
        <w:t>八、高级管理人员的考评及激励情况</w:t>
      </w:r>
      <w:r>
        <w:rPr>
          <w:b w:val="0"/>
          <w:bCs w:val="0"/>
        </w:rPr>
      </w:r>
    </w:p>
    <w:p>
      <w:pPr>
        <w:spacing w:line="240" w:lineRule="auto" w:before="11"/>
        <w:rPr>
          <w:rFonts w:ascii="宋体" w:hAnsi="宋体" w:cs="宋体" w:eastAsia="宋体" w:hint="default"/>
          <w:b/>
          <w:bCs/>
          <w:sz w:val="26"/>
          <w:szCs w:val="26"/>
        </w:rPr>
      </w:pPr>
    </w:p>
    <w:p>
      <w:pPr>
        <w:spacing w:line="319" w:lineRule="auto" w:before="0"/>
        <w:ind w:left="153" w:right="0" w:firstLine="0"/>
        <w:jc w:val="left"/>
        <w:rPr>
          <w:rFonts w:ascii="宋体" w:hAnsi="宋体" w:cs="宋体" w:eastAsia="宋体" w:hint="default"/>
          <w:sz w:val="18"/>
          <w:szCs w:val="18"/>
        </w:rPr>
      </w:pPr>
      <w:r>
        <w:rPr>
          <w:rFonts w:ascii="宋体" w:hAnsi="宋体" w:cs="宋体" w:eastAsia="宋体" w:hint="default"/>
          <w:spacing w:val="-4"/>
          <w:sz w:val="18"/>
          <w:szCs w:val="18"/>
        </w:rPr>
        <w:t>公司建立了高级管理人员以岗位为基础、业绩为导向、市场为参考的薪酬激励体系，公司高级管理人员实行基本薪酬和绩效</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4"/>
          <w:sz w:val="18"/>
          <w:szCs w:val="18"/>
        </w:rPr>
        <w:t>考核相结合的薪酬制度。根据公司经营目标完成情况以及高级管理人员的工作业绩，并参照社会及行业的平均水平，由董事</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会薪酬与考核委员会对高级管理人员进行年度绩效考核。报告期内，公司高级管理人员严格按照《公司法》、《公司章程》</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及有关法律法规认真履行职责，积极落实公司股东大会和董事会各项决议，较好地完成了本年度的各项工作任务。公司董事</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会薪酬与考核委员会根据实际情况对公司高级管理人员进行考核后，审议通过了</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年度公司高级管理人员薪酬议案</w:t>
      </w:r>
    </w:p>
    <w:p>
      <w:pPr>
        <w:spacing w:line="240" w:lineRule="auto" w:before="8"/>
        <w:rPr>
          <w:rFonts w:ascii="宋体" w:hAnsi="宋体" w:cs="宋体" w:eastAsia="宋体" w:hint="default"/>
          <w:sz w:val="18"/>
          <w:szCs w:val="18"/>
        </w:rPr>
      </w:pPr>
    </w:p>
    <w:p>
      <w:pPr>
        <w:pStyle w:val="Heading2"/>
        <w:spacing w:line="240" w:lineRule="auto"/>
        <w:ind w:right="0"/>
        <w:jc w:val="both"/>
        <w:rPr>
          <w:b w:val="0"/>
          <w:bCs w:val="0"/>
        </w:rPr>
      </w:pPr>
      <w:bookmarkStart w:name="九、内部控制情况" w:id="149"/>
      <w:bookmarkEnd w:id="149"/>
      <w:r>
        <w:rPr>
          <w:b w:val="0"/>
          <w:bCs w:val="0"/>
        </w:rPr>
      </w:r>
      <w:r>
        <w:rPr/>
        <w:t>九、内部控制情况</w:t>
      </w:r>
      <w:r>
        <w:rPr>
          <w:b w:val="0"/>
          <w:bCs w:val="0"/>
        </w:rPr>
      </w:r>
    </w:p>
    <w:p>
      <w:pPr>
        <w:spacing w:line="240" w:lineRule="auto" w:before="4"/>
        <w:rPr>
          <w:rFonts w:ascii="宋体" w:hAnsi="宋体" w:cs="宋体" w:eastAsia="宋体" w:hint="default"/>
          <w:b/>
          <w:bCs/>
          <w:sz w:val="25"/>
          <w:szCs w:val="25"/>
        </w:rPr>
      </w:pPr>
    </w:p>
    <w:p>
      <w:pPr>
        <w:pStyle w:val="Heading4"/>
        <w:spacing w:line="240" w:lineRule="auto"/>
        <w:ind w:right="0"/>
        <w:jc w:val="both"/>
        <w:rPr>
          <w:b w:val="0"/>
          <w:bCs w:val="0"/>
        </w:rPr>
      </w:pPr>
      <w:bookmarkStart w:name="1、报告期内发现的内部控制重大缺陷的具体情况" w:id="150"/>
      <w:bookmarkEnd w:id="150"/>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5"/>
          <w:szCs w:val="25"/>
        </w:rPr>
      </w:pPr>
    </w:p>
    <w:p>
      <w:pPr>
        <w:pStyle w:val="Heading4"/>
        <w:spacing w:line="240" w:lineRule="auto"/>
        <w:ind w:right="0"/>
        <w:jc w:val="both"/>
        <w:rPr>
          <w:b w:val="0"/>
          <w:bCs w:val="0"/>
        </w:rPr>
      </w:pPr>
      <w:bookmarkStart w:name="2、内控自我评价报告" w:id="151"/>
      <w:bookmarkEnd w:id="151"/>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3"/>
        <w:gridCol w:w="6377"/>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内部控制评价报告全文披露日期</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398"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内部控制评价报告全文披露索引</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hAnsi="宋体" w:cs="宋体" w:eastAsia="宋体" w:hint="default"/>
                <w:spacing w:val="-3"/>
                <w:sz w:val="18"/>
                <w:szCs w:val="18"/>
              </w:rPr>
              <w:t>巨潮资讯网（</w:t>
            </w:r>
            <w:hyperlink r:id="rId11">
              <w:r>
                <w:rPr>
                  <w:rFonts w:ascii="Times New Roman" w:hAnsi="Times New Roman" w:cs="Times New Roman" w:eastAsia="Times New Roman" w:hint="default"/>
                  <w:spacing w:val="-3"/>
                  <w:sz w:val="18"/>
                  <w:szCs w:val="18"/>
                </w:rPr>
                <w:t>http://www.cninfo.com.cn</w:t>
              </w:r>
            </w:hyperlink>
            <w:r>
              <w:rPr>
                <w:rFonts w:ascii="宋体" w:hAnsi="宋体" w:cs="宋体" w:eastAsia="宋体" w:hint="default"/>
                <w:spacing w:val="-3"/>
                <w:sz w:val="18"/>
                <w:szCs w:val="18"/>
              </w:rPr>
              <w:t>）</w:t>
            </w:r>
          </w:p>
        </w:tc>
      </w:tr>
    </w:tbl>
    <w:p>
      <w:pPr>
        <w:spacing w:after="0" w:line="240" w:lineRule="auto"/>
        <w:jc w:val="righ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b/>
          <w:bCs/>
          <w:sz w:val="20"/>
          <w:szCs w:val="20"/>
        </w:rPr>
      </w:pPr>
      <w:r>
        <w:rPr/>
        <w:pict>
          <v:shape style="position:absolute;margin-left:56.424pt;margin-top:72.019981pt;width:479.25pt;height:696.45pt;mso-position-horizontal-relative:page;mso-position-vertical-relative:page;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8"/>
                    <w:gridCol w:w="3333"/>
                    <w:gridCol w:w="3049"/>
                  </w:tblGrid>
                  <w:tr>
                    <w:trPr>
                      <w:trHeight w:val="715"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89"/>
                          <w:jc w:val="left"/>
                          <w:rPr>
                            <w:rFonts w:ascii="宋体" w:hAnsi="宋体" w:cs="宋体" w:eastAsia="宋体" w:hint="default"/>
                            <w:sz w:val="18"/>
                            <w:szCs w:val="18"/>
                          </w:rPr>
                        </w:pPr>
                        <w:r>
                          <w:rPr>
                            <w:rFonts w:ascii="宋体" w:hAnsi="宋体" w:cs="宋体" w:eastAsia="宋体" w:hint="default"/>
                            <w:spacing w:val="-3"/>
                            <w:sz w:val="18"/>
                            <w:szCs w:val="18"/>
                          </w:rPr>
                          <w:t>纳入评价范围单位资产总额占公司合并</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财务报表资产总额的比例</w:t>
                        </w:r>
                      </w:p>
                    </w:tc>
                    <w:tc>
                      <w:tcPr>
                        <w:tcW w:w="63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99.74%</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89"/>
                          <w:jc w:val="left"/>
                          <w:rPr>
                            <w:rFonts w:ascii="宋体" w:hAnsi="宋体" w:cs="宋体" w:eastAsia="宋体" w:hint="default"/>
                            <w:sz w:val="18"/>
                            <w:szCs w:val="18"/>
                          </w:rPr>
                        </w:pPr>
                        <w:r>
                          <w:rPr>
                            <w:rFonts w:ascii="宋体" w:hAnsi="宋体" w:cs="宋体" w:eastAsia="宋体" w:hint="default"/>
                            <w:spacing w:val="-3"/>
                            <w:sz w:val="18"/>
                            <w:szCs w:val="18"/>
                          </w:rPr>
                          <w:t>纳入评价范围单位营业收入占公司合并</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财务报表营业收入的比例</w:t>
                        </w:r>
                      </w:p>
                    </w:tc>
                    <w:tc>
                      <w:tcPr>
                        <w:tcW w:w="63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99.30%</w:t>
                        </w:r>
                      </w:p>
                    </w:tc>
                  </w:tr>
                  <w:tr>
                    <w:trPr>
                      <w:trHeight w:val="396"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596" w:hRule="exact"/>
                    </w:trPr>
                    <w:tc>
                      <w:tcPr>
                        <w:tcW w:w="31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333"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09" w:lineRule="auto"/>
                          <w:ind w:left="21" w:right="17"/>
                          <w:jc w:val="left"/>
                          <w:rPr>
                            <w:rFonts w:ascii="宋体" w:hAnsi="宋体" w:cs="宋体" w:eastAsia="宋体" w:hint="default"/>
                            <w:sz w:val="18"/>
                            <w:szCs w:val="18"/>
                          </w:rPr>
                        </w:pPr>
                        <w:r>
                          <w:rPr>
                            <w:rFonts w:ascii="宋体" w:hAnsi="宋体" w:cs="宋体" w:eastAsia="宋体" w:hint="default"/>
                            <w:spacing w:val="-11"/>
                            <w:w w:val="101"/>
                            <w:sz w:val="18"/>
                            <w:szCs w:val="18"/>
                          </w:rPr>
                          <w:t>①出现以下情形的（包括但不限于），一般</w:t>
                        </w:r>
                        <w:r>
                          <w:rPr>
                            <w:rFonts w:ascii="宋体" w:hAnsi="宋体" w:cs="宋体" w:eastAsia="宋体" w:hint="default"/>
                            <w:spacing w:val="-78"/>
                            <w:w w:val="101"/>
                            <w:sz w:val="18"/>
                            <w:szCs w:val="18"/>
                          </w:rPr>
                          <w:t> </w:t>
                        </w:r>
                        <w:r>
                          <w:rPr>
                            <w:rFonts w:ascii="宋体" w:hAnsi="宋体" w:cs="宋体" w:eastAsia="宋体" w:hint="default"/>
                            <w:spacing w:val="-78"/>
                            <w:w w:val="101"/>
                            <w:sz w:val="18"/>
                            <w:szCs w:val="18"/>
                          </w:rPr>
                        </w:r>
                        <w:r>
                          <w:rPr>
                            <w:rFonts w:ascii="宋体" w:hAnsi="宋体" w:cs="宋体" w:eastAsia="宋体" w:hint="default"/>
                            <w:spacing w:val="-3"/>
                            <w:sz w:val="18"/>
                            <w:szCs w:val="18"/>
                          </w:rPr>
                          <w:t>应认定为财务报告内部控制重大缺陷：</w:t>
                        </w:r>
                        <w:r>
                          <w:rPr>
                            <w:rFonts w:ascii="Times New Roman" w:hAnsi="Times New Roman" w:cs="Times New Roman" w:eastAsia="Times New Roman" w:hint="default"/>
                            <w:spacing w:val="-3"/>
                            <w:sz w:val="18"/>
                            <w:szCs w:val="18"/>
                          </w:rPr>
                          <w:t>A.</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pacing w:val="8"/>
                            <w:sz w:val="18"/>
                            <w:szCs w:val="18"/>
                          </w:rPr>
                        </w:r>
                        <w:r>
                          <w:rPr>
                            <w:rFonts w:ascii="宋体" w:hAnsi="宋体" w:cs="宋体" w:eastAsia="宋体" w:hint="default"/>
                            <w:spacing w:val="-3"/>
                            <w:sz w:val="18"/>
                            <w:szCs w:val="18"/>
                          </w:rPr>
                          <w:t>董事、监事和高层管理人员滥用职权，发</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15"/>
                            <w:w w:val="101"/>
                            <w:sz w:val="18"/>
                            <w:szCs w:val="18"/>
                          </w:rPr>
                          <w:t>生贪污、受贿、挪用公款等舞弊行为；</w:t>
                        </w:r>
                        <w:r>
                          <w:rPr>
                            <w:rFonts w:ascii="Times New Roman" w:hAnsi="Times New Roman" w:cs="Times New Roman" w:eastAsia="Times New Roman" w:hint="default"/>
                            <w:spacing w:val="-15"/>
                            <w:w w:val="101"/>
                            <w:sz w:val="18"/>
                            <w:szCs w:val="18"/>
                          </w:rPr>
                          <w:t>B.</w:t>
                        </w:r>
                        <w:r>
                          <w:rPr>
                            <w:rFonts w:ascii="Times New Roman" w:hAnsi="Times New Roman" w:cs="Times New Roman" w:eastAsia="Times New Roman" w:hint="default"/>
                            <w:spacing w:val="12"/>
                            <w:w w:val="101"/>
                            <w:sz w:val="18"/>
                            <w:szCs w:val="18"/>
                          </w:rPr>
                          <w:t> </w:t>
                        </w:r>
                        <w:r>
                          <w:rPr>
                            <w:rFonts w:ascii="宋体" w:hAnsi="宋体" w:cs="宋体" w:eastAsia="宋体" w:hint="default"/>
                            <w:w w:val="101"/>
                            <w:sz w:val="18"/>
                            <w:szCs w:val="18"/>
                          </w:rPr>
                          <w:t>公</w:t>
                        </w:r>
                        <w:r>
                          <w:rPr>
                            <w:rFonts w:ascii="宋体" w:hAnsi="宋体" w:cs="宋体" w:eastAsia="宋体" w:hint="default"/>
                            <w:spacing w:val="-89"/>
                            <w:w w:val="101"/>
                            <w:sz w:val="18"/>
                            <w:szCs w:val="18"/>
                          </w:rPr>
                          <w:t> </w:t>
                        </w:r>
                        <w:r>
                          <w:rPr>
                            <w:rFonts w:ascii="宋体" w:hAnsi="宋体" w:cs="宋体" w:eastAsia="宋体" w:hint="default"/>
                            <w:spacing w:val="-3"/>
                            <w:sz w:val="18"/>
                            <w:szCs w:val="18"/>
                          </w:rPr>
                          <w:t>司因发现以前年度存在重大会计差错，更</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6"/>
                            <w:sz w:val="18"/>
                            <w:szCs w:val="18"/>
                          </w:rPr>
                          <w:t>正已上报或披露的财务报告；</w:t>
                        </w:r>
                        <w:r>
                          <w:rPr>
                            <w:rFonts w:ascii="Times New Roman" w:hAnsi="Times New Roman" w:cs="Times New Roman" w:eastAsia="Times New Roman" w:hint="default"/>
                            <w:spacing w:val="-6"/>
                            <w:sz w:val="18"/>
                            <w:szCs w:val="18"/>
                          </w:rPr>
                          <w:t>C. </w:t>
                        </w:r>
                        <w:r>
                          <w:rPr>
                            <w:rFonts w:ascii="宋体" w:hAnsi="宋体" w:cs="宋体" w:eastAsia="宋体" w:hint="default"/>
                            <w:sz w:val="18"/>
                            <w:szCs w:val="18"/>
                          </w:rPr>
                          <w:t>公司审计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委员会（或类似机构）和内部审机构对内</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8"/>
                            <w:sz w:val="18"/>
                            <w:szCs w:val="18"/>
                          </w:rPr>
                          <w:t>部控制监督无效；</w:t>
                        </w:r>
                        <w:r>
                          <w:rPr>
                            <w:rFonts w:ascii="Times New Roman" w:hAnsi="Times New Roman" w:cs="Times New Roman" w:eastAsia="Times New Roman" w:hint="default"/>
                            <w:spacing w:val="-8"/>
                            <w:sz w:val="18"/>
                            <w:szCs w:val="18"/>
                          </w:rPr>
                          <w:t>D. </w:t>
                        </w:r>
                        <w:r>
                          <w:rPr>
                            <w:rFonts w:ascii="宋体" w:hAnsi="宋体" w:cs="宋体" w:eastAsia="宋体" w:hint="default"/>
                            <w:spacing w:val="-3"/>
                            <w:sz w:val="18"/>
                            <w:szCs w:val="18"/>
                          </w:rPr>
                          <w:t>外部审计师发现当期</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3"/>
                            <w:sz w:val="18"/>
                            <w:szCs w:val="18"/>
                          </w:rPr>
                          <w:t>财务报告存在重大错报，且内部控制运行</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未能发现该错报。②出现以下情形的（包</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11"/>
                            <w:w w:val="101"/>
                            <w:sz w:val="18"/>
                            <w:szCs w:val="18"/>
                          </w:rPr>
                          <w:t>括但不限于），一般应认定为财务报告内部</w:t>
                        </w:r>
                        <w:r>
                          <w:rPr>
                            <w:rFonts w:ascii="宋体" w:hAnsi="宋体" w:cs="宋体" w:eastAsia="宋体" w:hint="default"/>
                            <w:spacing w:val="-78"/>
                            <w:w w:val="101"/>
                            <w:sz w:val="18"/>
                            <w:szCs w:val="18"/>
                          </w:rPr>
                          <w:t> </w:t>
                        </w:r>
                        <w:r>
                          <w:rPr>
                            <w:rFonts w:ascii="宋体" w:hAnsi="宋体" w:cs="宋体" w:eastAsia="宋体" w:hint="default"/>
                            <w:spacing w:val="-78"/>
                            <w:w w:val="101"/>
                            <w:sz w:val="18"/>
                            <w:szCs w:val="18"/>
                          </w:rPr>
                        </w:r>
                        <w:r>
                          <w:rPr>
                            <w:rFonts w:ascii="宋体" w:hAnsi="宋体" w:cs="宋体" w:eastAsia="宋体" w:hint="default"/>
                            <w:spacing w:val="-9"/>
                            <w:sz w:val="18"/>
                            <w:szCs w:val="18"/>
                          </w:rPr>
                          <w:t>控制重要缺陷：</w:t>
                        </w:r>
                        <w:r>
                          <w:rPr>
                            <w:rFonts w:ascii="Times New Roman" w:hAnsi="Times New Roman" w:cs="Times New Roman" w:eastAsia="Times New Roman" w:hint="default"/>
                            <w:spacing w:val="-9"/>
                            <w:sz w:val="18"/>
                            <w:szCs w:val="18"/>
                          </w:rPr>
                          <w:t>A. </w:t>
                        </w:r>
                        <w:r>
                          <w:rPr>
                            <w:rFonts w:ascii="宋体" w:hAnsi="宋体" w:cs="宋体" w:eastAsia="宋体" w:hint="default"/>
                            <w:sz w:val="18"/>
                            <w:szCs w:val="18"/>
                          </w:rPr>
                          <w:t>未依照公认会计准则选</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7"/>
                            <w:sz w:val="18"/>
                            <w:szCs w:val="18"/>
                          </w:rPr>
                          <w:t>择和应用会计政策；</w:t>
                        </w:r>
                        <w:r>
                          <w:rPr>
                            <w:rFonts w:ascii="Times New Roman" w:hAnsi="Times New Roman" w:cs="Times New Roman" w:eastAsia="Times New Roman" w:hint="default"/>
                            <w:spacing w:val="-7"/>
                            <w:sz w:val="18"/>
                            <w:szCs w:val="18"/>
                          </w:rPr>
                          <w:t>B.</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未建立反舞弊程序</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9"/>
                            <w:sz w:val="18"/>
                            <w:szCs w:val="18"/>
                          </w:rPr>
                          <w:t>和控制措施；</w:t>
                        </w:r>
                        <w:r>
                          <w:rPr>
                            <w:rFonts w:ascii="Times New Roman" w:hAnsi="Times New Roman" w:cs="Times New Roman" w:eastAsia="Times New Roman" w:hint="default"/>
                            <w:spacing w:val="-9"/>
                            <w:sz w:val="18"/>
                            <w:szCs w:val="18"/>
                          </w:rPr>
                          <w:t>C. </w:t>
                        </w:r>
                        <w:r>
                          <w:rPr>
                            <w:rFonts w:ascii="宋体" w:hAnsi="宋体" w:cs="宋体" w:eastAsia="宋体" w:hint="default"/>
                            <w:spacing w:val="-3"/>
                            <w:sz w:val="18"/>
                            <w:szCs w:val="18"/>
                          </w:rPr>
                          <w:t>对于非常规或特殊交易的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账务处理没有建立相应的控制机制或没有</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6"/>
                            <w:sz w:val="18"/>
                            <w:szCs w:val="18"/>
                          </w:rPr>
                          <w:t>实施且没有相应的补偿性控制；</w:t>
                        </w:r>
                        <w:r>
                          <w:rPr>
                            <w:rFonts w:ascii="Times New Roman" w:hAnsi="Times New Roman" w:cs="Times New Roman" w:eastAsia="Times New Roman" w:hint="default"/>
                            <w:spacing w:val="-6"/>
                            <w:sz w:val="18"/>
                            <w:szCs w:val="18"/>
                          </w:rPr>
                          <w:t>D. </w:t>
                        </w:r>
                        <w:r>
                          <w:rPr>
                            <w:rFonts w:ascii="宋体" w:hAnsi="宋体" w:cs="宋体" w:eastAsia="宋体" w:hint="default"/>
                            <w:sz w:val="18"/>
                            <w:szCs w:val="18"/>
                          </w:rPr>
                          <w:t>对于期</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末财务报告过程的控制存在一项或多项缺</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陷且不能合理保证编制的财务报表达到真</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6"/>
                            <w:sz w:val="18"/>
                            <w:szCs w:val="18"/>
                          </w:rPr>
                          <w:t>实、准确的目标。</w:t>
                        </w:r>
                        <w:r>
                          <w:rPr>
                            <w:rFonts w:ascii="宋体" w:hAnsi="宋体" w:cs="宋体" w:eastAsia="宋体" w:hint="default"/>
                            <w:spacing w:val="-18"/>
                            <w:sz w:val="18"/>
                            <w:szCs w:val="18"/>
                          </w:rPr>
                          <w:t> </w:t>
                        </w:r>
                        <w:r>
                          <w:rPr>
                            <w:rFonts w:ascii="宋体" w:hAnsi="宋体" w:cs="宋体" w:eastAsia="宋体" w:hint="default"/>
                            <w:sz w:val="18"/>
                            <w:szCs w:val="18"/>
                          </w:rPr>
                          <w:t>③其他不构成重大缺陷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或重要缺陷的其他内部控制缺陷为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一般</w:t>
                        </w:r>
                        <w:r>
                          <w:rPr>
                            <w:rFonts w:ascii="宋体" w:hAnsi="宋体" w:cs="宋体" w:eastAsia="宋体" w:hint="default"/>
                            <w:spacing w:val="-33"/>
                            <w:sz w:val="18"/>
                            <w:szCs w:val="18"/>
                          </w:rPr>
                          <w:t> </w:t>
                        </w:r>
                        <w:r>
                          <w:rPr>
                            <w:rFonts w:ascii="宋体" w:hAnsi="宋体" w:cs="宋体" w:eastAsia="宋体" w:hint="default"/>
                            <w:sz w:val="18"/>
                            <w:szCs w:val="18"/>
                          </w:rPr>
                          <w:t>缺陷</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49" w:type="dxa"/>
                        <w:vMerge w:val="restart"/>
                        <w:tcBorders>
                          <w:top w:val="single" w:sz="4" w:space="0" w:color="000000"/>
                          <w:left w:val="single" w:sz="4" w:space="0" w:color="000000"/>
                          <w:right w:val="single" w:sz="4" w:space="0" w:color="000000"/>
                        </w:tcBorders>
                      </w:tcPr>
                      <w:p>
                        <w:pPr>
                          <w:pStyle w:val="TableParagraph"/>
                          <w:spacing w:line="309" w:lineRule="auto" w:before="53"/>
                          <w:ind w:left="23" w:right="12"/>
                          <w:jc w:val="left"/>
                          <w:rPr>
                            <w:rFonts w:ascii="宋体" w:hAnsi="宋体" w:cs="宋体" w:eastAsia="宋体" w:hint="default"/>
                            <w:sz w:val="18"/>
                            <w:szCs w:val="18"/>
                          </w:rPr>
                        </w:pPr>
                        <w:r>
                          <w:rPr>
                            <w:rFonts w:ascii="宋体" w:hAnsi="宋体" w:cs="宋体" w:eastAsia="宋体" w:hint="default"/>
                            <w:spacing w:val="-8"/>
                            <w:w w:val="101"/>
                            <w:sz w:val="18"/>
                            <w:szCs w:val="18"/>
                          </w:rPr>
                          <w:t>①出现以下情形的（包括但不限于），</w:t>
                        </w:r>
                        <w:r>
                          <w:rPr>
                            <w:rFonts w:ascii="宋体" w:hAnsi="宋体" w:cs="宋体" w:eastAsia="宋体" w:hint="default"/>
                            <w:spacing w:val="-83"/>
                            <w:w w:val="101"/>
                            <w:sz w:val="18"/>
                            <w:szCs w:val="18"/>
                          </w:rPr>
                          <w:t> </w:t>
                        </w:r>
                        <w:r>
                          <w:rPr>
                            <w:rFonts w:ascii="宋体" w:hAnsi="宋体" w:cs="宋体" w:eastAsia="宋体" w:hint="default"/>
                            <w:spacing w:val="-83"/>
                            <w:w w:val="101"/>
                            <w:sz w:val="18"/>
                            <w:szCs w:val="18"/>
                          </w:rPr>
                        </w:r>
                        <w:r>
                          <w:rPr>
                            <w:rFonts w:ascii="宋体" w:hAnsi="宋体" w:cs="宋体" w:eastAsia="宋体" w:hint="default"/>
                            <w:spacing w:val="-3"/>
                            <w:sz w:val="18"/>
                            <w:szCs w:val="18"/>
                          </w:rPr>
                          <w:t>一般应认定为非财务报告内部控制重</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7"/>
                            <w:sz w:val="18"/>
                            <w:szCs w:val="18"/>
                          </w:rPr>
                          <w:t>大缺陷：</w:t>
                        </w:r>
                        <w:r>
                          <w:rPr>
                            <w:rFonts w:ascii="Times New Roman" w:hAnsi="Times New Roman" w:cs="Times New Roman" w:eastAsia="Times New Roman" w:hint="default"/>
                            <w:spacing w:val="-7"/>
                            <w:sz w:val="18"/>
                            <w:szCs w:val="18"/>
                          </w:rPr>
                          <w:t>A.</w:t>
                        </w:r>
                        <w:r>
                          <w:rPr>
                            <w:rFonts w:ascii="Times New Roman" w:hAnsi="Times New Roman" w:cs="Times New Roman" w:eastAsia="Times New Roman" w:hint="default"/>
                            <w:spacing w:val="31"/>
                            <w:sz w:val="18"/>
                            <w:szCs w:val="18"/>
                          </w:rPr>
                          <w:t> </w:t>
                        </w:r>
                        <w:r>
                          <w:rPr>
                            <w:rFonts w:ascii="宋体" w:hAnsi="宋体" w:cs="宋体" w:eastAsia="宋体" w:hint="default"/>
                            <w:spacing w:val="-5"/>
                            <w:sz w:val="18"/>
                            <w:szCs w:val="18"/>
                          </w:rPr>
                          <w:t>对公司的战略制定、实施</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7"/>
                            <w:sz w:val="18"/>
                            <w:szCs w:val="18"/>
                          </w:rPr>
                          <w:t>对公司经营产生重大影响，无法达到重</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要营运目标或关键业绩指标。</w:t>
                        </w:r>
                        <w:r>
                          <w:rPr>
                            <w:rFonts w:ascii="Times New Roman" w:hAnsi="Times New Roman" w:cs="Times New Roman" w:eastAsia="Times New Roman" w:hint="default"/>
                            <w:spacing w:val="-3"/>
                            <w:sz w:val="18"/>
                            <w:szCs w:val="18"/>
                          </w:rPr>
                          <w:t>B. </w:t>
                        </w:r>
                        <w:r>
                          <w:rPr>
                            <w:rFonts w:ascii="宋体" w:hAnsi="宋体" w:cs="宋体" w:eastAsia="宋体" w:hint="default"/>
                            <w:sz w:val="18"/>
                            <w:szCs w:val="18"/>
                          </w:rPr>
                          <w:t>决策</w:t>
                        </w:r>
                        <w:r>
                          <w:rPr>
                            <w:rFonts w:ascii="宋体" w:hAnsi="宋体" w:cs="宋体" w:eastAsia="宋体" w:hint="default"/>
                            <w:spacing w:val="-77"/>
                            <w:sz w:val="18"/>
                            <w:szCs w:val="18"/>
                          </w:rPr>
                          <w:t> </w:t>
                        </w:r>
                        <w:r>
                          <w:rPr>
                            <w:rFonts w:ascii="宋体" w:hAnsi="宋体" w:cs="宋体" w:eastAsia="宋体" w:hint="default"/>
                            <w:spacing w:val="-3"/>
                            <w:sz w:val="18"/>
                            <w:szCs w:val="18"/>
                          </w:rPr>
                          <w:t>不充分导致重大失误；</w:t>
                        </w:r>
                        <w:r>
                          <w:rPr>
                            <w:rFonts w:ascii="Times New Roman" w:hAnsi="Times New Roman" w:cs="Times New Roman" w:eastAsia="Times New Roman" w:hint="default"/>
                            <w:spacing w:val="-3"/>
                            <w:sz w:val="18"/>
                            <w:szCs w:val="18"/>
                          </w:rPr>
                          <w:t>C.</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违反国家法</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律法规并受到重大处罚；</w:t>
                        </w:r>
                        <w:r>
                          <w:rPr>
                            <w:rFonts w:ascii="Times New Roman" w:hAnsi="Times New Roman" w:cs="Times New Roman" w:eastAsia="Times New Roman" w:hint="default"/>
                            <w:spacing w:val="-3"/>
                            <w:sz w:val="18"/>
                            <w:szCs w:val="18"/>
                          </w:rPr>
                          <w:t>D. </w:t>
                        </w:r>
                        <w:r>
                          <w:rPr>
                            <w:rFonts w:ascii="宋体" w:hAnsi="宋体" w:cs="宋体" w:eastAsia="宋体" w:hint="default"/>
                            <w:sz w:val="18"/>
                            <w:szCs w:val="18"/>
                          </w:rPr>
                          <w:t>中高级管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理人员和高级技术人员流失严重。②出</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8"/>
                            <w:w w:val="101"/>
                            <w:sz w:val="18"/>
                            <w:szCs w:val="18"/>
                          </w:rPr>
                          <w:t>现以下情形的（包括但不限于），一般</w:t>
                        </w:r>
                        <w:r>
                          <w:rPr>
                            <w:rFonts w:ascii="宋体" w:hAnsi="宋体" w:cs="宋体" w:eastAsia="宋体" w:hint="default"/>
                            <w:spacing w:val="-83"/>
                            <w:w w:val="101"/>
                            <w:sz w:val="18"/>
                            <w:szCs w:val="18"/>
                          </w:rPr>
                          <w:t> </w:t>
                        </w:r>
                        <w:r>
                          <w:rPr>
                            <w:rFonts w:ascii="宋体" w:hAnsi="宋体" w:cs="宋体" w:eastAsia="宋体" w:hint="default"/>
                            <w:spacing w:val="-83"/>
                            <w:w w:val="101"/>
                            <w:sz w:val="18"/>
                            <w:szCs w:val="18"/>
                          </w:rPr>
                        </w:r>
                        <w:r>
                          <w:rPr>
                            <w:rFonts w:ascii="宋体" w:hAnsi="宋体" w:cs="宋体" w:eastAsia="宋体" w:hint="default"/>
                            <w:spacing w:val="-3"/>
                            <w:sz w:val="18"/>
                            <w:szCs w:val="18"/>
                          </w:rPr>
                          <w:t>应认定为非财务报告内部控制重要缺</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陷：</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1"/>
                            <w:sz w:val="18"/>
                            <w:szCs w:val="18"/>
                          </w:rPr>
                          <w:t> </w:t>
                        </w:r>
                        <w:r>
                          <w:rPr>
                            <w:rFonts w:ascii="宋体" w:hAnsi="宋体" w:cs="宋体" w:eastAsia="宋体" w:hint="default"/>
                            <w:spacing w:val="-3"/>
                            <w:sz w:val="18"/>
                            <w:szCs w:val="18"/>
                          </w:rPr>
                          <w:t>对公司的战略制定、实施，对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w w:val="101"/>
                            <w:sz w:val="18"/>
                            <w:szCs w:val="18"/>
                          </w:rPr>
                          <w:t>公司经营产生中度影响，对达到营运目</w:t>
                        </w:r>
                        <w:r>
                          <w:rPr>
                            <w:rFonts w:ascii="宋体" w:hAnsi="宋体" w:cs="宋体" w:eastAsia="宋体" w:hint="default"/>
                            <w:w w:val="101"/>
                            <w:sz w:val="18"/>
                            <w:szCs w:val="18"/>
                          </w:rPr>
                          <w:t> </w:t>
                        </w:r>
                        <w:r>
                          <w:rPr>
                            <w:rFonts w:ascii="宋体" w:hAnsi="宋体" w:cs="宋体" w:eastAsia="宋体" w:hint="default"/>
                            <w:spacing w:val="-3"/>
                            <w:sz w:val="18"/>
                            <w:szCs w:val="18"/>
                          </w:rPr>
                          <w:t>标或关键业绩指标产生部分负面影响</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Times New Roman" w:hAnsi="Times New Roman" w:cs="Times New Roman" w:eastAsia="Times New Roman" w:hint="default"/>
                            <w:sz w:val="18"/>
                            <w:szCs w:val="18"/>
                          </w:rPr>
                          <w:t>B. </w:t>
                        </w:r>
                        <w:r>
                          <w:rPr>
                            <w:rFonts w:ascii="宋体" w:hAnsi="宋体" w:cs="宋体" w:eastAsia="宋体" w:hint="default"/>
                            <w:spacing w:val="-3"/>
                            <w:sz w:val="18"/>
                            <w:szCs w:val="18"/>
                          </w:rPr>
                          <w:t>决策程序不充分导致出现重要失</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误；</w:t>
                        </w:r>
                        <w:r>
                          <w:rPr>
                            <w:rFonts w:ascii="Times New Roman" w:hAnsi="Times New Roman" w:cs="Times New Roman" w:eastAsia="Times New Roman" w:hint="default"/>
                            <w:sz w:val="18"/>
                            <w:szCs w:val="18"/>
                          </w:rPr>
                          <w:t>C. </w:t>
                        </w:r>
                        <w:r>
                          <w:rPr>
                            <w:rFonts w:ascii="宋体" w:hAnsi="宋体" w:cs="宋体" w:eastAsia="宋体" w:hint="default"/>
                            <w:spacing w:val="-3"/>
                            <w:sz w:val="18"/>
                            <w:szCs w:val="18"/>
                          </w:rPr>
                          <w:t>违反企业内部规章，形成较大</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金额损失；</w:t>
                        </w:r>
                        <w:r>
                          <w:rPr>
                            <w:rFonts w:ascii="Times New Roman" w:hAnsi="Times New Roman" w:cs="Times New Roman" w:eastAsia="Times New Roman" w:hint="default"/>
                            <w:sz w:val="18"/>
                            <w:szCs w:val="18"/>
                          </w:rPr>
                          <w:t>D. </w:t>
                        </w:r>
                        <w:r>
                          <w:rPr>
                            <w:rFonts w:ascii="宋体" w:hAnsi="宋体" w:cs="宋体" w:eastAsia="宋体" w:hint="default"/>
                            <w:sz w:val="18"/>
                            <w:szCs w:val="18"/>
                          </w:rPr>
                          <w:t>关键岗位业务人员流失</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严重。③出现以下情形的（包括但不限</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8"/>
                            <w:w w:val="101"/>
                            <w:sz w:val="18"/>
                            <w:szCs w:val="18"/>
                          </w:rPr>
                          <w:t>于），一般应认定为非财务报告内部控</w:t>
                        </w:r>
                        <w:r>
                          <w:rPr>
                            <w:rFonts w:ascii="宋体" w:hAnsi="宋体" w:cs="宋体" w:eastAsia="宋体" w:hint="default"/>
                            <w:spacing w:val="-83"/>
                            <w:w w:val="101"/>
                            <w:sz w:val="18"/>
                            <w:szCs w:val="18"/>
                          </w:rPr>
                          <w:t> </w:t>
                        </w:r>
                        <w:r>
                          <w:rPr>
                            <w:rFonts w:ascii="宋体" w:hAnsi="宋体" w:cs="宋体" w:eastAsia="宋体" w:hint="default"/>
                            <w:spacing w:val="-83"/>
                            <w:w w:val="101"/>
                            <w:sz w:val="18"/>
                            <w:szCs w:val="18"/>
                          </w:rPr>
                        </w:r>
                        <w:r>
                          <w:rPr>
                            <w:rFonts w:ascii="宋体" w:hAnsi="宋体" w:cs="宋体" w:eastAsia="宋体" w:hint="default"/>
                            <w:spacing w:val="-3"/>
                            <w:sz w:val="18"/>
                            <w:szCs w:val="18"/>
                          </w:rPr>
                          <w:t>制一般缺陷</w:t>
                        </w:r>
                        <w:r>
                          <w:rPr>
                            <w:rFonts w:ascii="Times New Roman" w:hAnsi="Times New Roman" w:cs="Times New Roman" w:eastAsia="Times New Roman" w:hint="default"/>
                            <w:spacing w:val="-3"/>
                            <w:sz w:val="18"/>
                            <w:szCs w:val="18"/>
                          </w:rPr>
                          <w:t>:A. </w:t>
                        </w:r>
                        <w:r>
                          <w:rPr>
                            <w:rFonts w:ascii="宋体" w:hAnsi="宋体" w:cs="宋体" w:eastAsia="宋体" w:hint="default"/>
                            <w:spacing w:val="-4"/>
                            <w:sz w:val="18"/>
                            <w:szCs w:val="18"/>
                          </w:rPr>
                          <w:t>对公司的战略制定、实</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7"/>
                            <w:sz w:val="18"/>
                            <w:szCs w:val="18"/>
                          </w:rPr>
                          <w:t>施，对公司经营产生轻微影响，减慢营</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7"/>
                            <w:sz w:val="18"/>
                            <w:szCs w:val="18"/>
                          </w:rPr>
                          <w:t>运运行，但对达到营运目标只有轻微影</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6"/>
                            <w:sz w:val="18"/>
                            <w:szCs w:val="18"/>
                          </w:rPr>
                          <w:t>响。</w:t>
                        </w:r>
                        <w:r>
                          <w:rPr>
                            <w:rFonts w:ascii="Times New Roman" w:hAnsi="Times New Roman" w:cs="Times New Roman" w:eastAsia="Times New Roman" w:hint="default"/>
                            <w:spacing w:val="-6"/>
                            <w:sz w:val="18"/>
                            <w:szCs w:val="18"/>
                          </w:rPr>
                          <w:t>B.</w:t>
                        </w:r>
                        <w:r>
                          <w:rPr>
                            <w:rFonts w:ascii="Times New Roman" w:hAnsi="Times New Roman" w:cs="Times New Roman" w:eastAsia="Times New Roman" w:hint="default"/>
                            <w:spacing w:val="21"/>
                            <w:sz w:val="18"/>
                            <w:szCs w:val="18"/>
                          </w:rPr>
                          <w:t> </w:t>
                        </w:r>
                        <w:r>
                          <w:rPr>
                            <w:rFonts w:ascii="宋体" w:hAnsi="宋体" w:cs="宋体" w:eastAsia="宋体" w:hint="default"/>
                            <w:spacing w:val="-4"/>
                            <w:sz w:val="18"/>
                            <w:szCs w:val="18"/>
                          </w:rPr>
                          <w:t>决策程序效率不高；</w:t>
                        </w:r>
                        <w:r>
                          <w:rPr>
                            <w:rFonts w:ascii="Times New Roman" w:hAnsi="Times New Roman" w:cs="Times New Roman" w:eastAsia="Times New Roman" w:hint="default"/>
                            <w:spacing w:val="-4"/>
                            <w:sz w:val="18"/>
                            <w:szCs w:val="18"/>
                          </w:rPr>
                          <w:t>C.</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违反内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部规章，但未形成损失；</w:t>
                        </w:r>
                        <w:r>
                          <w:rPr>
                            <w:rFonts w:ascii="Times New Roman" w:hAnsi="Times New Roman" w:cs="Times New Roman" w:eastAsia="Times New Roman" w:hint="default"/>
                            <w:spacing w:val="-3"/>
                            <w:sz w:val="18"/>
                            <w:szCs w:val="18"/>
                          </w:rPr>
                          <w:t>D. </w:t>
                        </w:r>
                        <w:r>
                          <w:rPr>
                            <w:rFonts w:ascii="宋体" w:hAnsi="宋体" w:cs="宋体" w:eastAsia="宋体" w:hint="default"/>
                            <w:sz w:val="18"/>
                            <w:szCs w:val="18"/>
                          </w:rPr>
                          <w:t>一般岗位</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业务人员流失严重。</w:t>
                        </w:r>
                      </w:p>
                    </w:tc>
                  </w:tr>
                  <w:tr>
                    <w:trPr>
                      <w:trHeight w:val="389" w:hRule="exact"/>
                    </w:trPr>
                    <w:tc>
                      <w:tcPr>
                        <w:tcW w:w="31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3" w:type="dxa"/>
                        <w:vMerge/>
                        <w:tcBorders>
                          <w:left w:val="single" w:sz="10" w:space="0" w:color="D2D2D2"/>
                          <w:right w:val="single" w:sz="4" w:space="0" w:color="000000"/>
                        </w:tcBorders>
                      </w:tcPr>
                      <w:p>
                        <w:pPr/>
                      </w:p>
                    </w:tc>
                    <w:tc>
                      <w:tcPr>
                        <w:tcW w:w="3049" w:type="dxa"/>
                        <w:vMerge/>
                        <w:tcBorders>
                          <w:left w:val="single" w:sz="4" w:space="0" w:color="000000"/>
                          <w:right w:val="single" w:sz="4" w:space="0" w:color="000000"/>
                        </w:tcBorders>
                      </w:tcPr>
                      <w:p>
                        <w:pPr/>
                      </w:p>
                    </w:tc>
                  </w:tr>
                  <w:tr>
                    <w:trPr>
                      <w:trHeight w:val="3596" w:hRule="exact"/>
                    </w:trPr>
                    <w:tc>
                      <w:tcPr>
                        <w:tcW w:w="3188" w:type="dxa"/>
                        <w:tcBorders>
                          <w:top w:val="nil" w:sz="6" w:space="0" w:color="auto"/>
                          <w:left w:val="single" w:sz="4" w:space="0" w:color="000000"/>
                          <w:bottom w:val="single" w:sz="4" w:space="0" w:color="000000"/>
                          <w:right w:val="single" w:sz="4" w:space="0" w:color="000000"/>
                        </w:tcBorders>
                        <w:shd w:val="clear" w:color="auto" w:fill="D2D2D2"/>
                      </w:tcPr>
                      <w:p>
                        <w:pPr/>
                      </w:p>
                    </w:tc>
                    <w:tc>
                      <w:tcPr>
                        <w:tcW w:w="3333" w:type="dxa"/>
                        <w:vMerge/>
                        <w:tcBorders>
                          <w:left w:val="single" w:sz="10" w:space="0" w:color="D2D2D2"/>
                          <w:bottom w:val="single" w:sz="4" w:space="0" w:color="000000"/>
                          <w:right w:val="single" w:sz="4" w:space="0" w:color="000000"/>
                        </w:tcBorders>
                      </w:tcPr>
                      <w:p>
                        <w:pPr/>
                      </w:p>
                    </w:tc>
                    <w:tc>
                      <w:tcPr>
                        <w:tcW w:w="3049" w:type="dxa"/>
                        <w:vMerge/>
                        <w:tcBorders>
                          <w:left w:val="single" w:sz="4" w:space="0" w:color="000000"/>
                          <w:bottom w:val="single" w:sz="4" w:space="0" w:color="000000"/>
                          <w:right w:val="single" w:sz="4" w:space="0" w:color="000000"/>
                        </w:tcBorders>
                      </w:tcPr>
                      <w:p>
                        <w:pPr/>
                      </w:p>
                    </w:tc>
                  </w:tr>
                  <w:tr>
                    <w:trPr>
                      <w:trHeight w:val="1858" w:hRule="exact"/>
                    </w:trPr>
                    <w:tc>
                      <w:tcPr>
                        <w:tcW w:w="31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333" w:type="dxa"/>
                        <w:vMerge w:val="restart"/>
                        <w:tcBorders>
                          <w:top w:val="single" w:sz="4" w:space="0" w:color="000000"/>
                          <w:left w:val="single" w:sz="10" w:space="0" w:color="D2D2D2"/>
                          <w:right w:val="single" w:sz="4" w:space="0" w:color="000000"/>
                        </w:tcBorders>
                      </w:tcPr>
                      <w:p>
                        <w:pPr>
                          <w:pStyle w:val="TableParagraph"/>
                          <w:spacing w:line="300" w:lineRule="auto" w:before="53"/>
                          <w:ind w:left="21"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利润总额：重大缺陷定量标准：错报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利</w:t>
                        </w:r>
                        <w:r>
                          <w:rPr>
                            <w:rFonts w:ascii="宋体" w:hAnsi="宋体" w:cs="宋体" w:eastAsia="宋体" w:hint="default"/>
                            <w:spacing w:val="-34"/>
                            <w:sz w:val="18"/>
                            <w:szCs w:val="18"/>
                          </w:rPr>
                          <w:t> </w:t>
                        </w:r>
                        <w:r>
                          <w:rPr>
                            <w:rFonts w:ascii="宋体" w:hAnsi="宋体" w:cs="宋体" w:eastAsia="宋体" w:hint="default"/>
                            <w:sz w:val="18"/>
                            <w:szCs w:val="18"/>
                          </w:rPr>
                          <w:t>润总额的</w:t>
                        </w:r>
                        <w:r>
                          <w:rPr>
                            <w:rFonts w:ascii="宋体" w:hAnsi="宋体" w:cs="宋体" w:eastAsia="宋体" w:hint="default"/>
                            <w:spacing w:val="-18"/>
                            <w:sz w:val="18"/>
                            <w:szCs w:val="18"/>
                          </w:rPr>
                          <w:t> </w:t>
                        </w:r>
                        <w:r>
                          <w:rPr>
                            <w:rFonts w:ascii="Times New Roman" w:hAnsi="Times New Roman" w:cs="Times New Roman" w:eastAsia="Times New Roman" w:hint="default"/>
                            <w:spacing w:val="-8"/>
                            <w:sz w:val="18"/>
                            <w:szCs w:val="18"/>
                          </w:rPr>
                          <w:t>5%</w:t>
                        </w:r>
                        <w:r>
                          <w:rPr>
                            <w:rFonts w:ascii="宋体" w:hAnsi="宋体" w:cs="宋体" w:eastAsia="宋体" w:hint="default"/>
                            <w:spacing w:val="-8"/>
                            <w:sz w:val="18"/>
                            <w:szCs w:val="18"/>
                          </w:rPr>
                          <w:t>；重要缺陷定量标准：利润总</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额的</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w:t>
                        </w:r>
                        <w:r>
                          <w:rPr>
                            <w:rFonts w:ascii="宋体" w:hAnsi="宋体" w:cs="宋体" w:eastAsia="宋体" w:hint="default"/>
                            <w:spacing w:val="-38"/>
                            <w:sz w:val="18"/>
                            <w:szCs w:val="18"/>
                          </w:rPr>
                          <w:t> </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；一般缺陷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定量标准：错报</w:t>
                        </w:r>
                        <w:r>
                          <w:rPr>
                            <w:rFonts w:ascii="Times New Roman" w:hAnsi="Times New Roman" w:cs="Times New Roman" w:eastAsia="Times New Roman" w:hint="default"/>
                            <w:spacing w:val="-3"/>
                            <w:sz w:val="18"/>
                            <w:szCs w:val="18"/>
                          </w:rPr>
                          <w:t>&lt;</w:t>
                        </w:r>
                        <w:r>
                          <w:rPr>
                            <w:rFonts w:ascii="宋体" w:hAnsi="宋体" w:cs="宋体" w:eastAsia="宋体" w:hint="default"/>
                            <w:spacing w:val="-3"/>
                            <w:sz w:val="18"/>
                            <w:szCs w:val="18"/>
                          </w:rPr>
                          <w:t>利润总额的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资产</w:t>
                        </w:r>
                        <w:r>
                          <w:rPr>
                            <w:rFonts w:ascii="宋体" w:hAnsi="宋体" w:cs="宋体" w:eastAsia="宋体" w:hint="default"/>
                            <w:spacing w:val="-76"/>
                            <w:sz w:val="18"/>
                            <w:szCs w:val="18"/>
                          </w:rPr>
                          <w:t> </w:t>
                        </w:r>
                        <w:r>
                          <w:rPr>
                            <w:rFonts w:ascii="宋体" w:hAnsi="宋体" w:cs="宋体" w:eastAsia="宋体" w:hint="default"/>
                            <w:spacing w:val="-6"/>
                            <w:sz w:val="18"/>
                            <w:szCs w:val="18"/>
                          </w:rPr>
                          <w:t>总额：重大缺陷定量标准：错报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资产总额</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的</w:t>
                        </w:r>
                        <w:r>
                          <w:rPr>
                            <w:rFonts w:ascii="宋体" w:hAnsi="宋体" w:cs="宋体" w:eastAsia="宋体" w:hint="default"/>
                            <w:spacing w:val="-17"/>
                            <w:sz w:val="18"/>
                            <w:szCs w:val="18"/>
                          </w:rPr>
                          <w:t> </w:t>
                        </w:r>
                        <w:r>
                          <w:rPr>
                            <w:rFonts w:ascii="Times New Roman" w:hAnsi="Times New Roman" w:cs="Times New Roman" w:eastAsia="Times New Roman" w:hint="default"/>
                            <w:spacing w:val="-4"/>
                            <w:sz w:val="18"/>
                            <w:szCs w:val="18"/>
                          </w:rPr>
                          <w:t>0.8%</w:t>
                        </w:r>
                        <w:r>
                          <w:rPr>
                            <w:rFonts w:ascii="宋体" w:hAnsi="宋体" w:cs="宋体" w:eastAsia="宋体" w:hint="default"/>
                            <w:spacing w:val="-4"/>
                            <w:sz w:val="18"/>
                            <w:szCs w:val="18"/>
                          </w:rPr>
                          <w:t>；重要缺陷定量标准：资产总额的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Times New Roman" w:hAnsi="Times New Roman" w:cs="Times New Roman" w:eastAsia="Times New Roman" w:hint="default"/>
                            <w:sz w:val="18"/>
                            <w:szCs w:val="18"/>
                          </w:rPr>
                          <w:t>0.4%</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资产总额的</w:t>
                        </w:r>
                        <w:r>
                          <w:rPr>
                            <w:rFonts w:ascii="宋体" w:hAnsi="宋体" w:cs="宋体" w:eastAsia="宋体" w:hint="default"/>
                            <w:spacing w:val="-33"/>
                            <w:sz w:val="18"/>
                            <w:szCs w:val="18"/>
                          </w:rPr>
                          <w:t> </w:t>
                        </w:r>
                        <w:r>
                          <w:rPr>
                            <w:rFonts w:ascii="Times New Roman" w:hAnsi="Times New Roman" w:cs="Times New Roman" w:eastAsia="Times New Roman" w:hint="default"/>
                            <w:spacing w:val="-9"/>
                            <w:sz w:val="18"/>
                            <w:szCs w:val="18"/>
                          </w:rPr>
                          <w:t>0.8%</w:t>
                        </w:r>
                        <w:r>
                          <w:rPr>
                            <w:rFonts w:ascii="宋体" w:hAnsi="宋体" w:cs="宋体" w:eastAsia="宋体" w:hint="default"/>
                            <w:spacing w:val="-9"/>
                            <w:sz w:val="18"/>
                            <w:szCs w:val="18"/>
                          </w:rPr>
                          <w:t>；一般缺陷定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量标准：错报</w:t>
                        </w:r>
                        <w:r>
                          <w:rPr>
                            <w:rFonts w:ascii="Times New Roman" w:hAnsi="Times New Roman" w:cs="Times New Roman" w:eastAsia="Times New Roman" w:hint="default"/>
                            <w:spacing w:val="-6"/>
                            <w:sz w:val="18"/>
                            <w:szCs w:val="18"/>
                          </w:rPr>
                          <w:t>&lt;</w:t>
                        </w:r>
                        <w:r>
                          <w:rPr>
                            <w:rFonts w:ascii="宋体" w:hAnsi="宋体" w:cs="宋体" w:eastAsia="宋体" w:hint="default"/>
                            <w:spacing w:val="-6"/>
                            <w:sz w:val="18"/>
                            <w:szCs w:val="18"/>
                          </w:rPr>
                          <w:t>资产总额的 </w:t>
                        </w:r>
                        <w:r>
                          <w:rPr>
                            <w:rFonts w:ascii="Times New Roman" w:hAnsi="Times New Roman" w:cs="Times New Roman" w:eastAsia="Times New Roman" w:hint="default"/>
                            <w:spacing w:val="-6"/>
                            <w:sz w:val="18"/>
                            <w:szCs w:val="18"/>
                          </w:rPr>
                          <w:t>0.4%</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营业收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6"/>
                            <w:sz w:val="18"/>
                            <w:szCs w:val="18"/>
                          </w:rPr>
                          <w:t>入总额：重大缺陷定量标准：错报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营业收</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入总额的</w:t>
                        </w:r>
                        <w:r>
                          <w:rPr>
                            <w:rFonts w:ascii="宋体" w:hAnsi="宋体" w:cs="宋体" w:eastAsia="宋体" w:hint="default"/>
                            <w:spacing w:val="-18"/>
                            <w:sz w:val="18"/>
                            <w:szCs w:val="18"/>
                          </w:rPr>
                          <w:t> </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；重要缺陷定量标准：营业收</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入总额的</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0.5%</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错报</w:t>
                        </w:r>
                        <w:r>
                          <w:rPr>
                            <w:rFonts w:ascii="Times New Roman" w:hAnsi="Times New Roman" w:cs="Times New Roman" w:eastAsia="Times New Roman" w:hint="default"/>
                            <w:spacing w:val="-3"/>
                            <w:sz w:val="18"/>
                            <w:szCs w:val="18"/>
                          </w:rPr>
                          <w:t>&lt;</w:t>
                        </w:r>
                        <w:r>
                          <w:rPr>
                            <w:rFonts w:ascii="宋体" w:hAnsi="宋体" w:cs="宋体" w:eastAsia="宋体" w:hint="default"/>
                            <w:spacing w:val="-3"/>
                            <w:sz w:val="18"/>
                            <w:szCs w:val="18"/>
                          </w:rPr>
                          <w:t>营业收入总额的</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；一般缺陷定量标准：错报</w:t>
                        </w:r>
                        <w:r>
                          <w:rPr>
                            <w:rFonts w:ascii="Times New Roman" w:hAnsi="Times New Roman" w:cs="Times New Roman" w:eastAsia="Times New Roman" w:hint="default"/>
                            <w:spacing w:val="-3"/>
                            <w:sz w:val="18"/>
                            <w:szCs w:val="18"/>
                          </w:rPr>
                          <w:t>&lt;</w:t>
                        </w:r>
                        <w:r>
                          <w:rPr>
                            <w:rFonts w:ascii="宋体" w:hAnsi="宋体" w:cs="宋体" w:eastAsia="宋体" w:hint="default"/>
                            <w:spacing w:val="-3"/>
                            <w:sz w:val="18"/>
                            <w:szCs w:val="18"/>
                          </w:rPr>
                          <w:t>营业收入</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总额的</w:t>
                        </w:r>
                        <w:r>
                          <w:rPr>
                            <w:rFonts w:ascii="宋体" w:hAnsi="宋体" w:cs="宋体" w:eastAsia="宋体" w:hint="default"/>
                            <w:spacing w:val="9"/>
                            <w:sz w:val="18"/>
                            <w:szCs w:val="18"/>
                          </w:rPr>
                          <w:t> </w:t>
                        </w:r>
                        <w:r>
                          <w:rPr>
                            <w:rFonts w:ascii="Times New Roman" w:hAnsi="Times New Roman" w:cs="Times New Roman" w:eastAsia="Times New Roman" w:hint="default"/>
                            <w:spacing w:val="-3"/>
                            <w:sz w:val="18"/>
                            <w:szCs w:val="18"/>
                          </w:rPr>
                          <w:t>0.5%</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所有者权益总额：重大缺</w:t>
                        </w:r>
                      </w:p>
                    </w:tc>
                    <w:tc>
                      <w:tcPr>
                        <w:tcW w:w="3049" w:type="dxa"/>
                        <w:vMerge w:val="restart"/>
                        <w:tcBorders>
                          <w:top w:val="single" w:sz="4" w:space="0" w:color="000000"/>
                          <w:left w:val="single" w:sz="4" w:space="0" w:color="000000"/>
                          <w:right w:val="single" w:sz="4" w:space="0" w:color="000000"/>
                        </w:tcBorders>
                      </w:tcPr>
                      <w:p>
                        <w:pPr>
                          <w:pStyle w:val="TableParagraph"/>
                          <w:spacing w:line="300" w:lineRule="auto" w:before="53"/>
                          <w:ind w:left="23" w:right="12"/>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利润总额：重大缺陷定量标准：影响</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pacing w:val="-2"/>
                            <w:w w:val="101"/>
                            <w:sz w:val="18"/>
                            <w:szCs w:val="18"/>
                          </w:rPr>
                          <w:t>金额</w:t>
                        </w:r>
                        <w:r>
                          <w:rPr>
                            <w:rFonts w:ascii="Times New Roman" w:hAnsi="Times New Roman" w:cs="Times New Roman" w:eastAsia="Times New Roman" w:hint="default"/>
                            <w:spacing w:val="-2"/>
                            <w:w w:val="101"/>
                            <w:sz w:val="18"/>
                            <w:szCs w:val="18"/>
                          </w:rPr>
                          <w:t>≥</w:t>
                        </w:r>
                        <w:r>
                          <w:rPr>
                            <w:rFonts w:ascii="宋体" w:hAnsi="宋体" w:cs="宋体" w:eastAsia="宋体" w:hint="default"/>
                            <w:spacing w:val="-2"/>
                            <w:w w:val="101"/>
                            <w:sz w:val="18"/>
                            <w:szCs w:val="18"/>
                          </w:rPr>
                          <w:t>利润总额的</w:t>
                        </w:r>
                        <w:r>
                          <w:rPr>
                            <w:rFonts w:ascii="宋体" w:hAnsi="宋体" w:cs="宋体" w:eastAsia="宋体" w:hint="default"/>
                            <w:spacing w:val="-49"/>
                            <w:w w:val="101"/>
                            <w:sz w:val="18"/>
                            <w:szCs w:val="18"/>
                          </w:rPr>
                          <w:t> </w:t>
                        </w:r>
                        <w:r>
                          <w:rPr>
                            <w:rFonts w:ascii="Times New Roman" w:hAnsi="Times New Roman" w:cs="Times New Roman" w:eastAsia="Times New Roman" w:hint="default"/>
                            <w:spacing w:val="-11"/>
                            <w:w w:val="101"/>
                            <w:sz w:val="18"/>
                            <w:szCs w:val="18"/>
                          </w:rPr>
                          <w:t>5%</w:t>
                        </w:r>
                        <w:r>
                          <w:rPr>
                            <w:rFonts w:ascii="宋体" w:hAnsi="宋体" w:cs="宋体" w:eastAsia="宋体" w:hint="default"/>
                            <w:spacing w:val="-11"/>
                            <w:w w:val="101"/>
                            <w:sz w:val="18"/>
                            <w:szCs w:val="18"/>
                          </w:rPr>
                          <w:t>；重要缺陷定量标</w:t>
                        </w:r>
                        <w:r>
                          <w:rPr>
                            <w:rFonts w:ascii="宋体" w:hAnsi="宋体" w:cs="宋体" w:eastAsia="宋体" w:hint="default"/>
                            <w:w w:val="101"/>
                            <w:sz w:val="18"/>
                            <w:szCs w:val="18"/>
                          </w:rPr>
                          <w:t> </w:t>
                        </w:r>
                        <w:r>
                          <w:rPr>
                            <w:rFonts w:ascii="宋体" w:hAnsi="宋体" w:cs="宋体" w:eastAsia="宋体" w:hint="default"/>
                            <w:spacing w:val="-3"/>
                            <w:sz w:val="18"/>
                            <w:szCs w:val="18"/>
                          </w:rPr>
                          <w:t>准：利润总额的</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z w:val="18"/>
                            <w:szCs w:val="18"/>
                          </w:rPr>
                          <w:t>≤</w:t>
                        </w:r>
                        <w:r>
                          <w:rPr>
                            <w:rFonts w:ascii="宋体" w:hAnsi="宋体" w:cs="宋体" w:eastAsia="宋体" w:hint="default"/>
                            <w:sz w:val="18"/>
                            <w:szCs w:val="18"/>
                          </w:rPr>
                          <w:t>影响金额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额的</w:t>
                        </w:r>
                        <w:r>
                          <w:rPr>
                            <w:rFonts w:ascii="宋体" w:hAnsi="宋体" w:cs="宋体" w:eastAsia="宋体" w:hint="default"/>
                            <w:spacing w:val="-15"/>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；一般缺陷定量标准：影响金</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额</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w:t>
                        </w:r>
                        <w:r>
                          <w:rPr>
                            <w:rFonts w:ascii="宋体" w:hAnsi="宋体" w:cs="宋体" w:eastAsia="宋体" w:hint="default"/>
                            <w:spacing w:val="-27"/>
                            <w:sz w:val="18"/>
                            <w:szCs w:val="18"/>
                          </w:rPr>
                          <w:t> </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资产总额：重大</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缺陷定量标准：影响金额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资产总额的</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Times New Roman" w:hAnsi="Times New Roman" w:cs="Times New Roman" w:eastAsia="Times New Roman" w:hint="default"/>
                            <w:spacing w:val="-7"/>
                            <w:sz w:val="18"/>
                            <w:szCs w:val="18"/>
                          </w:rPr>
                          <w:t>0.8%</w:t>
                        </w:r>
                        <w:r>
                          <w:rPr>
                            <w:rFonts w:ascii="宋体" w:hAnsi="宋体" w:cs="宋体" w:eastAsia="宋体" w:hint="default"/>
                            <w:spacing w:val="-7"/>
                            <w:sz w:val="18"/>
                            <w:szCs w:val="18"/>
                          </w:rPr>
                          <w:t>；重要缺陷定量标准：资产总额的</w:t>
                        </w:r>
                      </w:p>
                      <w:p>
                        <w:pPr>
                          <w:pStyle w:val="TableParagraph"/>
                          <w:spacing w:line="300" w:lineRule="auto" w:before="13"/>
                          <w:ind w:left="23"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z w:val="18"/>
                            <w:szCs w:val="18"/>
                          </w:rPr>
                          <w:t>≤</w:t>
                        </w:r>
                        <w:r>
                          <w:rPr>
                            <w:rFonts w:ascii="宋体" w:hAnsi="宋体" w:cs="宋体" w:eastAsia="宋体" w:hint="default"/>
                            <w:sz w:val="18"/>
                            <w:szCs w:val="18"/>
                          </w:rPr>
                          <w:t>影响金额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宋体" w:hAnsi="宋体" w:cs="宋体" w:eastAsia="宋体" w:hint="default"/>
                            <w:sz w:val="18"/>
                            <w:szCs w:val="18"/>
                          </w:rPr>
                          <w:t>；一</w:t>
                        </w:r>
                        <w:r>
                          <w:rPr>
                            <w:rFonts w:ascii="宋体" w:hAnsi="宋体" w:cs="宋体" w:eastAsia="宋体" w:hint="default"/>
                            <w:spacing w:val="-86"/>
                            <w:sz w:val="18"/>
                            <w:szCs w:val="18"/>
                          </w:rPr>
                          <w:t> </w:t>
                        </w:r>
                        <w:r>
                          <w:rPr>
                            <w:rFonts w:ascii="宋体" w:hAnsi="宋体" w:cs="宋体" w:eastAsia="宋体" w:hint="default"/>
                            <w:spacing w:val="-3"/>
                            <w:sz w:val="18"/>
                            <w:szCs w:val="18"/>
                          </w:rPr>
                          <w:t>般缺陷定量标准：影响金额</w:t>
                        </w:r>
                        <w:r>
                          <w:rPr>
                            <w:rFonts w:ascii="Times New Roman" w:hAnsi="Times New Roman" w:cs="Times New Roman" w:eastAsia="Times New Roman" w:hint="default"/>
                            <w:spacing w:val="-3"/>
                            <w:sz w:val="18"/>
                            <w:szCs w:val="18"/>
                          </w:rPr>
                          <w:t>&lt;</w:t>
                        </w:r>
                        <w:r>
                          <w:rPr>
                            <w:rFonts w:ascii="宋体" w:hAnsi="宋体" w:cs="宋体" w:eastAsia="宋体" w:hint="default"/>
                            <w:spacing w:val="-3"/>
                            <w:sz w:val="18"/>
                            <w:szCs w:val="18"/>
                          </w:rPr>
                          <w:t>资产总额</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的 </w:t>
                        </w:r>
                        <w:r>
                          <w:rPr>
                            <w:rFonts w:ascii="Times New Roman" w:hAnsi="Times New Roman" w:cs="Times New Roman" w:eastAsia="Times New Roman" w:hint="default"/>
                            <w:spacing w:val="-7"/>
                            <w:sz w:val="18"/>
                            <w:szCs w:val="18"/>
                          </w:rPr>
                          <w:t>0.4%</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营业收入总额：重大缺陷定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量标准：影响金额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营业收入总额的</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；重要缺陷定量标准：营业收入总</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额的</w:t>
                        </w:r>
                        <w:r>
                          <w:rPr>
                            <w:rFonts w:ascii="宋体" w:hAnsi="宋体" w:cs="宋体" w:eastAsia="宋体" w:hint="default"/>
                            <w:spacing w:val="7"/>
                            <w:sz w:val="18"/>
                            <w:szCs w:val="18"/>
                          </w:rPr>
                          <w:t> </w:t>
                        </w:r>
                        <w:r>
                          <w:rPr>
                            <w:rFonts w:ascii="Times New Roman" w:hAnsi="Times New Roman" w:cs="Times New Roman" w:eastAsia="Times New Roman" w:hint="default"/>
                            <w:spacing w:val="-3"/>
                            <w:sz w:val="18"/>
                            <w:szCs w:val="18"/>
                          </w:rPr>
                          <w:t>0.5%</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影响金额</w:t>
                        </w:r>
                        <w:r>
                          <w:rPr>
                            <w:rFonts w:ascii="Times New Roman" w:hAnsi="Times New Roman" w:cs="Times New Roman" w:eastAsia="Times New Roman" w:hint="default"/>
                            <w:spacing w:val="-3"/>
                            <w:sz w:val="18"/>
                            <w:szCs w:val="18"/>
                          </w:rPr>
                          <w:t>&lt;</w:t>
                        </w:r>
                        <w:r>
                          <w:rPr>
                            <w:rFonts w:ascii="宋体" w:hAnsi="宋体" w:cs="宋体" w:eastAsia="宋体" w:hint="default"/>
                            <w:spacing w:val="-3"/>
                            <w:sz w:val="18"/>
                            <w:szCs w:val="18"/>
                          </w:rPr>
                          <w:t>营业收入总额的</w:t>
                        </w:r>
                      </w:p>
                    </w:tc>
                  </w:tr>
                  <w:tr>
                    <w:trPr>
                      <w:trHeight w:val="389" w:hRule="exact"/>
                    </w:trPr>
                    <w:tc>
                      <w:tcPr>
                        <w:tcW w:w="31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3" w:type="dxa"/>
                        <w:vMerge/>
                        <w:tcBorders>
                          <w:left w:val="single" w:sz="10" w:space="0" w:color="D2D2D2"/>
                          <w:right w:val="single" w:sz="4" w:space="0" w:color="000000"/>
                        </w:tcBorders>
                      </w:tcPr>
                      <w:p>
                        <w:pPr/>
                      </w:p>
                    </w:tc>
                    <w:tc>
                      <w:tcPr>
                        <w:tcW w:w="3049" w:type="dxa"/>
                        <w:vMerge/>
                        <w:tcBorders>
                          <w:left w:val="single" w:sz="4" w:space="0" w:color="000000"/>
                          <w:right w:val="single" w:sz="4" w:space="0" w:color="000000"/>
                        </w:tcBorders>
                      </w:tcPr>
                      <w:p>
                        <w:pPr/>
                      </w:p>
                    </w:tc>
                  </w:tr>
                  <w:tr>
                    <w:trPr>
                      <w:trHeight w:val="1858" w:hRule="exact"/>
                    </w:trPr>
                    <w:tc>
                      <w:tcPr>
                        <w:tcW w:w="3188" w:type="dxa"/>
                        <w:tcBorders>
                          <w:top w:val="nil" w:sz="6" w:space="0" w:color="auto"/>
                          <w:left w:val="single" w:sz="4" w:space="0" w:color="000000"/>
                          <w:bottom w:val="single" w:sz="4" w:space="0" w:color="000000"/>
                          <w:right w:val="single" w:sz="4" w:space="0" w:color="000000"/>
                        </w:tcBorders>
                        <w:shd w:val="clear" w:color="auto" w:fill="D2D2D2"/>
                      </w:tcPr>
                      <w:p>
                        <w:pPr/>
                      </w:p>
                    </w:tc>
                    <w:tc>
                      <w:tcPr>
                        <w:tcW w:w="3333" w:type="dxa"/>
                        <w:vMerge/>
                        <w:tcBorders>
                          <w:left w:val="single" w:sz="10" w:space="0" w:color="D2D2D2"/>
                          <w:bottom w:val="single" w:sz="4" w:space="0" w:color="000000"/>
                          <w:right w:val="single" w:sz="4" w:space="0" w:color="000000"/>
                        </w:tcBorders>
                      </w:tcPr>
                      <w:p>
                        <w:pPr/>
                      </w:p>
                    </w:tc>
                    <w:tc>
                      <w:tcPr>
                        <w:tcW w:w="3049" w:type="dxa"/>
                        <w:vMerge/>
                        <w:tcBorders>
                          <w:left w:val="single" w:sz="4" w:space="0" w:color="000000"/>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8"/>
          <w:szCs w:val="28"/>
        </w:rPr>
      </w:pPr>
    </w:p>
    <w:p>
      <w:pPr>
        <w:spacing w:before="46"/>
        <w:ind w:left="0" w:right="1127" w:firstLine="0"/>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before="46"/>
        <w:ind w:left="0" w:right="1151" w:firstLine="0"/>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after="0"/>
        <w:jc w:val="righ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r>
        <w:rPr/>
        <w:pict>
          <v:group style="position:absolute;margin-left:384.140015pt;margin-top:72.499985pt;width:149.85pt;height:15.6pt;mso-position-horizontal-relative:page;mso-position-vertical-relative:page;z-index:-1167568" coordorigin="7683,1450" coordsize="2997,312">
            <v:shape style="position:absolute;left:7683;top:1450;width:2997;height:312" coordorigin="7683,1450" coordsize="2997,312" path="m7683,1762l10679,1762,10679,1450,7683,1450,7683,1762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3193"/>
        <w:gridCol w:w="3340"/>
        <w:gridCol w:w="3037"/>
      </w:tblGrid>
      <w:tr>
        <w:trPr>
          <w:trHeight w:val="2545"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40" w:type="dxa"/>
            <w:tcBorders>
              <w:top w:val="single" w:sz="4" w:space="0" w:color="000000"/>
              <w:left w:val="single" w:sz="4" w:space="0" w:color="000000"/>
              <w:bottom w:val="single" w:sz="4" w:space="0" w:color="000000"/>
              <w:right w:val="single" w:sz="10" w:space="0" w:color="FFFFFF"/>
            </w:tcBorders>
          </w:tcPr>
          <w:p>
            <w:pPr>
              <w:pStyle w:val="TableParagraph"/>
              <w:spacing w:line="307" w:lineRule="auto" w:before="10"/>
              <w:ind w:left="23" w:right="-29"/>
              <w:jc w:val="left"/>
              <w:rPr>
                <w:rFonts w:ascii="宋体" w:hAnsi="宋体" w:cs="宋体" w:eastAsia="宋体" w:hint="default"/>
                <w:sz w:val="18"/>
                <w:szCs w:val="18"/>
              </w:rPr>
            </w:pPr>
            <w:r>
              <w:rPr>
                <w:rFonts w:ascii="宋体" w:hAnsi="宋体" w:cs="宋体" w:eastAsia="宋体" w:hint="default"/>
                <w:spacing w:val="-8"/>
                <w:w w:val="101"/>
                <w:sz w:val="18"/>
                <w:szCs w:val="18"/>
              </w:rPr>
              <w:t>陷定量标准：错报</w:t>
            </w:r>
            <w:r>
              <w:rPr>
                <w:rFonts w:ascii="Times New Roman" w:hAnsi="Times New Roman" w:cs="Times New Roman" w:eastAsia="Times New Roman" w:hint="default"/>
                <w:spacing w:val="-8"/>
                <w:w w:val="101"/>
                <w:sz w:val="18"/>
                <w:szCs w:val="18"/>
              </w:rPr>
              <w:t>≥</w:t>
            </w:r>
            <w:r>
              <w:rPr>
                <w:rFonts w:ascii="宋体" w:hAnsi="宋体" w:cs="宋体" w:eastAsia="宋体" w:hint="default"/>
                <w:spacing w:val="-8"/>
                <w:w w:val="101"/>
                <w:sz w:val="18"/>
                <w:szCs w:val="18"/>
              </w:rPr>
              <w:t>所有者权益总额的</w:t>
            </w:r>
            <w:r>
              <w:rPr>
                <w:rFonts w:ascii="宋体" w:hAnsi="宋体" w:cs="宋体" w:eastAsia="宋体" w:hint="default"/>
                <w:spacing w:val="-38"/>
                <w:w w:val="101"/>
                <w:sz w:val="18"/>
                <w:szCs w:val="18"/>
              </w:rPr>
              <w:t> </w:t>
            </w:r>
            <w:r>
              <w:rPr>
                <w:rFonts w:ascii="Times New Roman" w:hAnsi="Times New Roman" w:cs="Times New Roman" w:eastAsia="Times New Roman" w:hint="default"/>
                <w:spacing w:val="-15"/>
                <w:w w:val="101"/>
                <w:sz w:val="18"/>
                <w:szCs w:val="18"/>
              </w:rPr>
              <w:t>1%</w:t>
            </w:r>
            <w:r>
              <w:rPr>
                <w:rFonts w:ascii="宋体" w:hAnsi="宋体" w:cs="宋体" w:eastAsia="宋体" w:hint="default"/>
                <w:spacing w:val="-15"/>
                <w:w w:val="101"/>
                <w:sz w:val="18"/>
                <w:szCs w:val="18"/>
              </w:rPr>
              <w:t>；</w:t>
            </w:r>
            <w:r>
              <w:rPr>
                <w:rFonts w:ascii="宋体" w:hAnsi="宋体" w:cs="宋体" w:eastAsia="宋体" w:hint="default"/>
                <w:spacing w:val="-86"/>
                <w:w w:val="101"/>
                <w:sz w:val="18"/>
                <w:szCs w:val="18"/>
              </w:rPr>
              <w:t> </w:t>
            </w:r>
            <w:r>
              <w:rPr>
                <w:rFonts w:ascii="宋体" w:hAnsi="宋体" w:cs="宋体" w:eastAsia="宋体" w:hint="default"/>
                <w:spacing w:val="-3"/>
                <w:sz w:val="18"/>
                <w:szCs w:val="18"/>
              </w:rPr>
              <w:t>重要缺陷定量标准：所有者权益总额总额</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所有者权益总额的</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；一</w:t>
            </w:r>
            <w:r>
              <w:rPr>
                <w:rFonts w:ascii="宋体" w:hAnsi="宋体" w:cs="宋体" w:eastAsia="宋体" w:hint="default"/>
                <w:spacing w:val="-82"/>
                <w:sz w:val="18"/>
                <w:szCs w:val="18"/>
              </w:rPr>
              <w:t> </w:t>
            </w:r>
            <w:r>
              <w:rPr>
                <w:rFonts w:ascii="宋体" w:hAnsi="宋体" w:cs="宋体" w:eastAsia="宋体" w:hint="default"/>
                <w:spacing w:val="-6"/>
                <w:w w:val="101"/>
                <w:sz w:val="18"/>
                <w:szCs w:val="18"/>
              </w:rPr>
              <w:t>般缺陷定量标准：错报</w:t>
            </w:r>
            <w:r>
              <w:rPr>
                <w:rFonts w:ascii="Times New Roman" w:hAnsi="Times New Roman" w:cs="Times New Roman" w:eastAsia="Times New Roman" w:hint="default"/>
                <w:spacing w:val="-6"/>
                <w:w w:val="101"/>
                <w:sz w:val="18"/>
                <w:szCs w:val="18"/>
              </w:rPr>
              <w:t>&lt;</w:t>
            </w:r>
            <w:r>
              <w:rPr>
                <w:rFonts w:ascii="宋体" w:hAnsi="宋体" w:cs="宋体" w:eastAsia="宋体" w:hint="default"/>
                <w:spacing w:val="-6"/>
                <w:w w:val="101"/>
                <w:sz w:val="18"/>
                <w:szCs w:val="18"/>
              </w:rPr>
              <w:t>所有者权益总额的</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c>
          <w:tcPr>
            <w:tcW w:w="3037" w:type="dxa"/>
            <w:tcBorders>
              <w:top w:val="single" w:sz="4" w:space="0" w:color="000000"/>
              <w:left w:val="single" w:sz="10" w:space="0" w:color="FFFFFF"/>
              <w:bottom w:val="single" w:sz="4" w:space="0" w:color="000000"/>
              <w:right w:val="single" w:sz="4" w:space="0" w:color="000000"/>
            </w:tcBorders>
          </w:tcPr>
          <w:p>
            <w:pPr>
              <w:pStyle w:val="TableParagraph"/>
              <w:spacing w:line="302" w:lineRule="auto" w:before="10"/>
              <w:ind w:left="4" w:right="1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；一般缺陷定量标准：影响金额</w:t>
            </w:r>
            <w:r>
              <w:rPr>
                <w:rFonts w:ascii="Times New Roman" w:hAnsi="Times New Roman" w:cs="Times New Roman" w:eastAsia="Times New Roman" w:hint="default"/>
                <w:spacing w:val="-5"/>
                <w:sz w:val="18"/>
                <w:szCs w:val="18"/>
              </w:rPr>
              <w:t>&lt;</w:t>
            </w:r>
            <w:r>
              <w:rPr>
                <w:rFonts w:ascii="宋体" w:hAnsi="宋体" w:cs="宋体" w:eastAsia="宋体" w:hint="default"/>
                <w:spacing w:val="-5"/>
                <w:sz w:val="18"/>
                <w:szCs w:val="18"/>
              </w:rPr>
              <w:t>营</w:t>
            </w:r>
            <w:r>
              <w:rPr>
                <w:rFonts w:ascii="宋体" w:hAnsi="宋体" w:cs="宋体" w:eastAsia="宋体" w:hint="default"/>
                <w:spacing w:val="-46"/>
                <w:sz w:val="18"/>
                <w:szCs w:val="18"/>
              </w:rPr>
              <w:t> </w:t>
            </w:r>
            <w:r>
              <w:rPr>
                <w:rFonts w:ascii="宋体" w:hAnsi="宋体" w:cs="宋体" w:eastAsia="宋体" w:hint="default"/>
                <w:sz w:val="18"/>
                <w:szCs w:val="18"/>
              </w:rPr>
              <w:t>业收入总额的</w:t>
            </w:r>
            <w:r>
              <w:rPr>
                <w:rFonts w:ascii="宋体" w:hAnsi="宋体" w:cs="宋体" w:eastAsia="宋体" w:hint="default"/>
                <w:spacing w:val="-37"/>
                <w:sz w:val="18"/>
                <w:szCs w:val="18"/>
              </w:rPr>
              <w:t> </w:t>
            </w:r>
            <w:r>
              <w:rPr>
                <w:rFonts w:ascii="Times New Roman" w:hAnsi="Times New Roman" w:cs="Times New Roman" w:eastAsia="Times New Roman" w:hint="default"/>
                <w:spacing w:val="-3"/>
                <w:sz w:val="18"/>
                <w:szCs w:val="18"/>
              </w:rPr>
              <w:t>0.5%</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所有者权益总</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3"/>
                <w:sz w:val="18"/>
                <w:szCs w:val="18"/>
              </w:rPr>
              <w:t>额：重大缺陷定量标准：影响金额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所</w:t>
            </w:r>
            <w:r>
              <w:rPr>
                <w:rFonts w:ascii="宋体" w:hAnsi="宋体" w:cs="宋体" w:eastAsia="宋体" w:hint="default"/>
                <w:spacing w:val="-40"/>
                <w:sz w:val="18"/>
                <w:szCs w:val="18"/>
              </w:rPr>
              <w:t> </w:t>
            </w:r>
            <w:r>
              <w:rPr>
                <w:rFonts w:ascii="宋体" w:hAnsi="宋体" w:cs="宋体" w:eastAsia="宋体" w:hint="default"/>
                <w:sz w:val="18"/>
                <w:szCs w:val="18"/>
              </w:rPr>
              <w:t>有者权益总额的</w:t>
            </w:r>
            <w:r>
              <w:rPr>
                <w:rFonts w:ascii="宋体" w:hAnsi="宋体" w:cs="宋体" w:eastAsia="宋体" w:hint="default"/>
                <w:spacing w:val="-28"/>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；重要缺陷定量标</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6"/>
                <w:sz w:val="18"/>
                <w:szCs w:val="18"/>
              </w:rPr>
              <w:t>准：所有者权益总额总额的</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影响</w:t>
            </w:r>
            <w:r>
              <w:rPr>
                <w:rFonts w:ascii="宋体" w:hAnsi="宋体" w:cs="宋体" w:eastAsia="宋体" w:hint="default"/>
                <w:spacing w:val="-79"/>
                <w:sz w:val="18"/>
                <w:szCs w:val="18"/>
              </w:rPr>
              <w:t> </w:t>
            </w:r>
            <w:r>
              <w:rPr>
                <w:rFonts w:ascii="宋体" w:hAnsi="宋体" w:cs="宋体" w:eastAsia="宋体" w:hint="default"/>
                <w:spacing w:val="-3"/>
                <w:sz w:val="18"/>
                <w:szCs w:val="18"/>
              </w:rPr>
              <w:t>金额</w:t>
            </w:r>
            <w:r>
              <w:rPr>
                <w:rFonts w:ascii="Times New Roman" w:hAnsi="Times New Roman" w:cs="Times New Roman" w:eastAsia="Times New Roman" w:hint="default"/>
                <w:spacing w:val="-3"/>
                <w:sz w:val="18"/>
                <w:szCs w:val="18"/>
              </w:rPr>
              <w:t>&lt;</w:t>
            </w:r>
            <w:r>
              <w:rPr>
                <w:rFonts w:ascii="宋体" w:hAnsi="宋体" w:cs="宋体" w:eastAsia="宋体" w:hint="default"/>
                <w:spacing w:val="-3"/>
                <w:sz w:val="18"/>
                <w:szCs w:val="18"/>
              </w:rPr>
              <w:t>所有者权益总额的</w:t>
            </w:r>
            <w:r>
              <w:rPr>
                <w:rFonts w:ascii="宋体" w:hAnsi="宋体" w:cs="宋体" w:eastAsia="宋体" w:hint="default"/>
                <w:spacing w:val="-33"/>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；一般缺</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3"/>
                <w:sz w:val="18"/>
                <w:szCs w:val="18"/>
              </w:rPr>
              <w:t>陷定量标准：影响金额</w:t>
            </w:r>
            <w:r>
              <w:rPr>
                <w:rFonts w:ascii="Times New Roman" w:hAnsi="Times New Roman" w:cs="Times New Roman" w:eastAsia="Times New Roman" w:hint="default"/>
                <w:spacing w:val="-3"/>
                <w:sz w:val="18"/>
                <w:szCs w:val="18"/>
              </w:rPr>
              <w:t>&lt;</w:t>
            </w:r>
            <w:r>
              <w:rPr>
                <w:rFonts w:ascii="宋体" w:hAnsi="宋体" w:cs="宋体" w:eastAsia="宋体" w:hint="default"/>
                <w:spacing w:val="-3"/>
                <w:sz w:val="18"/>
                <w:szCs w:val="18"/>
              </w:rPr>
              <w:t>所有者权益总</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额的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r>
      <w:tr>
        <w:trPr>
          <w:trHeight w:val="40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财务报告重大缺陷数量（个）</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非财务报告重大缺陷数量（个）</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财务报告重要缺陷数量（个）</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非财务报告重要缺陷数量（个）</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十、内部控制审计报告" w:id="152"/>
      <w:bookmarkEnd w:id="152"/>
      <w:r>
        <w:rPr>
          <w:b w:val="0"/>
          <w:bCs w:val="0"/>
        </w:rPr>
      </w:r>
      <w:r>
        <w:rPr/>
        <w:t>十、内部控制审计报告</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665"/>
        <w:gridCol w:w="6905"/>
      </w:tblGrid>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内部控制审计报告中的审议意见段</w:t>
            </w:r>
          </w:p>
        </w:tc>
      </w:tr>
      <w:tr>
        <w:trPr>
          <w:trHeight w:val="716"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75"/>
              <w:jc w:val="left"/>
              <w:rPr>
                <w:rFonts w:ascii="宋体" w:hAnsi="宋体" w:cs="宋体" w:eastAsia="宋体" w:hint="default"/>
                <w:sz w:val="18"/>
                <w:szCs w:val="18"/>
              </w:rPr>
            </w:pPr>
            <w:r>
              <w:rPr>
                <w:rFonts w:ascii="宋体" w:hAnsi="宋体" w:cs="宋体" w:eastAsia="宋体" w:hint="default"/>
                <w:sz w:val="18"/>
                <w:szCs w:val="18"/>
              </w:rPr>
              <w:t>我们认为，视觉中国于</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日按照《企业内部控制基本规范》和相关规定在所有重大方面保持了有效的财务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报告内部控制。</w:t>
            </w:r>
          </w:p>
        </w:tc>
      </w:tr>
      <w:tr>
        <w:trPr>
          <w:trHeight w:val="398"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内部控制审计报告全文披露日期</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内部控制审计报告全文披露索引</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内</w:t>
            </w:r>
            <w:r>
              <w:rPr>
                <w:rFonts w:ascii="宋体" w:hAnsi="宋体" w:cs="宋体" w:eastAsia="宋体" w:hint="default"/>
                <w:w w:val="101"/>
                <w:sz w:val="18"/>
                <w:szCs w:val="18"/>
              </w:rPr>
              <w:t>部</w:t>
            </w:r>
            <w:r>
              <w:rPr>
                <w:rFonts w:ascii="宋体" w:hAnsi="宋体" w:cs="宋体" w:eastAsia="宋体" w:hint="default"/>
                <w:spacing w:val="-5"/>
                <w:w w:val="101"/>
                <w:sz w:val="18"/>
                <w:szCs w:val="18"/>
              </w:rPr>
              <w:t>控</w:t>
            </w:r>
            <w:r>
              <w:rPr>
                <w:rFonts w:ascii="宋体" w:hAnsi="宋体" w:cs="宋体" w:eastAsia="宋体" w:hint="default"/>
                <w:w w:val="101"/>
                <w:sz w:val="18"/>
                <w:szCs w:val="18"/>
              </w:rPr>
              <w:t>制</w:t>
            </w:r>
            <w:r>
              <w:rPr>
                <w:rFonts w:ascii="宋体" w:hAnsi="宋体" w:cs="宋体" w:eastAsia="宋体" w:hint="default"/>
                <w:spacing w:val="-5"/>
                <w:w w:val="101"/>
                <w:sz w:val="18"/>
                <w:szCs w:val="18"/>
              </w:rPr>
              <w:t>审</w:t>
            </w:r>
            <w:r>
              <w:rPr>
                <w:rFonts w:ascii="宋体" w:hAnsi="宋体" w:cs="宋体" w:eastAsia="宋体" w:hint="default"/>
                <w:w w:val="101"/>
                <w:sz w:val="18"/>
                <w:szCs w:val="18"/>
              </w:rPr>
              <w:t>计</w:t>
            </w:r>
            <w:r>
              <w:rPr>
                <w:rFonts w:ascii="宋体" w:hAnsi="宋体" w:cs="宋体" w:eastAsia="宋体" w:hint="default"/>
                <w:spacing w:val="-5"/>
                <w:w w:val="101"/>
                <w:sz w:val="18"/>
                <w:szCs w:val="18"/>
              </w:rPr>
              <w:t>报</w:t>
            </w:r>
            <w:r>
              <w:rPr>
                <w:rFonts w:ascii="宋体" w:hAnsi="宋体" w:cs="宋体" w:eastAsia="宋体" w:hint="default"/>
                <w:w w:val="101"/>
                <w:sz w:val="18"/>
                <w:szCs w:val="18"/>
              </w:rPr>
              <w:t>告</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巨</w:t>
            </w:r>
            <w:r>
              <w:rPr>
                <w:rFonts w:ascii="宋体" w:hAnsi="宋体" w:cs="宋体" w:eastAsia="宋体" w:hint="default"/>
                <w:spacing w:val="-5"/>
                <w:w w:val="101"/>
                <w:sz w:val="18"/>
                <w:szCs w:val="18"/>
              </w:rPr>
              <w:t>潮</w:t>
            </w:r>
            <w:r>
              <w:rPr>
                <w:rFonts w:ascii="宋体" w:hAnsi="宋体" w:cs="宋体" w:eastAsia="宋体" w:hint="default"/>
                <w:w w:val="101"/>
                <w:sz w:val="18"/>
                <w:szCs w:val="18"/>
              </w:rPr>
              <w:t>资</w:t>
            </w:r>
            <w:r>
              <w:rPr>
                <w:rFonts w:ascii="宋体" w:hAnsi="宋体" w:cs="宋体" w:eastAsia="宋体" w:hint="default"/>
                <w:spacing w:val="-5"/>
                <w:w w:val="101"/>
                <w:sz w:val="18"/>
                <w:szCs w:val="18"/>
              </w:rPr>
              <w:t>讯</w:t>
            </w:r>
            <w:r>
              <w:rPr>
                <w:rFonts w:ascii="宋体" w:hAnsi="宋体" w:cs="宋体" w:eastAsia="宋体" w:hint="default"/>
                <w:w w:val="101"/>
                <w:sz w:val="18"/>
                <w:szCs w:val="18"/>
              </w:rPr>
              <w:t>网（</w:t>
            </w:r>
            <w:hyperlink r:id="rId11">
              <w:r>
                <w:rPr>
                  <w:rFonts w:ascii="Times New Roman" w:hAnsi="Times New Roman" w:cs="Times New Roman" w:eastAsia="Times New Roman" w:hint="default"/>
                  <w:spacing w:val="-2"/>
                  <w:w w:val="101"/>
                  <w:sz w:val="18"/>
                  <w:szCs w:val="18"/>
                </w:rPr>
                <w:t>w</w:t>
              </w:r>
              <w:r>
                <w:rPr>
                  <w:rFonts w:ascii="Times New Roman" w:hAnsi="Times New Roman" w:cs="Times New Roman" w:eastAsia="Times New Roman" w:hint="default"/>
                  <w:spacing w:val="-7"/>
                  <w:w w:val="101"/>
                  <w:sz w:val="18"/>
                  <w:szCs w:val="18"/>
                </w:rPr>
                <w:t>w</w:t>
              </w:r>
              <w:r>
                <w:rPr>
                  <w:rFonts w:ascii="Times New Roman" w:hAnsi="Times New Roman" w:cs="Times New Roman" w:eastAsia="Times New Roman" w:hint="default"/>
                  <w:spacing w:val="-12"/>
                  <w:w w:val="101"/>
                  <w:sz w:val="18"/>
                  <w:szCs w:val="18"/>
                </w:rPr>
                <w:t>w</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c</w:t>
              </w:r>
              <w:r>
                <w:rPr>
                  <w:rFonts w:ascii="Times New Roman" w:hAnsi="Times New Roman" w:cs="Times New Roman" w:eastAsia="Times New Roman" w:hint="default"/>
                  <w:w w:val="101"/>
                  <w:sz w:val="18"/>
                  <w:szCs w:val="18"/>
                </w:rPr>
                <w:t>n</w:t>
              </w:r>
              <w:r>
                <w:rPr>
                  <w:rFonts w:ascii="Times New Roman" w:hAnsi="Times New Roman" w:cs="Times New Roman" w:eastAsia="Times New Roman" w:hint="default"/>
                  <w:spacing w:val="-3"/>
                  <w:w w:val="101"/>
                  <w:sz w:val="18"/>
                  <w:szCs w:val="18"/>
                </w:rPr>
                <w:t>i</w:t>
              </w:r>
              <w:r>
                <w:rPr>
                  <w:rFonts w:ascii="Times New Roman" w:hAnsi="Times New Roman" w:cs="Times New Roman" w:eastAsia="Times New Roman" w:hint="default"/>
                  <w:w w:val="101"/>
                  <w:sz w:val="18"/>
                  <w:szCs w:val="18"/>
                </w:rPr>
                <w:t>n</w:t>
              </w:r>
              <w:r>
                <w:rPr>
                  <w:rFonts w:ascii="Times New Roman" w:hAnsi="Times New Roman" w:cs="Times New Roman" w:eastAsia="Times New Roman" w:hint="default"/>
                  <w:spacing w:val="-4"/>
                  <w:w w:val="101"/>
                  <w:sz w:val="18"/>
                  <w:szCs w:val="18"/>
                </w:rPr>
                <w:t>f</w:t>
              </w:r>
              <w:r>
                <w:rPr>
                  <w:rFonts w:ascii="Times New Roman" w:hAnsi="Times New Roman" w:cs="Times New Roman" w:eastAsia="Times New Roman" w:hint="default"/>
                  <w:spacing w:val="-5"/>
                  <w:w w:val="101"/>
                  <w:sz w:val="18"/>
                  <w:szCs w:val="18"/>
                </w:rPr>
                <w:t>o</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c</w:t>
              </w:r>
              <w:r>
                <w:rPr>
                  <w:rFonts w:ascii="Times New Roman" w:hAnsi="Times New Roman" w:cs="Times New Roman" w:eastAsia="Times New Roman" w:hint="default"/>
                  <w:w w:val="101"/>
                  <w:sz w:val="18"/>
                  <w:szCs w:val="18"/>
                </w:rPr>
                <w:t>o</w:t>
              </w:r>
              <w:r>
                <w:rPr>
                  <w:rFonts w:ascii="Times New Roman" w:hAnsi="Times New Roman" w:cs="Times New Roman" w:eastAsia="Times New Roman" w:hint="default"/>
                  <w:spacing w:val="-3"/>
                  <w:w w:val="101"/>
                  <w:sz w:val="18"/>
                  <w:szCs w:val="18"/>
                </w:rPr>
                <w:t>m</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c</w:t>
              </w:r>
              <w:r>
                <w:rPr>
                  <w:rFonts w:ascii="Times New Roman" w:hAnsi="Times New Roman" w:cs="Times New Roman" w:eastAsia="Times New Roman" w:hint="default"/>
                  <w:spacing w:val="1"/>
                  <w:w w:val="101"/>
                  <w:sz w:val="18"/>
                  <w:szCs w:val="18"/>
                </w:rPr>
                <w:t>n</w:t>
              </w:r>
            </w:hyperlink>
            <w:r>
              <w:rPr>
                <w:rFonts w:ascii="宋体" w:hAnsi="宋体" w:cs="宋体" w:eastAsia="宋体" w:hint="default"/>
                <w:w w:val="101"/>
                <w:sz w:val="18"/>
                <w:szCs w:val="18"/>
              </w:rPr>
              <w:t>）</w:t>
            </w:r>
            <w:r>
              <w:rPr>
                <w:rFonts w:ascii="宋体" w:hAnsi="宋体" w:cs="宋体" w:eastAsia="宋体" w:hint="default"/>
                <w:sz w:val="18"/>
                <w:szCs w:val="18"/>
              </w:rPr>
            </w:r>
          </w:p>
        </w:tc>
      </w:tr>
      <w:tr>
        <w:trPr>
          <w:trHeight w:val="404"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标准无保留意见</w:t>
            </w:r>
          </w:p>
        </w:tc>
      </w:tr>
      <w:tr>
        <w:trPr>
          <w:trHeight w:val="398"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非财务报告是否存在重大缺陷</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会计师事务所是否出具非标准意见的内部控制审计报告</w:t>
      </w:r>
    </w:p>
    <w:p>
      <w:pPr>
        <w:spacing w:line="338" w:lineRule="auto" w:before="119"/>
        <w:ind w:left="153" w:right="3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3"/>
          <w:sz w:val="18"/>
          <w:szCs w:val="18"/>
        </w:rPr>
        <w:t> </w:t>
      </w:r>
      <w:r>
        <w:rPr>
          <w:rFonts w:ascii="宋体" w:hAnsi="宋体" w:cs="宋体" w:eastAsia="宋体" w:hint="default"/>
          <w:spacing w:val="-3"/>
          <w:sz w:val="18"/>
          <w:szCs w:val="18"/>
        </w:rPr>
        <w:t>会计师事务所出具的内部控制审计报告与董事会的自我评价报告意见是否一致</w:t>
      </w: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043" w:right="0"/>
        <w:jc w:val="left"/>
        <w:rPr>
          <w:b w:val="0"/>
          <w:bCs w:val="0"/>
        </w:rPr>
      </w:pPr>
      <w:bookmarkStart w:name="第十一节公司债券相关情况" w:id="153"/>
      <w:bookmarkEnd w:id="153"/>
      <w:r>
        <w:rPr>
          <w:b w:val="0"/>
          <w:bCs w:val="0"/>
        </w:rPr>
      </w:r>
      <w:bookmarkStart w:name="_bookmark10" w:id="154"/>
      <w:bookmarkEnd w:id="154"/>
      <w:r>
        <w:rPr>
          <w:b w:val="0"/>
          <w:bCs w:val="0"/>
        </w:rPr>
      </w:r>
      <w:r>
        <w:rPr/>
        <w:t>第十一节公司债券相关情况</w:t>
      </w:r>
      <w:r>
        <w:rPr>
          <w:b w:val="0"/>
          <w:bCs w:val="0"/>
        </w:rPr>
      </w:r>
    </w:p>
    <w:p>
      <w:pPr>
        <w:spacing w:line="240" w:lineRule="auto" w:before="12"/>
        <w:rPr>
          <w:rFonts w:ascii="宋体" w:hAnsi="宋体" w:cs="宋体" w:eastAsia="宋体" w:hint="default"/>
          <w:b/>
          <w:bCs/>
          <w:sz w:val="42"/>
          <w:szCs w:val="42"/>
        </w:rPr>
      </w:pPr>
    </w:p>
    <w:p>
      <w:pPr>
        <w:spacing w:line="357" w:lineRule="auto" w:before="0"/>
        <w:ind w:left="153" w:right="2115" w:firstLine="0"/>
        <w:jc w:val="left"/>
        <w:rPr>
          <w:rFonts w:ascii="宋体" w:hAnsi="宋体" w:cs="宋体" w:eastAsia="宋体" w:hint="default"/>
          <w:sz w:val="18"/>
          <w:szCs w:val="18"/>
        </w:rPr>
      </w:pPr>
      <w:r>
        <w:rPr>
          <w:rFonts w:ascii="宋体" w:hAnsi="宋体" w:cs="宋体" w:eastAsia="宋体" w:hint="default"/>
          <w:spacing w:val="-3"/>
          <w:sz w:val="18"/>
          <w:szCs w:val="18"/>
        </w:rPr>
        <w:t>公司是否存在公开发行并在证券交易所上市，且在年度报告批准报出日未到期或到期未能全额兑付的公司债券</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否</w:t>
      </w:r>
    </w:p>
    <w:p>
      <w:pPr>
        <w:spacing w:after="0" w:line="357"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606" w:right="0"/>
        <w:jc w:val="left"/>
        <w:rPr>
          <w:b w:val="0"/>
          <w:bCs w:val="0"/>
        </w:rPr>
      </w:pPr>
      <w:bookmarkStart w:name="第十二节 财务报告" w:id="155"/>
      <w:bookmarkEnd w:id="155"/>
      <w:r>
        <w:rPr>
          <w:b w:val="0"/>
          <w:bCs w:val="0"/>
        </w:rPr>
      </w:r>
      <w:bookmarkStart w:name="_bookmark11" w:id="156"/>
      <w:bookmarkEnd w:id="156"/>
      <w:r>
        <w:rPr>
          <w:b w:val="0"/>
          <w:bCs w:val="0"/>
        </w:rPr>
      </w:r>
      <w:r>
        <w:rPr/>
        <w:t>第十二节</w:t>
      </w:r>
      <w:r>
        <w:rPr>
          <w:spacing w:val="-1"/>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7"/>
      <w:bookmarkEnd w:id="157"/>
      <w:r>
        <w:rPr>
          <w:b w:val="0"/>
          <w:bCs w:val="0"/>
        </w:rPr>
      </w:r>
      <w:r>
        <w:rPr/>
        <w:t>一、审计报告</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中审众环会计师事务所（特殊普通合伙）</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众环审字</w:t>
            </w:r>
            <w:r>
              <w:rPr>
                <w:rFonts w:ascii="Times New Roman" w:hAnsi="Times New Roman" w:cs="Times New Roman" w:eastAsia="Times New Roman" w:hint="default"/>
                <w:sz w:val="18"/>
                <w:szCs w:val="18"/>
              </w:rPr>
              <w:t>[2020] 080180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黄丽琼、安素强</w:t>
            </w:r>
          </w:p>
        </w:tc>
      </w:tr>
    </w:tbl>
    <w:p>
      <w:pPr>
        <w:spacing w:before="53"/>
        <w:ind w:left="135" w:right="1108"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before="115"/>
        <w:ind w:left="153" w:right="0" w:firstLine="0"/>
        <w:jc w:val="left"/>
        <w:rPr>
          <w:rFonts w:ascii="宋体" w:hAnsi="宋体" w:cs="宋体" w:eastAsia="宋体" w:hint="default"/>
          <w:sz w:val="18"/>
          <w:szCs w:val="18"/>
        </w:rPr>
      </w:pPr>
      <w:r>
        <w:rPr>
          <w:rFonts w:ascii="宋体" w:hAnsi="宋体" w:cs="宋体" w:eastAsia="宋体" w:hint="default"/>
          <w:b/>
          <w:bCs/>
          <w:sz w:val="18"/>
          <w:szCs w:val="18"/>
        </w:rPr>
        <w:t>视觉（中国）文化发展股份有限公司全体股东：</w:t>
      </w:r>
      <w:r>
        <w:rPr>
          <w:rFonts w:ascii="宋体" w:hAnsi="宋体" w:cs="宋体" w:eastAsia="宋体" w:hint="default"/>
          <w:sz w:val="18"/>
          <w:szCs w:val="18"/>
        </w:rPr>
      </w:r>
    </w:p>
    <w:p>
      <w:pPr>
        <w:spacing w:line="240" w:lineRule="auto" w:before="2"/>
        <w:rPr>
          <w:rFonts w:ascii="宋体" w:hAnsi="宋体" w:cs="宋体" w:eastAsia="宋体" w:hint="default"/>
          <w:b/>
          <w:bCs/>
          <w:sz w:val="26"/>
          <w:szCs w:val="26"/>
        </w:rPr>
      </w:pPr>
    </w:p>
    <w:p>
      <w:pPr>
        <w:spacing w:line="316" w:lineRule="auto" w:before="46"/>
        <w:ind w:left="513" w:right="1127" w:firstLine="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审计意见</w:t>
      </w:r>
      <w:r>
        <w:rPr>
          <w:rFonts w:ascii="宋体" w:hAnsi="宋体" w:cs="宋体" w:eastAsia="宋体" w:hint="default"/>
          <w:b/>
          <w:bCs/>
          <w:spacing w:val="-88"/>
          <w:sz w:val="18"/>
          <w:szCs w:val="18"/>
        </w:rPr>
        <w:t> </w:t>
      </w:r>
      <w:r>
        <w:rPr>
          <w:rFonts w:ascii="宋体" w:hAnsi="宋体" w:cs="宋体" w:eastAsia="宋体" w:hint="default"/>
          <w:b/>
          <w:bCs/>
          <w:spacing w:val="-88"/>
          <w:sz w:val="18"/>
          <w:szCs w:val="18"/>
        </w:rPr>
      </w:r>
      <w:r>
        <w:rPr>
          <w:rFonts w:ascii="宋体" w:hAnsi="宋体" w:cs="宋体" w:eastAsia="宋体" w:hint="default"/>
          <w:spacing w:val="-4"/>
          <w:sz w:val="18"/>
          <w:szCs w:val="18"/>
        </w:rPr>
        <w:t>我们审计了视觉（中国）文化发展股份有限公司（以下简称视觉中国）财务报表，包括</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12</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31</w:t>
      </w:r>
      <w:r>
        <w:rPr>
          <w:rFonts w:ascii="宋体" w:hAnsi="宋体" w:cs="宋体" w:eastAsia="宋体" w:hint="default"/>
          <w:spacing w:val="-4"/>
          <w:sz w:val="18"/>
          <w:szCs w:val="18"/>
        </w:rPr>
        <w:t>日的合并及公司资</w:t>
      </w:r>
    </w:p>
    <w:p>
      <w:pPr>
        <w:spacing w:line="300" w:lineRule="auto" w:before="0"/>
        <w:ind w:left="513" w:right="0" w:hanging="360"/>
        <w:jc w:val="left"/>
        <w:rPr>
          <w:rFonts w:ascii="宋体" w:hAnsi="宋体" w:cs="宋体" w:eastAsia="宋体" w:hint="default"/>
          <w:sz w:val="18"/>
          <w:szCs w:val="18"/>
        </w:rPr>
      </w:pPr>
      <w:r>
        <w:rPr>
          <w:rFonts w:ascii="宋体" w:hAnsi="宋体" w:cs="宋体" w:eastAsia="宋体" w:hint="default"/>
          <w:spacing w:val="-3"/>
          <w:sz w:val="18"/>
          <w:szCs w:val="18"/>
        </w:rPr>
        <w:t>产负债表，</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年度的合并及公司利润表、合并及公司现金流量表、合并及公司股东权益变动表以及相关财务报表附注。</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4"/>
          <w:sz w:val="18"/>
          <w:szCs w:val="18"/>
        </w:rPr>
        <w:t>我们认为，后附的财务报表在所有重大方面按照企业会计准则的规定编制，公允反映了视觉中国</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12</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31</w:t>
      </w:r>
      <w:r>
        <w:rPr>
          <w:rFonts w:ascii="宋体" w:hAnsi="宋体" w:cs="宋体" w:eastAsia="宋体" w:hint="default"/>
          <w:spacing w:val="-4"/>
          <w:sz w:val="18"/>
          <w:szCs w:val="18"/>
        </w:rPr>
        <w:t>日合并及</w:t>
      </w:r>
    </w:p>
    <w:p>
      <w:pPr>
        <w:spacing w:before="1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公司的财务状况以及</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年度合并及公司的经营成果和现金流量。</w:t>
      </w:r>
    </w:p>
    <w:p>
      <w:pPr>
        <w:spacing w:line="240" w:lineRule="auto" w:before="0"/>
        <w:rPr>
          <w:rFonts w:ascii="宋体" w:hAnsi="宋体" w:cs="宋体" w:eastAsia="宋体" w:hint="default"/>
          <w:sz w:val="18"/>
          <w:szCs w:val="18"/>
        </w:rPr>
      </w:pPr>
    </w:p>
    <w:p>
      <w:pPr>
        <w:spacing w:line="316" w:lineRule="auto" w:before="139"/>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2. </w:t>
      </w:r>
      <w:r>
        <w:rPr>
          <w:rFonts w:ascii="宋体" w:hAnsi="宋体" w:cs="宋体" w:eastAsia="宋体" w:hint="default"/>
          <w:b/>
          <w:bCs/>
          <w:sz w:val="18"/>
          <w:szCs w:val="18"/>
        </w:rPr>
        <w:t>形成审计意见的基础</w:t>
      </w:r>
      <w:r>
        <w:rPr>
          <w:rFonts w:ascii="宋体" w:hAnsi="宋体" w:cs="宋体" w:eastAsia="宋体" w:hint="default"/>
          <w:b/>
          <w:bCs/>
          <w:w w:val="100"/>
          <w:sz w:val="18"/>
          <w:szCs w:val="18"/>
        </w:rPr>
        <w:t> </w:t>
      </w:r>
      <w:r>
        <w:rPr>
          <w:rFonts w:ascii="宋体" w:hAnsi="宋体" w:cs="宋体" w:eastAsia="宋体" w:hint="default"/>
          <w:spacing w:val="-4"/>
          <w:sz w:val="18"/>
          <w:szCs w:val="18"/>
        </w:rPr>
        <w:t>我们按照中国注册会计师审计准则的规定执行了审计工作。审计报告的</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注册会计师对财务报表审计的责任</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部分进一步</w:t>
      </w:r>
    </w:p>
    <w:p>
      <w:pPr>
        <w:spacing w:line="319" w:lineRule="auto" w:before="0"/>
        <w:ind w:left="153" w:right="0" w:firstLine="0"/>
        <w:jc w:val="left"/>
        <w:rPr>
          <w:rFonts w:ascii="宋体" w:hAnsi="宋体" w:cs="宋体" w:eastAsia="宋体" w:hint="default"/>
          <w:sz w:val="18"/>
          <w:szCs w:val="18"/>
        </w:rPr>
      </w:pPr>
      <w:r>
        <w:rPr>
          <w:rFonts w:ascii="宋体" w:hAnsi="宋体" w:cs="宋体" w:eastAsia="宋体" w:hint="default"/>
          <w:spacing w:val="-4"/>
          <w:sz w:val="18"/>
          <w:szCs w:val="18"/>
        </w:rPr>
        <w:t>阐述了我们在这些准则下的责任。按照中国注册会计师职业道德守则，我们独立于视觉中国，并履行了职业道德方面的其他</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责任。我们相信，我们获取的审计证据是充分、适当的，为发表审计意见提供了基础。</w:t>
      </w:r>
    </w:p>
    <w:p>
      <w:pPr>
        <w:spacing w:line="240" w:lineRule="auto" w:before="2"/>
        <w:rPr>
          <w:rFonts w:ascii="宋体" w:hAnsi="宋体" w:cs="宋体" w:eastAsia="宋体" w:hint="default"/>
          <w:sz w:val="25"/>
          <w:szCs w:val="25"/>
        </w:rPr>
      </w:pPr>
    </w:p>
    <w:p>
      <w:pPr>
        <w:spacing w:line="316" w:lineRule="auto" w:before="0"/>
        <w:ind w:left="575" w:right="1127" w:hanging="63"/>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关键审计事项</w:t>
      </w:r>
      <w:r>
        <w:rPr>
          <w:rFonts w:ascii="宋体" w:hAnsi="宋体" w:cs="宋体" w:eastAsia="宋体" w:hint="default"/>
          <w:b/>
          <w:bCs/>
          <w:spacing w:val="-85"/>
          <w:sz w:val="18"/>
          <w:szCs w:val="18"/>
        </w:rPr>
        <w:t> </w:t>
      </w:r>
      <w:r>
        <w:rPr>
          <w:rFonts w:ascii="宋体" w:hAnsi="宋体" w:cs="宋体" w:eastAsia="宋体" w:hint="default"/>
          <w:b/>
          <w:bCs/>
          <w:spacing w:val="-85"/>
          <w:sz w:val="18"/>
          <w:szCs w:val="18"/>
        </w:rPr>
      </w:r>
      <w:r>
        <w:rPr>
          <w:rFonts w:ascii="宋体" w:hAnsi="宋体" w:cs="宋体" w:eastAsia="宋体" w:hint="default"/>
          <w:spacing w:val="-2"/>
          <w:sz w:val="18"/>
          <w:szCs w:val="18"/>
        </w:rPr>
        <w:t>关键审计事项是我们根据职业判断，认为对本期财务报表审计最为重要的事项。这些事项的应对以对财务报表整体进</w:t>
      </w:r>
    </w:p>
    <w:p>
      <w:pPr>
        <w:spacing w:line="319" w:lineRule="auto" w:before="19"/>
        <w:ind w:left="575" w:right="1127" w:hanging="423"/>
        <w:jc w:val="left"/>
        <w:rPr>
          <w:rFonts w:ascii="宋体" w:hAnsi="宋体" w:cs="宋体" w:eastAsia="宋体" w:hint="default"/>
          <w:sz w:val="18"/>
          <w:szCs w:val="18"/>
        </w:rPr>
      </w:pPr>
      <w:r>
        <w:rPr>
          <w:rFonts w:ascii="宋体" w:hAnsi="宋体" w:cs="宋体" w:eastAsia="宋体" w:hint="default"/>
          <w:spacing w:val="-3"/>
          <w:sz w:val="18"/>
          <w:szCs w:val="18"/>
        </w:rPr>
        <w:t>行审计并形成审计意见为背景，我们不对这些事项单独发表意见。</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pacing w:val="-3"/>
          <w:sz w:val="18"/>
          <w:szCs w:val="18"/>
        </w:rPr>
        <w:t>我们确定下列事项是需要在审计报告中沟通的关键审计事项。</w:t>
      </w:r>
    </w:p>
    <w:p>
      <w:pPr>
        <w:spacing w:before="17"/>
        <w:ind w:left="575" w:right="0" w:firstLine="0"/>
        <w:jc w:val="left"/>
        <w:rPr>
          <w:rFonts w:ascii="宋体" w:hAnsi="宋体" w:cs="宋体" w:eastAsia="宋体" w:hint="default"/>
          <w:sz w:val="18"/>
          <w:szCs w:val="18"/>
        </w:rPr>
      </w:pPr>
      <w:r>
        <w:rPr>
          <w:rFonts w:ascii="宋体" w:hAnsi="宋体" w:cs="宋体" w:eastAsia="宋体" w:hint="default"/>
          <w:b/>
          <w:bCs/>
          <w:sz w:val="18"/>
          <w:szCs w:val="18"/>
        </w:rPr>
        <w:t>（一）</w:t>
      </w:r>
      <w:r>
        <w:rPr>
          <w:rFonts w:ascii="宋体" w:hAnsi="宋体" w:cs="宋体" w:eastAsia="宋体" w:hint="default"/>
          <w:sz w:val="18"/>
          <w:szCs w:val="18"/>
        </w:rPr>
        <w:t>收入确认</w:t>
      </w:r>
    </w:p>
    <w:p>
      <w:pPr>
        <w:spacing w:line="240" w:lineRule="auto" w:before="0"/>
        <w:rPr>
          <w:rFonts w:ascii="宋体" w:hAnsi="宋体" w:cs="宋体" w:eastAsia="宋体" w:hint="default"/>
          <w:sz w:val="5"/>
          <w:szCs w:val="5"/>
        </w:rPr>
      </w:pPr>
    </w:p>
    <w:tbl>
      <w:tblPr>
        <w:tblW w:w="0" w:type="auto"/>
        <w:jc w:val="left"/>
        <w:tblInd w:w="143" w:type="dxa"/>
        <w:tblLayout w:type="fixed"/>
        <w:tblCellMar>
          <w:top w:w="0" w:type="dxa"/>
          <w:left w:w="0" w:type="dxa"/>
          <w:bottom w:w="0" w:type="dxa"/>
          <w:right w:w="0" w:type="dxa"/>
        </w:tblCellMar>
        <w:tblLook w:val="01E0"/>
      </w:tblPr>
      <w:tblGrid>
        <w:gridCol w:w="4014"/>
        <w:gridCol w:w="5016"/>
      </w:tblGrid>
      <w:tr>
        <w:trPr>
          <w:trHeight w:val="545" w:hRule="exact"/>
        </w:trPr>
        <w:tc>
          <w:tcPr>
            <w:tcW w:w="40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6"/>
              <w:ind w:left="4" w:right="0"/>
              <w:jc w:val="center"/>
              <w:rPr>
                <w:rFonts w:ascii="宋体" w:hAnsi="宋体" w:cs="宋体" w:eastAsia="宋体" w:hint="default"/>
                <w:sz w:val="18"/>
                <w:szCs w:val="18"/>
              </w:rPr>
            </w:pPr>
            <w:r>
              <w:rPr>
                <w:rFonts w:ascii="宋体" w:hAnsi="宋体" w:cs="宋体" w:eastAsia="宋体" w:hint="default"/>
                <w:sz w:val="18"/>
                <w:szCs w:val="18"/>
              </w:rPr>
              <w:t>关键审计事项</w:t>
            </w:r>
          </w:p>
        </w:tc>
        <w:tc>
          <w:tcPr>
            <w:tcW w:w="501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6"/>
              <w:ind w:left="1507" w:right="0"/>
              <w:jc w:val="left"/>
              <w:rPr>
                <w:rFonts w:ascii="宋体" w:hAnsi="宋体" w:cs="宋体" w:eastAsia="宋体" w:hint="default"/>
                <w:sz w:val="18"/>
                <w:szCs w:val="18"/>
              </w:rPr>
            </w:pPr>
            <w:r>
              <w:rPr>
                <w:rFonts w:ascii="宋体" w:hAnsi="宋体" w:cs="宋体" w:eastAsia="宋体" w:hint="default"/>
                <w:spacing w:val="-3"/>
                <w:sz w:val="18"/>
                <w:szCs w:val="18"/>
              </w:rPr>
              <w:t>在审计中如何应对该事项</w:t>
            </w:r>
          </w:p>
        </w:tc>
      </w:tr>
      <w:tr>
        <w:trPr>
          <w:trHeight w:val="3356" w:hRule="exact"/>
        </w:trPr>
        <w:tc>
          <w:tcPr>
            <w:tcW w:w="4014" w:type="dxa"/>
            <w:tcBorders>
              <w:top w:val="single" w:sz="12" w:space="0" w:color="000000"/>
              <w:left w:val="single" w:sz="6" w:space="0" w:color="000000"/>
              <w:bottom w:val="single" w:sz="12" w:space="0" w:color="000000"/>
              <w:right w:val="single" w:sz="6" w:space="0" w:color="000000"/>
            </w:tcBorders>
          </w:tcPr>
          <w:p>
            <w:pPr>
              <w:pStyle w:val="TableParagraph"/>
              <w:spacing w:line="309" w:lineRule="auto" w:before="15"/>
              <w:ind w:left="4" w:right="-5" w:firstLine="259"/>
              <w:jc w:val="right"/>
              <w:rPr>
                <w:rFonts w:ascii="宋体" w:hAnsi="宋体" w:cs="宋体" w:eastAsia="宋体" w:hint="default"/>
                <w:sz w:val="18"/>
                <w:szCs w:val="18"/>
              </w:rPr>
            </w:pPr>
            <w:r>
              <w:rPr>
                <w:rFonts w:ascii="宋体" w:hAnsi="宋体" w:cs="宋体" w:eastAsia="宋体" w:hint="default"/>
                <w:spacing w:val="-5"/>
                <w:sz w:val="18"/>
                <w:szCs w:val="18"/>
              </w:rPr>
              <w:t>请参见财务报表附注五、</w:t>
            </w:r>
            <w:r>
              <w:rPr>
                <w:rFonts w:ascii="Times New Roman" w:hAnsi="Times New Roman" w:cs="Times New Roman" w:eastAsia="Times New Roman" w:hint="default"/>
                <w:spacing w:val="-5"/>
                <w:sz w:val="18"/>
                <w:szCs w:val="18"/>
              </w:rPr>
              <w:t>23</w:t>
            </w:r>
            <w:r>
              <w:rPr>
                <w:rFonts w:ascii="宋体" w:hAnsi="宋体" w:cs="宋体" w:eastAsia="宋体" w:hint="default"/>
                <w:spacing w:val="-5"/>
                <w:sz w:val="18"/>
                <w:szCs w:val="18"/>
              </w:rPr>
              <w:t>及附注七、</w:t>
            </w:r>
            <w:r>
              <w:rPr>
                <w:rFonts w:ascii="Times New Roman" w:hAnsi="Times New Roman" w:cs="Times New Roman" w:eastAsia="Times New Roman" w:hint="default"/>
                <w:spacing w:val="-5"/>
                <w:sz w:val="18"/>
                <w:szCs w:val="18"/>
              </w:rPr>
              <w:t>35</w:t>
            </w:r>
            <w:r>
              <w:rPr>
                <w:rFonts w:ascii="宋体" w:hAnsi="宋体" w:cs="宋体" w:eastAsia="宋体" w:hint="default"/>
                <w:spacing w:val="-5"/>
                <w:sz w:val="18"/>
                <w:szCs w:val="18"/>
              </w:rPr>
              <w:t>。视觉</w:t>
            </w:r>
            <w:r>
              <w:rPr>
                <w:rFonts w:ascii="宋体" w:hAnsi="宋体" w:cs="宋体" w:eastAsia="宋体" w:hint="default"/>
                <w:w w:val="101"/>
                <w:sz w:val="18"/>
                <w:szCs w:val="18"/>
              </w:rPr>
              <w:t> </w:t>
            </w:r>
            <w:r>
              <w:rPr>
                <w:rFonts w:ascii="宋体" w:hAnsi="宋体" w:cs="宋体" w:eastAsia="宋体" w:hint="default"/>
                <w:spacing w:val="-3"/>
                <w:sz w:val="18"/>
                <w:szCs w:val="18"/>
              </w:rPr>
              <w:t>中国</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年度的收入为</w:t>
            </w:r>
            <w:r>
              <w:rPr>
                <w:rFonts w:ascii="Times New Roman" w:hAnsi="Times New Roman" w:cs="Times New Roman" w:eastAsia="Times New Roman" w:hint="default"/>
                <w:spacing w:val="-3"/>
                <w:sz w:val="18"/>
                <w:szCs w:val="18"/>
              </w:rPr>
              <w:t>722,107,028.63</w:t>
            </w:r>
            <w:r>
              <w:rPr>
                <w:rFonts w:ascii="宋体" w:hAnsi="宋体" w:cs="宋体" w:eastAsia="宋体" w:hint="default"/>
                <w:spacing w:val="-3"/>
                <w:sz w:val="18"/>
                <w:szCs w:val="18"/>
              </w:rPr>
              <w:t>元，主要来自</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pacing w:val="-1"/>
                <w:sz w:val="18"/>
                <w:szCs w:val="18"/>
              </w:rPr>
              <w:t>于视觉内容与服务。由于视觉中国需要在业务系统</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1"/>
                <w:sz w:val="18"/>
                <w:szCs w:val="18"/>
              </w:rPr>
              <w:t>中处理当年各类销售而产生大量业务数据，因此在</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3"/>
                <w:sz w:val="18"/>
                <w:szCs w:val="18"/>
              </w:rPr>
              <w:t>合并财务报表中收入确认的准确性存在固有风险。</w:t>
            </w:r>
          </w:p>
          <w:p>
            <w:pPr>
              <w:pStyle w:val="TableParagraph"/>
              <w:spacing w:line="319" w:lineRule="auto" w:before="120"/>
              <w:ind w:left="4" w:right="-4" w:firstLine="259"/>
              <w:jc w:val="both"/>
              <w:rPr>
                <w:rFonts w:ascii="宋体" w:hAnsi="宋体" w:cs="宋体" w:eastAsia="宋体" w:hint="default"/>
                <w:sz w:val="18"/>
                <w:szCs w:val="18"/>
              </w:rPr>
            </w:pPr>
            <w:r>
              <w:rPr>
                <w:rFonts w:ascii="宋体" w:hAnsi="宋体" w:cs="宋体" w:eastAsia="宋体" w:hint="default"/>
                <w:spacing w:val="-5"/>
                <w:sz w:val="18"/>
                <w:szCs w:val="18"/>
              </w:rPr>
              <w:t>由于收入是视觉中国的关键绩效指标之一，且其</w:t>
            </w:r>
            <w:r>
              <w:rPr>
                <w:rFonts w:ascii="宋体" w:hAnsi="宋体" w:cs="宋体" w:eastAsia="宋体" w:hint="default"/>
                <w:w w:val="101"/>
                <w:sz w:val="18"/>
                <w:szCs w:val="18"/>
              </w:rPr>
              <w:t> </w:t>
            </w:r>
            <w:r>
              <w:rPr>
                <w:rFonts w:ascii="宋体" w:hAnsi="宋体" w:cs="宋体" w:eastAsia="宋体" w:hint="default"/>
                <w:spacing w:val="-1"/>
                <w:sz w:val="18"/>
                <w:szCs w:val="18"/>
              </w:rPr>
              <w:t>涉及复杂的信息技术系统和管理层判断，使得收入</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1"/>
                <w:sz w:val="18"/>
                <w:szCs w:val="18"/>
              </w:rPr>
              <w:t>存在可能被确认于不正确的期间或被操控以达到目</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1"/>
                <w:sz w:val="18"/>
                <w:szCs w:val="18"/>
              </w:rPr>
              <w:t>标或预期水平的固有风险，我们将视觉中国的收入</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确认识别为关键审计事项。</w:t>
            </w:r>
          </w:p>
        </w:tc>
        <w:tc>
          <w:tcPr>
            <w:tcW w:w="50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pacing w:val="33"/>
                <w:sz w:val="18"/>
                <w:szCs w:val="18"/>
              </w:rPr>
              <w:t> </w:t>
            </w:r>
            <w:r>
              <w:rPr>
                <w:rFonts w:ascii="宋体" w:hAnsi="宋体" w:cs="宋体" w:eastAsia="宋体" w:hint="default"/>
                <w:spacing w:val="-3"/>
                <w:sz w:val="18"/>
                <w:szCs w:val="18"/>
              </w:rPr>
              <w:t>我们的审计程序中包括：</w:t>
            </w:r>
          </w:p>
          <w:p>
            <w:pPr>
              <w:pStyle w:val="TableParagraph"/>
              <w:spacing w:line="300" w:lineRule="auto" w:before="76"/>
              <w:ind w:left="4" w:right="8" w:firstLine="259"/>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）了解、评估并测试了视觉中国自审批客户订单至销售交</w:t>
            </w:r>
            <w:r>
              <w:rPr>
                <w:rFonts w:ascii="宋体" w:hAnsi="宋体" w:cs="宋体" w:eastAsia="宋体" w:hint="default"/>
                <w:w w:val="101"/>
                <w:sz w:val="18"/>
                <w:szCs w:val="18"/>
              </w:rPr>
              <w:t> </w:t>
            </w:r>
            <w:r>
              <w:rPr>
                <w:rFonts w:ascii="宋体" w:hAnsi="宋体" w:cs="宋体" w:eastAsia="宋体" w:hint="default"/>
                <w:spacing w:val="-3"/>
                <w:sz w:val="18"/>
                <w:szCs w:val="18"/>
              </w:rPr>
              <w:t>易入账的收入流程以及管理层关键内部控制；</w:t>
            </w:r>
          </w:p>
          <w:p>
            <w:pPr>
              <w:pStyle w:val="TableParagraph"/>
              <w:spacing w:line="300" w:lineRule="auto" w:before="31"/>
              <w:ind w:left="4" w:right="8" w:firstLine="259"/>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）利用本所内部信息技术专家的工作，评价业务系统运行</w:t>
            </w:r>
            <w:r>
              <w:rPr>
                <w:rFonts w:ascii="宋体" w:hAnsi="宋体" w:cs="宋体" w:eastAsia="宋体" w:hint="default"/>
                <w:w w:val="101"/>
                <w:sz w:val="18"/>
                <w:szCs w:val="18"/>
              </w:rPr>
              <w:t> </w:t>
            </w:r>
            <w:r>
              <w:rPr>
                <w:rFonts w:ascii="宋体" w:hAnsi="宋体" w:cs="宋体" w:eastAsia="宋体" w:hint="default"/>
                <w:spacing w:val="-3"/>
                <w:sz w:val="18"/>
                <w:szCs w:val="18"/>
              </w:rPr>
              <w:t>的完整性和准确性；</w:t>
            </w:r>
          </w:p>
          <w:p>
            <w:pPr>
              <w:pStyle w:val="TableParagraph"/>
              <w:spacing w:line="300" w:lineRule="auto" w:before="31"/>
              <w:ind w:left="4" w:right="8" w:firstLine="259"/>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）选取部分重要视觉内容与服务的业务系统数据与财务系</w:t>
            </w:r>
            <w:r>
              <w:rPr>
                <w:rFonts w:ascii="宋体" w:hAnsi="宋体" w:cs="宋体" w:eastAsia="宋体" w:hint="default"/>
                <w:w w:val="101"/>
                <w:sz w:val="18"/>
                <w:szCs w:val="18"/>
              </w:rPr>
              <w:t> </w:t>
            </w:r>
            <w:r>
              <w:rPr>
                <w:rFonts w:ascii="宋体" w:hAnsi="宋体" w:cs="宋体" w:eastAsia="宋体" w:hint="default"/>
                <w:sz w:val="18"/>
                <w:szCs w:val="18"/>
              </w:rPr>
              <w:t>统数据进行核对；</w:t>
            </w:r>
          </w:p>
          <w:p>
            <w:pPr>
              <w:pStyle w:val="TableParagraph"/>
              <w:spacing w:line="300" w:lineRule="auto" w:before="32"/>
              <w:ind w:left="4" w:right="-28" w:firstLine="259"/>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）选取视觉内容与服务业务中重要客户的合同进行检查，</w:t>
            </w:r>
            <w:r>
              <w:rPr>
                <w:rFonts w:ascii="宋体" w:hAnsi="宋体" w:cs="宋体" w:eastAsia="宋体" w:hint="default"/>
                <w:w w:val="101"/>
                <w:sz w:val="18"/>
                <w:szCs w:val="18"/>
              </w:rPr>
              <w:t> </w:t>
            </w:r>
            <w:r>
              <w:rPr>
                <w:rFonts w:ascii="宋体" w:hAnsi="宋体" w:cs="宋体" w:eastAsia="宋体" w:hint="default"/>
                <w:spacing w:val="-3"/>
                <w:sz w:val="18"/>
                <w:szCs w:val="18"/>
              </w:rPr>
              <w:t>与相关的信息系统、财务数据进行核对；</w:t>
            </w:r>
          </w:p>
          <w:p>
            <w:pPr>
              <w:pStyle w:val="TableParagraph"/>
              <w:spacing w:line="240" w:lineRule="auto" w:before="31"/>
              <w:ind w:left="263"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）对收入以及毛利情况进行分析，判断本期收入金额是否</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8"/>
          <w:szCs w:val="28"/>
        </w:rPr>
      </w:pPr>
    </w:p>
    <w:p>
      <w:pPr>
        <w:spacing w:line="1203" w:lineRule="exact"/>
        <w:ind w:left="129" w:right="0" w:firstLine="0"/>
        <w:rPr>
          <w:rFonts w:ascii="宋体" w:hAnsi="宋体" w:cs="宋体" w:eastAsia="宋体" w:hint="default"/>
          <w:sz w:val="20"/>
          <w:szCs w:val="20"/>
        </w:rPr>
      </w:pPr>
      <w:r>
        <w:rPr>
          <w:rFonts w:ascii="宋体" w:hAnsi="宋体" w:cs="宋体" w:eastAsia="宋体" w:hint="default"/>
          <w:position w:val="-23"/>
          <w:sz w:val="20"/>
          <w:szCs w:val="20"/>
        </w:rPr>
        <w:pict>
          <v:group style="width:453.3pt;height:60.15pt;mso-position-horizontal-relative:char;mso-position-vertical-relative:line" coordorigin="0,0" coordsize="9066,1203">
            <v:group style="position:absolute;left:29;top:14;width:4000;height:2" coordorigin="29,14" coordsize="4000,2">
              <v:shape style="position:absolute;left:29;top:14;width:4000;height:2" coordorigin="29,14" coordsize="4000,0" path="m29,14l4029,14e" filled="false" stroked="true" strokeweight=".72pt" strokecolor="#000000">
                <v:path arrowok="t"/>
              </v:shape>
            </v:group>
            <v:group style="position:absolute;left:4043;top:14;width:5009;height:2" coordorigin="4043,14" coordsize="5009,2">
              <v:shape style="position:absolute;left:4043;top:14;width:5009;height:2" coordorigin="4043,14" coordsize="5009,0" path="m4043,14l9052,14e" filled="false" stroked="true" strokeweight=".72pt" strokecolor="#000000">
                <v:path arrowok="t"/>
              </v:shape>
            </v:group>
            <v:group style="position:absolute;left:22;top:7;width:2;height:1167" coordorigin="22,7" coordsize="2,1167">
              <v:shape style="position:absolute;left:22;top:7;width:2;height:1167" coordorigin="22,7" coordsize="0,1167" path="m22,7l22,1174e" filled="false" stroked="true" strokeweight=".72pt" strokecolor="#000000">
                <v:path arrowok="t"/>
              </v:shape>
            </v:group>
            <v:group style="position:absolute;left:14;top:1189;width:4015;height:2" coordorigin="14,1189" coordsize="4015,2">
              <v:shape style="position:absolute;left:14;top:1189;width:4015;height:2" coordorigin="14,1189" coordsize="4015,0" path="m14,1189l4029,1189e" filled="false" stroked="true" strokeweight="1.44pt" strokecolor="#000000">
                <v:path arrowok="t"/>
              </v:shape>
            </v:group>
            <v:group style="position:absolute;left:4036;top:7;width:2;height:1167" coordorigin="4036,7" coordsize="2,1167">
              <v:shape style="position:absolute;left:4036;top:7;width:2;height:1167" coordorigin="4036,7" coordsize="0,1167" path="m4036,7l4036,1174e" filled="false" stroked="true" strokeweight=".72pt" strokecolor="#000000">
                <v:path arrowok="t"/>
              </v:shape>
            </v:group>
            <v:group style="position:absolute;left:4029;top:1189;width:29;height:2" coordorigin="4029,1189" coordsize="29,2">
              <v:shape style="position:absolute;left:4029;top:1189;width:29;height:2" coordorigin="4029,1189" coordsize="29,0" path="m4029,1189l4058,1189e" filled="false" stroked="true" strokeweight="1.44pt" strokecolor="#000000">
                <v:path arrowok="t"/>
              </v:shape>
            </v:group>
            <v:group style="position:absolute;left:4058;top:1189;width:4994;height:2" coordorigin="4058,1189" coordsize="4994,2">
              <v:shape style="position:absolute;left:4058;top:1189;width:4994;height:2" coordorigin="4058,1189" coordsize="4994,0" path="m4058,1189l9052,1189e" filled="false" stroked="true" strokeweight="1.44pt" strokecolor="#000000">
                <v:path arrowok="t"/>
              </v:shape>
              <v:shape style="position:absolute;left:0;top:0;width:9066;height:1203" type="#_x0000_t202" filled="false" stroked="false">
                <v:textbox inset="0,0,0,0">
                  <w:txbxContent>
                    <w:p>
                      <w:pPr>
                        <w:spacing w:before="41"/>
                        <w:ind w:left="834" w:right="0" w:firstLine="0"/>
                        <w:jc w:val="center"/>
                        <w:rPr>
                          <w:rFonts w:ascii="宋体" w:hAnsi="宋体" w:cs="宋体" w:eastAsia="宋体" w:hint="default"/>
                          <w:sz w:val="18"/>
                          <w:szCs w:val="18"/>
                        </w:rPr>
                      </w:pPr>
                      <w:r>
                        <w:rPr>
                          <w:rFonts w:ascii="宋体" w:hAnsi="宋体" w:cs="宋体" w:eastAsia="宋体" w:hint="default"/>
                          <w:sz w:val="18"/>
                          <w:szCs w:val="18"/>
                        </w:rPr>
                        <w:t>存在异常波动的情况；</w:t>
                      </w:r>
                    </w:p>
                    <w:p>
                      <w:pPr>
                        <w:spacing w:before="76"/>
                        <w:ind w:left="4307"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）向重要客户发函询证；</w:t>
                      </w:r>
                    </w:p>
                    <w:p>
                      <w:pPr>
                        <w:spacing w:before="159"/>
                        <w:ind w:left="4230" w:right="0" w:firstLine="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）选取样本，对收入的会计分录进行评价。</w:t>
                      </w:r>
                    </w:p>
                  </w:txbxContent>
                </v:textbox>
                <w10:wrap type="none"/>
              </v:shape>
            </v:group>
          </v:group>
        </w:pict>
      </w:r>
      <w:r>
        <w:rPr>
          <w:rFonts w:ascii="宋体" w:hAnsi="宋体" w:cs="宋体" w:eastAsia="宋体" w:hint="default"/>
          <w:position w:val="-23"/>
          <w:sz w:val="20"/>
          <w:szCs w:val="20"/>
        </w:rPr>
      </w:r>
    </w:p>
    <w:p>
      <w:pPr>
        <w:spacing w:before="10"/>
        <w:ind w:left="575" w:right="0" w:firstLine="0"/>
        <w:jc w:val="left"/>
        <w:rPr>
          <w:rFonts w:ascii="宋体" w:hAnsi="宋体" w:cs="宋体" w:eastAsia="宋体" w:hint="default"/>
          <w:sz w:val="18"/>
          <w:szCs w:val="18"/>
        </w:rPr>
      </w:pPr>
      <w:r>
        <w:rPr>
          <w:rFonts w:ascii="宋体" w:hAnsi="宋体" w:cs="宋体" w:eastAsia="宋体" w:hint="default"/>
          <w:b/>
          <w:bCs/>
          <w:sz w:val="18"/>
          <w:szCs w:val="18"/>
        </w:rPr>
        <w:t>（二）</w:t>
      </w:r>
      <w:r>
        <w:rPr>
          <w:rFonts w:ascii="宋体" w:hAnsi="宋体" w:cs="宋体" w:eastAsia="宋体" w:hint="default"/>
          <w:sz w:val="18"/>
          <w:szCs w:val="18"/>
        </w:rPr>
        <w:t>商誉减值</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before="46"/>
        <w:ind w:left="0" w:right="1660" w:firstLine="0"/>
        <w:jc w:val="right"/>
        <w:rPr>
          <w:rFonts w:ascii="宋体" w:hAnsi="宋体" w:cs="宋体" w:eastAsia="宋体" w:hint="default"/>
          <w:sz w:val="18"/>
          <w:szCs w:val="18"/>
        </w:rPr>
      </w:pPr>
      <w:r>
        <w:rPr/>
        <w:pict>
          <v:shape style="position:absolute;margin-left:56.183998pt;margin-top:-73.368263pt;width:452.6pt;height:217.5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14"/>
                    <w:gridCol w:w="5016"/>
                  </w:tblGrid>
                  <w:tr>
                    <w:trPr>
                      <w:trHeight w:val="545" w:hRule="exact"/>
                    </w:trPr>
                    <w:tc>
                      <w:tcPr>
                        <w:tcW w:w="40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6"/>
                          <w:ind w:left="4" w:right="0"/>
                          <w:jc w:val="center"/>
                          <w:rPr>
                            <w:rFonts w:ascii="宋体" w:hAnsi="宋体" w:cs="宋体" w:eastAsia="宋体" w:hint="default"/>
                            <w:sz w:val="18"/>
                            <w:szCs w:val="18"/>
                          </w:rPr>
                        </w:pPr>
                        <w:r>
                          <w:rPr>
                            <w:rFonts w:ascii="宋体" w:hAnsi="宋体" w:cs="宋体" w:eastAsia="宋体" w:hint="default"/>
                            <w:sz w:val="18"/>
                            <w:szCs w:val="18"/>
                          </w:rPr>
                          <w:t>关键审计事项</w:t>
                        </w:r>
                      </w:p>
                    </w:tc>
                    <w:tc>
                      <w:tcPr>
                        <w:tcW w:w="501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6"/>
                          <w:ind w:left="1507" w:right="0"/>
                          <w:jc w:val="left"/>
                          <w:rPr>
                            <w:rFonts w:ascii="宋体" w:hAnsi="宋体" w:cs="宋体" w:eastAsia="宋体" w:hint="default"/>
                            <w:sz w:val="18"/>
                            <w:szCs w:val="18"/>
                          </w:rPr>
                        </w:pPr>
                        <w:r>
                          <w:rPr>
                            <w:rFonts w:ascii="宋体" w:hAnsi="宋体" w:cs="宋体" w:eastAsia="宋体" w:hint="default"/>
                            <w:spacing w:val="-3"/>
                            <w:sz w:val="18"/>
                            <w:szCs w:val="18"/>
                          </w:rPr>
                          <w:t>在审计中如何应对该事项</w:t>
                        </w:r>
                      </w:p>
                    </w:tc>
                  </w:tr>
                  <w:tr>
                    <w:trPr>
                      <w:trHeight w:val="3783" w:hRule="exact"/>
                    </w:trPr>
                    <w:tc>
                      <w:tcPr>
                        <w:tcW w:w="4014" w:type="dxa"/>
                        <w:tcBorders>
                          <w:top w:val="single" w:sz="12" w:space="0" w:color="000000"/>
                          <w:left w:val="single" w:sz="6" w:space="0" w:color="000000"/>
                          <w:bottom w:val="single" w:sz="12" w:space="0" w:color="000000"/>
                          <w:right w:val="single" w:sz="6" w:space="0" w:color="000000"/>
                        </w:tcBorders>
                      </w:tcPr>
                      <w:p>
                        <w:pPr>
                          <w:pStyle w:val="TableParagraph"/>
                          <w:spacing w:line="314" w:lineRule="auto" w:before="10"/>
                          <w:ind w:left="4" w:right="-5" w:firstLine="259"/>
                          <w:jc w:val="both"/>
                          <w:rPr>
                            <w:rFonts w:ascii="宋体" w:hAnsi="宋体" w:cs="宋体" w:eastAsia="宋体" w:hint="default"/>
                            <w:sz w:val="18"/>
                            <w:szCs w:val="18"/>
                          </w:rPr>
                        </w:pPr>
                        <w:r>
                          <w:rPr>
                            <w:rFonts w:ascii="宋体" w:hAnsi="宋体" w:cs="宋体" w:eastAsia="宋体" w:hint="default"/>
                            <w:spacing w:val="-11"/>
                            <w:w w:val="101"/>
                            <w:sz w:val="18"/>
                            <w:szCs w:val="18"/>
                          </w:rPr>
                          <w:t>请参见财务报表附注五、</w:t>
                        </w:r>
                        <w:r>
                          <w:rPr>
                            <w:rFonts w:ascii="Times New Roman" w:hAnsi="Times New Roman" w:cs="Times New Roman" w:eastAsia="Times New Roman" w:hint="default"/>
                            <w:spacing w:val="-11"/>
                            <w:w w:val="101"/>
                            <w:sz w:val="18"/>
                            <w:szCs w:val="18"/>
                          </w:rPr>
                          <w:t>20</w:t>
                        </w:r>
                        <w:r>
                          <w:rPr>
                            <w:rFonts w:ascii="宋体" w:hAnsi="宋体" w:cs="宋体" w:eastAsia="宋体" w:hint="default"/>
                            <w:spacing w:val="-11"/>
                            <w:w w:val="101"/>
                            <w:sz w:val="18"/>
                            <w:szCs w:val="18"/>
                          </w:rPr>
                          <w:t>及附注七、</w:t>
                        </w:r>
                        <w:r>
                          <w:rPr>
                            <w:rFonts w:ascii="Times New Roman" w:hAnsi="Times New Roman" w:cs="Times New Roman" w:eastAsia="Times New Roman" w:hint="default"/>
                            <w:spacing w:val="-11"/>
                            <w:w w:val="101"/>
                            <w:sz w:val="18"/>
                            <w:szCs w:val="18"/>
                          </w:rPr>
                          <w:t>14</w:t>
                        </w:r>
                        <w:r>
                          <w:rPr>
                            <w:rFonts w:ascii="宋体" w:hAnsi="宋体" w:cs="宋体" w:eastAsia="宋体" w:hint="default"/>
                            <w:spacing w:val="-11"/>
                            <w:w w:val="101"/>
                            <w:sz w:val="18"/>
                            <w:szCs w:val="18"/>
                          </w:rPr>
                          <w:t>。于</w:t>
                        </w:r>
                        <w:r>
                          <w:rPr>
                            <w:rFonts w:ascii="Times New Roman" w:hAnsi="Times New Roman" w:cs="Times New Roman" w:eastAsia="Times New Roman" w:hint="default"/>
                            <w:spacing w:val="-11"/>
                            <w:w w:val="101"/>
                            <w:sz w:val="18"/>
                            <w:szCs w:val="18"/>
                          </w:rPr>
                          <w:t>2019</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r>
                          <w:rPr>
                            <w:rFonts w:ascii="宋体" w:hAnsi="宋体" w:cs="宋体" w:eastAsia="宋体" w:hint="default"/>
                            <w:spacing w:val="-31"/>
                            <w:sz w:val="18"/>
                            <w:szCs w:val="18"/>
                          </w:rPr>
                          <w:t> </w:t>
                        </w:r>
                        <w:r>
                          <w:rPr>
                            <w:rFonts w:ascii="宋体" w:hAnsi="宋体" w:cs="宋体" w:eastAsia="宋体" w:hint="default"/>
                            <w:sz w:val="18"/>
                            <w:szCs w:val="18"/>
                          </w:rPr>
                          <w:t>合</w:t>
                        </w:r>
                        <w:r>
                          <w:rPr>
                            <w:rFonts w:ascii="宋体" w:hAnsi="宋体" w:cs="宋体" w:eastAsia="宋体" w:hint="default"/>
                            <w:spacing w:val="-36"/>
                            <w:sz w:val="18"/>
                            <w:szCs w:val="18"/>
                          </w:rPr>
                          <w:t> </w:t>
                        </w:r>
                        <w:r>
                          <w:rPr>
                            <w:rFonts w:ascii="宋体" w:hAnsi="宋体" w:cs="宋体" w:eastAsia="宋体" w:hint="default"/>
                            <w:sz w:val="18"/>
                            <w:szCs w:val="18"/>
                          </w:rPr>
                          <w:t>并</w:t>
                        </w:r>
                        <w:r>
                          <w:rPr>
                            <w:rFonts w:ascii="宋体" w:hAnsi="宋体" w:cs="宋体" w:eastAsia="宋体" w:hint="default"/>
                            <w:spacing w:val="-31"/>
                            <w:sz w:val="18"/>
                            <w:szCs w:val="18"/>
                          </w:rPr>
                          <w:t> </w:t>
                        </w:r>
                        <w:r>
                          <w:rPr>
                            <w:rFonts w:ascii="宋体" w:hAnsi="宋体" w:cs="宋体" w:eastAsia="宋体" w:hint="default"/>
                            <w:sz w:val="18"/>
                            <w:szCs w:val="18"/>
                          </w:rPr>
                          <w:t>报</w:t>
                        </w:r>
                        <w:r>
                          <w:rPr>
                            <w:rFonts w:ascii="宋体" w:hAnsi="宋体" w:cs="宋体" w:eastAsia="宋体" w:hint="default"/>
                            <w:spacing w:val="-31"/>
                            <w:sz w:val="18"/>
                            <w:szCs w:val="18"/>
                          </w:rPr>
                          <w:t> </w:t>
                        </w:r>
                        <w:r>
                          <w:rPr>
                            <w:rFonts w:ascii="宋体" w:hAnsi="宋体" w:cs="宋体" w:eastAsia="宋体" w:hint="default"/>
                            <w:sz w:val="18"/>
                            <w:szCs w:val="18"/>
                          </w:rPr>
                          <w:t>表</w:t>
                        </w:r>
                        <w:r>
                          <w:rPr>
                            <w:rFonts w:ascii="宋体" w:hAnsi="宋体" w:cs="宋体" w:eastAsia="宋体" w:hint="default"/>
                            <w:spacing w:val="-36"/>
                            <w:sz w:val="18"/>
                            <w:szCs w:val="18"/>
                          </w:rPr>
                          <w:t> </w:t>
                        </w:r>
                        <w:r>
                          <w:rPr>
                            <w:rFonts w:ascii="宋体" w:hAnsi="宋体" w:cs="宋体" w:eastAsia="宋体" w:hint="default"/>
                            <w:sz w:val="18"/>
                            <w:szCs w:val="18"/>
                          </w:rPr>
                          <w:t>中</w:t>
                        </w:r>
                        <w:r>
                          <w:rPr>
                            <w:rFonts w:ascii="宋体" w:hAnsi="宋体" w:cs="宋体" w:eastAsia="宋体" w:hint="default"/>
                            <w:spacing w:val="-31"/>
                            <w:sz w:val="18"/>
                            <w:szCs w:val="18"/>
                          </w:rPr>
                          <w:t> </w:t>
                        </w:r>
                        <w:r>
                          <w:rPr>
                            <w:rFonts w:ascii="宋体" w:hAnsi="宋体" w:cs="宋体" w:eastAsia="宋体" w:hint="default"/>
                            <w:sz w:val="18"/>
                            <w:szCs w:val="18"/>
                          </w:rPr>
                          <w:t>商</w:t>
                        </w:r>
                        <w:r>
                          <w:rPr>
                            <w:rFonts w:ascii="宋体" w:hAnsi="宋体" w:cs="宋体" w:eastAsia="宋体" w:hint="default"/>
                            <w:spacing w:val="-31"/>
                            <w:sz w:val="18"/>
                            <w:szCs w:val="18"/>
                          </w:rPr>
                          <w:t> </w:t>
                        </w:r>
                        <w:r>
                          <w:rPr>
                            <w:rFonts w:ascii="宋体" w:hAnsi="宋体" w:cs="宋体" w:eastAsia="宋体" w:hint="default"/>
                            <w:sz w:val="18"/>
                            <w:szCs w:val="18"/>
                          </w:rPr>
                          <w:t>誉</w:t>
                        </w:r>
                        <w:r>
                          <w:rPr>
                            <w:rFonts w:ascii="宋体" w:hAnsi="宋体" w:cs="宋体" w:eastAsia="宋体" w:hint="default"/>
                            <w:spacing w:val="-36"/>
                            <w:sz w:val="18"/>
                            <w:szCs w:val="18"/>
                          </w:rPr>
                          <w:t> </w:t>
                        </w:r>
                        <w:r>
                          <w:rPr>
                            <w:rFonts w:ascii="宋体" w:hAnsi="宋体" w:cs="宋体" w:eastAsia="宋体" w:hint="default"/>
                            <w:sz w:val="18"/>
                            <w:szCs w:val="18"/>
                          </w:rPr>
                          <w:t>账</w:t>
                        </w:r>
                        <w:r>
                          <w:rPr>
                            <w:rFonts w:ascii="宋体" w:hAnsi="宋体" w:cs="宋体" w:eastAsia="宋体" w:hint="default"/>
                            <w:spacing w:val="-31"/>
                            <w:sz w:val="18"/>
                            <w:szCs w:val="18"/>
                          </w:rPr>
                          <w:t> </w:t>
                        </w:r>
                        <w:r>
                          <w:rPr>
                            <w:rFonts w:ascii="宋体" w:hAnsi="宋体" w:cs="宋体" w:eastAsia="宋体" w:hint="default"/>
                            <w:sz w:val="18"/>
                            <w:szCs w:val="18"/>
                          </w:rPr>
                          <w:t>面</w:t>
                        </w:r>
                        <w:r>
                          <w:rPr>
                            <w:rFonts w:ascii="宋体" w:hAnsi="宋体" w:cs="宋体" w:eastAsia="宋体" w:hint="default"/>
                            <w:spacing w:val="-31"/>
                            <w:sz w:val="18"/>
                            <w:szCs w:val="18"/>
                          </w:rPr>
                          <w:t> </w:t>
                        </w:r>
                        <w:r>
                          <w:rPr>
                            <w:rFonts w:ascii="宋体" w:hAnsi="宋体" w:cs="宋体" w:eastAsia="宋体" w:hint="default"/>
                            <w:sz w:val="18"/>
                            <w:szCs w:val="18"/>
                          </w:rPr>
                          <w:t>价</w:t>
                        </w:r>
                        <w:r>
                          <w:rPr>
                            <w:rFonts w:ascii="宋体" w:hAnsi="宋体" w:cs="宋体" w:eastAsia="宋体" w:hint="default"/>
                            <w:spacing w:val="-36"/>
                            <w:sz w:val="18"/>
                            <w:szCs w:val="18"/>
                          </w:rPr>
                          <w:t> </w:t>
                        </w:r>
                        <w:r>
                          <w:rPr>
                            <w:rFonts w:ascii="宋体" w:hAnsi="宋体" w:cs="宋体" w:eastAsia="宋体" w:hint="default"/>
                            <w:sz w:val="18"/>
                            <w:szCs w:val="18"/>
                          </w:rPr>
                          <w:t>值</w:t>
                        </w:r>
                        <w:r>
                          <w:rPr>
                            <w:rFonts w:ascii="宋体" w:hAnsi="宋体" w:cs="宋体" w:eastAsia="宋体" w:hint="default"/>
                            <w:spacing w:val="-31"/>
                            <w:sz w:val="18"/>
                            <w:szCs w:val="18"/>
                          </w:rPr>
                          <w:t> </w:t>
                        </w:r>
                        <w:r>
                          <w:rPr>
                            <w:rFonts w:ascii="宋体" w:hAnsi="宋体" w:cs="宋体" w:eastAsia="宋体" w:hint="default"/>
                            <w:sz w:val="18"/>
                            <w:szCs w:val="18"/>
                          </w:rPr>
                          <w:t>为</w:t>
                        </w:r>
                        <w:r>
                          <w:rPr>
                            <w:rFonts w:ascii="宋体" w:hAnsi="宋体" w:cs="宋体" w:eastAsia="宋体" w:hint="default"/>
                            <w:w w:val="101"/>
                            <w:sz w:val="18"/>
                            <w:szCs w:val="18"/>
                          </w:rPr>
                          <w:t> </w:t>
                        </w:r>
                        <w:r>
                          <w:rPr>
                            <w:rFonts w:ascii="Times New Roman" w:hAnsi="Times New Roman" w:cs="Times New Roman" w:eastAsia="Times New Roman" w:hint="default"/>
                            <w:spacing w:val="-1"/>
                            <w:sz w:val="18"/>
                            <w:szCs w:val="18"/>
                          </w:rPr>
                          <w:t>1,109,159,184.61</w:t>
                        </w:r>
                        <w:r>
                          <w:rPr>
                            <w:rFonts w:ascii="宋体" w:hAnsi="宋体" w:cs="宋体" w:eastAsia="宋体" w:hint="default"/>
                            <w:spacing w:val="-1"/>
                            <w:sz w:val="18"/>
                            <w:szCs w:val="18"/>
                          </w:rPr>
                          <w:t>元。为非同一控制下的企业合并形</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pacing w:val="-1"/>
                            <w:sz w:val="18"/>
                            <w:szCs w:val="18"/>
                          </w:rPr>
                          <w:t>成的，商誉减值评估每年执行一次。减值评估基于</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1"/>
                            <w:sz w:val="18"/>
                            <w:szCs w:val="18"/>
                          </w:rPr>
                          <w:t>各资产组的可回收金额进行测算。管理层通过比较</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1"/>
                            <w:sz w:val="18"/>
                            <w:szCs w:val="18"/>
                          </w:rPr>
                          <w:t>被分摊商誉的相关资产组的可收回金额与该资产组</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1"/>
                            <w:sz w:val="18"/>
                            <w:szCs w:val="18"/>
                          </w:rPr>
                          <w:t>及商誉的账面价值，对商誉进行减值测试。预测可</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1"/>
                            <w:sz w:val="18"/>
                            <w:szCs w:val="18"/>
                          </w:rPr>
                          <w:t>收回金额涉及对资产组未来现金流量现值的预测，</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1"/>
                            <w:sz w:val="18"/>
                            <w:szCs w:val="18"/>
                          </w:rPr>
                          <w:t>管理层在预测中需要做出重大判断和假设，特别是</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1"/>
                            <w:sz w:val="18"/>
                            <w:szCs w:val="18"/>
                          </w:rPr>
                          <w:t>对于未来收入增长率和利润及折现率等。由于减值</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1"/>
                            <w:sz w:val="18"/>
                            <w:szCs w:val="18"/>
                          </w:rPr>
                          <w:t>测试过程较为复杂，同时涉及重大判断，我们将视</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觉中国商誉潜在减值识别作为关键审计事项。</w:t>
                        </w:r>
                      </w:p>
                    </w:tc>
                    <w:tc>
                      <w:tcPr>
                        <w:tcW w:w="50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63" w:right="0"/>
                          <w:jc w:val="left"/>
                          <w:rPr>
                            <w:rFonts w:ascii="宋体" w:hAnsi="宋体" w:cs="宋体" w:eastAsia="宋体" w:hint="default"/>
                            <w:sz w:val="18"/>
                            <w:szCs w:val="18"/>
                          </w:rPr>
                        </w:pPr>
                        <w:r>
                          <w:rPr>
                            <w:rFonts w:ascii="宋体" w:hAnsi="宋体" w:cs="宋体" w:eastAsia="宋体" w:hint="default"/>
                            <w:spacing w:val="-3"/>
                            <w:sz w:val="18"/>
                            <w:szCs w:val="18"/>
                          </w:rPr>
                          <w:t>我们实施的审计程序包括：</w:t>
                        </w:r>
                      </w:p>
                      <w:p>
                        <w:pPr>
                          <w:pStyle w:val="TableParagraph"/>
                          <w:spacing w:line="240" w:lineRule="auto" w:before="76"/>
                          <w:ind w:left="263"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）评价相关内部控制设计及执行的情况；</w:t>
                        </w:r>
                      </w:p>
                      <w:p>
                        <w:pPr>
                          <w:pStyle w:val="TableParagraph"/>
                          <w:spacing w:line="240" w:lineRule="auto" w:before="63"/>
                          <w:ind w:left="263"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）评价历史的测试结果与实际是否存在重大的差异；</w:t>
                        </w:r>
                      </w:p>
                      <w:p>
                        <w:pPr>
                          <w:pStyle w:val="TableParagraph"/>
                          <w:spacing w:line="312" w:lineRule="auto" w:before="63"/>
                          <w:ind w:left="4" w:right="8" w:firstLine="259"/>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）在评价管理层所聘请外部估计专家的独立性、胜任能力</w:t>
                        </w:r>
                        <w:r>
                          <w:rPr>
                            <w:rFonts w:ascii="宋体" w:hAnsi="宋体" w:cs="宋体" w:eastAsia="宋体" w:hint="default"/>
                            <w:w w:val="101"/>
                            <w:sz w:val="18"/>
                            <w:szCs w:val="18"/>
                          </w:rPr>
                          <w:t> </w:t>
                        </w:r>
                        <w:r>
                          <w:rPr>
                            <w:rFonts w:ascii="宋体" w:hAnsi="宋体" w:cs="宋体" w:eastAsia="宋体" w:hint="default"/>
                            <w:sz w:val="18"/>
                            <w:szCs w:val="18"/>
                          </w:rPr>
                          <w:t>专业素质和客观性的基础上与管理层聘请的估值专家讨论视觉</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pacing w:val="-5"/>
                            <w:sz w:val="18"/>
                            <w:szCs w:val="18"/>
                          </w:rPr>
                          <w:t>中国使用的假设和方法，特别是与所预测收入增长和利润率及折</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现率相关的假设和方法。</w:t>
                        </w:r>
                      </w:p>
                      <w:p>
                        <w:pPr>
                          <w:pStyle w:val="TableParagraph"/>
                          <w:spacing w:line="300" w:lineRule="auto" w:before="23"/>
                          <w:ind w:left="4" w:right="8" w:firstLine="259"/>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）同时，我们也利用了内部评估专家的工作，对管理层所</w:t>
                        </w:r>
                        <w:r>
                          <w:rPr>
                            <w:rFonts w:ascii="宋体" w:hAnsi="宋体" w:cs="宋体" w:eastAsia="宋体" w:hint="default"/>
                            <w:w w:val="101"/>
                            <w:sz w:val="18"/>
                            <w:szCs w:val="18"/>
                          </w:rPr>
                          <w:t> </w:t>
                        </w:r>
                        <w:r>
                          <w:rPr>
                            <w:rFonts w:ascii="宋体" w:hAnsi="宋体" w:cs="宋体" w:eastAsia="宋体" w:hint="default"/>
                            <w:spacing w:val="-3"/>
                            <w:sz w:val="18"/>
                            <w:szCs w:val="18"/>
                          </w:rPr>
                          <w:t>聘请评估专家的工作成果进行了复核。</w:t>
                        </w:r>
                      </w:p>
                      <w:p>
                        <w:pPr>
                          <w:pStyle w:val="TableParagraph"/>
                          <w:spacing w:line="316" w:lineRule="auto" w:before="31"/>
                          <w:ind w:left="4" w:right="-38" w:firstLine="259"/>
                          <w:jc w:val="left"/>
                          <w:rPr>
                            <w:rFonts w:ascii="宋体" w:hAnsi="宋体" w:cs="宋体" w:eastAsia="宋体" w:hint="default"/>
                            <w:sz w:val="18"/>
                            <w:szCs w:val="18"/>
                          </w:rPr>
                        </w:pPr>
                        <w:r>
                          <w:rPr>
                            <w:rFonts w:ascii="宋体" w:hAnsi="宋体" w:cs="宋体" w:eastAsia="宋体" w:hint="default"/>
                            <w:sz w:val="18"/>
                            <w:szCs w:val="18"/>
                          </w:rPr>
                          <w:t>对于减值测试结果最为敏感的假设（即对于商誉可回收金额</w:t>
                        </w:r>
                        <w:r>
                          <w:rPr>
                            <w:rFonts w:ascii="宋体" w:hAnsi="宋体" w:cs="宋体" w:eastAsia="宋体" w:hint="default"/>
                            <w:w w:val="101"/>
                            <w:sz w:val="18"/>
                            <w:szCs w:val="18"/>
                          </w:rPr>
                          <w:t> </w:t>
                        </w:r>
                        <w:r>
                          <w:rPr>
                            <w:rFonts w:ascii="宋体" w:hAnsi="宋体" w:cs="宋体" w:eastAsia="宋体" w:hint="default"/>
                            <w:spacing w:val="-3"/>
                            <w:sz w:val="18"/>
                            <w:szCs w:val="18"/>
                          </w:rPr>
                          <w:t>影响最大），我们关注了视觉中国对这些假设的披露是否适当。</w:t>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line="300" w:lineRule="auto" w:before="46"/>
        <w:ind w:left="575" w:right="1127" w:firstLine="19"/>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其他信息</w:t>
      </w:r>
      <w:r>
        <w:rPr>
          <w:rFonts w:ascii="宋体" w:hAnsi="宋体" w:cs="宋体" w:eastAsia="宋体" w:hint="default"/>
          <w:b/>
          <w:bCs/>
          <w:w w:val="100"/>
          <w:sz w:val="18"/>
          <w:szCs w:val="18"/>
        </w:rPr>
        <w:t> </w:t>
      </w:r>
      <w:r>
        <w:rPr>
          <w:rFonts w:ascii="宋体" w:hAnsi="宋体" w:cs="宋体" w:eastAsia="宋体" w:hint="default"/>
          <w:spacing w:val="-2"/>
          <w:sz w:val="18"/>
          <w:szCs w:val="18"/>
        </w:rPr>
        <w:t>视觉中国管理层对其他信息负责。其他信息包括视觉中国</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年年度报告中涵盖的信息，但不包括财务报表和我们的</w:t>
      </w:r>
    </w:p>
    <w:p>
      <w:pPr>
        <w:spacing w:before="13"/>
        <w:ind w:left="153" w:right="0" w:firstLine="0"/>
        <w:jc w:val="left"/>
        <w:rPr>
          <w:rFonts w:ascii="宋体" w:hAnsi="宋体" w:cs="宋体" w:eastAsia="宋体" w:hint="default"/>
          <w:sz w:val="18"/>
          <w:szCs w:val="18"/>
        </w:rPr>
      </w:pPr>
      <w:r>
        <w:rPr>
          <w:rFonts w:ascii="宋体" w:hAnsi="宋体" w:cs="宋体" w:eastAsia="宋体" w:hint="default"/>
          <w:sz w:val="18"/>
          <w:szCs w:val="18"/>
        </w:rPr>
        <w:t>审计报告。</w:t>
      </w:r>
    </w:p>
    <w:p>
      <w:pPr>
        <w:spacing w:line="316" w:lineRule="auto" w:before="76"/>
        <w:ind w:left="575" w:right="0" w:firstLine="0"/>
        <w:jc w:val="left"/>
        <w:rPr>
          <w:rFonts w:ascii="宋体" w:hAnsi="宋体" w:cs="宋体" w:eastAsia="宋体" w:hint="default"/>
          <w:sz w:val="18"/>
          <w:szCs w:val="18"/>
        </w:rPr>
      </w:pPr>
      <w:r>
        <w:rPr>
          <w:rFonts w:ascii="宋体" w:hAnsi="宋体" w:cs="宋体" w:eastAsia="宋体" w:hint="default"/>
          <w:spacing w:val="-3"/>
          <w:sz w:val="18"/>
          <w:szCs w:val="18"/>
        </w:rPr>
        <w:t>我们对财务报表发表的审计意见不涵盖其他信息，我们也不对其他信息发表任何形式的鉴证结论。</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2"/>
          <w:sz w:val="18"/>
          <w:szCs w:val="18"/>
        </w:rPr>
        <w:t>结合我们对财务报表的审计，我们的责任是阅读其他信息，在此过程中，考虑其他信息是否与财务报表或我们在审计</w:t>
      </w:r>
    </w:p>
    <w:p>
      <w:pPr>
        <w:spacing w:line="316" w:lineRule="auto" w:before="19"/>
        <w:ind w:left="575" w:right="0" w:hanging="423"/>
        <w:jc w:val="left"/>
        <w:rPr>
          <w:rFonts w:ascii="宋体" w:hAnsi="宋体" w:cs="宋体" w:eastAsia="宋体" w:hint="default"/>
          <w:sz w:val="18"/>
          <w:szCs w:val="18"/>
        </w:rPr>
      </w:pPr>
      <w:r>
        <w:rPr>
          <w:rFonts w:ascii="宋体" w:hAnsi="宋体" w:cs="宋体" w:eastAsia="宋体" w:hint="default"/>
          <w:spacing w:val="-3"/>
          <w:sz w:val="18"/>
          <w:szCs w:val="18"/>
        </w:rPr>
        <w:t>过程中了解到的情况存在重大不一致或者似乎存在重大错报。</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2"/>
          <w:sz w:val="18"/>
          <w:szCs w:val="18"/>
        </w:rPr>
        <w:t>基于我们已执行的工作，如果我们确定其他信息存在重大错报，我们应当报告该事实。在这方面，我们无任何事项需</w:t>
      </w:r>
    </w:p>
    <w:p>
      <w:pPr>
        <w:spacing w:before="19"/>
        <w:ind w:left="153" w:right="0" w:firstLine="0"/>
        <w:jc w:val="left"/>
        <w:rPr>
          <w:rFonts w:ascii="宋体" w:hAnsi="宋体" w:cs="宋体" w:eastAsia="宋体" w:hint="default"/>
          <w:sz w:val="18"/>
          <w:szCs w:val="18"/>
        </w:rPr>
      </w:pPr>
      <w:r>
        <w:rPr>
          <w:rFonts w:ascii="宋体" w:hAnsi="宋体" w:cs="宋体" w:eastAsia="宋体" w:hint="default"/>
          <w:sz w:val="18"/>
          <w:szCs w:val="18"/>
        </w:rPr>
        <w:t>要报告。</w:t>
      </w:r>
    </w:p>
    <w:p>
      <w:pPr>
        <w:spacing w:line="240" w:lineRule="auto" w:before="0"/>
        <w:rPr>
          <w:rFonts w:ascii="宋体" w:hAnsi="宋体" w:cs="宋体" w:eastAsia="宋体" w:hint="default"/>
          <w:sz w:val="18"/>
          <w:szCs w:val="18"/>
        </w:rPr>
      </w:pPr>
    </w:p>
    <w:p>
      <w:pPr>
        <w:spacing w:line="300" w:lineRule="auto" w:before="153"/>
        <w:ind w:left="575" w:right="0" w:firstLine="19"/>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管理层和治理层对财务报表的责任</w:t>
      </w:r>
      <w:r>
        <w:rPr>
          <w:rFonts w:ascii="宋体" w:hAnsi="宋体" w:cs="宋体" w:eastAsia="宋体" w:hint="default"/>
          <w:b/>
          <w:bCs/>
          <w:w w:val="100"/>
          <w:sz w:val="18"/>
          <w:szCs w:val="18"/>
        </w:rPr>
        <w:t> </w:t>
      </w:r>
      <w:r>
        <w:rPr>
          <w:rFonts w:ascii="宋体" w:hAnsi="宋体" w:cs="宋体" w:eastAsia="宋体" w:hint="default"/>
          <w:spacing w:val="-2"/>
          <w:sz w:val="18"/>
          <w:szCs w:val="18"/>
        </w:rPr>
        <w:t>视觉中国管理层（以下简称管理层）负责按照企业会计准则的规定编制财务报表，使其实现公允反映，并设计、执行</w:t>
      </w:r>
    </w:p>
    <w:p>
      <w:pPr>
        <w:spacing w:line="316" w:lineRule="auto" w:before="31"/>
        <w:ind w:left="575" w:right="0" w:hanging="423"/>
        <w:jc w:val="left"/>
        <w:rPr>
          <w:rFonts w:ascii="宋体" w:hAnsi="宋体" w:cs="宋体" w:eastAsia="宋体" w:hint="default"/>
          <w:sz w:val="18"/>
          <w:szCs w:val="18"/>
        </w:rPr>
      </w:pPr>
      <w:r>
        <w:rPr>
          <w:rFonts w:ascii="宋体" w:hAnsi="宋体" w:cs="宋体" w:eastAsia="宋体" w:hint="default"/>
          <w:spacing w:val="-3"/>
          <w:sz w:val="18"/>
          <w:szCs w:val="18"/>
        </w:rPr>
        <w:t>和维护必要的内部控制，以使财务报表不存在由于舞弊或错误导致的重大错报。</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pacing w:val="-2"/>
          <w:sz w:val="18"/>
          <w:szCs w:val="18"/>
        </w:rPr>
        <w:t>在编制财务报表时，管理层负责评估视觉中国的持续经营能力，披露与持续经营相关的事项（如适用），并运用持续</w:t>
      </w:r>
    </w:p>
    <w:p>
      <w:pPr>
        <w:spacing w:line="316" w:lineRule="auto" w:before="19"/>
        <w:ind w:left="503" w:right="2115" w:hanging="351"/>
        <w:jc w:val="left"/>
        <w:rPr>
          <w:rFonts w:ascii="宋体" w:hAnsi="宋体" w:cs="宋体" w:eastAsia="宋体" w:hint="default"/>
          <w:sz w:val="18"/>
          <w:szCs w:val="18"/>
        </w:rPr>
      </w:pPr>
      <w:r>
        <w:rPr>
          <w:rFonts w:ascii="宋体" w:hAnsi="宋体" w:cs="宋体" w:eastAsia="宋体" w:hint="default"/>
          <w:spacing w:val="-3"/>
          <w:sz w:val="18"/>
          <w:szCs w:val="18"/>
        </w:rPr>
        <w:t>经营假设，除非管理层计划清算视觉中国、终止运营或别无其他现实的选择。</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pacing w:val="-3"/>
          <w:sz w:val="18"/>
          <w:szCs w:val="18"/>
        </w:rPr>
        <w:t>治理层负责监督视觉中国的财务报告过程。</w:t>
      </w:r>
    </w:p>
    <w:p>
      <w:pPr>
        <w:spacing w:line="240" w:lineRule="auto" w:before="4"/>
        <w:rPr>
          <w:rFonts w:ascii="宋体" w:hAnsi="宋体" w:cs="宋体" w:eastAsia="宋体" w:hint="default"/>
          <w:sz w:val="25"/>
          <w:szCs w:val="25"/>
        </w:rPr>
      </w:pPr>
    </w:p>
    <w:p>
      <w:pPr>
        <w:spacing w:line="300" w:lineRule="auto" w:before="0"/>
        <w:ind w:left="50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注册会计师对财务报表审计的责任</w:t>
      </w:r>
      <w:r>
        <w:rPr>
          <w:rFonts w:ascii="宋体" w:hAnsi="宋体" w:cs="宋体" w:eastAsia="宋体" w:hint="default"/>
          <w:b/>
          <w:bCs/>
          <w:w w:val="100"/>
          <w:sz w:val="18"/>
          <w:szCs w:val="18"/>
        </w:rPr>
        <w:t> </w:t>
      </w:r>
      <w:r>
        <w:rPr>
          <w:rFonts w:ascii="宋体" w:hAnsi="宋体" w:cs="宋体" w:eastAsia="宋体" w:hint="default"/>
          <w:spacing w:val="-4"/>
          <w:w w:val="101"/>
          <w:sz w:val="18"/>
          <w:szCs w:val="18"/>
        </w:rPr>
        <w:t>我们的目标是对财务报表整体是否不存在由于舞弊或错误导致的重大错报获取合理保证，并出具包含审计意见的审计报</w:t>
      </w:r>
      <w:r>
        <w:rPr>
          <w:rFonts w:ascii="宋体" w:hAnsi="宋体" w:cs="宋体" w:eastAsia="宋体" w:hint="default"/>
          <w:spacing w:val="-4"/>
          <w:sz w:val="18"/>
          <w:szCs w:val="18"/>
        </w:rPr>
      </w:r>
    </w:p>
    <w:p>
      <w:pPr>
        <w:spacing w:line="316" w:lineRule="auto" w:before="31"/>
        <w:ind w:left="153" w:right="1124" w:firstLine="0"/>
        <w:jc w:val="both"/>
        <w:rPr>
          <w:rFonts w:ascii="宋体" w:hAnsi="宋体" w:cs="宋体" w:eastAsia="宋体" w:hint="default"/>
          <w:sz w:val="18"/>
          <w:szCs w:val="18"/>
        </w:rPr>
      </w:pPr>
      <w:r>
        <w:rPr>
          <w:rFonts w:ascii="宋体" w:hAnsi="宋体" w:cs="宋体" w:eastAsia="宋体" w:hint="default"/>
          <w:spacing w:val="-4"/>
          <w:sz w:val="18"/>
          <w:szCs w:val="18"/>
        </w:rPr>
        <w:t>告。合理保证是高水平的保证，但并不能保证按照审计准则执行的审计在某一重大错报存在时总能发现。错报可能由于舞弊</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4"/>
          <w:sz w:val="18"/>
          <w:szCs w:val="18"/>
        </w:rPr>
        <w:t>或错误导致，如果合理预期错报单独或汇总起来可能影响财务报表使用者依据财务报表作出的经济决策，则通常认为错报是</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重大的。</w:t>
      </w:r>
    </w:p>
    <w:p>
      <w:pPr>
        <w:spacing w:before="19"/>
        <w:ind w:left="575" w:right="0" w:firstLine="0"/>
        <w:jc w:val="left"/>
        <w:rPr>
          <w:rFonts w:ascii="宋体" w:hAnsi="宋体" w:cs="宋体" w:eastAsia="宋体" w:hint="default"/>
          <w:sz w:val="18"/>
          <w:szCs w:val="18"/>
        </w:rPr>
      </w:pPr>
      <w:r>
        <w:rPr>
          <w:rFonts w:ascii="宋体" w:hAnsi="宋体" w:cs="宋体" w:eastAsia="宋体" w:hint="default"/>
          <w:spacing w:val="-3"/>
          <w:sz w:val="18"/>
          <w:szCs w:val="18"/>
        </w:rPr>
        <w:t>在按照审计准则执行审计工作的过程中，我们运用职业判断，并保持职业怀疑。同时，我们也执行以下工作：</w:t>
      </w:r>
    </w:p>
    <w:p>
      <w:pPr>
        <w:spacing w:line="316" w:lineRule="auto" w:before="76"/>
        <w:ind w:left="153" w:right="1032" w:firstLine="422"/>
        <w:jc w:val="both"/>
        <w:rPr>
          <w:rFonts w:ascii="宋体" w:hAnsi="宋体" w:cs="宋体" w:eastAsia="宋体" w:hint="default"/>
          <w:sz w:val="18"/>
          <w:szCs w:val="18"/>
        </w:rPr>
      </w:pPr>
      <w:r>
        <w:rPr>
          <w:rFonts w:ascii="宋体" w:hAnsi="宋体" w:cs="宋体" w:eastAsia="宋体" w:hint="default"/>
          <w:spacing w:val="-4"/>
          <w:sz w:val="18"/>
          <w:szCs w:val="18"/>
        </w:rPr>
        <w:t>（一）识别和评估由于舞弊或错误导致的财务报表重大错报风险，设计和实施审计程序以应对这些风险，并获取充分、</w:t>
      </w:r>
      <w:r>
        <w:rPr>
          <w:rFonts w:ascii="宋体" w:hAnsi="宋体" w:cs="宋体" w:eastAsia="宋体" w:hint="default"/>
          <w:w w:val="101"/>
          <w:sz w:val="18"/>
          <w:szCs w:val="18"/>
        </w:rPr>
        <w:t> </w:t>
      </w:r>
      <w:r>
        <w:rPr>
          <w:rFonts w:ascii="宋体" w:hAnsi="宋体" w:cs="宋体" w:eastAsia="宋体" w:hint="default"/>
          <w:spacing w:val="-3"/>
          <w:sz w:val="18"/>
          <w:szCs w:val="18"/>
        </w:rPr>
        <w:t>适当的审计证据，作为发表审计意见的基础。由于舞弊可能涉及串通、伪造、故意遗漏、虚假陈述或凌驾于内部控制之上，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未能发现由于舞弊导致的重大错报的风险高于未能发现由于错误导致的重大错报的风险。</w:t>
      </w:r>
    </w:p>
    <w:p>
      <w:pPr>
        <w:spacing w:after="0" w:line="316" w:lineRule="auto"/>
        <w:jc w:val="both"/>
        <w:rPr>
          <w:rFonts w:ascii="宋体" w:hAnsi="宋体" w:cs="宋体" w:eastAsia="宋体" w:hint="default"/>
          <w:sz w:val="18"/>
          <w:szCs w:val="18"/>
        </w:rPr>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spacing w:before="46"/>
        <w:ind w:left="575" w:right="0" w:firstLine="0"/>
        <w:jc w:val="left"/>
        <w:rPr>
          <w:rFonts w:ascii="宋体" w:hAnsi="宋体" w:cs="宋体" w:eastAsia="宋体" w:hint="default"/>
          <w:sz w:val="18"/>
          <w:szCs w:val="18"/>
        </w:rPr>
      </w:pPr>
      <w:r>
        <w:rPr>
          <w:rFonts w:ascii="宋体" w:hAnsi="宋体" w:cs="宋体" w:eastAsia="宋体" w:hint="default"/>
          <w:spacing w:val="-3"/>
          <w:sz w:val="18"/>
          <w:szCs w:val="18"/>
        </w:rPr>
        <w:t>（二）了解与审计相关的内部控制，以设计恰当的审计程序</w:t>
      </w:r>
      <w:r>
        <w:rPr>
          <w:rFonts w:ascii="宋体" w:hAnsi="宋体" w:cs="宋体" w:eastAsia="宋体" w:hint="default"/>
          <w:color w:val="FF0000"/>
          <w:spacing w:val="-3"/>
          <w:sz w:val="18"/>
          <w:szCs w:val="18"/>
        </w:rPr>
        <w:t>。</w:t>
      </w:r>
      <w:r>
        <w:rPr>
          <w:rFonts w:ascii="宋体" w:hAnsi="宋体" w:cs="宋体" w:eastAsia="宋体" w:hint="default"/>
          <w:spacing w:val="-3"/>
          <w:sz w:val="18"/>
          <w:szCs w:val="18"/>
        </w:rPr>
      </w:r>
    </w:p>
    <w:p>
      <w:pPr>
        <w:spacing w:before="76"/>
        <w:ind w:left="575" w:right="0" w:firstLine="0"/>
        <w:jc w:val="left"/>
        <w:rPr>
          <w:rFonts w:ascii="宋体" w:hAnsi="宋体" w:cs="宋体" w:eastAsia="宋体" w:hint="default"/>
          <w:sz w:val="18"/>
          <w:szCs w:val="18"/>
        </w:rPr>
      </w:pPr>
      <w:r>
        <w:rPr>
          <w:rFonts w:ascii="宋体" w:hAnsi="宋体" w:cs="宋体" w:eastAsia="宋体" w:hint="default"/>
          <w:spacing w:val="-3"/>
          <w:sz w:val="18"/>
          <w:szCs w:val="18"/>
        </w:rPr>
        <w:t>（三）评价管理层选用会计政策的恰当性和作出会计估计及相关披露的合理性。</w:t>
      </w:r>
    </w:p>
    <w:p>
      <w:pPr>
        <w:spacing w:line="319" w:lineRule="auto" w:before="76"/>
        <w:ind w:left="153" w:right="1123" w:firstLine="422"/>
        <w:jc w:val="both"/>
        <w:rPr>
          <w:rFonts w:ascii="宋体" w:hAnsi="宋体" w:cs="宋体" w:eastAsia="宋体" w:hint="default"/>
          <w:sz w:val="18"/>
          <w:szCs w:val="18"/>
        </w:rPr>
      </w:pPr>
      <w:r>
        <w:rPr>
          <w:rFonts w:ascii="宋体" w:hAnsi="宋体" w:cs="宋体" w:eastAsia="宋体" w:hint="default"/>
          <w:spacing w:val="-2"/>
          <w:sz w:val="18"/>
          <w:szCs w:val="18"/>
        </w:rPr>
        <w:t>（四）对管理层使用持续经营假设的恰当性得出结论。同时，根据获取的审计证据，就可能导致对视觉中国持续经营</w:t>
      </w:r>
      <w:r>
        <w:rPr>
          <w:rFonts w:ascii="宋体" w:hAnsi="宋体" w:cs="宋体" w:eastAsia="宋体" w:hint="default"/>
          <w:w w:val="101"/>
          <w:sz w:val="18"/>
          <w:szCs w:val="18"/>
        </w:rPr>
        <w:t> </w:t>
      </w:r>
      <w:r>
        <w:rPr>
          <w:rFonts w:ascii="宋体" w:hAnsi="宋体" w:cs="宋体" w:eastAsia="宋体" w:hint="default"/>
          <w:spacing w:val="-5"/>
          <w:sz w:val="18"/>
          <w:szCs w:val="18"/>
        </w:rPr>
        <w:t>能力产生重大疑虑的事项或情况是否存在重大不确定性得出结论。如果我们得出结论认为存在重大不确定性，审计准则要求</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pacing w:val="-4"/>
          <w:sz w:val="18"/>
          <w:szCs w:val="18"/>
        </w:rPr>
        <w:t>我们在审计报告中提请报表使用者注意财务报表中的相关披露；如果披露不充分，我们应当发表非无保留意见。我们的结论</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3"/>
          <w:sz w:val="18"/>
          <w:szCs w:val="18"/>
        </w:rPr>
        <w:t>基于截至审计报告日可获得的信息。然而，未来的事项或情况可能导致视觉中国不能持续经营。</w:t>
      </w:r>
    </w:p>
    <w:p>
      <w:pPr>
        <w:spacing w:before="17"/>
        <w:ind w:left="575" w:right="0" w:firstLine="0"/>
        <w:jc w:val="left"/>
        <w:rPr>
          <w:rFonts w:ascii="宋体" w:hAnsi="宋体" w:cs="宋体" w:eastAsia="宋体" w:hint="default"/>
          <w:sz w:val="18"/>
          <w:szCs w:val="18"/>
        </w:rPr>
      </w:pPr>
      <w:r>
        <w:rPr>
          <w:rFonts w:ascii="宋体" w:hAnsi="宋体" w:cs="宋体" w:eastAsia="宋体" w:hint="default"/>
          <w:spacing w:val="-3"/>
          <w:sz w:val="18"/>
          <w:szCs w:val="18"/>
        </w:rPr>
        <w:t>（五）评价财务报表的总体列报、结构和内容，并评价财务报表是否公允反映相关交易和事项。</w:t>
      </w:r>
    </w:p>
    <w:p>
      <w:pPr>
        <w:spacing w:line="316" w:lineRule="auto" w:before="76"/>
        <w:ind w:left="153" w:right="1122" w:firstLine="422"/>
        <w:jc w:val="both"/>
        <w:rPr>
          <w:rFonts w:ascii="宋体" w:hAnsi="宋体" w:cs="宋体" w:eastAsia="宋体" w:hint="default"/>
          <w:sz w:val="18"/>
          <w:szCs w:val="18"/>
        </w:rPr>
      </w:pPr>
      <w:r>
        <w:rPr>
          <w:rFonts w:ascii="宋体" w:hAnsi="宋体" w:cs="宋体" w:eastAsia="宋体" w:hint="default"/>
          <w:spacing w:val="-2"/>
          <w:sz w:val="18"/>
          <w:szCs w:val="18"/>
        </w:rPr>
        <w:t>（六）就视觉中国中实体或业务活动的财务信息获取充分、适当的审计证据，以对财务报表发表审计意见。我们负责</w:t>
      </w:r>
      <w:r>
        <w:rPr>
          <w:rFonts w:ascii="宋体" w:hAnsi="宋体" w:cs="宋体" w:eastAsia="宋体" w:hint="default"/>
          <w:w w:val="101"/>
          <w:sz w:val="18"/>
          <w:szCs w:val="18"/>
        </w:rPr>
        <w:t> </w:t>
      </w:r>
      <w:r>
        <w:rPr>
          <w:rFonts w:ascii="宋体" w:hAnsi="宋体" w:cs="宋体" w:eastAsia="宋体" w:hint="default"/>
          <w:spacing w:val="-3"/>
          <w:sz w:val="18"/>
          <w:szCs w:val="18"/>
        </w:rPr>
        <w:t>指导、监督和执行集团审计，并对审计意见承担全部责任。</w:t>
      </w:r>
    </w:p>
    <w:p>
      <w:pPr>
        <w:spacing w:line="316" w:lineRule="auto" w:before="19"/>
        <w:ind w:left="153" w:right="1124" w:firstLine="412"/>
        <w:jc w:val="both"/>
        <w:rPr>
          <w:rFonts w:ascii="宋体" w:hAnsi="宋体" w:cs="宋体" w:eastAsia="宋体" w:hint="default"/>
          <w:sz w:val="18"/>
          <w:szCs w:val="18"/>
        </w:rPr>
      </w:pPr>
      <w:r>
        <w:rPr>
          <w:rFonts w:ascii="宋体" w:hAnsi="宋体" w:cs="宋体" w:eastAsia="宋体" w:hint="default"/>
          <w:spacing w:val="-2"/>
          <w:sz w:val="18"/>
          <w:szCs w:val="18"/>
        </w:rPr>
        <w:t>我们与治理层就计划的审计范围、时间安排和重大审计发现等事项进行沟通，包括沟通我们在审计中识别出的值得关</w:t>
      </w:r>
      <w:r>
        <w:rPr>
          <w:rFonts w:ascii="宋体" w:hAnsi="宋体" w:cs="宋体" w:eastAsia="宋体" w:hint="default"/>
          <w:w w:val="101"/>
          <w:sz w:val="18"/>
          <w:szCs w:val="18"/>
        </w:rPr>
        <w:t> </w:t>
      </w:r>
      <w:r>
        <w:rPr>
          <w:rFonts w:ascii="宋体" w:hAnsi="宋体" w:cs="宋体" w:eastAsia="宋体" w:hint="default"/>
          <w:spacing w:val="-3"/>
          <w:sz w:val="18"/>
          <w:szCs w:val="18"/>
        </w:rPr>
        <w:t>注的内部控制缺陷。</w:t>
      </w:r>
    </w:p>
    <w:p>
      <w:pPr>
        <w:spacing w:line="316" w:lineRule="auto" w:before="19"/>
        <w:ind w:left="153" w:right="1124" w:firstLine="422"/>
        <w:jc w:val="both"/>
        <w:rPr>
          <w:rFonts w:ascii="宋体" w:hAnsi="宋体" w:cs="宋体" w:eastAsia="宋体" w:hint="default"/>
          <w:sz w:val="18"/>
          <w:szCs w:val="18"/>
        </w:rPr>
      </w:pPr>
      <w:r>
        <w:rPr>
          <w:rFonts w:ascii="宋体" w:hAnsi="宋体" w:cs="宋体" w:eastAsia="宋体" w:hint="default"/>
          <w:spacing w:val="-2"/>
          <w:sz w:val="18"/>
          <w:szCs w:val="18"/>
        </w:rPr>
        <w:t>我们还就已遵守与独立性相关的职业道德要求向治理层提供声明，并与治理层沟通可能被合理认为影响我们独立性的</w:t>
      </w:r>
      <w:r>
        <w:rPr>
          <w:rFonts w:ascii="宋体" w:hAnsi="宋体" w:cs="宋体" w:eastAsia="宋体" w:hint="default"/>
          <w:w w:val="101"/>
          <w:sz w:val="18"/>
          <w:szCs w:val="18"/>
        </w:rPr>
        <w:t> </w:t>
      </w:r>
      <w:r>
        <w:rPr>
          <w:rFonts w:ascii="宋体" w:hAnsi="宋体" w:cs="宋体" w:eastAsia="宋体" w:hint="default"/>
          <w:spacing w:val="-3"/>
          <w:sz w:val="18"/>
          <w:szCs w:val="18"/>
        </w:rPr>
        <w:t>所有关系和其他事项，以及相关的防范措施（如适用）。</w:t>
      </w:r>
    </w:p>
    <w:p>
      <w:pPr>
        <w:spacing w:line="319" w:lineRule="auto" w:before="19"/>
        <w:ind w:left="153" w:right="1124" w:firstLine="422"/>
        <w:jc w:val="both"/>
        <w:rPr>
          <w:rFonts w:ascii="宋体" w:hAnsi="宋体" w:cs="宋体" w:eastAsia="宋体" w:hint="default"/>
          <w:sz w:val="18"/>
          <w:szCs w:val="18"/>
        </w:rPr>
      </w:pPr>
      <w:r>
        <w:rPr>
          <w:rFonts w:ascii="宋体" w:hAnsi="宋体" w:cs="宋体" w:eastAsia="宋体" w:hint="default"/>
          <w:spacing w:val="-2"/>
          <w:sz w:val="18"/>
          <w:szCs w:val="18"/>
        </w:rPr>
        <w:t>从与治理层沟通过的事项中，我们确定哪些事项对本期财务报表审计最为重要，因而构成关键审计事项。我们在审计</w:t>
      </w:r>
      <w:r>
        <w:rPr>
          <w:rFonts w:ascii="宋体" w:hAnsi="宋体" w:cs="宋体" w:eastAsia="宋体" w:hint="default"/>
          <w:w w:val="101"/>
          <w:sz w:val="18"/>
          <w:szCs w:val="18"/>
        </w:rPr>
        <w:t> </w:t>
      </w:r>
      <w:r>
        <w:rPr>
          <w:rFonts w:ascii="宋体" w:hAnsi="宋体" w:cs="宋体" w:eastAsia="宋体" w:hint="default"/>
          <w:spacing w:val="-4"/>
          <w:sz w:val="18"/>
          <w:szCs w:val="18"/>
        </w:rPr>
        <w:t>报告中描述这些事项，除非法律法规禁止公开披露这些事项，或在极少数情形下，如果合理预期在审计报告中沟通某事项造</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成的负面后果超过在公众利益方面产生的益处，我们确定不应在审计报告中沟通该事项。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tbl>
      <w:tblPr>
        <w:tblW w:w="0" w:type="auto"/>
        <w:jc w:val="left"/>
        <w:tblInd w:w="596" w:type="dxa"/>
        <w:tblLayout w:type="fixed"/>
        <w:tblCellMar>
          <w:top w:w="0" w:type="dxa"/>
          <w:left w:w="0" w:type="dxa"/>
          <w:bottom w:w="0" w:type="dxa"/>
          <w:right w:w="0" w:type="dxa"/>
        </w:tblCellMar>
        <w:tblLook w:val="01E0"/>
      </w:tblPr>
      <w:tblGrid>
        <w:gridCol w:w="3885"/>
        <w:gridCol w:w="2872"/>
      </w:tblGrid>
      <w:tr>
        <w:trPr>
          <w:trHeight w:val="569" w:hRule="exact"/>
        </w:trPr>
        <w:tc>
          <w:tcPr>
            <w:tcW w:w="3885" w:type="dxa"/>
            <w:tcBorders>
              <w:top w:val="nil" w:sz="6" w:space="0" w:color="auto"/>
              <w:left w:val="nil" w:sz="6" w:space="0" w:color="auto"/>
              <w:bottom w:val="nil" w:sz="6" w:space="0" w:color="auto"/>
              <w:right w:val="nil" w:sz="6" w:space="0" w:color="auto"/>
            </w:tcBorders>
          </w:tcPr>
          <w:p>
            <w:pPr>
              <w:pStyle w:val="TableParagraph"/>
              <w:spacing w:line="182" w:lineRule="exact"/>
              <w:ind w:right="237"/>
              <w:jc w:val="center"/>
              <w:rPr>
                <w:rFonts w:ascii="宋体" w:hAnsi="宋体" w:cs="宋体" w:eastAsia="宋体" w:hint="default"/>
                <w:sz w:val="18"/>
                <w:szCs w:val="18"/>
              </w:rPr>
            </w:pPr>
            <w:r>
              <w:rPr>
                <w:rFonts w:ascii="宋体" w:hAnsi="宋体" w:cs="宋体" w:eastAsia="宋体" w:hint="default"/>
                <w:spacing w:val="-3"/>
                <w:sz w:val="18"/>
                <w:szCs w:val="18"/>
              </w:rPr>
              <w:t>中审众环会计师事务所（特殊普通合伙）</w:t>
            </w:r>
          </w:p>
        </w:tc>
        <w:tc>
          <w:tcPr>
            <w:tcW w:w="2872" w:type="dxa"/>
            <w:tcBorders>
              <w:top w:val="nil" w:sz="6" w:space="0" w:color="auto"/>
              <w:left w:val="nil" w:sz="6" w:space="0" w:color="auto"/>
              <w:bottom w:val="nil" w:sz="6" w:space="0" w:color="auto"/>
              <w:right w:val="nil" w:sz="6" w:space="0" w:color="auto"/>
            </w:tcBorders>
          </w:tcPr>
          <w:p>
            <w:pPr>
              <w:pStyle w:val="TableParagraph"/>
              <w:tabs>
                <w:tab w:pos="2780" w:val="left" w:leader="none"/>
              </w:tabs>
              <w:spacing w:line="182" w:lineRule="exact"/>
              <w:ind w:left="439"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中国注册会计师：</w:t>
            </w:r>
            <w:r>
              <w:rPr>
                <w:rFonts w:ascii="Times New Roman" w:hAnsi="Times New Roman" w:cs="Times New Roman" w:eastAsia="Times New Roman" w:hint="default"/>
                <w:spacing w:val="-4"/>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pStyle w:val="TableParagraph"/>
              <w:tabs>
                <w:tab w:pos="2129" w:val="left" w:leader="none"/>
              </w:tabs>
              <w:spacing w:line="240" w:lineRule="auto" w:before="77"/>
              <w:ind w:left="511" w:right="0"/>
              <w:jc w:val="left"/>
              <w:rPr>
                <w:rFonts w:ascii="宋体" w:hAnsi="宋体" w:cs="宋体" w:eastAsia="宋体" w:hint="default"/>
                <w:sz w:val="18"/>
                <w:szCs w:val="18"/>
              </w:rPr>
            </w:pPr>
            <w:r>
              <w:rPr>
                <w:rFonts w:ascii="宋体" w:hAnsi="宋体" w:cs="宋体" w:eastAsia="宋体" w:hint="default"/>
                <w:spacing w:val="-3"/>
                <w:sz w:val="18"/>
                <w:szCs w:val="18"/>
              </w:rPr>
              <w:t>（项目合伙人）</w:t>
              <w:tab/>
            </w:r>
            <w:r>
              <w:rPr>
                <w:rFonts w:ascii="宋体" w:hAnsi="宋体" w:cs="宋体" w:eastAsia="宋体" w:hint="default"/>
                <w:sz w:val="18"/>
                <w:szCs w:val="18"/>
              </w:rPr>
              <w:t>黄丽琼</w:t>
            </w:r>
          </w:p>
        </w:tc>
      </w:tr>
      <w:tr>
        <w:trPr>
          <w:trHeight w:val="643" w:hRule="exact"/>
        </w:trPr>
        <w:tc>
          <w:tcPr>
            <w:tcW w:w="3885" w:type="dxa"/>
            <w:tcBorders>
              <w:top w:val="nil" w:sz="6" w:space="0" w:color="auto"/>
              <w:left w:val="nil" w:sz="6" w:space="0" w:color="auto"/>
              <w:bottom w:val="nil" w:sz="6" w:space="0" w:color="auto"/>
              <w:right w:val="nil" w:sz="6" w:space="0" w:color="auto"/>
            </w:tcBorders>
          </w:tcPr>
          <w:p>
            <w:pPr/>
          </w:p>
        </w:tc>
        <w:tc>
          <w:tcPr>
            <w:tcW w:w="2872" w:type="dxa"/>
            <w:tcBorders>
              <w:top w:val="nil" w:sz="6" w:space="0" w:color="auto"/>
              <w:left w:val="nil" w:sz="6" w:space="0" w:color="auto"/>
              <w:bottom w:val="nil" w:sz="6" w:space="0" w:color="auto"/>
              <w:right w:val="nil" w:sz="6" w:space="0" w:color="auto"/>
            </w:tcBorders>
          </w:tcPr>
          <w:p>
            <w:pPr>
              <w:pStyle w:val="TableParagraph"/>
              <w:tabs>
                <w:tab w:pos="2852" w:val="left" w:leader="none"/>
              </w:tabs>
              <w:spacing w:line="240" w:lineRule="auto" w:before="21"/>
              <w:ind w:left="439"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中国注册会计师：</w:t>
            </w:r>
            <w:r>
              <w:rPr>
                <w:rFonts w:ascii="Times New Roman" w:hAnsi="Times New Roman" w:cs="Times New Roman" w:eastAsia="Times New Roman" w:hint="default"/>
                <w:spacing w:val="-4"/>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pStyle w:val="TableParagraph"/>
              <w:spacing w:line="240" w:lineRule="auto" w:before="76"/>
              <w:ind w:left="1880" w:right="0"/>
              <w:jc w:val="left"/>
              <w:rPr>
                <w:rFonts w:ascii="宋体" w:hAnsi="宋体" w:cs="宋体" w:eastAsia="宋体" w:hint="default"/>
                <w:sz w:val="18"/>
                <w:szCs w:val="18"/>
              </w:rPr>
            </w:pPr>
            <w:r>
              <w:rPr>
                <w:rFonts w:ascii="宋体" w:hAnsi="宋体" w:cs="宋体" w:eastAsia="宋体" w:hint="default"/>
                <w:sz w:val="18"/>
                <w:szCs w:val="18"/>
              </w:rPr>
              <w:t>安素强</w:t>
            </w:r>
          </w:p>
        </w:tc>
      </w:tr>
      <w:tr>
        <w:trPr>
          <w:trHeight w:val="267" w:hRule="exact"/>
        </w:trPr>
        <w:tc>
          <w:tcPr>
            <w:tcW w:w="388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36"/>
              <w:jc w:val="center"/>
              <w:rPr>
                <w:rFonts w:ascii="宋体" w:hAnsi="宋体" w:cs="宋体" w:eastAsia="宋体" w:hint="default"/>
                <w:sz w:val="18"/>
                <w:szCs w:val="18"/>
              </w:rPr>
            </w:pPr>
            <w:r>
              <w:rPr>
                <w:rFonts w:ascii="宋体" w:hAnsi="宋体" w:cs="宋体" w:eastAsia="宋体" w:hint="default"/>
                <w:spacing w:val="-3"/>
                <w:sz w:val="18"/>
                <w:szCs w:val="18"/>
              </w:rPr>
              <w:t>中国</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武汉</w:t>
            </w:r>
            <w:r>
              <w:rPr>
                <w:rFonts w:ascii="宋体" w:hAnsi="宋体" w:cs="宋体" w:eastAsia="宋体" w:hint="default"/>
                <w:sz w:val="18"/>
                <w:szCs w:val="18"/>
              </w:rPr>
            </w:r>
          </w:p>
        </w:tc>
        <w:tc>
          <w:tcPr>
            <w:tcW w:w="287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11" w:right="0"/>
              <w:jc w:val="left"/>
              <w:rPr>
                <w:rFonts w:ascii="宋体" w:hAnsi="宋体" w:cs="宋体" w:eastAsia="宋体" w:hint="default"/>
                <w:sz w:val="18"/>
                <w:szCs w:val="18"/>
              </w:rPr>
            </w:pPr>
            <w:r>
              <w:rPr>
                <w:rFonts w:ascii="宋体" w:hAnsi="宋体" w:cs="宋体" w:eastAsia="宋体" w:hint="default"/>
                <w:spacing w:val="-3"/>
                <w:sz w:val="18"/>
                <w:szCs w:val="18"/>
              </w:rPr>
              <w:t>二〇二〇年四月二十八日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Heading2"/>
        <w:spacing w:line="240" w:lineRule="auto" w:before="26"/>
        <w:ind w:right="0"/>
        <w:jc w:val="left"/>
        <w:rPr>
          <w:b w:val="0"/>
          <w:bCs w:val="0"/>
        </w:rPr>
      </w:pPr>
      <w:bookmarkStart w:name="二、财务报表" w:id="158"/>
      <w:bookmarkEnd w:id="158"/>
      <w:r>
        <w:rPr>
          <w:b w:val="0"/>
          <w:bCs w:val="0"/>
        </w:rPr>
      </w:r>
      <w:r>
        <w:rPr/>
        <w:t>二、财务报表</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财务附注中报表的单位为：元</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4"/>
        <w:spacing w:line="240" w:lineRule="auto" w:before="36"/>
        <w:ind w:right="0"/>
        <w:jc w:val="left"/>
        <w:rPr>
          <w:b w:val="0"/>
          <w:bCs w:val="0"/>
        </w:rPr>
      </w:pPr>
      <w:bookmarkStart w:name="1、合并资产负债表" w:id="159"/>
      <w:bookmarkEnd w:id="159"/>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编制单位：视觉（中国）文化发展股份有限公司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2"/>
        <w:ind w:left="153"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3937" w:space="140"/>
            <w:col w:w="1642" w:space="3203"/>
            <w:col w:w="2008"/>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373,304,700.19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418,492,001.60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21,253,266.28</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711,400.00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1,586,696.00</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170,575,919.16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185,094,124.56</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12,294,618.38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30,121,717.44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应收分保合同准备金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102,987,834.19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186,009,724.97</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8,009,257.39</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96,000,389.26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69,932,313.34</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180,000,000.00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10,237,990.52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8,428,023.04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691,365,728.72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1,009,732,287.61</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发放贷款和垫款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57,889,687.88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1,289,212,893.43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1,252,555,185.65</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68,179,067.89</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39"/>
              <w:jc w:val="righ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3,101,153.98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4,087,216.32</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116,331,191.52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94,456,101.77</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1,109,159,184.61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1,179,326,796.00</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4,935,735.07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6,982,516.86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6,450,422.77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2,976,859.76</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828,443,794.17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622,018,031.91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3,425,813,443.44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3,220,292,396.15</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4,117,179,172.16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4,230,024,683.76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200,691,513.73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177,671,204.60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128,143,230.39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140,826,664.50</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91,020,616.27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136,245,654.73</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939"/>
              <w:jc w:val="right"/>
              <w:rPr>
                <w:rFonts w:ascii="宋体" w:hAnsi="宋体" w:cs="宋体" w:eastAsia="宋体" w:hint="default"/>
                <w:sz w:val="18"/>
                <w:szCs w:val="18"/>
              </w:rPr>
            </w:pPr>
            <w:r>
              <w:rPr>
                <w:rFonts w:ascii="宋体" w:hAnsi="宋体" w:cs="宋体" w:eastAsia="宋体" w:hint="default"/>
                <w:spacing w:val="-3"/>
                <w:sz w:val="18"/>
                <w:szCs w:val="18"/>
              </w:rPr>
              <w:t>卖出回购金融资产款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39"/>
              <w:jc w:val="right"/>
              <w:rPr>
                <w:rFonts w:ascii="宋体" w:hAnsi="宋体" w:cs="宋体" w:eastAsia="宋体" w:hint="default"/>
                <w:sz w:val="18"/>
                <w:szCs w:val="18"/>
              </w:rPr>
            </w:pPr>
            <w:r>
              <w:rPr>
                <w:rFonts w:ascii="宋体" w:hAnsi="宋体" w:cs="宋体" w:eastAsia="宋体" w:hint="default"/>
                <w:spacing w:val="-3"/>
                <w:sz w:val="18"/>
                <w:szCs w:val="18"/>
              </w:rPr>
              <w:t>吸收存款及同业存放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代理承销证券款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16,741,898.34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15,601,309.16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24,208,089.78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44,824,604.07</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9,484,841.53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12,174,074.28</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1,055,030.82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2,947,468.52</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2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180,755,191.08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327,429,786.06</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651,045,381.12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854,773,297.40</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保险合同准备金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203,476,523.81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276,464,320.00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172,428,800.00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174,716,800.00</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3,500,000.00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13,036,580.93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4,702,767.95</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6,131,574.78</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392,441,904.74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465,515,462.73</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1,043,487,285.86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1,320,288,760.13</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73,892,895.00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73,892,895.00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1,613,545,653.79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1,613,545,653.79</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28,952,845.53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6,508,319.20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19,065,290.51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12,253,120.86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1,338,242,751.42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1,183,914,073.79</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3,073,699,436.25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2,890,114,062.64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-7,549.95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19,621,860.99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3,073,691,886.30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2,909,735,923.63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4,117,179,172.16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4,230,024,683.76</w:t>
            </w:r>
          </w:p>
        </w:tc>
      </w:tr>
    </w:tbl>
    <w:p>
      <w:pPr>
        <w:spacing w:line="240" w:lineRule="auto" w:before="3"/>
        <w:rPr>
          <w:rFonts w:ascii="Times New Roman" w:hAnsi="Times New Roman" w:cs="Times New Roman" w:eastAsia="Times New Roman" w:hint="default"/>
          <w:sz w:val="23"/>
          <w:szCs w:val="23"/>
        </w:rPr>
      </w:pPr>
    </w:p>
    <w:p>
      <w:pPr>
        <w:tabs>
          <w:tab w:pos="1622" w:val="left" w:leader="none"/>
          <w:tab w:pos="3692" w:val="left" w:leader="none"/>
          <w:tab w:pos="7567" w:val="left" w:leader="none"/>
        </w:tabs>
        <w:spacing w:before="46"/>
        <w:ind w:left="0" w:right="1218" w:firstLine="0"/>
        <w:jc w:val="right"/>
        <w:rPr>
          <w:rFonts w:ascii="宋体" w:hAnsi="宋体" w:cs="宋体" w:eastAsia="宋体" w:hint="default"/>
          <w:sz w:val="18"/>
          <w:szCs w:val="18"/>
        </w:rPr>
      </w:pPr>
      <w:r>
        <w:rPr>
          <w:rFonts w:ascii="宋体" w:hAnsi="宋体" w:cs="宋体" w:eastAsia="宋体" w:hint="default"/>
          <w:spacing w:val="-2"/>
          <w:sz w:val="18"/>
          <w:szCs w:val="18"/>
        </w:rPr>
        <w:t>法定代表人：</w:t>
        <w:tab/>
      </w:r>
      <w:r>
        <w:rPr>
          <w:rFonts w:ascii="宋体" w:hAnsi="宋体" w:cs="宋体" w:eastAsia="宋体" w:hint="default"/>
          <w:spacing w:val="-3"/>
          <w:sz w:val="18"/>
          <w:szCs w:val="18"/>
        </w:rPr>
        <w:t>廖杰</w:t>
        <w:tab/>
        <w:t>主管会计工作负责人：梁军</w:t>
        <w:tab/>
        <w:t>会计机构负责人：卢文菁</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2、母公司资产负债表" w:id="160"/>
      <w:bookmarkEnd w:id="160"/>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1"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1"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26,723,814.91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129,668,145.26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4,145,078.72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3,252,021.10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382,106,712.13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550,177,065.22</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8,009,257.39</w:t>
            </w:r>
          </w:p>
        </w:tc>
      </w:tr>
      <w:tr>
        <w:trPr>
          <w:trHeight w:val="39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2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333,200,000.00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180,000,000.00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4,633,681.25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4,011,062.36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417,609,287.01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867,108,293.94</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48,389,687.88</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2,695,760,711.82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2,812,865,716.21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58,460,924.74</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2,264,737.27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2,783,783.63</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1,598,583.49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1,258,053.09</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4,583,379.01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6,201,042.20</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272,526,350.38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81,235,849.06</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3,035,194,686.71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2,952,734,132.07</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3,452,803,973.72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3,819,842,426.01</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30,052,200.03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809,919.69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3,535,327.49</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526,421.64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2,098,070.14</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2,371,443.32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2,248,391.98</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275,076.35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270,909.42</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2,864,270.44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326,985,218.68</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177,443.75</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36,899,331.47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435,137,917.71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2,975,013.63</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2,975,013.63</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39,874,345.10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435,137,917.71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700,577,436.00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700,577,436.00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2,610,669,983.51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2,610,669,983.51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8,925,040.87</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47,364,587.02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40,552,417.37</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45,392,581.22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32,904,671.42</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3,412,929,628.62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3,384,704,508.30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1.029999pt;margin-top:740.976013pt;width:158.950pt;height:20.9pt;mso-position-horizontal-relative:page;mso-position-vertical-relative:page;z-index:-1167472" coordorigin="4221,14820" coordsize="3179,418">
            <v:group style="position:absolute;left:4233;top:14832;width:2;height:394" coordorigin="4233,14832" coordsize="2,394">
              <v:shape style="position:absolute;left:4233;top:14832;width:2;height:394" coordorigin="4233,14832" coordsize="0,394" path="m4233,14832l4233,15225e" filled="false" stroked="true" strokeweight="1.2pt" strokecolor="#ffffff">
                <v:path arrowok="t"/>
              </v:shape>
            </v:group>
            <v:group style="position:absolute;left:4245;top:14832;width:3155;height:394" coordorigin="4245,14832" coordsize="3155,394">
              <v:shape style="position:absolute;left:4245;top:14832;width:3155;height:394" coordorigin="4245,14832" coordsize="3155,394" path="m4245,15225l7400,15225,7400,14832,4245,14832,4245,15225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12" w:right="0"/>
              <w:jc w:val="left"/>
              <w:rPr>
                <w:rFonts w:ascii="Times New Roman" w:hAnsi="Times New Roman" w:cs="Times New Roman" w:eastAsia="Times New Roman" w:hint="default"/>
                <w:sz w:val="18"/>
                <w:szCs w:val="18"/>
              </w:rPr>
            </w:pPr>
            <w:r>
              <w:rPr>
                <w:rFonts w:ascii="Times New Roman"/>
                <w:sz w:val="18"/>
              </w:rPr>
              <w:t>3,452,803,973.72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11" w:right="0"/>
              <w:jc w:val="left"/>
              <w:rPr>
                <w:rFonts w:ascii="Times New Roman" w:hAnsi="Times New Roman" w:cs="Times New Roman" w:eastAsia="Times New Roman" w:hint="default"/>
                <w:sz w:val="18"/>
                <w:szCs w:val="18"/>
              </w:rPr>
            </w:pPr>
            <w:r>
              <w:rPr>
                <w:rFonts w:ascii="Times New Roman"/>
                <w:sz w:val="18"/>
              </w:rPr>
              <w:t>3,819,842,426.01</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bookmarkStart w:name="3、合并利润表" w:id="161"/>
      <w:bookmarkEnd w:id="161"/>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059"/>
        <w:gridCol w:w="3220"/>
        <w:gridCol w:w="3279"/>
      </w:tblGrid>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一、营业总收入</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722,107,028.63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987,837,517.43</w:t>
            </w: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其中：营业收入</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722,107,028.63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987,837,517.43</w:t>
            </w: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宋体" w:hAnsi="宋体" w:cs="宋体" w:eastAsia="宋体" w:hint="default"/>
                <w:spacing w:val="-3"/>
                <w:sz w:val="18"/>
                <w:szCs w:val="18"/>
              </w:rPr>
              <w:t>已赚保费</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手续费及佣金收入</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二、营业总成本</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520,756,852.93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622,345,912.63</w:t>
            </w: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其中：营业成本</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266,467,244.32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349,166,381.63</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宋体" w:hAnsi="宋体" w:cs="宋体" w:eastAsia="宋体" w:hint="default"/>
                <w:spacing w:val="-3"/>
                <w:sz w:val="18"/>
                <w:szCs w:val="18"/>
              </w:rPr>
              <w:t>利息支出</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手续费及佣金支出</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4" w:right="0"/>
              <w:jc w:val="left"/>
              <w:rPr>
                <w:rFonts w:ascii="宋体" w:hAnsi="宋体" w:cs="宋体" w:eastAsia="宋体" w:hint="default"/>
                <w:sz w:val="18"/>
                <w:szCs w:val="18"/>
              </w:rPr>
            </w:pPr>
            <w:r>
              <w:rPr>
                <w:rFonts w:ascii="宋体" w:hAnsi="宋体" w:cs="宋体" w:eastAsia="宋体" w:hint="default"/>
                <w:spacing w:val="-3"/>
                <w:sz w:val="18"/>
                <w:szCs w:val="18"/>
              </w:rPr>
              <w:t>赔付支出净额</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宋体" w:hAnsi="宋体" w:cs="宋体" w:eastAsia="宋体" w:hint="default"/>
                <w:spacing w:val="-3"/>
                <w:sz w:val="18"/>
                <w:szCs w:val="18"/>
              </w:rPr>
              <w:t>提取保险责任合同准备金</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保单红利支出</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4" w:right="0"/>
              <w:jc w:val="left"/>
              <w:rPr>
                <w:rFonts w:ascii="宋体" w:hAnsi="宋体" w:cs="宋体" w:eastAsia="宋体" w:hint="default"/>
                <w:sz w:val="18"/>
                <w:szCs w:val="18"/>
              </w:rPr>
            </w:pPr>
            <w:r>
              <w:rPr>
                <w:rFonts w:ascii="宋体" w:hAnsi="宋体" w:cs="宋体" w:eastAsia="宋体" w:hint="default"/>
                <w:spacing w:val="-3"/>
                <w:sz w:val="18"/>
                <w:szCs w:val="18"/>
              </w:rPr>
              <w:t>分保费用</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3,936,218.97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7,755,995.84</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宋体" w:hAnsi="宋体" w:cs="宋体" w:eastAsia="宋体" w:hint="default"/>
                <w:spacing w:val="-3"/>
                <w:sz w:val="18"/>
                <w:szCs w:val="18"/>
              </w:rPr>
              <w:t>销售费用</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78,113,697.32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80,706,578.00</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管理费用</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105,533,398.19</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113,892,728.37</w:t>
            </w: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研发费用</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44,031,743.97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44,499,325.56</w:t>
            </w: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财务费用</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22,674,550.16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26,324,903.23</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92" w:right="0"/>
              <w:jc w:val="left"/>
              <w:rPr>
                <w:rFonts w:ascii="宋体" w:hAnsi="宋体" w:cs="宋体" w:eastAsia="宋体" w:hint="default"/>
                <w:sz w:val="18"/>
                <w:szCs w:val="18"/>
              </w:rPr>
            </w:pPr>
            <w:r>
              <w:rPr>
                <w:rFonts w:ascii="宋体" w:hAnsi="宋体" w:cs="宋体" w:eastAsia="宋体" w:hint="default"/>
                <w:spacing w:val="-3"/>
                <w:sz w:val="18"/>
                <w:szCs w:val="18"/>
              </w:rPr>
              <w:t>其中：利息费用</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28,109,113.17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34,947,864.42</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4" w:right="0"/>
              <w:jc w:val="lef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8,476,826.16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9,275,630.21</w:t>
            </w: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1,738,197.42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10,737,707.35</w:t>
            </w:r>
          </w:p>
        </w:tc>
      </w:tr>
      <w:tr>
        <w:trPr>
          <w:trHeight w:val="710"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58,250,459.11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32,840,125.23</w:t>
            </w: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5" w:firstLine="720"/>
              <w:jc w:val="left"/>
              <w:rPr>
                <w:rFonts w:ascii="宋体" w:hAnsi="宋体" w:cs="宋体" w:eastAsia="宋体" w:hint="default"/>
                <w:sz w:val="18"/>
                <w:szCs w:val="18"/>
              </w:rPr>
            </w:pPr>
            <w:r>
              <w:rPr>
                <w:rFonts w:ascii="宋体" w:hAnsi="宋体" w:cs="宋体" w:eastAsia="宋体" w:hint="default"/>
                <w:spacing w:val="-5"/>
                <w:sz w:val="18"/>
                <w:szCs w:val="18"/>
              </w:rPr>
              <w:t>其中：对联营企业和合营企业</w:t>
            </w:r>
            <w:r>
              <w:rPr>
                <w:rFonts w:ascii="宋体" w:hAnsi="宋体" w:cs="宋体" w:eastAsia="宋体" w:hint="default"/>
                <w:w w:val="101"/>
                <w:sz w:val="18"/>
                <w:szCs w:val="18"/>
              </w:rPr>
              <w:t> </w:t>
            </w:r>
            <w:r>
              <w:rPr>
                <w:rFonts w:ascii="宋体" w:hAnsi="宋体" w:cs="宋体" w:eastAsia="宋体" w:hint="default"/>
                <w:sz w:val="18"/>
                <w:szCs w:val="18"/>
              </w:rPr>
              <w:t>的投资收益</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56,666,640.48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48,212,867.99</w:t>
            </w: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1" w:right="149" w:firstLine="1080"/>
              <w:jc w:val="left"/>
              <w:rPr>
                <w:rFonts w:ascii="宋体" w:hAnsi="宋体" w:cs="宋体" w:eastAsia="宋体" w:hint="default"/>
                <w:sz w:val="18"/>
                <w:szCs w:val="18"/>
              </w:rPr>
            </w:pPr>
            <w:r>
              <w:rPr>
                <w:rFonts w:ascii="宋体" w:hAnsi="宋体" w:cs="宋体" w:eastAsia="宋体" w:hint="default"/>
                <w:spacing w:val="-2"/>
                <w:sz w:val="18"/>
                <w:szCs w:val="18"/>
              </w:rPr>
              <w:t>以摊余成本计量的金融</w:t>
            </w:r>
            <w:r>
              <w:rPr>
                <w:rFonts w:ascii="宋体" w:hAnsi="宋体" w:cs="宋体" w:eastAsia="宋体" w:hint="default"/>
                <w:w w:val="101"/>
                <w:sz w:val="18"/>
                <w:szCs w:val="18"/>
              </w:rPr>
              <w:t> </w:t>
            </w:r>
            <w:r>
              <w:rPr>
                <w:rFonts w:ascii="宋体" w:hAnsi="宋体" w:cs="宋体" w:eastAsia="宋体" w:hint="default"/>
                <w:sz w:val="18"/>
                <w:szCs w:val="18"/>
              </w:rPr>
              <w:t>资产终止确认收益</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汇兑收益（损失以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3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32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1.029999pt;margin-top:310.779968pt;width:158.950pt;height:20.9pt;mso-position-horizontal-relative:page;mso-position-vertical-relative:page;z-index:-1167448" coordorigin="4221,6216" coordsize="3179,418">
            <v:group style="position:absolute;left:4233;top:6228;width:2;height:394" coordorigin="4233,6228" coordsize="2,394">
              <v:shape style="position:absolute;left:4233;top:6228;width:2;height:394" coordorigin="4233,6228" coordsize="0,394" path="m4233,6228l4233,6621e" filled="false" stroked="true" strokeweight="1.2pt" strokecolor="#ffffff">
                <v:path arrowok="t"/>
              </v:shape>
            </v:group>
            <v:group style="position:absolute;left:4245;top:6228;width:3155;height:394" coordorigin="4245,6228" coordsize="3155,394">
              <v:shape style="position:absolute;left:4245;top:6228;width:3155;height:394" coordorigin="4245,6228" coordsize="3155,394" path="m4245,6621l7400,6621,7400,6228,4245,6228,4245,6621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1076"/>
        <w:gridCol w:w="2144"/>
        <w:gridCol w:w="3279"/>
      </w:tblGrid>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5" w:firstLine="720"/>
              <w:jc w:val="left"/>
              <w:rPr>
                <w:rFonts w:ascii="宋体" w:hAnsi="宋体" w:cs="宋体" w:eastAsia="宋体" w:hint="default"/>
                <w:sz w:val="18"/>
                <w:szCs w:val="18"/>
              </w:rPr>
            </w:pPr>
            <w:r>
              <w:rPr>
                <w:rFonts w:ascii="宋体" w:hAnsi="宋体" w:cs="宋体" w:eastAsia="宋体" w:hint="default"/>
                <w:spacing w:val="-4"/>
                <w:sz w:val="18"/>
                <w:szCs w:val="18"/>
              </w:rPr>
              <w:t>净敞口套期收益（损失以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21,253,266.28</w:t>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31" w:right="0"/>
              <w:jc w:val="left"/>
              <w:rPr>
                <w:rFonts w:ascii="宋体" w:hAnsi="宋体" w:cs="宋体" w:eastAsia="宋体" w:hint="default"/>
                <w:sz w:val="18"/>
                <w:szCs w:val="18"/>
              </w:rPr>
            </w:pPr>
            <w:r>
              <w:rPr>
                <w:rFonts w:ascii="宋体" w:hAnsi="宋体" w:cs="宋体" w:eastAsia="宋体" w:hint="default"/>
                <w:w w:val="101"/>
                <w:sz w:val="18"/>
                <w:szCs w:val="18"/>
              </w:rPr>
              <w:t>信</w:t>
            </w:r>
            <w:r>
              <w:rPr>
                <w:rFonts w:ascii="宋体" w:hAnsi="宋体" w:cs="宋体" w:eastAsia="宋体" w:hint="default"/>
                <w:spacing w:val="-5"/>
                <w:w w:val="101"/>
                <w:sz w:val="18"/>
                <w:szCs w:val="18"/>
              </w:rPr>
              <w:t>用</w:t>
            </w:r>
            <w:r>
              <w:rPr>
                <w:rFonts w:ascii="宋体" w:hAnsi="宋体" w:cs="宋体" w:eastAsia="宋体" w:hint="default"/>
                <w:w w:val="101"/>
                <w:sz w:val="18"/>
                <w:szCs w:val="18"/>
              </w:rPr>
              <w:t>减</w:t>
            </w:r>
            <w:r>
              <w:rPr>
                <w:rFonts w:ascii="宋体" w:hAnsi="宋体" w:cs="宋体" w:eastAsia="宋体" w:hint="default"/>
                <w:spacing w:val="-5"/>
                <w:w w:val="101"/>
                <w:sz w:val="18"/>
                <w:szCs w:val="18"/>
              </w:rPr>
              <w:t>值</w:t>
            </w:r>
            <w:r>
              <w:rPr>
                <w:rFonts w:ascii="宋体" w:hAnsi="宋体" w:cs="宋体" w:eastAsia="宋体" w:hint="default"/>
                <w:w w:val="101"/>
                <w:sz w:val="18"/>
                <w:szCs w:val="18"/>
              </w:rPr>
              <w:t>损</w:t>
            </w:r>
            <w:r>
              <w:rPr>
                <w:rFonts w:ascii="宋体" w:hAnsi="宋体" w:cs="宋体" w:eastAsia="宋体" w:hint="default"/>
                <w:spacing w:val="-77"/>
                <w:w w:val="101"/>
                <w:sz w:val="18"/>
                <w:szCs w:val="18"/>
              </w:rPr>
              <w:t>失</w:t>
            </w:r>
            <w:r>
              <w:rPr>
                <w:rFonts w:ascii="宋体" w:hAnsi="宋体" w:cs="宋体" w:eastAsia="宋体" w:hint="default"/>
                <w:spacing w:val="-5"/>
                <w:w w:val="101"/>
                <w:sz w:val="18"/>
                <w:szCs w:val="18"/>
              </w:rPr>
              <w:t>（</w:t>
            </w:r>
            <w:r>
              <w:rPr>
                <w:rFonts w:ascii="宋体" w:hAnsi="宋体" w:cs="宋体" w:eastAsia="宋体" w:hint="default"/>
                <w:w w:val="101"/>
                <w:sz w:val="18"/>
                <w:szCs w:val="18"/>
              </w:rPr>
              <w:t>损</w:t>
            </w:r>
            <w:r>
              <w:rPr>
                <w:rFonts w:ascii="宋体" w:hAnsi="宋体" w:cs="宋体" w:eastAsia="宋体" w:hint="default"/>
                <w:spacing w:val="-5"/>
                <w:w w:val="101"/>
                <w:sz w:val="18"/>
                <w:szCs w:val="18"/>
              </w:rPr>
              <w:t>失</w:t>
            </w:r>
            <w:r>
              <w:rPr>
                <w:rFonts w:ascii="宋体" w:hAnsi="宋体" w:cs="宋体" w:eastAsia="宋体" w:hint="default"/>
                <w:w w:val="101"/>
                <w:sz w:val="18"/>
                <w:szCs w:val="18"/>
              </w:rPr>
              <w:t>以</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号填</w:t>
            </w:r>
            <w:r>
              <w:rPr>
                <w:rFonts w:ascii="宋体" w:hAnsi="宋体" w:cs="宋体" w:eastAsia="宋体" w:hint="default"/>
                <w:sz w:val="18"/>
                <w:szCs w:val="18"/>
              </w:rPr>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-6,926,981.58</w:t>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w w:val="101"/>
                <w:sz w:val="18"/>
                <w:szCs w:val="18"/>
              </w:rPr>
              <w:t>资</w:t>
            </w:r>
            <w:r>
              <w:rPr>
                <w:rFonts w:ascii="宋体" w:hAnsi="宋体" w:cs="宋体" w:eastAsia="宋体" w:hint="default"/>
                <w:spacing w:val="-5"/>
                <w:w w:val="101"/>
                <w:sz w:val="18"/>
                <w:szCs w:val="18"/>
              </w:rPr>
              <w:t>产</w:t>
            </w:r>
            <w:r>
              <w:rPr>
                <w:rFonts w:ascii="宋体" w:hAnsi="宋体" w:cs="宋体" w:eastAsia="宋体" w:hint="default"/>
                <w:w w:val="101"/>
                <w:sz w:val="18"/>
                <w:szCs w:val="18"/>
              </w:rPr>
              <w:t>减</w:t>
            </w:r>
            <w:r>
              <w:rPr>
                <w:rFonts w:ascii="宋体" w:hAnsi="宋体" w:cs="宋体" w:eastAsia="宋体" w:hint="default"/>
                <w:spacing w:val="-5"/>
                <w:w w:val="101"/>
                <w:sz w:val="18"/>
                <w:szCs w:val="18"/>
              </w:rPr>
              <w:t>值</w:t>
            </w:r>
            <w:r>
              <w:rPr>
                <w:rFonts w:ascii="宋体" w:hAnsi="宋体" w:cs="宋体" w:eastAsia="宋体" w:hint="default"/>
                <w:w w:val="101"/>
                <w:sz w:val="18"/>
                <w:szCs w:val="18"/>
              </w:rPr>
              <w:t>损</w:t>
            </w:r>
            <w:r>
              <w:rPr>
                <w:rFonts w:ascii="宋体" w:hAnsi="宋体" w:cs="宋体" w:eastAsia="宋体" w:hint="default"/>
                <w:spacing w:val="-77"/>
                <w:w w:val="101"/>
                <w:sz w:val="18"/>
                <w:szCs w:val="18"/>
              </w:rPr>
              <w:t>失</w:t>
            </w:r>
            <w:r>
              <w:rPr>
                <w:rFonts w:ascii="宋体" w:hAnsi="宋体" w:cs="宋体" w:eastAsia="宋体" w:hint="default"/>
                <w:spacing w:val="-5"/>
                <w:w w:val="101"/>
                <w:sz w:val="18"/>
                <w:szCs w:val="18"/>
              </w:rPr>
              <w:t>（</w:t>
            </w:r>
            <w:r>
              <w:rPr>
                <w:rFonts w:ascii="宋体" w:hAnsi="宋体" w:cs="宋体" w:eastAsia="宋体" w:hint="default"/>
                <w:w w:val="101"/>
                <w:sz w:val="18"/>
                <w:szCs w:val="18"/>
              </w:rPr>
              <w:t>损</w:t>
            </w:r>
            <w:r>
              <w:rPr>
                <w:rFonts w:ascii="宋体" w:hAnsi="宋体" w:cs="宋体" w:eastAsia="宋体" w:hint="default"/>
                <w:spacing w:val="-5"/>
                <w:w w:val="101"/>
                <w:sz w:val="18"/>
                <w:szCs w:val="18"/>
              </w:rPr>
              <w:t>失</w:t>
            </w:r>
            <w:r>
              <w:rPr>
                <w:rFonts w:ascii="宋体" w:hAnsi="宋体" w:cs="宋体" w:eastAsia="宋体" w:hint="default"/>
                <w:w w:val="101"/>
                <w:sz w:val="18"/>
                <w:szCs w:val="18"/>
              </w:rPr>
              <w:t>以</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号填</w:t>
            </w:r>
            <w:r>
              <w:rPr>
                <w:rFonts w:ascii="宋体" w:hAnsi="宋体" w:cs="宋体" w:eastAsia="宋体" w:hint="default"/>
                <w:sz w:val="18"/>
                <w:szCs w:val="18"/>
              </w:rPr>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084" w:right="0"/>
              <w:jc w:val="left"/>
              <w:rPr>
                <w:rFonts w:ascii="Times New Roman" w:hAnsi="Times New Roman" w:cs="Times New Roman" w:eastAsia="Times New Roman" w:hint="default"/>
                <w:sz w:val="18"/>
                <w:szCs w:val="18"/>
              </w:rPr>
            </w:pPr>
            <w:r>
              <w:rPr>
                <w:rFonts w:ascii="Times New Roman"/>
                <w:sz w:val="18"/>
              </w:rPr>
              <w:t>-13,241,024.97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-16,906,739.29</w:t>
            </w: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w w:val="101"/>
                <w:sz w:val="18"/>
                <w:szCs w:val="18"/>
              </w:rPr>
              <w:t>资</w:t>
            </w:r>
            <w:r>
              <w:rPr>
                <w:rFonts w:ascii="宋体" w:hAnsi="宋体" w:cs="宋体" w:eastAsia="宋体" w:hint="default"/>
                <w:spacing w:val="-5"/>
                <w:w w:val="101"/>
                <w:sz w:val="18"/>
                <w:szCs w:val="18"/>
              </w:rPr>
              <w:t>产</w:t>
            </w:r>
            <w:r>
              <w:rPr>
                <w:rFonts w:ascii="宋体" w:hAnsi="宋体" w:cs="宋体" w:eastAsia="宋体" w:hint="default"/>
                <w:w w:val="101"/>
                <w:sz w:val="18"/>
                <w:szCs w:val="18"/>
              </w:rPr>
              <w:t>处</w:t>
            </w:r>
            <w:r>
              <w:rPr>
                <w:rFonts w:ascii="宋体" w:hAnsi="宋体" w:cs="宋体" w:eastAsia="宋体" w:hint="default"/>
                <w:spacing w:val="-5"/>
                <w:w w:val="101"/>
                <w:sz w:val="18"/>
                <w:szCs w:val="18"/>
              </w:rPr>
              <w:t>置</w:t>
            </w:r>
            <w:r>
              <w:rPr>
                <w:rFonts w:ascii="宋体" w:hAnsi="宋体" w:cs="宋体" w:eastAsia="宋体" w:hint="default"/>
                <w:w w:val="101"/>
                <w:sz w:val="18"/>
                <w:szCs w:val="18"/>
              </w:rPr>
              <w:t>收</w:t>
            </w:r>
            <w:r>
              <w:rPr>
                <w:rFonts w:ascii="宋体" w:hAnsi="宋体" w:cs="宋体" w:eastAsia="宋体" w:hint="default"/>
                <w:spacing w:val="-77"/>
                <w:w w:val="101"/>
                <w:sz w:val="18"/>
                <w:szCs w:val="18"/>
              </w:rPr>
              <w:t>益</w:t>
            </w:r>
            <w:r>
              <w:rPr>
                <w:rFonts w:ascii="宋体" w:hAnsi="宋体" w:cs="宋体" w:eastAsia="宋体" w:hint="default"/>
                <w:spacing w:val="-5"/>
                <w:w w:val="101"/>
                <w:sz w:val="18"/>
                <w:szCs w:val="18"/>
              </w:rPr>
              <w:t>（</w:t>
            </w:r>
            <w:r>
              <w:rPr>
                <w:rFonts w:ascii="宋体" w:hAnsi="宋体" w:cs="宋体" w:eastAsia="宋体" w:hint="default"/>
                <w:w w:val="101"/>
                <w:sz w:val="18"/>
                <w:szCs w:val="18"/>
              </w:rPr>
              <w:t>损</w:t>
            </w:r>
            <w:r>
              <w:rPr>
                <w:rFonts w:ascii="宋体" w:hAnsi="宋体" w:cs="宋体" w:eastAsia="宋体" w:hint="default"/>
                <w:spacing w:val="-5"/>
                <w:w w:val="101"/>
                <w:sz w:val="18"/>
                <w:szCs w:val="18"/>
              </w:rPr>
              <w:t>失</w:t>
            </w:r>
            <w:r>
              <w:rPr>
                <w:rFonts w:ascii="宋体" w:hAnsi="宋体" w:cs="宋体" w:eastAsia="宋体" w:hint="default"/>
                <w:w w:val="101"/>
                <w:sz w:val="18"/>
                <w:szCs w:val="18"/>
              </w:rPr>
              <w:t>以</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号填</w:t>
            </w:r>
            <w:r>
              <w:rPr>
                <w:rFonts w:ascii="宋体" w:hAnsi="宋体" w:cs="宋体" w:eastAsia="宋体" w:hint="default"/>
                <w:sz w:val="18"/>
                <w:szCs w:val="18"/>
              </w:rPr>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41,675.71</w:t>
            </w: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三、营业利润（亏损以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055" w:right="0"/>
              <w:jc w:val="left"/>
              <w:rPr>
                <w:rFonts w:ascii="Times New Roman" w:hAnsi="Times New Roman" w:cs="Times New Roman" w:eastAsia="Times New Roman" w:hint="default"/>
                <w:sz w:val="18"/>
                <w:szCs w:val="18"/>
              </w:rPr>
            </w:pPr>
            <w:r>
              <w:rPr>
                <w:rFonts w:ascii="Times New Roman"/>
                <w:sz w:val="18"/>
              </w:rPr>
              <w:t>262,424,091.96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392,204,373.80</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117,595.87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156,569.49</w:t>
            </w: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623,926.63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559,493.88</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9"/>
                <w:sz w:val="18"/>
                <w:szCs w:val="18"/>
              </w:rPr>
              <w:t>四、利润总额（亏损总额以</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号填列</w:t>
            </w:r>
          </w:p>
        </w:tc>
        <w:tc>
          <w:tcPr>
            <w:tcW w:w="1076"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3"/>
              <w:ind w:left="-12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21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996" w:right="0"/>
              <w:jc w:val="left"/>
              <w:rPr>
                <w:rFonts w:ascii="Times New Roman" w:hAnsi="Times New Roman" w:cs="Times New Roman" w:eastAsia="Times New Roman" w:hint="default"/>
                <w:sz w:val="18"/>
                <w:szCs w:val="18"/>
              </w:rPr>
            </w:pPr>
            <w:r>
              <w:rPr>
                <w:rFonts w:ascii="Times New Roman"/>
                <w:sz w:val="18"/>
              </w:rPr>
              <w:t>261,917,761.20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391,801,449.41</w:t>
            </w: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44,458,043.46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56,551,199.16</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五、净利润（净亏损以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left="2055" w:right="0"/>
              <w:jc w:val="left"/>
              <w:rPr>
                <w:rFonts w:ascii="Times New Roman" w:hAnsi="Times New Roman" w:cs="Times New Roman" w:eastAsia="Times New Roman" w:hint="default"/>
                <w:sz w:val="18"/>
                <w:szCs w:val="18"/>
              </w:rPr>
            </w:pPr>
            <w:r>
              <w:rPr>
                <w:rFonts w:ascii="Times New Roman"/>
                <w:sz w:val="18"/>
              </w:rPr>
              <w:t>217,459,717.74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335,250,250.25</w:t>
            </w: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94" w:right="0"/>
              <w:jc w:val="left"/>
              <w:rPr>
                <w:rFonts w:ascii="宋体" w:hAnsi="宋体" w:cs="宋体" w:eastAsia="宋体" w:hint="default"/>
                <w:sz w:val="18"/>
                <w:szCs w:val="18"/>
              </w:rPr>
            </w:pPr>
            <w:r>
              <w:rPr>
                <w:rFonts w:ascii="宋体" w:hAnsi="宋体" w:cs="宋体" w:eastAsia="宋体" w:hint="default"/>
                <w:spacing w:val="-3"/>
                <w:sz w:val="18"/>
                <w:szCs w:val="18"/>
              </w:rPr>
              <w:t>（一）按经营持续性分类</w:t>
            </w:r>
          </w:p>
        </w:tc>
        <w:tc>
          <w:tcPr>
            <w:tcW w:w="3220"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持续经营净利润（净亏损以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055" w:right="0"/>
              <w:jc w:val="left"/>
              <w:rPr>
                <w:rFonts w:ascii="Times New Roman" w:hAnsi="Times New Roman" w:cs="Times New Roman" w:eastAsia="Times New Roman" w:hint="default"/>
                <w:sz w:val="18"/>
                <w:szCs w:val="18"/>
              </w:rPr>
            </w:pPr>
            <w:r>
              <w:rPr>
                <w:rFonts w:ascii="Times New Roman"/>
                <w:sz w:val="18"/>
              </w:rPr>
              <w:t>220,686,879.41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321,717,587.69</w:t>
            </w:r>
          </w:p>
        </w:tc>
      </w:tr>
      <w:tr>
        <w:trPr>
          <w:trHeight w:val="71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终止经营净利润（净亏损以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-3,227,161.67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13,532,662.56</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94" w:right="0"/>
              <w:jc w:val="left"/>
              <w:rPr>
                <w:rFonts w:ascii="宋体" w:hAnsi="宋体" w:cs="宋体" w:eastAsia="宋体" w:hint="default"/>
                <w:sz w:val="18"/>
                <w:szCs w:val="18"/>
              </w:rPr>
            </w:pPr>
            <w:r>
              <w:rPr>
                <w:rFonts w:ascii="宋体" w:hAnsi="宋体" w:cs="宋体" w:eastAsia="宋体" w:hint="default"/>
                <w:spacing w:val="-3"/>
                <w:sz w:val="18"/>
                <w:szCs w:val="18"/>
              </w:rPr>
              <w:t>（二）按所有权归属分类</w:t>
            </w:r>
          </w:p>
        </w:tc>
        <w:tc>
          <w:tcPr>
            <w:tcW w:w="3220"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归属于母公司所有者的净利润</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055" w:right="0"/>
              <w:jc w:val="left"/>
              <w:rPr>
                <w:rFonts w:ascii="Times New Roman" w:hAnsi="Times New Roman" w:cs="Times New Roman" w:eastAsia="Times New Roman" w:hint="default"/>
                <w:sz w:val="18"/>
                <w:szCs w:val="18"/>
              </w:rPr>
            </w:pPr>
            <w:r>
              <w:rPr>
                <w:rFonts w:ascii="Times New Roman"/>
                <w:sz w:val="18"/>
              </w:rPr>
              <w:t>219,048,159.38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321,211,367.56</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少数股东损益</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-1,588,441.64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14,038,882.69</w:t>
            </w: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六、其他综合收益的税后净额</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8,847,364.35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18,625,298.14</w:t>
            </w: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11" w:right="149" w:firstLine="182"/>
              <w:jc w:val="left"/>
              <w:rPr>
                <w:rFonts w:ascii="宋体" w:hAnsi="宋体" w:cs="宋体" w:eastAsia="宋体" w:hint="default"/>
                <w:sz w:val="18"/>
                <w:szCs w:val="18"/>
              </w:rPr>
            </w:pPr>
            <w:r>
              <w:rPr>
                <w:rFonts w:ascii="宋体" w:hAnsi="宋体" w:cs="宋体" w:eastAsia="宋体" w:hint="default"/>
                <w:spacing w:val="-3"/>
                <w:sz w:val="18"/>
                <w:szCs w:val="18"/>
              </w:rPr>
              <w:t>归属母公司所有者的其他综合收益</w:t>
            </w:r>
            <w:r>
              <w:rPr>
                <w:rFonts w:ascii="宋体" w:hAnsi="宋体" w:cs="宋体" w:eastAsia="宋体" w:hint="default"/>
                <w:w w:val="101"/>
                <w:sz w:val="18"/>
                <w:szCs w:val="18"/>
              </w:rPr>
              <w:t> </w:t>
            </w:r>
            <w:r>
              <w:rPr>
                <w:rFonts w:ascii="宋体" w:hAnsi="宋体" w:cs="宋体" w:eastAsia="宋体" w:hint="default"/>
                <w:sz w:val="18"/>
                <w:szCs w:val="18"/>
              </w:rPr>
              <w:t>的税后净额</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8,847,364.35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18,722,792.37</w:t>
            </w: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5" w:firstLine="345"/>
              <w:jc w:val="left"/>
              <w:rPr>
                <w:rFonts w:ascii="宋体" w:hAnsi="宋体" w:cs="宋体" w:eastAsia="宋体" w:hint="default"/>
                <w:sz w:val="18"/>
                <w:szCs w:val="18"/>
              </w:rPr>
            </w:pPr>
            <w:r>
              <w:rPr>
                <w:rFonts w:ascii="宋体" w:hAnsi="宋体" w:cs="宋体" w:eastAsia="宋体" w:hint="default"/>
                <w:spacing w:val="-4"/>
                <w:sz w:val="18"/>
                <w:szCs w:val="18"/>
              </w:rPr>
              <w:t>（一）不能重分类进损益的其他综</w:t>
            </w:r>
            <w:r>
              <w:rPr>
                <w:rFonts w:ascii="宋体" w:hAnsi="宋体" w:cs="宋体" w:eastAsia="宋体" w:hint="default"/>
                <w:w w:val="101"/>
                <w:sz w:val="18"/>
                <w:szCs w:val="18"/>
              </w:rPr>
              <w:t> </w:t>
            </w:r>
            <w:r>
              <w:rPr>
                <w:rFonts w:ascii="宋体" w:hAnsi="宋体" w:cs="宋体" w:eastAsia="宋体" w:hint="default"/>
                <w:sz w:val="18"/>
                <w:szCs w:val="18"/>
              </w:rPr>
              <w:t>合收益</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-4,626,255.29</w:t>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重新计量设定受益计划变</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权益法下不能转损益的其</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其他权益工具投资公允价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-4,626,255.29</w:t>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企业自身信用风险公允价</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3220"/>
        <w:gridCol w:w="3279"/>
      </w:tblGrid>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 w:firstLine="345"/>
              <w:jc w:val="left"/>
              <w:rPr>
                <w:rFonts w:ascii="宋体" w:hAnsi="宋体" w:cs="宋体" w:eastAsia="宋体" w:hint="default"/>
                <w:sz w:val="18"/>
                <w:szCs w:val="18"/>
              </w:rPr>
            </w:pPr>
            <w:r>
              <w:rPr>
                <w:rFonts w:ascii="宋体" w:hAnsi="宋体" w:cs="宋体" w:eastAsia="宋体" w:hint="default"/>
                <w:spacing w:val="-4"/>
                <w:sz w:val="18"/>
                <w:szCs w:val="18"/>
              </w:rPr>
              <w:t>（二）将重分类进损益的其他综合</w:t>
            </w:r>
            <w:r>
              <w:rPr>
                <w:rFonts w:ascii="宋体" w:hAnsi="宋体" w:cs="宋体" w:eastAsia="宋体" w:hint="default"/>
                <w:w w:val="101"/>
                <w:sz w:val="18"/>
                <w:szCs w:val="18"/>
              </w:rPr>
              <w:t> </w:t>
            </w:r>
            <w:r>
              <w:rPr>
                <w:rFonts w:ascii="宋体" w:hAnsi="宋体" w:cs="宋体" w:eastAsia="宋体" w:hint="default"/>
                <w:sz w:val="18"/>
                <w:szCs w:val="18"/>
              </w:rPr>
              <w:t>收益</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13,473,619.64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18,722,792.37</w:t>
            </w: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权益法下可转损益的其他</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897,282.71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-241,273.66</w:t>
            </w: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其他债权投资公允价值变</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w w:val="101"/>
                <w:sz w:val="18"/>
                <w:szCs w:val="18"/>
              </w:rPr>
              <w:t>动</w:t>
            </w:r>
            <w:r>
              <w:rPr>
                <w:rFonts w:ascii="宋体" w:hAnsi="宋体" w:cs="宋体" w:eastAsia="宋体" w:hint="default"/>
                <w:sz w:val="18"/>
                <w:szCs w:val="18"/>
              </w:rPr>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可供出售金融资产公允价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14"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金融资产重分类计入其他</w:t>
            </w:r>
            <w:r>
              <w:rPr>
                <w:rFonts w:ascii="宋体" w:hAnsi="宋体" w:cs="宋体" w:eastAsia="宋体" w:hint="default"/>
                <w:w w:val="101"/>
                <w:sz w:val="18"/>
                <w:szCs w:val="18"/>
              </w:rPr>
              <w:t> </w:t>
            </w:r>
            <w:r>
              <w:rPr>
                <w:rFonts w:ascii="宋体" w:hAnsi="宋体" w:cs="宋体" w:eastAsia="宋体" w:hint="default"/>
                <w:spacing w:val="-3"/>
                <w:sz w:val="18"/>
                <w:szCs w:val="18"/>
              </w:rPr>
              <w:t>综合收益的金额</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11" w:right="14"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持有至到期投资重分类为</w:t>
            </w:r>
            <w:r>
              <w:rPr>
                <w:rFonts w:ascii="宋体" w:hAnsi="宋体" w:cs="宋体" w:eastAsia="宋体" w:hint="default"/>
                <w:w w:val="101"/>
                <w:sz w:val="18"/>
                <w:szCs w:val="18"/>
              </w:rPr>
              <w:t> </w:t>
            </w:r>
            <w:r>
              <w:rPr>
                <w:rFonts w:ascii="宋体" w:hAnsi="宋体" w:cs="宋体" w:eastAsia="宋体" w:hint="default"/>
                <w:sz w:val="18"/>
                <w:szCs w:val="18"/>
              </w:rPr>
              <w:t>可供出售金融资产损益</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其他债权投资信用减值准</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w w:val="101"/>
                <w:sz w:val="18"/>
                <w:szCs w:val="18"/>
              </w:rPr>
              <w:t>备</w:t>
            </w:r>
            <w:r>
              <w:rPr>
                <w:rFonts w:ascii="宋体" w:hAnsi="宋体" w:cs="宋体" w:eastAsia="宋体" w:hint="default"/>
                <w:sz w:val="18"/>
                <w:szCs w:val="18"/>
              </w:rPr>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92"/>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外币财务报表折算差额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12,576,336.93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18,964,066.03</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49" w:firstLine="182"/>
              <w:jc w:val="left"/>
              <w:rPr>
                <w:rFonts w:ascii="宋体" w:hAnsi="宋体" w:cs="宋体" w:eastAsia="宋体" w:hint="default"/>
                <w:sz w:val="18"/>
                <w:szCs w:val="18"/>
              </w:rPr>
            </w:pPr>
            <w:r>
              <w:rPr>
                <w:rFonts w:ascii="宋体" w:hAnsi="宋体" w:cs="宋体" w:eastAsia="宋体" w:hint="default"/>
                <w:spacing w:val="-3"/>
                <w:sz w:val="18"/>
                <w:szCs w:val="18"/>
              </w:rPr>
              <w:t>归属于少数股东的其他综合收益的</w:t>
            </w:r>
            <w:r>
              <w:rPr>
                <w:rFonts w:ascii="宋体" w:hAnsi="宋体" w:cs="宋体" w:eastAsia="宋体" w:hint="default"/>
                <w:w w:val="101"/>
                <w:sz w:val="18"/>
                <w:szCs w:val="18"/>
              </w:rPr>
              <w:t> </w:t>
            </w:r>
            <w:r>
              <w:rPr>
                <w:rFonts w:ascii="宋体" w:hAnsi="宋体" w:cs="宋体" w:eastAsia="宋体" w:hint="default"/>
                <w:sz w:val="18"/>
                <w:szCs w:val="18"/>
              </w:rPr>
              <w:t>税后净额</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-97,494.23</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226,307,082.09</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353,875,548.39</w:t>
            </w:r>
          </w:p>
        </w:tc>
      </w:tr>
      <w:tr>
        <w:trPr>
          <w:trHeight w:val="71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149" w:firstLine="36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归属于母公司所有者的综合收益</w:t>
            </w:r>
            <w:r>
              <w:rPr>
                <w:rFonts w:ascii="宋体" w:hAnsi="宋体" w:cs="宋体" w:eastAsia="宋体" w:hint="default"/>
                <w:w w:val="101"/>
                <w:sz w:val="18"/>
                <w:szCs w:val="18"/>
              </w:rPr>
              <w:t> </w:t>
            </w:r>
            <w:r>
              <w:rPr>
                <w:rFonts w:ascii="宋体" w:hAnsi="宋体" w:cs="宋体" w:eastAsia="宋体" w:hint="default"/>
                <w:sz w:val="18"/>
                <w:szCs w:val="18"/>
              </w:rPr>
              <w:t>总额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227,895,523.73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339,934,159.93</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49"/>
              <w:jc w:val="right"/>
              <w:rPr>
                <w:rFonts w:ascii="宋体" w:hAnsi="宋体" w:cs="宋体" w:eastAsia="宋体" w:hint="default"/>
                <w:sz w:val="18"/>
                <w:szCs w:val="18"/>
              </w:rPr>
            </w:pPr>
            <w:r>
              <w:rPr>
                <w:rFonts w:ascii="宋体" w:hAnsi="宋体" w:cs="宋体" w:eastAsia="宋体" w:hint="default"/>
                <w:spacing w:val="-3"/>
                <w:sz w:val="18"/>
                <w:szCs w:val="18"/>
              </w:rPr>
              <w:t>归属于少数股东的综合收益总额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-1,588,441.64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13,941,388.46</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八、每股收益：</w:t>
            </w:r>
          </w:p>
        </w:tc>
        <w:tc>
          <w:tcPr>
            <w:tcW w:w="32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0.3127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0.4585</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0.3127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0.4585</w:t>
            </w:r>
          </w:p>
        </w:tc>
      </w:tr>
    </w:tbl>
    <w:p>
      <w:pPr>
        <w:tabs>
          <w:tab w:pos="1776" w:val="left" w:leader="none"/>
          <w:tab w:pos="3845" w:val="left" w:leader="none"/>
          <w:tab w:pos="7720" w:val="left" w:leader="none"/>
        </w:tabs>
        <w:spacing w:line="607" w:lineRule="auto" w:before="53"/>
        <w:ind w:left="153" w:right="1218" w:firstLine="0"/>
        <w:jc w:val="left"/>
        <w:rPr>
          <w:rFonts w:ascii="宋体" w:hAnsi="宋体" w:cs="宋体" w:eastAsia="宋体" w:hint="default"/>
          <w:sz w:val="21"/>
          <w:szCs w:val="21"/>
        </w:rPr>
      </w:pPr>
      <w:r>
        <w:rPr>
          <w:rFonts w:ascii="宋体" w:hAnsi="宋体" w:cs="宋体" w:eastAsia="宋体" w:hint="default"/>
          <w:spacing w:val="-3"/>
          <w:sz w:val="18"/>
          <w:szCs w:val="18"/>
        </w:rPr>
        <w:t>本期发生同一控制下企业合并的，被合并方在合并前实现的净利润为：元，上期被合并方实现的净利润为：元。</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2"/>
          <w:sz w:val="18"/>
          <w:szCs w:val="18"/>
        </w:rPr>
        <w:t>法定代表人：</w:t>
        <w:tab/>
      </w:r>
      <w:r>
        <w:rPr>
          <w:rFonts w:ascii="宋体" w:hAnsi="宋体" w:cs="宋体" w:eastAsia="宋体" w:hint="default"/>
          <w:spacing w:val="-3"/>
          <w:sz w:val="18"/>
          <w:szCs w:val="18"/>
        </w:rPr>
        <w:t>廖杰</w:t>
        <w:tab/>
        <w:t>主管会计工作负责人：梁军</w:t>
        <w:tab/>
        <w:t>会计机构负责人：卢文菁</w:t>
      </w:r>
      <w:r>
        <w:rPr>
          <w:rFonts w:ascii="宋体" w:hAnsi="宋体" w:cs="宋体" w:eastAsia="宋体" w:hint="default"/>
          <w:spacing w:val="-56"/>
          <w:sz w:val="18"/>
          <w:szCs w:val="18"/>
        </w:rPr>
        <w:t> </w:t>
      </w:r>
      <w:r>
        <w:rPr>
          <w:rFonts w:ascii="宋体" w:hAnsi="宋体" w:cs="宋体" w:eastAsia="宋体" w:hint="default"/>
          <w:spacing w:val="-56"/>
          <w:sz w:val="18"/>
          <w:szCs w:val="18"/>
        </w:rPr>
      </w:r>
      <w:bookmarkStart w:name="4、母公司利润表" w:id="162"/>
      <w:bookmarkEnd w:id="162"/>
      <w:r>
        <w:rPr>
          <w:rFonts w:ascii="宋体" w:hAnsi="宋体" w:cs="宋体" w:eastAsia="宋体" w:hint="default"/>
          <w:spacing w:val="-56"/>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line="234" w:lineRule="exact" w:before="0"/>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284"/>
              <w:jc w:val="right"/>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19,057,854.87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10,898,684.32</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3,953,400.98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183,957.54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299"/>
              <w:jc w:val="right"/>
              <w:rPr>
                <w:rFonts w:ascii="宋体" w:hAnsi="宋体" w:cs="宋体" w:eastAsia="宋体" w:hint="default"/>
                <w:sz w:val="18"/>
                <w:szCs w:val="18"/>
              </w:rPr>
            </w:pPr>
            <w:r>
              <w:rPr>
                <w:rFonts w:ascii="宋体" w:hAnsi="宋体" w:cs="宋体" w:eastAsia="宋体" w:hint="default"/>
                <w:spacing w:val="-2"/>
                <w:sz w:val="18"/>
                <w:szCs w:val="18"/>
              </w:rPr>
              <w:t>税金及附加</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27,930.15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40,022.09</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48,983,214.98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48,119,459.26</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5,539,641.19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3,394,364.81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其中：利息费用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14,525,006.11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19,288,965.43</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6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10,358,655.86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15,781,914.51</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8,451.24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800,000.00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99,015,388.84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74,138,796.96</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w:t>
            </w:r>
            <w:r>
              <w:rPr>
                <w:rFonts w:ascii="宋体" w:hAnsi="宋体" w:cs="宋体" w:eastAsia="宋体" w:hint="default"/>
                <w:w w:val="101"/>
                <w:sz w:val="18"/>
                <w:szCs w:val="18"/>
              </w:rPr>
              <w:t> </w:t>
            </w:r>
            <w:r>
              <w:rPr>
                <w:rFonts w:ascii="宋体" w:hAnsi="宋体" w:cs="宋体" w:eastAsia="宋体" w:hint="default"/>
                <w:sz w:val="18"/>
                <w:szCs w:val="18"/>
              </w:rPr>
              <w:t>业的投资收益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-984,611.16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9,420,973.38</w:t>
            </w:r>
          </w:p>
        </w:tc>
      </w:tr>
      <w:tr>
        <w:trPr>
          <w:trHeight w:val="10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4"/>
              <w:ind w:left="24" w:right="46" w:firstLine="1080"/>
              <w:jc w:val="left"/>
              <w:rPr>
                <w:rFonts w:ascii="宋体" w:hAnsi="宋体" w:cs="宋体" w:eastAsia="宋体" w:hint="default"/>
                <w:sz w:val="18"/>
                <w:szCs w:val="18"/>
              </w:rPr>
            </w:pPr>
            <w:r>
              <w:rPr>
                <w:rFonts w:ascii="宋体" w:hAnsi="宋体" w:cs="宋体" w:eastAsia="宋体" w:hint="default"/>
                <w:spacing w:val="-2"/>
                <w:sz w:val="18"/>
                <w:szCs w:val="18"/>
              </w:rPr>
              <w:t>以摊余成本计量的金融</w:t>
            </w:r>
            <w:r>
              <w:rPr>
                <w:rFonts w:ascii="宋体" w:hAnsi="宋体" w:cs="宋体" w:eastAsia="宋体" w:hint="default"/>
                <w:w w:val="101"/>
                <w:sz w:val="18"/>
                <w:szCs w:val="18"/>
              </w:rPr>
              <w:t> </w:t>
            </w:r>
            <w:r>
              <w:rPr>
                <w:rFonts w:ascii="宋体" w:hAnsi="宋体" w:cs="宋体" w:eastAsia="宋体" w:hint="default"/>
                <w:sz w:val="18"/>
                <w:szCs w:val="18"/>
              </w:rPr>
              <w:t>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8"/>
                <w:sz w:val="18"/>
                <w:szCs w:val="18"/>
              </w:rPr>
              <w:t> </w:t>
            </w:r>
            <w:r>
              <w:rPr>
                <w:rFonts w:ascii="宋体" w:hAnsi="宋体" w:cs="宋体" w:eastAsia="宋体" w:hint="default"/>
                <w:sz w:val="18"/>
                <w:szCs w:val="18"/>
              </w:rPr>
              <w:t>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pacing w:val="-3"/>
                <w:sz w:val="18"/>
                <w:szCs w:val="18"/>
              </w:rPr>
              <w:t>净敞口套期收益（损失以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44" w:right="0"/>
              <w:jc w:val="left"/>
              <w:rPr>
                <w:rFonts w:ascii="宋体" w:hAnsi="宋体" w:cs="宋体" w:eastAsia="宋体" w:hint="default"/>
                <w:sz w:val="18"/>
                <w:szCs w:val="18"/>
              </w:rPr>
            </w:pPr>
            <w:r>
              <w:rPr>
                <w:rFonts w:ascii="宋体" w:hAnsi="宋体" w:cs="宋体" w:eastAsia="宋体" w:hint="default"/>
                <w:spacing w:val="-3"/>
                <w:sz w:val="18"/>
                <w:szCs w:val="18"/>
              </w:rPr>
              <w:t>公允价值变动收益（损失以</w:t>
            </w:r>
          </w:p>
          <w:p>
            <w:pPr>
              <w:pStyle w:val="TableParagraph"/>
              <w:spacing w:line="240" w:lineRule="auto" w:before="8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信用减值损失（损失以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488,755.51</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资产减值损失（损失以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-1,005,118.47</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pacing w:val="-3"/>
                <w:sz w:val="18"/>
                <w:szCs w:val="18"/>
              </w:rPr>
              <w:t>资产处置收益（损失以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-8,470.80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二、营业利润（亏损以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60,066,263.16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33,086,088.31</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24,500.92</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30,615.01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11,009.17</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65"/>
              <w:jc w:val="left"/>
              <w:rPr>
                <w:rFonts w:ascii="宋体" w:hAnsi="宋体" w:cs="宋体" w:eastAsia="宋体" w:hint="default"/>
                <w:sz w:val="18"/>
                <w:szCs w:val="18"/>
              </w:rPr>
            </w:pPr>
            <w:r>
              <w:rPr>
                <w:rFonts w:ascii="宋体" w:hAnsi="宋体" w:cs="宋体" w:eastAsia="宋体" w:hint="default"/>
                <w:spacing w:val="-3"/>
                <w:sz w:val="18"/>
                <w:szCs w:val="18"/>
              </w:rPr>
              <w:t>三、利润总额（亏损总额以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w:t>
            </w:r>
            <w:r>
              <w:rPr>
                <w:rFonts w:ascii="宋体" w:hAnsi="宋体" w:cs="宋体" w:eastAsia="宋体" w:hint="default"/>
                <w:spacing w:val="-36"/>
                <w:sz w:val="18"/>
                <w:szCs w:val="18"/>
              </w:rPr>
              <w:t> </w:t>
            </w:r>
            <w:r>
              <w:rPr>
                <w:rFonts w:ascii="宋体" w:hAnsi="宋体" w:cs="宋体" w:eastAsia="宋体" w:hint="default"/>
                <w:sz w:val="18"/>
                <w:szCs w:val="18"/>
              </w:rPr>
              <w:t>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60,055,648.15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33,099,580.06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四、净利润（净亏损以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60,055,648.15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33,099,580.06</w:t>
            </w: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（一）持续经营净利润（净亏损</w:t>
            </w:r>
            <w:r>
              <w:rPr>
                <w:rFonts w:ascii="宋体" w:hAnsi="宋体" w:cs="宋体" w:eastAsia="宋体" w:hint="default"/>
                <w:w w:val="101"/>
                <w:sz w:val="18"/>
                <w:szCs w:val="18"/>
              </w:rPr>
              <w:t> </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60,055,648.15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33,099,580.06</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（二）终止经营净利润（净亏损</w:t>
            </w:r>
            <w:r>
              <w:rPr>
                <w:rFonts w:ascii="宋体" w:hAnsi="宋体" w:cs="宋体" w:eastAsia="宋体" w:hint="default"/>
                <w:w w:val="101"/>
                <w:sz w:val="18"/>
                <w:szCs w:val="18"/>
              </w:rPr>
              <w:t> </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五、其他综合收益的税后净额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-4,626,255.29</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84" w:right="0"/>
              <w:jc w:val="left"/>
              <w:rPr>
                <w:rFonts w:ascii="宋体" w:hAnsi="宋体" w:cs="宋体" w:eastAsia="宋体" w:hint="default"/>
                <w:sz w:val="18"/>
                <w:szCs w:val="18"/>
              </w:rPr>
            </w:pPr>
            <w:r>
              <w:rPr>
                <w:rFonts w:ascii="宋体" w:hAnsi="宋体" w:cs="宋体" w:eastAsia="宋体" w:hint="default"/>
                <w:spacing w:val="-3"/>
                <w:sz w:val="18"/>
                <w:szCs w:val="18"/>
              </w:rPr>
              <w:t>（一）不能重分类进损益的其他</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-4,626,255.29</w:t>
            </w: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360"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1"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1" w:right="7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权益法下不能转损益的</w:t>
            </w:r>
            <w:r>
              <w:rPr>
                <w:rFonts w:ascii="宋体" w:hAnsi="宋体" w:cs="宋体" w:eastAsia="宋体" w:hint="default"/>
                <w:w w:val="101"/>
                <w:sz w:val="18"/>
                <w:szCs w:val="18"/>
              </w:rPr>
              <w:t> </w:t>
            </w:r>
            <w:r>
              <w:rPr>
                <w:rFonts w:ascii="宋体" w:hAnsi="宋体" w:cs="宋体" w:eastAsia="宋体" w:hint="default"/>
                <w:sz w:val="18"/>
                <w:szCs w:val="18"/>
              </w:rPr>
              <w:t>其他综合收益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-4,626,255.29</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（二）将重分类进损益的其他综</w:t>
            </w:r>
            <w:r>
              <w:rPr>
                <w:rFonts w:ascii="宋体" w:hAnsi="宋体" w:cs="宋体" w:eastAsia="宋体" w:hint="default"/>
                <w:w w:val="101"/>
                <w:sz w:val="18"/>
                <w:szCs w:val="18"/>
              </w:rPr>
              <w:t> </w:t>
            </w:r>
            <w:r>
              <w:rPr>
                <w:rFonts w:ascii="宋体" w:hAnsi="宋体" w:cs="宋体" w:eastAsia="宋体" w:hint="default"/>
                <w:sz w:val="18"/>
                <w:szCs w:val="18"/>
              </w:rPr>
              <w:t>合收益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1" w:right="7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可供出售金融资产公允</w:t>
            </w:r>
            <w:r>
              <w:rPr>
                <w:rFonts w:ascii="宋体" w:hAnsi="宋体" w:cs="宋体" w:eastAsia="宋体" w:hint="default"/>
                <w:w w:val="101"/>
                <w:sz w:val="18"/>
                <w:szCs w:val="18"/>
              </w:rPr>
              <w:t> </w:t>
            </w:r>
            <w:r>
              <w:rPr>
                <w:rFonts w:ascii="宋体" w:hAnsi="宋体" w:cs="宋体" w:eastAsia="宋体" w:hint="default"/>
                <w:sz w:val="18"/>
                <w:szCs w:val="18"/>
              </w:rPr>
              <w:t>价值变动损益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1" w:right="7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金融资产重分类计入其</w:t>
            </w:r>
            <w:r>
              <w:rPr>
                <w:rFonts w:ascii="宋体" w:hAnsi="宋体" w:cs="宋体" w:eastAsia="宋体" w:hint="default"/>
                <w:w w:val="101"/>
                <w:sz w:val="18"/>
                <w:szCs w:val="18"/>
              </w:rPr>
              <w:t> </w:t>
            </w:r>
            <w:r>
              <w:rPr>
                <w:rFonts w:ascii="宋体" w:hAnsi="宋体" w:cs="宋体" w:eastAsia="宋体" w:hint="default"/>
                <w:sz w:val="18"/>
                <w:szCs w:val="18"/>
              </w:rPr>
              <w:t>他综合收益的金额</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7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持有至到期投资重分类</w:t>
            </w:r>
            <w:r>
              <w:rPr>
                <w:rFonts w:ascii="宋体" w:hAnsi="宋体" w:cs="宋体" w:eastAsia="宋体" w:hint="default"/>
                <w:w w:val="101"/>
                <w:sz w:val="18"/>
                <w:szCs w:val="18"/>
              </w:rPr>
              <w:t> </w:t>
            </w:r>
            <w:r>
              <w:rPr>
                <w:rFonts w:ascii="宋体" w:hAnsi="宋体" w:cs="宋体" w:eastAsia="宋体" w:hint="default"/>
                <w:spacing w:val="-3"/>
                <w:sz w:val="18"/>
                <w:szCs w:val="18"/>
              </w:rPr>
              <w:t>为可供出售金融资产损益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55,429,392.86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33,099,580.06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七、每股收益：</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bookmarkStart w:name="5、合并现金流量表" w:id="163"/>
      <w:bookmarkEnd w:id="163"/>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55"/>
        <w:gridCol w:w="3304"/>
        <w:gridCol w:w="3289"/>
      </w:tblGrid>
      <w:tr>
        <w:trPr>
          <w:trHeight w:val="404"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33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2139" w:right="0"/>
              <w:jc w:val="left"/>
              <w:rPr>
                <w:rFonts w:ascii="Times New Roman" w:hAnsi="Times New Roman" w:cs="Times New Roman" w:eastAsia="Times New Roman" w:hint="default"/>
                <w:sz w:val="18"/>
                <w:szCs w:val="18"/>
              </w:rPr>
            </w:pPr>
            <w:r>
              <w:rPr>
                <w:rFonts w:ascii="Times New Roman"/>
                <w:sz w:val="18"/>
              </w:rPr>
              <w:t>712,979,247.53</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46" w:right="0"/>
              <w:jc w:val="left"/>
              <w:rPr>
                <w:rFonts w:ascii="Times New Roman" w:hAnsi="Times New Roman" w:cs="Times New Roman" w:eastAsia="Times New Roman" w:hint="default"/>
                <w:sz w:val="18"/>
                <w:szCs w:val="18"/>
              </w:rPr>
            </w:pPr>
            <w:r>
              <w:rPr>
                <w:rFonts w:ascii="Times New Roman"/>
                <w:spacing w:val="-1"/>
                <w:sz w:val="18"/>
              </w:rPr>
              <w:t>917,929,120.96</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6"/>
        <w:gridCol w:w="3299"/>
      </w:tblGrid>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收到原保险合同保费取得的现金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保户储金及投资款净增加额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4"/>
              <w:jc w:val="right"/>
              <w:rPr>
                <w:rFonts w:ascii="宋体" w:hAnsi="宋体" w:cs="宋体" w:eastAsia="宋体" w:hint="default"/>
                <w:sz w:val="18"/>
                <w:szCs w:val="18"/>
              </w:rPr>
            </w:pPr>
            <w:r>
              <w:rPr>
                <w:rFonts w:ascii="宋体" w:hAnsi="宋体" w:cs="宋体" w:eastAsia="宋体" w:hint="default"/>
                <w:spacing w:val="-3"/>
                <w:sz w:val="18"/>
                <w:szCs w:val="18"/>
              </w:rPr>
              <w:t>收取利息、手续费及佣金的现金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代理买卖证券收到的现金净额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834,101.67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8,917,945.69</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10,043,295.95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63,200,622.64</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723,856,645.15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990,047,689.29</w:t>
            </w: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304,557,879.69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357,454,473.91</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客户贷款及垫款净增加额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存放中央银行和同业款项净增加</w:t>
            </w:r>
          </w:p>
          <w:p>
            <w:pPr>
              <w:pStyle w:val="TableParagraph"/>
              <w:spacing w:line="240" w:lineRule="auto" w:before="81"/>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支付原保险合同赔付款项的现金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4"/>
              <w:jc w:val="right"/>
              <w:rPr>
                <w:rFonts w:ascii="宋体" w:hAnsi="宋体" w:cs="宋体" w:eastAsia="宋体" w:hint="default"/>
                <w:sz w:val="18"/>
                <w:szCs w:val="18"/>
              </w:rPr>
            </w:pPr>
            <w:r>
              <w:rPr>
                <w:rFonts w:ascii="宋体" w:hAnsi="宋体" w:cs="宋体" w:eastAsia="宋体" w:hint="default"/>
                <w:spacing w:val="-3"/>
                <w:sz w:val="18"/>
                <w:szCs w:val="18"/>
              </w:rPr>
              <w:t>支付利息、手续费及佣金的现金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支付保单红利的现金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146,136,740.78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125,951,736.78</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90,283,019.43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121,472,208.29</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90,257,545.84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94,119,787.20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631,235,185.74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698,998,206.18</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92,621,459.41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291,049,483.11</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251,938,697.64</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21,288,536.73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23,429,726.38</w:t>
            </w: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长期资产收回的现金净额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18,216.40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5,132,796.51</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86,879,287.72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115,854,082.95</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6"/>
        <w:gridCol w:w="3299"/>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360,124,738.49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144,416,605.84</w:t>
            </w: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26,549,088.49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28,895,102.17</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308,752,560.00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205,070,000.00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取得子公司及其他营业单位支付</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45,792,920.38</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335,301,648.49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279,758,022.55</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24,823,090.00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-135,341,416.71</w:t>
            </w: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其中：子公司吸收少数股东投资</w:t>
            </w:r>
            <w:r>
              <w:rPr>
                <w:rFonts w:ascii="宋体" w:hAnsi="宋体" w:cs="宋体" w:eastAsia="宋体" w:hint="default"/>
                <w:w w:val="101"/>
                <w:sz w:val="18"/>
                <w:szCs w:val="18"/>
              </w:rPr>
              <w:t> </w:t>
            </w:r>
            <w:r>
              <w:rPr>
                <w:rFonts w:ascii="宋体" w:hAnsi="宋体" w:cs="宋体" w:eastAsia="宋体" w:hint="default"/>
                <w:sz w:val="18"/>
                <w:szCs w:val="18"/>
              </w:rPr>
              <w:t>收到的现金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270,000,000.00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233,526,476.53</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270,000,000.00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233,526,476.53</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368,662,876.53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294,035,769.49</w:t>
            </w: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w:t>
            </w:r>
            <w:r>
              <w:rPr>
                <w:rFonts w:ascii="宋体" w:hAnsi="宋体" w:cs="宋体" w:eastAsia="宋体" w:hint="default"/>
                <w:w w:val="101"/>
                <w:sz w:val="18"/>
                <w:szCs w:val="18"/>
              </w:rPr>
              <w:t> </w:t>
            </w:r>
            <w:r>
              <w:rPr>
                <w:rFonts w:ascii="宋体" w:hAnsi="宋体" w:cs="宋体" w:eastAsia="宋体" w:hint="default"/>
                <w:sz w:val="18"/>
                <w:szCs w:val="18"/>
              </w:rPr>
              <w:t>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59,525,369.17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61,016,300.71</w:t>
            </w:r>
          </w:p>
        </w:tc>
      </w:tr>
      <w:tr>
        <w:trPr>
          <w:trHeight w:val="71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其中：子公司支付给少数股东的</w:t>
            </w:r>
            <w:r>
              <w:rPr>
                <w:rFonts w:ascii="宋体" w:hAnsi="宋体" w:cs="宋体" w:eastAsia="宋体" w:hint="default"/>
                <w:w w:val="101"/>
                <w:sz w:val="18"/>
                <w:szCs w:val="18"/>
              </w:rPr>
              <w:t> </w:t>
            </w:r>
            <w:r>
              <w:rPr>
                <w:rFonts w:ascii="宋体" w:hAnsi="宋体" w:cs="宋体" w:eastAsia="宋体" w:hint="default"/>
                <w:sz w:val="18"/>
                <w:szCs w:val="18"/>
              </w:rPr>
              <w:t>股利、利润</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113,170,780.50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8,060,516.89</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541,359,026.20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363,112,587.09</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-271,359,026.20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-129,586,110.56</w:t>
            </w:r>
          </w:p>
        </w:tc>
      </w:tr>
      <w:tr>
        <w:trPr>
          <w:trHeight w:val="71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4"/>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影响</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1,050,779.13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1,964,283.63</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-152,863,697.66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28,086,239.47</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34"/>
              <w:jc w:val="righ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408,091,001.60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380,004,762.13</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255,227,303.94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408,091,001.60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bookmarkStart w:name="6、母公司现金流量表" w:id="164"/>
      <w:bookmarkEnd w:id="164"/>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39"/>
        <w:gridCol w:w="3321"/>
        <w:gridCol w:w="3299"/>
      </w:tblGrid>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9"/>
              <w:jc w:val="righ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14,601,256.07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8,022,082.74</w:t>
            </w:r>
          </w:p>
        </w:tc>
      </w:tr>
      <w:tr>
        <w:trPr>
          <w:trHeight w:val="40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321"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834,569.23</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9"/>
              <w:jc w:val="righ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351,926,767.49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515,096,167.23</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366,528,023.56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523,952,819.20</w:t>
            </w:r>
          </w:p>
        </w:tc>
      </w:tr>
      <w:tr>
        <w:trPr>
          <w:trHeight w:val="398"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9"/>
              <w:jc w:val="righ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3,500,900.00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1,847,347.00</w:t>
            </w:r>
          </w:p>
        </w:tc>
      </w:tr>
      <w:tr>
        <w:trPr>
          <w:trHeight w:val="716"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16,979,120.51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15,331,803.07</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23,646.55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1,556,016.73</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9"/>
              <w:jc w:val="righ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572,280,568.81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489,607,891.79</w:t>
            </w:r>
          </w:p>
        </w:tc>
      </w:tr>
      <w:tr>
        <w:trPr>
          <w:trHeight w:val="398"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592,784,235.87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508,343,058.59</w:t>
            </w:r>
          </w:p>
        </w:tc>
      </w:tr>
      <w:tr>
        <w:trPr>
          <w:trHeight w:val="40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-226,256,212.31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15,609,760.61</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119,898,817.64</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108,200,000.00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5,875,383.12</w:t>
            </w:r>
          </w:p>
        </w:tc>
      </w:tr>
      <w:tr>
        <w:trPr>
          <w:trHeight w:val="716"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11" w:right="29"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长期资产收回的现金净额</w:t>
            </w:r>
          </w:p>
        </w:tc>
        <w:tc>
          <w:tcPr>
            <w:tcW w:w="3321"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29" w:firstLine="36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21"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9"/>
              <w:jc w:val="righ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3321"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228,098,817.64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5,875,383.12</w:t>
            </w:r>
          </w:p>
        </w:tc>
      </w:tr>
      <w:tr>
        <w:trPr>
          <w:trHeight w:val="715"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29"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长期资产支付的现金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1,173,365.26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4,781,054.99</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321"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716"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29" w:firstLine="36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取得子公司及其他营业单位支付</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21"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9"/>
              <w:jc w:val="righ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3321"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1,173,365.26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5,981,054.99</w:t>
            </w:r>
          </w:p>
        </w:tc>
      </w:tr>
      <w:tr>
        <w:trPr>
          <w:trHeight w:val="40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226,925,452.38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-105,671.87</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321"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100,000,000.00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9"/>
              <w:jc w:val="righ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3321"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170,000,000.00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w:t>
            </w:r>
            <w:r>
              <w:rPr>
                <w:rFonts w:ascii="宋体" w:hAnsi="宋体" w:cs="宋体" w:eastAsia="宋体" w:hint="default"/>
                <w:w w:val="101"/>
                <w:sz w:val="18"/>
                <w:szCs w:val="18"/>
              </w:rPr>
              <w:t> </w:t>
            </w:r>
            <w:r>
              <w:rPr>
                <w:rFonts w:ascii="宋体" w:hAnsi="宋体" w:cs="宋体" w:eastAsia="宋体" w:hint="default"/>
                <w:sz w:val="18"/>
                <w:szCs w:val="18"/>
              </w:rPr>
              <w:t>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35,829,570.42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35,978,683.14</w:t>
            </w: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1,440,000.00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207,269,570.42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150,978,683.14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-107,269,570.42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-978,683.14</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影响</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-106,600,330.35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14,525,405.60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46"/>
              <w:jc w:val="righ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119,364,145.26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104,838,739.66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12,763,814.91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119,364,145.26</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bookmarkStart w:name="7、合并所有者权益变动表" w:id="165"/>
      <w:bookmarkEnd w:id="165"/>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2"/>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29"/>
        <w:gridCol w:w="506"/>
        <w:gridCol w:w="466"/>
        <w:gridCol w:w="466"/>
        <w:gridCol w:w="470"/>
        <w:gridCol w:w="581"/>
        <w:gridCol w:w="586"/>
        <w:gridCol w:w="581"/>
        <w:gridCol w:w="586"/>
        <w:gridCol w:w="586"/>
        <w:gridCol w:w="581"/>
        <w:gridCol w:w="586"/>
        <w:gridCol w:w="586"/>
        <w:gridCol w:w="581"/>
        <w:gridCol w:w="586"/>
        <w:gridCol w:w="576"/>
      </w:tblGrid>
      <w:tr>
        <w:trPr>
          <w:trHeight w:val="403" w:hRule="exact"/>
        </w:trPr>
        <w:tc>
          <w:tcPr>
            <w:tcW w:w="1229" w:type="dxa"/>
            <w:vMerge w:val="restart"/>
            <w:tcBorders>
              <w:top w:val="single" w:sz="4" w:space="0" w:color="000000"/>
              <w:left w:val="single" w:sz="4" w:space="0" w:color="000000"/>
              <w:right w:val="single" w:sz="4" w:space="0" w:color="000000"/>
            </w:tcBorders>
            <w:shd w:val="clear" w:color="auto" w:fill="D2D2D2"/>
          </w:tcPr>
          <w:p>
            <w:pPr/>
          </w:p>
        </w:tc>
        <w:tc>
          <w:tcPr>
            <w:tcW w:w="8324"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96" w:hRule="exact"/>
        </w:trPr>
        <w:tc>
          <w:tcPr>
            <w:tcW w:w="1229" w:type="dxa"/>
            <w:vMerge/>
            <w:tcBorders>
              <w:left w:val="single" w:sz="4" w:space="0" w:color="000000"/>
              <w:right w:val="single" w:sz="4" w:space="0" w:color="000000"/>
            </w:tcBorders>
            <w:shd w:val="clear" w:color="auto" w:fill="D2D2D2"/>
          </w:tcPr>
          <w:p>
            <w:pPr/>
          </w:p>
        </w:tc>
        <w:tc>
          <w:tcPr>
            <w:tcW w:w="7162"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1"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4" w:hRule="exact"/>
        </w:trPr>
        <w:tc>
          <w:tcPr>
            <w:tcW w:w="1229" w:type="dxa"/>
            <w:vMerge/>
            <w:tcBorders>
              <w:left w:val="single" w:sz="4" w:space="0" w:color="000000"/>
              <w:right w:val="single" w:sz="4" w:space="0" w:color="000000"/>
            </w:tcBorders>
            <w:shd w:val="clear" w:color="auto" w:fill="D2D2D2"/>
          </w:tcPr>
          <w:p>
            <w:pPr/>
          </w:p>
        </w:tc>
        <w:tc>
          <w:tcPr>
            <w:tcW w:w="7162" w:type="dxa"/>
            <w:gridSpan w:val="13"/>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105" w:right="95"/>
              <w:jc w:val="both"/>
              <w:rPr>
                <w:rFonts w:ascii="宋体" w:hAnsi="宋体" w:cs="宋体" w:eastAsia="宋体" w:hint="default"/>
                <w:sz w:val="18"/>
                <w:szCs w:val="18"/>
              </w:rPr>
            </w:pPr>
            <w:r>
              <w:rPr>
                <w:rFonts w:ascii="宋体" w:hAnsi="宋体" w:cs="宋体" w:eastAsia="宋体" w:hint="default"/>
                <w:sz w:val="18"/>
                <w:szCs w:val="18"/>
              </w:rPr>
              <w:t>所有</w:t>
            </w:r>
            <w:r>
              <w:rPr>
                <w:rFonts w:ascii="宋体" w:hAnsi="宋体" w:cs="宋体" w:eastAsia="宋体" w:hint="default"/>
                <w:spacing w:val="-86"/>
                <w:sz w:val="18"/>
                <w:szCs w:val="18"/>
              </w:rPr>
              <w:t> </w:t>
            </w:r>
            <w:r>
              <w:rPr>
                <w:rFonts w:ascii="宋体" w:hAnsi="宋体" w:cs="宋体" w:eastAsia="宋体" w:hint="default"/>
                <w:sz w:val="18"/>
                <w:szCs w:val="18"/>
              </w:rPr>
              <w:t>者权</w:t>
            </w:r>
            <w:r>
              <w:rPr>
                <w:rFonts w:ascii="宋体" w:hAnsi="宋体" w:cs="宋体" w:eastAsia="宋体" w:hint="default"/>
                <w:spacing w:val="-86"/>
                <w:sz w:val="18"/>
                <w:szCs w:val="18"/>
              </w:rPr>
              <w:t> </w:t>
            </w:r>
            <w:r>
              <w:rPr>
                <w:rFonts w:ascii="宋体" w:hAnsi="宋体" w:cs="宋体" w:eastAsia="宋体" w:hint="default"/>
                <w:sz w:val="18"/>
                <w:szCs w:val="18"/>
              </w:rPr>
              <w:t>益合</w:t>
            </w:r>
            <w:r>
              <w:rPr>
                <w:rFonts w:ascii="宋体" w:hAnsi="宋体" w:cs="宋体" w:eastAsia="宋体" w:hint="default"/>
                <w:spacing w:val="-86"/>
                <w:sz w:val="18"/>
                <w:szCs w:val="18"/>
              </w:rPr>
              <w:t> </w:t>
            </w:r>
            <w:r>
              <w:rPr>
                <w:rFonts w:ascii="宋体" w:hAnsi="宋体" w:cs="宋体" w:eastAsia="宋体" w:hint="default"/>
                <w:sz w:val="18"/>
                <w:szCs w:val="18"/>
              </w:rPr>
              <w:t>计</w:t>
            </w:r>
          </w:p>
        </w:tc>
      </w:tr>
      <w:tr>
        <w:trPr>
          <w:trHeight w:val="154" w:hRule="exact"/>
        </w:trPr>
        <w:tc>
          <w:tcPr>
            <w:tcW w:w="1229" w:type="dxa"/>
            <w:vMerge/>
            <w:tcBorders>
              <w:left w:val="single" w:sz="4" w:space="0" w:color="000000"/>
              <w:bottom w:val="nil" w:sz="6" w:space="0" w:color="auto"/>
              <w:right w:val="single" w:sz="4" w:space="0" w:color="000000"/>
            </w:tcBorders>
            <w:shd w:val="clear" w:color="auto" w:fill="D2D2D2"/>
          </w:tcPr>
          <w:p>
            <w:pPr/>
          </w:p>
        </w:tc>
        <w:tc>
          <w:tcPr>
            <w:tcW w:w="7162" w:type="dxa"/>
            <w:gridSpan w:val="13"/>
            <w:vMerge/>
            <w:tcBorders>
              <w:left w:val="single" w:sz="4" w:space="0" w:color="000000"/>
              <w:bottom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105" w:right="103"/>
              <w:jc w:val="both"/>
              <w:rPr>
                <w:rFonts w:ascii="宋体" w:hAnsi="宋体" w:cs="宋体" w:eastAsia="宋体" w:hint="default"/>
                <w:sz w:val="18"/>
                <w:szCs w:val="18"/>
              </w:rPr>
            </w:pPr>
            <w:r>
              <w:rPr>
                <w:rFonts w:ascii="宋体" w:hAnsi="宋体" w:cs="宋体" w:eastAsia="宋体" w:hint="default"/>
                <w:sz w:val="18"/>
                <w:szCs w:val="18"/>
              </w:rPr>
              <w:t>少数</w:t>
            </w:r>
            <w:r>
              <w:rPr>
                <w:rFonts w:ascii="宋体" w:hAnsi="宋体" w:cs="宋体" w:eastAsia="宋体" w:hint="default"/>
                <w:spacing w:val="-86"/>
                <w:sz w:val="18"/>
                <w:szCs w:val="18"/>
              </w:rPr>
              <w:t> </w:t>
            </w:r>
            <w:r>
              <w:rPr>
                <w:rFonts w:ascii="宋体" w:hAnsi="宋体" w:cs="宋体" w:eastAsia="宋体" w:hint="default"/>
                <w:sz w:val="18"/>
                <w:szCs w:val="18"/>
              </w:rPr>
              <w:t>股东</w:t>
            </w:r>
            <w:r>
              <w:rPr>
                <w:rFonts w:ascii="宋体" w:hAnsi="宋体" w:cs="宋体" w:eastAsia="宋体" w:hint="default"/>
                <w:spacing w:val="-86"/>
                <w:sz w:val="18"/>
                <w:szCs w:val="18"/>
              </w:rPr>
              <w:t> </w:t>
            </w:r>
            <w:r>
              <w:rPr>
                <w:rFonts w:ascii="宋体" w:hAnsi="宋体" w:cs="宋体" w:eastAsia="宋体" w:hint="default"/>
                <w:sz w:val="18"/>
                <w:szCs w:val="18"/>
              </w:rPr>
              <w:t>权益</w:t>
            </w:r>
          </w:p>
        </w:tc>
        <w:tc>
          <w:tcPr>
            <w:tcW w:w="576" w:type="dxa"/>
            <w:vMerge/>
            <w:tcBorders>
              <w:left w:val="single" w:sz="4" w:space="0" w:color="000000"/>
              <w:right w:val="single" w:sz="4" w:space="0" w:color="000000"/>
            </w:tcBorders>
            <w:shd w:val="clear" w:color="auto" w:fill="D2D2D2"/>
          </w:tcPr>
          <w:p>
            <w:pPr/>
          </w:p>
        </w:tc>
      </w:tr>
      <w:tr>
        <w:trPr>
          <w:trHeight w:val="202" w:hRule="exact"/>
        </w:trPr>
        <w:tc>
          <w:tcPr>
            <w:tcW w:w="12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06" w:type="dxa"/>
            <w:vMerge w:val="restart"/>
            <w:tcBorders>
              <w:top w:val="single" w:sz="4" w:space="0" w:color="000000"/>
              <w:left w:val="single" w:sz="4" w:space="0" w:color="000000"/>
              <w:right w:val="single" w:sz="4" w:space="0" w:color="000000"/>
            </w:tcBorders>
            <w:shd w:val="clear" w:color="auto" w:fill="D2D2D2"/>
          </w:tcPr>
          <w:p>
            <w:pPr/>
          </w:p>
        </w:tc>
        <w:tc>
          <w:tcPr>
            <w:tcW w:w="14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1" w:type="dxa"/>
            <w:tcBorders>
              <w:top w:val="single" w:sz="4" w:space="0" w:color="000000"/>
              <w:left w:val="single" w:sz="4" w:space="0" w:color="000000"/>
              <w:bottom w:val="nil" w:sz="6" w:space="0" w:color="auto"/>
              <w:right w:val="single" w:sz="4" w:space="0" w:color="000000"/>
            </w:tcBorders>
            <w:shd w:val="clear" w:color="auto" w:fill="D2D2D2"/>
          </w:tcPr>
          <w:p>
            <w:pPr/>
          </w:p>
        </w:tc>
        <w:tc>
          <w:tcPr>
            <w:tcW w:w="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05" w:right="99"/>
              <w:jc w:val="both"/>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综合</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05" w:right="98"/>
              <w:jc w:val="both"/>
              <w:rPr>
                <w:rFonts w:ascii="宋体" w:hAnsi="宋体" w:cs="宋体" w:eastAsia="宋体" w:hint="default"/>
                <w:sz w:val="18"/>
                <w:szCs w:val="18"/>
              </w:rPr>
            </w:pPr>
            <w:r>
              <w:rPr>
                <w:rFonts w:ascii="宋体" w:hAnsi="宋体" w:cs="宋体" w:eastAsia="宋体" w:hint="default"/>
                <w:sz w:val="18"/>
                <w:szCs w:val="18"/>
              </w:rPr>
              <w:t>一般</w:t>
            </w:r>
            <w:r>
              <w:rPr>
                <w:rFonts w:ascii="宋体" w:hAnsi="宋体" w:cs="宋体" w:eastAsia="宋体" w:hint="default"/>
                <w:spacing w:val="-86"/>
                <w:sz w:val="18"/>
                <w:szCs w:val="18"/>
              </w:rPr>
              <w:t> </w:t>
            </w:r>
            <w:r>
              <w:rPr>
                <w:rFonts w:ascii="宋体" w:hAnsi="宋体" w:cs="宋体" w:eastAsia="宋体" w:hint="default"/>
                <w:sz w:val="18"/>
                <w:szCs w:val="18"/>
              </w:rPr>
              <w:t>风险</w:t>
            </w:r>
            <w:r>
              <w:rPr>
                <w:rFonts w:ascii="宋体" w:hAnsi="宋体" w:cs="宋体" w:eastAsia="宋体" w:hint="default"/>
                <w:spacing w:val="-86"/>
                <w:sz w:val="18"/>
                <w:szCs w:val="18"/>
              </w:rPr>
              <w:t> </w:t>
            </w:r>
            <w:r>
              <w:rPr>
                <w:rFonts w:ascii="宋体" w:hAnsi="宋体" w:cs="宋体" w:eastAsia="宋体" w:hint="default"/>
                <w:sz w:val="18"/>
                <w:szCs w:val="18"/>
              </w:rPr>
              <w:t>准备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05" w:right="104"/>
              <w:jc w:val="both"/>
              <w:rPr>
                <w:rFonts w:ascii="宋体" w:hAnsi="宋体" w:cs="宋体" w:eastAsia="宋体" w:hint="default"/>
                <w:sz w:val="18"/>
                <w:szCs w:val="18"/>
              </w:rPr>
            </w:pPr>
            <w:r>
              <w:rPr>
                <w:rFonts w:ascii="宋体" w:hAnsi="宋体" w:cs="宋体" w:eastAsia="宋体" w:hint="default"/>
                <w:sz w:val="18"/>
                <w:szCs w:val="18"/>
              </w:rPr>
              <w:t>未分</w:t>
            </w:r>
            <w:r>
              <w:rPr>
                <w:rFonts w:ascii="宋体" w:hAnsi="宋体" w:cs="宋体" w:eastAsia="宋体" w:hint="default"/>
                <w:spacing w:val="-86"/>
                <w:sz w:val="18"/>
                <w:szCs w:val="18"/>
              </w:rPr>
              <w:t> </w:t>
            </w:r>
            <w:r>
              <w:rPr>
                <w:rFonts w:ascii="宋体" w:hAnsi="宋体" w:cs="宋体" w:eastAsia="宋体" w:hint="default"/>
                <w:sz w:val="18"/>
                <w:szCs w:val="18"/>
              </w:rPr>
              <w:t>配利</w:t>
            </w:r>
            <w:r>
              <w:rPr>
                <w:rFonts w:ascii="宋体" w:hAnsi="宋体" w:cs="宋体" w:eastAsia="宋体" w:hint="default"/>
                <w:spacing w:val="-86"/>
                <w:sz w:val="18"/>
                <w:szCs w:val="18"/>
              </w:rPr>
              <w:t> </w:t>
            </w:r>
            <w:r>
              <w:rPr>
                <w:rFonts w:ascii="宋体" w:hAnsi="宋体" w:cs="宋体" w:eastAsia="宋体" w:hint="default"/>
                <w:sz w:val="18"/>
                <w:szCs w:val="18"/>
              </w:rPr>
              <w:t>润</w:t>
            </w:r>
          </w:p>
        </w:tc>
        <w:tc>
          <w:tcPr>
            <w:tcW w:w="586" w:type="dxa"/>
            <w:vMerge w:val="restart"/>
            <w:tcBorders>
              <w:top w:val="single" w:sz="4" w:space="0" w:color="000000"/>
              <w:left w:val="single" w:sz="4" w:space="0" w:color="000000"/>
              <w:right w:val="single" w:sz="4" w:space="0" w:color="000000"/>
            </w:tcBorders>
            <w:shd w:val="clear" w:color="auto" w:fill="D2D2D2"/>
          </w:tcPr>
          <w:p>
            <w:pPr/>
          </w:p>
        </w:tc>
        <w:tc>
          <w:tcPr>
            <w:tcW w:w="581" w:type="dxa"/>
            <w:vMerge w:val="restart"/>
            <w:tcBorders>
              <w:top w:val="single" w:sz="4" w:space="0" w:color="000000"/>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167" w:hRule="exact"/>
        </w:trPr>
        <w:tc>
          <w:tcPr>
            <w:tcW w:w="1229" w:type="dxa"/>
            <w:vMerge/>
            <w:tcBorders>
              <w:left w:val="single" w:sz="4" w:space="0" w:color="000000"/>
              <w:bottom w:val="nil" w:sz="6" w:space="0" w:color="auto"/>
              <w:right w:val="single" w:sz="4" w:space="0" w:color="000000"/>
            </w:tcBorders>
            <w:shd w:val="clear" w:color="auto" w:fill="D2D2D2"/>
          </w:tcPr>
          <w:p>
            <w:pPr/>
          </w:p>
        </w:tc>
        <w:tc>
          <w:tcPr>
            <w:tcW w:w="506" w:type="dxa"/>
            <w:vMerge/>
            <w:tcBorders>
              <w:left w:val="single" w:sz="4" w:space="0" w:color="000000"/>
              <w:bottom w:val="nil" w:sz="6" w:space="0" w:color="auto"/>
              <w:right w:val="single" w:sz="4" w:space="0" w:color="000000"/>
            </w:tcBorders>
            <w:shd w:val="clear" w:color="auto" w:fill="D2D2D2"/>
          </w:tcPr>
          <w:p>
            <w:pPr/>
          </w:p>
        </w:tc>
        <w:tc>
          <w:tcPr>
            <w:tcW w:w="1402" w:type="dxa"/>
            <w:gridSpan w:val="3"/>
            <w:vMerge/>
            <w:tcBorders>
              <w:left w:val="single" w:sz="4" w:space="0" w:color="000000"/>
              <w:bottom w:val="single" w:sz="4" w:space="0" w:color="000000"/>
              <w:right w:val="single" w:sz="4" w:space="0" w:color="000000"/>
            </w:tcBorders>
            <w:shd w:val="clear" w:color="auto" w:fill="D2D2D2"/>
          </w:tcPr>
          <w:p>
            <w:pPr/>
          </w:p>
        </w:tc>
        <w:tc>
          <w:tcPr>
            <w:tcW w:w="581"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105" w:right="99"/>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105" w:right="17" w:hanging="82"/>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存股</w:t>
            </w:r>
          </w:p>
        </w:tc>
        <w:tc>
          <w:tcPr>
            <w:tcW w:w="581"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105" w:right="103"/>
              <w:jc w:val="left"/>
              <w:rPr>
                <w:rFonts w:ascii="宋体" w:hAnsi="宋体" w:cs="宋体" w:eastAsia="宋体" w:hint="default"/>
                <w:sz w:val="18"/>
                <w:szCs w:val="18"/>
              </w:rPr>
            </w:pPr>
            <w:r>
              <w:rPr>
                <w:rFonts w:ascii="宋体" w:hAnsi="宋体" w:cs="宋体" w:eastAsia="宋体" w:hint="default"/>
                <w:sz w:val="18"/>
                <w:szCs w:val="18"/>
              </w:rPr>
              <w:t>专项</w:t>
            </w:r>
            <w:r>
              <w:rPr>
                <w:rFonts w:ascii="宋体" w:hAnsi="宋体" w:cs="宋体" w:eastAsia="宋体" w:hint="default"/>
                <w:spacing w:val="-86"/>
                <w:sz w:val="18"/>
                <w:szCs w:val="18"/>
              </w:rPr>
              <w:t> </w:t>
            </w:r>
            <w:r>
              <w:rPr>
                <w:rFonts w:ascii="宋体" w:hAnsi="宋体" w:cs="宋体" w:eastAsia="宋体" w:hint="default"/>
                <w:sz w:val="18"/>
                <w:szCs w:val="18"/>
              </w:rPr>
              <w:t>储备</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105" w:right="105"/>
              <w:jc w:val="left"/>
              <w:rPr>
                <w:rFonts w:ascii="宋体" w:hAnsi="宋体" w:cs="宋体" w:eastAsia="宋体" w:hint="default"/>
                <w:sz w:val="18"/>
                <w:szCs w:val="18"/>
              </w:rPr>
            </w:pPr>
            <w:r>
              <w:rPr>
                <w:rFonts w:ascii="宋体" w:hAnsi="宋体" w:cs="宋体" w:eastAsia="宋体" w:hint="default"/>
                <w:sz w:val="18"/>
                <w:szCs w:val="18"/>
              </w:rPr>
              <w:t>盈余</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193" w:hRule="exact"/>
        </w:trPr>
        <w:tc>
          <w:tcPr>
            <w:tcW w:w="1229" w:type="dxa"/>
            <w:vMerge w:val="restart"/>
            <w:tcBorders>
              <w:top w:val="nil" w:sz="6" w:space="0" w:color="auto"/>
              <w:left w:val="single" w:sz="4" w:space="0" w:color="000000"/>
              <w:right w:val="single" w:sz="4" w:space="0" w:color="000000"/>
            </w:tcBorders>
            <w:shd w:val="clear" w:color="auto" w:fill="D2D2D2"/>
          </w:tcPr>
          <w:p>
            <w:pPr/>
          </w:p>
        </w:tc>
        <w:tc>
          <w:tcPr>
            <w:tcW w:w="5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5"/>
              <w:ind w:left="7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83"/>
              <w:ind w:left="139" w:right="41"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83"/>
              <w:ind w:left="139" w:right="41"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470" w:type="dxa"/>
            <w:tcBorders>
              <w:top w:val="single" w:sz="4" w:space="0" w:color="000000"/>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192" w:hRule="exact"/>
        </w:trPr>
        <w:tc>
          <w:tcPr>
            <w:tcW w:w="1229" w:type="dxa"/>
            <w:vMerge/>
            <w:tcBorders>
              <w:left w:val="single" w:sz="4" w:space="0" w:color="000000"/>
              <w:right w:val="single" w:sz="4" w:space="0" w:color="000000"/>
            </w:tcBorders>
            <w:shd w:val="clear" w:color="auto" w:fill="D2D2D2"/>
          </w:tcPr>
          <w:p>
            <w:pPr/>
          </w:p>
        </w:tc>
        <w:tc>
          <w:tcPr>
            <w:tcW w:w="506" w:type="dxa"/>
            <w:vMerge/>
            <w:tcBorders>
              <w:left w:val="single" w:sz="4" w:space="0" w:color="000000"/>
              <w:bottom w:val="nil" w:sz="6" w:space="0" w:color="auto"/>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7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132" w:hRule="exact"/>
        </w:trPr>
        <w:tc>
          <w:tcPr>
            <w:tcW w:w="1229" w:type="dxa"/>
            <w:vMerge/>
            <w:tcBorders>
              <w:left w:val="single" w:sz="4" w:space="0" w:color="000000"/>
              <w:right w:val="single" w:sz="4" w:space="0" w:color="000000"/>
            </w:tcBorders>
            <w:shd w:val="clear" w:color="auto" w:fill="D2D2D2"/>
          </w:tcPr>
          <w:p>
            <w:pPr/>
          </w:p>
        </w:tc>
        <w:tc>
          <w:tcPr>
            <w:tcW w:w="506" w:type="dxa"/>
            <w:vMerge w:val="restart"/>
            <w:tcBorders>
              <w:top w:val="nil" w:sz="6" w:space="0" w:color="auto"/>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70"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1" w:type="dxa"/>
            <w:vMerge w:val="restart"/>
            <w:tcBorders>
              <w:top w:val="nil" w:sz="6" w:space="0" w:color="auto"/>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121" w:hRule="exact"/>
        </w:trPr>
        <w:tc>
          <w:tcPr>
            <w:tcW w:w="1229" w:type="dxa"/>
            <w:vMerge/>
            <w:tcBorders>
              <w:left w:val="single" w:sz="4" w:space="0" w:color="000000"/>
              <w:right w:val="single" w:sz="4" w:space="0" w:color="000000"/>
            </w:tcBorders>
            <w:shd w:val="clear" w:color="auto" w:fill="D2D2D2"/>
          </w:tcPr>
          <w:p>
            <w:pPr/>
          </w:p>
        </w:tc>
        <w:tc>
          <w:tcPr>
            <w:tcW w:w="50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70" w:type="dxa"/>
            <w:vMerge w:val="restart"/>
            <w:tcBorders>
              <w:top w:val="nil" w:sz="6" w:space="0" w:color="auto"/>
              <w:left w:val="single" w:sz="4" w:space="0" w:color="000000"/>
              <w:right w:val="single" w:sz="4" w:space="0" w:color="000000"/>
            </w:tcBorders>
            <w:shd w:val="clear" w:color="auto" w:fill="D2D2D2"/>
          </w:tcPr>
          <w:p>
            <w:pPr/>
          </w:p>
        </w:tc>
        <w:tc>
          <w:tcPr>
            <w:tcW w:w="581" w:type="dxa"/>
            <w:vMerge w:val="restart"/>
            <w:tcBorders>
              <w:top w:val="nil" w:sz="6" w:space="0" w:color="auto"/>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r>
      <w:tr>
        <w:trPr>
          <w:trHeight w:val="96" w:hRule="exact"/>
        </w:trPr>
        <w:tc>
          <w:tcPr>
            <w:tcW w:w="1229" w:type="dxa"/>
            <w:vMerge/>
            <w:tcBorders>
              <w:left w:val="single" w:sz="4" w:space="0" w:color="000000"/>
              <w:bottom w:val="single" w:sz="4" w:space="0" w:color="000000"/>
              <w:right w:val="single" w:sz="4" w:space="0" w:color="000000"/>
            </w:tcBorders>
            <w:shd w:val="clear" w:color="auto" w:fill="D2D2D2"/>
          </w:tcPr>
          <w:p>
            <w:pPr/>
          </w:p>
        </w:tc>
        <w:tc>
          <w:tcPr>
            <w:tcW w:w="50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70"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1229" w:type="dxa"/>
            <w:tcBorders>
              <w:top w:val="single" w:sz="4" w:space="0" w:color="000000"/>
              <w:left w:val="single" w:sz="4" w:space="0" w:color="000000"/>
              <w:bottom w:val="nil" w:sz="6" w:space="0" w:color="auto"/>
              <w:right w:val="single" w:sz="4" w:space="0" w:color="000000"/>
            </w:tcBorders>
            <w:shd w:val="clear" w:color="auto" w:fill="D2D2D2"/>
          </w:tcPr>
          <w:p>
            <w:pPr/>
          </w:p>
        </w:tc>
        <w:tc>
          <w:tcPr>
            <w:tcW w:w="506" w:type="dxa"/>
            <w:vMerge w:val="restart"/>
            <w:tcBorders>
              <w:top w:val="single" w:sz="4" w:space="0" w:color="000000"/>
              <w:left w:val="single" w:sz="10" w:space="0" w:color="D2D2D2"/>
              <w:right w:val="single" w:sz="4" w:space="0" w:color="000000"/>
            </w:tcBorders>
          </w:tcPr>
          <w:p>
            <w:pPr>
              <w:pStyle w:val="TableParagraph"/>
              <w:spacing w:line="240" w:lineRule="auto" w:before="96"/>
              <w:ind w:left="43" w:right="0"/>
              <w:jc w:val="center"/>
              <w:rPr>
                <w:rFonts w:ascii="Times New Roman" w:hAnsi="Times New Roman" w:cs="Times New Roman" w:eastAsia="Times New Roman" w:hint="default"/>
                <w:sz w:val="18"/>
                <w:szCs w:val="18"/>
              </w:rPr>
            </w:pPr>
            <w:r>
              <w:rPr>
                <w:rFonts w:ascii="Times New Roman"/>
                <w:sz w:val="18"/>
              </w:rPr>
              <w:t>73,89</w:t>
            </w:r>
          </w:p>
          <w:p>
            <w:pPr>
              <w:pStyle w:val="TableParagraph"/>
              <w:spacing w:line="240" w:lineRule="auto" w:before="100"/>
              <w:ind w:left="43" w:right="0"/>
              <w:jc w:val="center"/>
              <w:rPr>
                <w:rFonts w:ascii="Times New Roman" w:hAnsi="Times New Roman" w:cs="Times New Roman" w:eastAsia="Times New Roman" w:hint="default"/>
                <w:sz w:val="18"/>
                <w:szCs w:val="18"/>
              </w:rPr>
            </w:pPr>
            <w:r>
              <w:rPr>
                <w:rFonts w:ascii="Times New Roman"/>
                <w:sz w:val="18"/>
              </w:rPr>
              <w:t>2,895</w:t>
            </w:r>
          </w:p>
          <w:p>
            <w:pPr>
              <w:pStyle w:val="TableParagraph"/>
              <w:spacing w:line="240" w:lineRule="auto" w:before="110"/>
              <w:ind w:left="220" w:right="0"/>
              <w:jc w:val="center"/>
              <w:rPr>
                <w:rFonts w:ascii="Times New Roman" w:hAnsi="Times New Roman" w:cs="Times New Roman" w:eastAsia="Times New Roman" w:hint="default"/>
                <w:sz w:val="18"/>
                <w:szCs w:val="18"/>
              </w:rPr>
            </w:pPr>
            <w:r>
              <w:rPr>
                <w:rFonts w:ascii="Times New Roman"/>
                <w:sz w:val="18"/>
              </w:rPr>
              <w:t>.00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70"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left="83" w:right="0"/>
              <w:jc w:val="center"/>
              <w:rPr>
                <w:rFonts w:ascii="Times New Roman" w:hAnsi="Times New Roman" w:cs="Times New Roman" w:eastAsia="Times New Roman" w:hint="default"/>
                <w:sz w:val="18"/>
                <w:szCs w:val="18"/>
              </w:rPr>
            </w:pPr>
            <w:r>
              <w:rPr>
                <w:rFonts w:ascii="Times New Roman"/>
                <w:sz w:val="18"/>
              </w:rPr>
              <w:t>1,613,</w:t>
            </w:r>
          </w:p>
          <w:p>
            <w:pPr>
              <w:pStyle w:val="TableParagraph"/>
              <w:spacing w:line="240" w:lineRule="auto" w:before="100"/>
              <w:ind w:left="42" w:right="0"/>
              <w:jc w:val="center"/>
              <w:rPr>
                <w:rFonts w:ascii="Times New Roman" w:hAnsi="Times New Roman" w:cs="Times New Roman" w:eastAsia="Times New Roman" w:hint="default"/>
                <w:sz w:val="18"/>
                <w:szCs w:val="18"/>
              </w:rPr>
            </w:pPr>
            <w:r>
              <w:rPr>
                <w:rFonts w:ascii="Times New Roman"/>
                <w:sz w:val="18"/>
              </w:rPr>
              <w:t>545,65</w:t>
            </w:r>
          </w:p>
          <w:p>
            <w:pPr>
              <w:pStyle w:val="TableParagraph"/>
              <w:spacing w:line="240" w:lineRule="auto" w:before="110"/>
              <w:ind w:left="221" w:right="0"/>
              <w:jc w:val="center"/>
              <w:rPr>
                <w:rFonts w:ascii="Times New Roman" w:hAnsi="Times New Roman" w:cs="Times New Roman" w:eastAsia="Times New Roman" w:hint="default"/>
                <w:sz w:val="18"/>
                <w:szCs w:val="18"/>
              </w:rPr>
            </w:pPr>
            <w:r>
              <w:rPr>
                <w:rFonts w:ascii="Times New Roman"/>
                <w:sz w:val="18"/>
              </w:rPr>
              <w:t>3.79</w:t>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21" w:space="0" w:color="D2D2D2"/>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6,508,</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319.20</w:t>
            </w: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12,253</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,120.8</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581" w:type="dxa"/>
            <w:vMerge w:val="restart"/>
            <w:tcBorders>
              <w:top w:val="single" w:sz="21" w:space="0" w:color="D2D2D2"/>
              <w:left w:val="single" w:sz="4" w:space="0" w:color="000000"/>
              <w:right w:val="single" w:sz="4" w:space="0" w:color="000000"/>
            </w:tcBorders>
          </w:tcPr>
          <w:p>
            <w:pPr/>
          </w:p>
        </w:tc>
        <w:tc>
          <w:tcPr>
            <w:tcW w:w="586" w:type="dxa"/>
            <w:vMerge w:val="restart"/>
            <w:tcBorders>
              <w:top w:val="single" w:sz="21" w:space="0" w:color="D2D2D2"/>
              <w:left w:val="single" w:sz="4" w:space="0" w:color="000000"/>
              <w:right w:val="single" w:sz="4" w:space="0" w:color="000000"/>
            </w:tcBorders>
          </w:tcPr>
          <w:p>
            <w:pPr>
              <w:pStyle w:val="TableParagraph"/>
              <w:spacing w:line="240" w:lineRule="auto" w:before="74"/>
              <w:ind w:left="78" w:right="0"/>
              <w:jc w:val="center"/>
              <w:rPr>
                <w:rFonts w:ascii="Times New Roman" w:hAnsi="Times New Roman" w:cs="Times New Roman" w:eastAsia="Times New Roman" w:hint="default"/>
                <w:sz w:val="18"/>
                <w:szCs w:val="18"/>
              </w:rPr>
            </w:pPr>
            <w:r>
              <w:rPr>
                <w:rFonts w:ascii="Times New Roman"/>
                <w:sz w:val="18"/>
              </w:rPr>
              <w:t>1,183,</w:t>
            </w:r>
          </w:p>
          <w:p>
            <w:pPr>
              <w:pStyle w:val="TableParagraph"/>
              <w:spacing w:line="240" w:lineRule="auto" w:before="100"/>
              <w:ind w:left="37" w:right="0"/>
              <w:jc w:val="center"/>
              <w:rPr>
                <w:rFonts w:ascii="Times New Roman" w:hAnsi="Times New Roman" w:cs="Times New Roman" w:eastAsia="Times New Roman" w:hint="default"/>
                <w:sz w:val="18"/>
                <w:szCs w:val="18"/>
              </w:rPr>
            </w:pPr>
            <w:r>
              <w:rPr>
                <w:rFonts w:ascii="Times New Roman"/>
                <w:sz w:val="18"/>
              </w:rPr>
              <w:t>914,07</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3.79</w:t>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left="83" w:right="0"/>
              <w:jc w:val="center"/>
              <w:rPr>
                <w:rFonts w:ascii="Times New Roman" w:hAnsi="Times New Roman" w:cs="Times New Roman" w:eastAsia="Times New Roman" w:hint="default"/>
                <w:sz w:val="18"/>
                <w:szCs w:val="18"/>
              </w:rPr>
            </w:pPr>
            <w:r>
              <w:rPr>
                <w:rFonts w:ascii="Times New Roman"/>
                <w:sz w:val="18"/>
              </w:rPr>
              <w:t>2,890,</w:t>
            </w:r>
          </w:p>
          <w:p>
            <w:pPr>
              <w:pStyle w:val="TableParagraph"/>
              <w:spacing w:line="240" w:lineRule="auto" w:before="100"/>
              <w:ind w:left="47" w:right="0"/>
              <w:jc w:val="center"/>
              <w:rPr>
                <w:rFonts w:ascii="Times New Roman" w:hAnsi="Times New Roman" w:cs="Times New Roman" w:eastAsia="Times New Roman" w:hint="default"/>
                <w:sz w:val="18"/>
                <w:szCs w:val="18"/>
              </w:rPr>
            </w:pPr>
            <w:r>
              <w:rPr>
                <w:rFonts w:ascii="Times New Roman"/>
                <w:sz w:val="18"/>
              </w:rPr>
              <w:t>114,06</w:t>
            </w:r>
          </w:p>
          <w:p>
            <w:pPr>
              <w:pStyle w:val="TableParagraph"/>
              <w:spacing w:line="240" w:lineRule="auto" w:before="110"/>
              <w:ind w:left="220" w:right="0"/>
              <w:jc w:val="center"/>
              <w:rPr>
                <w:rFonts w:ascii="Times New Roman" w:hAnsi="Times New Roman" w:cs="Times New Roman" w:eastAsia="Times New Roman" w:hint="default"/>
                <w:sz w:val="18"/>
                <w:szCs w:val="18"/>
              </w:rPr>
            </w:pPr>
            <w:r>
              <w:rPr>
                <w:rFonts w:ascii="Times New Roman"/>
                <w:sz w:val="18"/>
              </w:rPr>
              <w:t>2.64</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19,621</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,860.9</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576" w:type="dxa"/>
            <w:vMerge w:val="restart"/>
            <w:tcBorders>
              <w:top w:val="single" w:sz="40" w:space="0" w:color="D2D2D2"/>
              <w:left w:val="single" w:sz="4" w:space="0" w:color="000000"/>
              <w:right w:val="single" w:sz="4" w:space="0" w:color="000000"/>
            </w:tcBorders>
          </w:tcPr>
          <w:p>
            <w:pPr>
              <w:pStyle w:val="TableParagraph"/>
              <w:spacing w:line="240" w:lineRule="auto" w:before="50"/>
              <w:ind w:left="79" w:right="0"/>
              <w:jc w:val="center"/>
              <w:rPr>
                <w:rFonts w:ascii="Times New Roman" w:hAnsi="Times New Roman" w:cs="Times New Roman" w:eastAsia="Times New Roman" w:hint="default"/>
                <w:sz w:val="18"/>
                <w:szCs w:val="18"/>
              </w:rPr>
            </w:pPr>
            <w:r>
              <w:rPr>
                <w:rFonts w:ascii="Times New Roman"/>
                <w:sz w:val="18"/>
              </w:rPr>
              <w:t>2,909,</w:t>
            </w:r>
          </w:p>
          <w:p>
            <w:pPr>
              <w:pStyle w:val="TableParagraph"/>
              <w:spacing w:line="240" w:lineRule="auto" w:before="100"/>
              <w:ind w:left="38" w:right="0"/>
              <w:jc w:val="center"/>
              <w:rPr>
                <w:rFonts w:ascii="Times New Roman" w:hAnsi="Times New Roman" w:cs="Times New Roman" w:eastAsia="Times New Roman" w:hint="default"/>
                <w:sz w:val="18"/>
                <w:szCs w:val="18"/>
              </w:rPr>
            </w:pPr>
            <w:r>
              <w:rPr>
                <w:rFonts w:ascii="Times New Roman"/>
                <w:sz w:val="18"/>
              </w:rPr>
              <w:t>735,92</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3.63</w:t>
            </w:r>
          </w:p>
        </w:tc>
      </w:tr>
      <w:tr>
        <w:trPr>
          <w:trHeight w:val="701" w:hRule="exact"/>
        </w:trPr>
        <w:tc>
          <w:tcPr>
            <w:tcW w:w="12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4"/>
              <w:ind w:left="11" w:right="5"/>
              <w:jc w:val="left"/>
              <w:rPr>
                <w:rFonts w:ascii="宋体" w:hAnsi="宋体" w:cs="宋体" w:eastAsia="宋体" w:hint="default"/>
                <w:sz w:val="18"/>
                <w:szCs w:val="18"/>
              </w:rPr>
            </w:pPr>
            <w:r>
              <w:rPr>
                <w:rFonts w:ascii="宋体" w:hAnsi="宋体" w:cs="宋体" w:eastAsia="宋体" w:hint="default"/>
                <w:spacing w:val="-12"/>
                <w:sz w:val="18"/>
                <w:szCs w:val="18"/>
              </w:rPr>
              <w:t>一、上年期末余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506" w:type="dxa"/>
            <w:vMerge/>
            <w:tcBorders>
              <w:left w:val="single" w:sz="10"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70"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r>
      <w:tr>
        <w:trPr>
          <w:trHeight w:val="163" w:hRule="exact"/>
        </w:trPr>
        <w:tc>
          <w:tcPr>
            <w:tcW w:w="1229" w:type="dxa"/>
            <w:tcBorders>
              <w:top w:val="nil" w:sz="6" w:space="0" w:color="auto"/>
              <w:left w:val="single" w:sz="4" w:space="0" w:color="000000"/>
              <w:bottom w:val="single" w:sz="4" w:space="0" w:color="000000"/>
              <w:right w:val="single" w:sz="4" w:space="0" w:color="000000"/>
            </w:tcBorders>
            <w:shd w:val="clear" w:color="auto" w:fill="D2D2D2"/>
          </w:tcPr>
          <w:p>
            <w:pPr/>
          </w:p>
        </w:tc>
        <w:tc>
          <w:tcPr>
            <w:tcW w:w="506" w:type="dxa"/>
            <w:vMerge/>
            <w:tcBorders>
              <w:left w:val="single" w:sz="10"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r>
        <w:trPr>
          <w:trHeight w:val="158" w:hRule="exact"/>
        </w:trPr>
        <w:tc>
          <w:tcPr>
            <w:tcW w:w="1229" w:type="dxa"/>
            <w:tcBorders>
              <w:top w:val="single" w:sz="4" w:space="0" w:color="000000"/>
              <w:left w:val="single" w:sz="4" w:space="0" w:color="000000"/>
              <w:bottom w:val="nil" w:sz="6" w:space="0" w:color="auto"/>
              <w:right w:val="single" w:sz="4" w:space="0" w:color="000000"/>
            </w:tcBorders>
            <w:shd w:val="clear" w:color="auto" w:fill="D2D2D2"/>
          </w:tcPr>
          <w:p>
            <w:pPr/>
          </w:p>
        </w:tc>
        <w:tc>
          <w:tcPr>
            <w:tcW w:w="506" w:type="dxa"/>
            <w:vMerge w:val="restart"/>
            <w:tcBorders>
              <w:top w:val="single" w:sz="4" w:space="0" w:color="000000"/>
              <w:left w:val="single" w:sz="10"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70"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8,309,</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367.06</w:t>
            </w: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-147,8</w:t>
            </w:r>
          </w:p>
          <w:p>
            <w:pPr>
              <w:pStyle w:val="TableParagraph"/>
              <w:spacing w:line="240" w:lineRule="auto" w:before="110"/>
              <w:ind w:left="148" w:right="0"/>
              <w:jc w:val="left"/>
              <w:rPr>
                <w:rFonts w:ascii="Times New Roman" w:hAnsi="Times New Roman" w:cs="Times New Roman" w:eastAsia="Times New Roman" w:hint="default"/>
                <w:sz w:val="18"/>
                <w:szCs w:val="18"/>
              </w:rPr>
            </w:pPr>
            <w:r>
              <w:rPr>
                <w:rFonts w:ascii="Times New Roman"/>
                <w:sz w:val="18"/>
              </w:rPr>
              <w:t>61.34</w:t>
            </w: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-18,48</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2,495.</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47</w:t>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-10,32</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0,989.</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75</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-24,81</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5.80</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z w:val="18"/>
              </w:rPr>
              <w:t>-10,34</w:t>
            </w:r>
          </w:p>
          <w:p>
            <w:pPr>
              <w:pStyle w:val="TableParagraph"/>
              <w:spacing w:line="240" w:lineRule="auto" w:before="100"/>
              <w:ind w:left="96" w:right="0"/>
              <w:jc w:val="left"/>
              <w:rPr>
                <w:rFonts w:ascii="Times New Roman" w:hAnsi="Times New Roman" w:cs="Times New Roman" w:eastAsia="Times New Roman" w:hint="default"/>
                <w:sz w:val="18"/>
                <w:szCs w:val="18"/>
              </w:rPr>
            </w:pPr>
            <w:r>
              <w:rPr>
                <w:rFonts w:ascii="Times New Roman"/>
                <w:sz w:val="18"/>
              </w:rPr>
              <w:t>5,805.</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55</w:t>
            </w:r>
          </w:p>
        </w:tc>
      </w:tr>
      <w:tr>
        <w:trPr>
          <w:trHeight w:val="706" w:hRule="exact"/>
        </w:trPr>
        <w:tc>
          <w:tcPr>
            <w:tcW w:w="12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1" w:lineRule="auto" w:before="53"/>
              <w:ind w:left="11" w:right="5" w:firstLine="360"/>
              <w:jc w:val="left"/>
              <w:rPr>
                <w:rFonts w:ascii="宋体" w:hAnsi="宋体" w:cs="宋体" w:eastAsia="宋体" w:hint="default"/>
                <w:sz w:val="18"/>
                <w:szCs w:val="18"/>
              </w:rPr>
            </w:pPr>
            <w:r>
              <w:rPr>
                <w:rFonts w:ascii="宋体" w:hAnsi="宋体" w:cs="宋体" w:eastAsia="宋体" w:hint="default"/>
                <w:spacing w:val="-15"/>
                <w:sz w:val="18"/>
                <w:szCs w:val="18"/>
              </w:rPr>
              <w:t>加：会计政</w:t>
            </w:r>
            <w:r>
              <w:rPr>
                <w:rFonts w:ascii="宋体" w:hAnsi="宋体" w:cs="宋体" w:eastAsia="宋体" w:hint="default"/>
                <w:w w:val="101"/>
                <w:sz w:val="18"/>
                <w:szCs w:val="18"/>
              </w:rPr>
              <w:t> </w:t>
            </w:r>
            <w:r>
              <w:rPr>
                <w:rFonts w:ascii="宋体" w:hAnsi="宋体" w:cs="宋体" w:eastAsia="宋体" w:hint="default"/>
                <w:sz w:val="18"/>
                <w:szCs w:val="18"/>
              </w:rPr>
              <w:t>策变更</w:t>
            </w:r>
          </w:p>
        </w:tc>
        <w:tc>
          <w:tcPr>
            <w:tcW w:w="506" w:type="dxa"/>
            <w:vMerge/>
            <w:tcBorders>
              <w:left w:val="single" w:sz="10"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70"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r>
      <w:tr>
        <w:trPr>
          <w:trHeight w:val="163" w:hRule="exact"/>
        </w:trPr>
        <w:tc>
          <w:tcPr>
            <w:tcW w:w="1229" w:type="dxa"/>
            <w:tcBorders>
              <w:top w:val="nil" w:sz="6" w:space="0" w:color="auto"/>
              <w:left w:val="single" w:sz="4" w:space="0" w:color="000000"/>
              <w:bottom w:val="single" w:sz="4" w:space="0" w:color="000000"/>
              <w:right w:val="single" w:sz="4" w:space="0" w:color="000000"/>
            </w:tcBorders>
            <w:shd w:val="clear" w:color="auto" w:fill="D2D2D2"/>
          </w:tcPr>
          <w:p>
            <w:pPr/>
          </w:p>
        </w:tc>
        <w:tc>
          <w:tcPr>
            <w:tcW w:w="506" w:type="dxa"/>
            <w:vMerge/>
            <w:tcBorders>
              <w:left w:val="single" w:sz="10"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r>
        <w:trPr>
          <w:trHeight w:val="711"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120"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506"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120" w:firstLine="720"/>
              <w:jc w:val="both"/>
              <w:rPr>
                <w:rFonts w:ascii="宋体" w:hAnsi="宋体" w:cs="宋体" w:eastAsia="宋体" w:hint="default"/>
                <w:sz w:val="18"/>
                <w:szCs w:val="18"/>
              </w:rPr>
            </w:pPr>
            <w:r>
              <w:rPr>
                <w:rFonts w:ascii="宋体" w:hAnsi="宋体" w:cs="宋体" w:eastAsia="宋体" w:hint="default"/>
                <w:sz w:val="18"/>
                <w:szCs w:val="18"/>
              </w:rPr>
              <w:t>同一</w:t>
            </w:r>
            <w:r>
              <w:rPr>
                <w:rFonts w:ascii="宋体" w:hAnsi="宋体" w:cs="宋体" w:eastAsia="宋体" w:hint="default"/>
                <w:w w:val="101"/>
                <w:sz w:val="18"/>
                <w:szCs w:val="18"/>
              </w:rPr>
              <w:t> </w:t>
            </w:r>
            <w:r>
              <w:rPr>
                <w:rFonts w:ascii="宋体" w:hAnsi="宋体" w:cs="宋体" w:eastAsia="宋体" w:hint="default"/>
                <w:spacing w:val="-2"/>
                <w:sz w:val="18"/>
                <w:szCs w:val="18"/>
              </w:rPr>
              <w:t>控制下企业合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并</w:t>
            </w:r>
          </w:p>
        </w:tc>
        <w:tc>
          <w:tcPr>
            <w:tcW w:w="506"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06"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58" w:hRule="exact"/>
        </w:trPr>
        <w:tc>
          <w:tcPr>
            <w:tcW w:w="1229" w:type="dxa"/>
            <w:tcBorders>
              <w:top w:val="single" w:sz="4" w:space="0" w:color="000000"/>
              <w:left w:val="single" w:sz="4" w:space="0" w:color="000000"/>
              <w:bottom w:val="nil" w:sz="6" w:space="0" w:color="auto"/>
              <w:right w:val="single" w:sz="4" w:space="0" w:color="000000"/>
            </w:tcBorders>
            <w:shd w:val="clear" w:color="auto" w:fill="D2D2D2"/>
          </w:tcPr>
          <w:p>
            <w:pPr/>
          </w:p>
        </w:tc>
        <w:tc>
          <w:tcPr>
            <w:tcW w:w="506" w:type="dxa"/>
            <w:vMerge w:val="restart"/>
            <w:tcBorders>
              <w:top w:val="single" w:sz="4" w:space="0" w:color="000000"/>
              <w:left w:val="single" w:sz="10" w:space="0" w:color="D2D2D2"/>
              <w:right w:val="single" w:sz="4" w:space="0" w:color="000000"/>
            </w:tcBorders>
          </w:tcPr>
          <w:p>
            <w:pPr>
              <w:pStyle w:val="TableParagraph"/>
              <w:spacing w:line="240" w:lineRule="auto" w:before="96"/>
              <w:ind w:left="43" w:right="0"/>
              <w:jc w:val="center"/>
              <w:rPr>
                <w:rFonts w:ascii="Times New Roman" w:hAnsi="Times New Roman" w:cs="Times New Roman" w:eastAsia="Times New Roman" w:hint="default"/>
                <w:sz w:val="18"/>
                <w:szCs w:val="18"/>
              </w:rPr>
            </w:pPr>
            <w:r>
              <w:rPr>
                <w:rFonts w:ascii="Times New Roman"/>
                <w:sz w:val="18"/>
              </w:rPr>
              <w:t>73,89</w:t>
            </w:r>
          </w:p>
          <w:p>
            <w:pPr>
              <w:pStyle w:val="TableParagraph"/>
              <w:spacing w:line="240" w:lineRule="auto" w:before="100"/>
              <w:ind w:left="43" w:right="0"/>
              <w:jc w:val="center"/>
              <w:rPr>
                <w:rFonts w:ascii="Times New Roman" w:hAnsi="Times New Roman" w:cs="Times New Roman" w:eastAsia="Times New Roman" w:hint="default"/>
                <w:sz w:val="18"/>
                <w:szCs w:val="18"/>
              </w:rPr>
            </w:pPr>
            <w:r>
              <w:rPr>
                <w:rFonts w:ascii="Times New Roman"/>
                <w:sz w:val="18"/>
              </w:rPr>
              <w:t>2,895</w:t>
            </w:r>
          </w:p>
          <w:p>
            <w:pPr>
              <w:pStyle w:val="TableParagraph"/>
              <w:spacing w:line="240" w:lineRule="auto" w:before="110"/>
              <w:ind w:left="220" w:right="0"/>
              <w:jc w:val="center"/>
              <w:rPr>
                <w:rFonts w:ascii="Times New Roman" w:hAnsi="Times New Roman" w:cs="Times New Roman" w:eastAsia="Times New Roman" w:hint="default"/>
                <w:sz w:val="18"/>
                <w:szCs w:val="18"/>
              </w:rPr>
            </w:pPr>
            <w:r>
              <w:rPr>
                <w:rFonts w:ascii="Times New Roman"/>
                <w:sz w:val="18"/>
              </w:rPr>
              <w:t>.00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70"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left="83" w:right="0"/>
              <w:jc w:val="center"/>
              <w:rPr>
                <w:rFonts w:ascii="Times New Roman" w:hAnsi="Times New Roman" w:cs="Times New Roman" w:eastAsia="Times New Roman" w:hint="default"/>
                <w:sz w:val="18"/>
                <w:szCs w:val="18"/>
              </w:rPr>
            </w:pPr>
            <w:r>
              <w:rPr>
                <w:rFonts w:ascii="Times New Roman"/>
                <w:sz w:val="18"/>
              </w:rPr>
              <w:t>1,613,</w:t>
            </w:r>
          </w:p>
          <w:p>
            <w:pPr>
              <w:pStyle w:val="TableParagraph"/>
              <w:spacing w:line="240" w:lineRule="auto" w:before="100"/>
              <w:ind w:left="42" w:right="0"/>
              <w:jc w:val="center"/>
              <w:rPr>
                <w:rFonts w:ascii="Times New Roman" w:hAnsi="Times New Roman" w:cs="Times New Roman" w:eastAsia="Times New Roman" w:hint="default"/>
                <w:sz w:val="18"/>
                <w:szCs w:val="18"/>
              </w:rPr>
            </w:pPr>
            <w:r>
              <w:rPr>
                <w:rFonts w:ascii="Times New Roman"/>
                <w:sz w:val="18"/>
              </w:rPr>
              <w:t>545,65</w:t>
            </w:r>
          </w:p>
          <w:p>
            <w:pPr>
              <w:pStyle w:val="TableParagraph"/>
              <w:spacing w:line="240" w:lineRule="auto" w:before="110"/>
              <w:ind w:left="221" w:right="0"/>
              <w:jc w:val="center"/>
              <w:rPr>
                <w:rFonts w:ascii="Times New Roman" w:hAnsi="Times New Roman" w:cs="Times New Roman" w:eastAsia="Times New Roman" w:hint="default"/>
                <w:sz w:val="18"/>
                <w:szCs w:val="18"/>
              </w:rPr>
            </w:pPr>
            <w:r>
              <w:rPr>
                <w:rFonts w:ascii="Times New Roman"/>
                <w:sz w:val="18"/>
              </w:rPr>
              <w:t>3.79</w:t>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14,817</w:t>
            </w:r>
          </w:p>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,686.2</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12,105</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,259.5</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left="78" w:right="0"/>
              <w:jc w:val="center"/>
              <w:rPr>
                <w:rFonts w:ascii="Times New Roman" w:hAnsi="Times New Roman" w:cs="Times New Roman" w:eastAsia="Times New Roman" w:hint="default"/>
                <w:sz w:val="18"/>
                <w:szCs w:val="18"/>
              </w:rPr>
            </w:pPr>
            <w:r>
              <w:rPr>
                <w:rFonts w:ascii="Times New Roman"/>
                <w:sz w:val="18"/>
              </w:rPr>
              <w:t>1,165,</w:t>
            </w:r>
          </w:p>
          <w:p>
            <w:pPr>
              <w:pStyle w:val="TableParagraph"/>
              <w:spacing w:line="240" w:lineRule="auto" w:before="100"/>
              <w:ind w:left="37" w:right="0"/>
              <w:jc w:val="center"/>
              <w:rPr>
                <w:rFonts w:ascii="Times New Roman" w:hAnsi="Times New Roman" w:cs="Times New Roman" w:eastAsia="Times New Roman" w:hint="default"/>
                <w:sz w:val="18"/>
                <w:szCs w:val="18"/>
              </w:rPr>
            </w:pPr>
            <w:r>
              <w:rPr>
                <w:rFonts w:ascii="Times New Roman"/>
                <w:sz w:val="18"/>
              </w:rPr>
              <w:t>431,57</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8.32</w:t>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left="83" w:right="0"/>
              <w:jc w:val="center"/>
              <w:rPr>
                <w:rFonts w:ascii="Times New Roman" w:hAnsi="Times New Roman" w:cs="Times New Roman" w:eastAsia="Times New Roman" w:hint="default"/>
                <w:sz w:val="18"/>
                <w:szCs w:val="18"/>
              </w:rPr>
            </w:pPr>
            <w:r>
              <w:rPr>
                <w:rFonts w:ascii="Times New Roman"/>
                <w:sz w:val="18"/>
              </w:rPr>
              <w:t>2,879,</w:t>
            </w:r>
          </w:p>
          <w:p>
            <w:pPr>
              <w:pStyle w:val="TableParagraph"/>
              <w:spacing w:line="240" w:lineRule="auto" w:before="100"/>
              <w:ind w:left="42" w:right="0"/>
              <w:jc w:val="center"/>
              <w:rPr>
                <w:rFonts w:ascii="Times New Roman" w:hAnsi="Times New Roman" w:cs="Times New Roman" w:eastAsia="Times New Roman" w:hint="default"/>
                <w:sz w:val="18"/>
                <w:szCs w:val="18"/>
              </w:rPr>
            </w:pPr>
            <w:r>
              <w:rPr>
                <w:rFonts w:ascii="Times New Roman"/>
                <w:sz w:val="18"/>
              </w:rPr>
              <w:t>793,07</w:t>
            </w:r>
          </w:p>
          <w:p>
            <w:pPr>
              <w:pStyle w:val="TableParagraph"/>
              <w:spacing w:line="240" w:lineRule="auto" w:before="110"/>
              <w:ind w:left="220" w:right="0"/>
              <w:jc w:val="center"/>
              <w:rPr>
                <w:rFonts w:ascii="Times New Roman" w:hAnsi="Times New Roman" w:cs="Times New Roman" w:eastAsia="Times New Roman" w:hint="default"/>
                <w:sz w:val="18"/>
                <w:szCs w:val="18"/>
              </w:rPr>
            </w:pPr>
            <w:r>
              <w:rPr>
                <w:rFonts w:ascii="Times New Roman"/>
                <w:sz w:val="18"/>
              </w:rPr>
              <w:t>2.89</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19,597</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,045.1</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6"/>
              <w:ind w:left="79" w:right="0"/>
              <w:jc w:val="center"/>
              <w:rPr>
                <w:rFonts w:ascii="Times New Roman" w:hAnsi="Times New Roman" w:cs="Times New Roman" w:eastAsia="Times New Roman" w:hint="default"/>
                <w:sz w:val="18"/>
                <w:szCs w:val="18"/>
              </w:rPr>
            </w:pPr>
            <w:r>
              <w:rPr>
                <w:rFonts w:ascii="Times New Roman"/>
                <w:sz w:val="18"/>
              </w:rPr>
              <w:t>2,899,</w:t>
            </w:r>
          </w:p>
          <w:p>
            <w:pPr>
              <w:pStyle w:val="TableParagraph"/>
              <w:spacing w:line="240" w:lineRule="auto" w:before="100"/>
              <w:ind w:left="43" w:right="0"/>
              <w:jc w:val="center"/>
              <w:rPr>
                <w:rFonts w:ascii="Times New Roman" w:hAnsi="Times New Roman" w:cs="Times New Roman" w:eastAsia="Times New Roman" w:hint="default"/>
                <w:sz w:val="18"/>
                <w:szCs w:val="18"/>
              </w:rPr>
            </w:pPr>
            <w:r>
              <w:rPr>
                <w:rFonts w:ascii="Times New Roman"/>
                <w:sz w:val="18"/>
              </w:rPr>
              <w:t>390,11</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8.08</w:t>
            </w:r>
          </w:p>
        </w:tc>
      </w:tr>
      <w:tr>
        <w:trPr>
          <w:trHeight w:val="706" w:hRule="exact"/>
        </w:trPr>
        <w:tc>
          <w:tcPr>
            <w:tcW w:w="12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1" w:lineRule="auto" w:before="53"/>
              <w:ind w:left="11" w:right="5"/>
              <w:jc w:val="left"/>
              <w:rPr>
                <w:rFonts w:ascii="宋体" w:hAnsi="宋体" w:cs="宋体" w:eastAsia="宋体" w:hint="default"/>
                <w:sz w:val="18"/>
                <w:szCs w:val="18"/>
              </w:rPr>
            </w:pPr>
            <w:r>
              <w:rPr>
                <w:rFonts w:ascii="宋体" w:hAnsi="宋体" w:cs="宋体" w:eastAsia="宋体" w:hint="default"/>
                <w:spacing w:val="-12"/>
                <w:sz w:val="18"/>
                <w:szCs w:val="18"/>
              </w:rPr>
              <w:t>二、本年期初余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506" w:type="dxa"/>
            <w:vMerge/>
            <w:tcBorders>
              <w:left w:val="single" w:sz="10"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70"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r>
      <w:tr>
        <w:trPr>
          <w:trHeight w:val="163" w:hRule="exact"/>
        </w:trPr>
        <w:tc>
          <w:tcPr>
            <w:tcW w:w="1229" w:type="dxa"/>
            <w:tcBorders>
              <w:top w:val="nil" w:sz="6" w:space="0" w:color="auto"/>
              <w:left w:val="single" w:sz="4" w:space="0" w:color="000000"/>
              <w:bottom w:val="single" w:sz="4" w:space="0" w:color="000000"/>
              <w:right w:val="single" w:sz="4" w:space="0" w:color="000000"/>
            </w:tcBorders>
            <w:shd w:val="clear" w:color="auto" w:fill="D2D2D2"/>
          </w:tcPr>
          <w:p>
            <w:pPr/>
          </w:p>
        </w:tc>
        <w:tc>
          <w:tcPr>
            <w:tcW w:w="506" w:type="dxa"/>
            <w:vMerge/>
            <w:tcBorders>
              <w:left w:val="single" w:sz="10"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r>
        <w:trPr>
          <w:trHeight w:val="102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5"/>
              <w:jc w:val="both"/>
              <w:rPr>
                <w:rFonts w:ascii="宋体" w:hAnsi="宋体" w:cs="宋体" w:eastAsia="宋体" w:hint="default"/>
                <w:sz w:val="18"/>
                <w:szCs w:val="18"/>
              </w:rPr>
            </w:pPr>
            <w:r>
              <w:rPr>
                <w:rFonts w:ascii="宋体" w:hAnsi="宋体" w:cs="宋体" w:eastAsia="宋体" w:hint="default"/>
                <w:spacing w:val="-12"/>
                <w:sz w:val="18"/>
                <w:szCs w:val="18"/>
              </w:rPr>
              <w:t>三、本期增减变</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2"/>
                <w:sz w:val="18"/>
                <w:szCs w:val="18"/>
              </w:rPr>
              <w:t>动金额（减少以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06"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14,135</w:t>
            </w:r>
          </w:p>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,159.2</w:t>
            </w:r>
          </w:p>
          <w:p>
            <w:pPr>
              <w:pStyle w:val="TableParagraph"/>
              <w:spacing w:line="240" w:lineRule="auto" w:before="109"/>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6,960,</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030.99</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172,81</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1,173.</w:t>
            </w:r>
          </w:p>
          <w:p>
            <w:pPr>
              <w:pStyle w:val="TableParagraph"/>
              <w:spacing w:line="240" w:lineRule="auto" w:before="109"/>
              <w:ind w:left="374" w:right="0"/>
              <w:jc w:val="left"/>
              <w:rPr>
                <w:rFonts w:ascii="Times New Roman" w:hAnsi="Times New Roman" w:cs="Times New Roman" w:eastAsia="Times New Roman" w:hint="default"/>
                <w:sz w:val="18"/>
                <w:szCs w:val="18"/>
              </w:rPr>
            </w:pPr>
            <w:r>
              <w:rPr>
                <w:rFonts w:ascii="Times New Roman"/>
                <w:sz w:val="18"/>
              </w:rPr>
              <w:t>10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193,90</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6,363.</w:t>
            </w:r>
          </w:p>
          <w:p>
            <w:pPr>
              <w:pStyle w:val="TableParagraph"/>
              <w:spacing w:line="240" w:lineRule="auto" w:before="109"/>
              <w:ind w:left="374" w:right="0"/>
              <w:jc w:val="left"/>
              <w:rPr>
                <w:rFonts w:ascii="Times New Roman" w:hAnsi="Times New Roman" w:cs="Times New Roman" w:eastAsia="Times New Roman" w:hint="default"/>
                <w:sz w:val="18"/>
                <w:szCs w:val="18"/>
              </w:rPr>
            </w:pPr>
            <w:r>
              <w:rPr>
                <w:rFonts w:ascii="Times New Roman"/>
                <w:sz w:val="18"/>
              </w:rPr>
              <w:t>36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-19,60</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4,595.</w:t>
            </w:r>
          </w:p>
          <w:p>
            <w:pPr>
              <w:pStyle w:val="TableParagraph"/>
              <w:spacing w:line="240" w:lineRule="auto" w:before="109"/>
              <w:ind w:left="374" w:right="0"/>
              <w:jc w:val="left"/>
              <w:rPr>
                <w:rFonts w:ascii="Times New Roman" w:hAnsi="Times New Roman" w:cs="Times New Roman" w:eastAsia="Times New Roman" w:hint="default"/>
                <w:sz w:val="18"/>
                <w:szCs w:val="18"/>
              </w:rPr>
            </w:pPr>
            <w:r>
              <w:rPr>
                <w:rFonts w:ascii="Times New Roman"/>
                <w:sz w:val="18"/>
              </w:rPr>
              <w:t>14</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174,30</w:t>
            </w:r>
          </w:p>
          <w:p>
            <w:pPr>
              <w:pStyle w:val="TableParagraph"/>
              <w:spacing w:line="240" w:lineRule="auto" w:before="100"/>
              <w:ind w:left="96" w:right="0"/>
              <w:jc w:val="left"/>
              <w:rPr>
                <w:rFonts w:ascii="Times New Roman" w:hAnsi="Times New Roman" w:cs="Times New Roman" w:eastAsia="Times New Roman" w:hint="default"/>
                <w:sz w:val="18"/>
                <w:szCs w:val="18"/>
              </w:rPr>
            </w:pPr>
            <w:r>
              <w:rPr>
                <w:rFonts w:ascii="Times New Roman"/>
                <w:sz w:val="18"/>
              </w:rPr>
              <w:t>1,768.</w:t>
            </w:r>
          </w:p>
          <w:p>
            <w:pPr>
              <w:pStyle w:val="TableParagraph"/>
              <w:spacing w:line="240" w:lineRule="auto" w:before="109"/>
              <w:ind w:left="369" w:right="0"/>
              <w:jc w:val="left"/>
              <w:rPr>
                <w:rFonts w:ascii="Times New Roman" w:hAnsi="Times New Roman" w:cs="Times New Roman" w:eastAsia="Times New Roman" w:hint="default"/>
                <w:sz w:val="18"/>
                <w:szCs w:val="18"/>
              </w:rPr>
            </w:pPr>
            <w:r>
              <w:rPr>
                <w:rFonts w:ascii="Times New Roman"/>
                <w:sz w:val="18"/>
              </w:rPr>
              <w:t>22</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53"/>
        <w:gridCol w:w="494"/>
        <w:gridCol w:w="466"/>
        <w:gridCol w:w="466"/>
        <w:gridCol w:w="470"/>
        <w:gridCol w:w="581"/>
        <w:gridCol w:w="586"/>
        <w:gridCol w:w="581"/>
        <w:gridCol w:w="586"/>
        <w:gridCol w:w="586"/>
        <w:gridCol w:w="581"/>
        <w:gridCol w:w="586"/>
        <w:gridCol w:w="586"/>
        <w:gridCol w:w="581"/>
        <w:gridCol w:w="586"/>
        <w:gridCol w:w="576"/>
      </w:tblGrid>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pacing w:val="-12"/>
                <w:sz w:val="18"/>
                <w:szCs w:val="18"/>
              </w:rPr>
              <w:t>（一）综合收益</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总额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8,847,</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364.35</w:t>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219,04</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8,159.</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38</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227,89</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5,523.</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73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-1,588,</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441.64</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226,30</w:t>
            </w:r>
          </w:p>
          <w:p>
            <w:pPr>
              <w:pStyle w:val="TableParagraph"/>
              <w:spacing w:line="240" w:lineRule="auto" w:before="100"/>
              <w:ind w:left="96" w:right="0"/>
              <w:jc w:val="left"/>
              <w:rPr>
                <w:rFonts w:ascii="Times New Roman" w:hAnsi="Times New Roman" w:cs="Times New Roman" w:eastAsia="Times New Roman" w:hint="default"/>
                <w:sz w:val="18"/>
                <w:szCs w:val="18"/>
              </w:rPr>
            </w:pPr>
            <w:r>
              <w:rPr>
                <w:rFonts w:ascii="Times New Roman"/>
                <w:sz w:val="18"/>
              </w:rPr>
              <w:t>7,082.</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09</w:t>
            </w:r>
          </w:p>
        </w:tc>
      </w:tr>
      <w:tr>
        <w:trPr>
          <w:trHeight w:val="102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21" w:lineRule="auto"/>
              <w:ind w:left="24" w:right="17"/>
              <w:jc w:val="left"/>
              <w:rPr>
                <w:rFonts w:ascii="宋体" w:hAnsi="宋体" w:cs="宋体" w:eastAsia="宋体" w:hint="default"/>
                <w:sz w:val="18"/>
                <w:szCs w:val="18"/>
              </w:rPr>
            </w:pPr>
            <w:r>
              <w:rPr>
                <w:rFonts w:ascii="宋体" w:hAnsi="宋体" w:cs="宋体" w:eastAsia="宋体" w:hint="default"/>
                <w:spacing w:val="-12"/>
                <w:sz w:val="18"/>
                <w:szCs w:val="18"/>
              </w:rPr>
              <w:t>（二）所有者投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入和减少资本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-18,01</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6,153.</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50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z w:val="18"/>
              </w:rPr>
              <w:t>-18,01</w:t>
            </w:r>
          </w:p>
          <w:p>
            <w:pPr>
              <w:pStyle w:val="TableParagraph"/>
              <w:spacing w:line="240" w:lineRule="auto" w:before="100"/>
              <w:ind w:left="96" w:right="0"/>
              <w:jc w:val="left"/>
              <w:rPr>
                <w:rFonts w:ascii="Times New Roman" w:hAnsi="Times New Roman" w:cs="Times New Roman" w:eastAsia="Times New Roman" w:hint="default"/>
                <w:sz w:val="18"/>
                <w:szCs w:val="18"/>
              </w:rPr>
            </w:pPr>
            <w:r>
              <w:rPr>
                <w:rFonts w:ascii="Times New Roman"/>
                <w:sz w:val="18"/>
              </w:rPr>
              <w:t>6,153.</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50</w:t>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的普通股</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-18,01</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6,153.</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50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z w:val="18"/>
              </w:rPr>
              <w:t>-18,01</w:t>
            </w:r>
          </w:p>
          <w:p>
            <w:pPr>
              <w:pStyle w:val="TableParagraph"/>
              <w:spacing w:line="240" w:lineRule="auto" w:before="100"/>
              <w:ind w:left="96" w:right="0"/>
              <w:jc w:val="left"/>
              <w:rPr>
                <w:rFonts w:ascii="Times New Roman" w:hAnsi="Times New Roman" w:cs="Times New Roman" w:eastAsia="Times New Roman" w:hint="default"/>
                <w:sz w:val="18"/>
                <w:szCs w:val="18"/>
              </w:rPr>
            </w:pPr>
            <w:r>
              <w:rPr>
                <w:rFonts w:ascii="Times New Roman"/>
                <w:sz w:val="18"/>
              </w:rPr>
              <w:t>6,153.</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50</w:t>
            </w: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12"/>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7,665,</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070.31</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6" w:right="0"/>
              <w:jc w:val="left"/>
              <w:rPr>
                <w:rFonts w:ascii="Times New Roman" w:hAnsi="Times New Roman" w:cs="Times New Roman" w:eastAsia="Times New Roman" w:hint="default"/>
                <w:sz w:val="18"/>
                <w:szCs w:val="18"/>
              </w:rPr>
            </w:pPr>
            <w:r>
              <w:rPr>
                <w:rFonts w:ascii="Times New Roman"/>
                <w:sz w:val="18"/>
              </w:rPr>
              <w:t>-39,89</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1,632.</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37</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6" w:right="0"/>
              <w:jc w:val="left"/>
              <w:rPr>
                <w:rFonts w:ascii="Times New Roman" w:hAnsi="Times New Roman" w:cs="Times New Roman" w:eastAsia="Times New Roman" w:hint="default"/>
                <w:sz w:val="18"/>
                <w:szCs w:val="18"/>
              </w:rPr>
            </w:pPr>
            <w:r>
              <w:rPr>
                <w:rFonts w:ascii="Times New Roman"/>
                <w:sz w:val="18"/>
              </w:rPr>
              <w:t>-32,22</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6,562.</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06</w:t>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1" w:right="0"/>
              <w:jc w:val="left"/>
              <w:rPr>
                <w:rFonts w:ascii="Times New Roman" w:hAnsi="Times New Roman" w:cs="Times New Roman" w:eastAsia="Times New Roman" w:hint="default"/>
                <w:sz w:val="18"/>
                <w:szCs w:val="18"/>
              </w:rPr>
            </w:pPr>
            <w:r>
              <w:rPr>
                <w:rFonts w:ascii="Times New Roman"/>
                <w:sz w:val="18"/>
              </w:rPr>
              <w:t>-32,22</w:t>
            </w:r>
          </w:p>
          <w:p>
            <w:pPr>
              <w:pStyle w:val="TableParagraph"/>
              <w:spacing w:line="240" w:lineRule="auto" w:before="100"/>
              <w:ind w:left="96" w:right="0"/>
              <w:jc w:val="left"/>
              <w:rPr>
                <w:rFonts w:ascii="Times New Roman" w:hAnsi="Times New Roman" w:cs="Times New Roman" w:eastAsia="Times New Roman" w:hint="default"/>
                <w:sz w:val="18"/>
                <w:szCs w:val="18"/>
              </w:rPr>
            </w:pPr>
            <w:r>
              <w:rPr>
                <w:rFonts w:ascii="Times New Roman"/>
                <w:sz w:val="18"/>
              </w:rPr>
              <w:t>6,562.</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06</w:t>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7,665,</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070.31</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-7,665,</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070.31</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4" w:lineRule="auto"/>
              <w:ind w:left="24" w:right="17"/>
              <w:jc w:val="left"/>
              <w:rPr>
                <w:rFonts w:ascii="宋体" w:hAnsi="宋体" w:cs="宋体" w:eastAsia="宋体" w:hint="default"/>
                <w:sz w:val="18"/>
                <w:szCs w:val="18"/>
              </w:rPr>
            </w:pPr>
            <w:r>
              <w:rPr>
                <w:rFonts w:ascii="Times New Roman" w:hAnsi="Times New Roman" w:cs="Times New Roman" w:eastAsia="Times New Roman" w:hint="default"/>
                <w:spacing w:val="-21"/>
                <w:w w:val="101"/>
                <w:sz w:val="18"/>
                <w:szCs w:val="18"/>
              </w:rPr>
              <w:t>3</w:t>
            </w:r>
            <w:r>
              <w:rPr>
                <w:rFonts w:ascii="宋体" w:hAnsi="宋体" w:cs="宋体" w:eastAsia="宋体" w:hint="default"/>
                <w:spacing w:val="-21"/>
                <w:w w:val="101"/>
                <w:sz w:val="18"/>
                <w:szCs w:val="18"/>
              </w:rPr>
              <w:t>．对所有者（或</w:t>
            </w:r>
            <w:r>
              <w:rPr>
                <w:rFonts w:ascii="宋体" w:hAnsi="宋体" w:cs="宋体" w:eastAsia="宋体" w:hint="default"/>
                <w:w w:val="101"/>
                <w:sz w:val="18"/>
                <w:szCs w:val="18"/>
              </w:rPr>
              <w:t> </w:t>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-32,22</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6,562.</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06</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-32,22</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6,562.</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06</w:t>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z w:val="18"/>
              </w:rPr>
              <w:t>-32,22</w:t>
            </w:r>
          </w:p>
          <w:p>
            <w:pPr>
              <w:pStyle w:val="TableParagraph"/>
              <w:spacing w:line="240" w:lineRule="auto" w:before="100"/>
              <w:ind w:left="96" w:right="0"/>
              <w:jc w:val="left"/>
              <w:rPr>
                <w:rFonts w:ascii="Times New Roman" w:hAnsi="Times New Roman" w:cs="Times New Roman" w:eastAsia="Times New Roman" w:hint="default"/>
                <w:sz w:val="18"/>
                <w:szCs w:val="18"/>
              </w:rPr>
            </w:pPr>
            <w:r>
              <w:rPr>
                <w:rFonts w:ascii="Times New Roman"/>
                <w:sz w:val="18"/>
              </w:rPr>
              <w:t>6,562.</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06</w:t>
            </w:r>
          </w:p>
        </w:tc>
      </w:tr>
      <w:tr>
        <w:trPr>
          <w:trHeight w:val="40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7"/>
              <w:jc w:val="left"/>
              <w:rPr>
                <w:rFonts w:ascii="宋体" w:hAnsi="宋体" w:cs="宋体" w:eastAsia="宋体" w:hint="default"/>
                <w:sz w:val="18"/>
                <w:szCs w:val="18"/>
              </w:rPr>
            </w:pPr>
            <w:r>
              <w:rPr>
                <w:rFonts w:ascii="宋体" w:hAnsi="宋体" w:cs="宋体" w:eastAsia="宋体" w:hint="default"/>
                <w:spacing w:val="-12"/>
                <w:sz w:val="18"/>
                <w:szCs w:val="18"/>
              </w:rPr>
              <w:t>（四）所有者权</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益内部结转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5,287,</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794.92</w:t>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-5,287,</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794.92</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67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划变动额结转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53"/>
        <w:gridCol w:w="494"/>
        <w:gridCol w:w="466"/>
        <w:gridCol w:w="466"/>
        <w:gridCol w:w="470"/>
        <w:gridCol w:w="581"/>
        <w:gridCol w:w="586"/>
        <w:gridCol w:w="581"/>
        <w:gridCol w:w="586"/>
        <w:gridCol w:w="586"/>
        <w:gridCol w:w="581"/>
        <w:gridCol w:w="586"/>
        <w:gridCol w:w="586"/>
        <w:gridCol w:w="581"/>
        <w:gridCol w:w="586"/>
        <w:gridCol w:w="576"/>
      </w:tblGrid>
      <w:tr>
        <w:trPr>
          <w:trHeight w:val="36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5,287,</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794.92</w:t>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-5,287,</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794.92</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2"/>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-705,0</w:t>
            </w:r>
          </w:p>
          <w:p>
            <w:pPr>
              <w:pStyle w:val="TableParagraph"/>
              <w:spacing w:line="240" w:lineRule="auto" w:before="110"/>
              <w:ind w:left="148" w:right="0"/>
              <w:jc w:val="left"/>
              <w:rPr>
                <w:rFonts w:ascii="Times New Roman" w:hAnsi="Times New Roman" w:cs="Times New Roman" w:eastAsia="Times New Roman" w:hint="default"/>
                <w:sz w:val="18"/>
                <w:szCs w:val="18"/>
              </w:rPr>
            </w:pPr>
            <w:r>
              <w:rPr>
                <w:rFonts w:ascii="Times New Roman"/>
                <w:sz w:val="18"/>
              </w:rPr>
              <w:t>39.32</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-1,057,</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558.99</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-1,762,</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598.31</w:t>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-1,762,</w:t>
            </w:r>
          </w:p>
          <w:p>
            <w:pPr>
              <w:pStyle w:val="TableParagraph"/>
              <w:spacing w:line="240" w:lineRule="auto" w:before="110"/>
              <w:ind w:left="52" w:right="0"/>
              <w:jc w:val="left"/>
              <w:rPr>
                <w:rFonts w:ascii="Times New Roman" w:hAnsi="Times New Roman" w:cs="Times New Roman" w:eastAsia="Times New Roman" w:hint="default"/>
                <w:sz w:val="18"/>
                <w:szCs w:val="18"/>
              </w:rPr>
            </w:pPr>
            <w:r>
              <w:rPr>
                <w:rFonts w:ascii="Times New Roman"/>
                <w:sz w:val="18"/>
              </w:rPr>
              <w:t>598.31</w:t>
            </w: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4" w:lineRule="auto"/>
              <w:ind w:left="24" w:right="17"/>
              <w:jc w:val="left"/>
              <w:rPr>
                <w:rFonts w:ascii="宋体" w:hAnsi="宋体" w:cs="宋体" w:eastAsia="宋体" w:hint="default"/>
                <w:sz w:val="18"/>
                <w:szCs w:val="18"/>
              </w:rPr>
            </w:pPr>
            <w:r>
              <w:rPr>
                <w:rFonts w:ascii="宋体" w:hAnsi="宋体" w:cs="宋体" w:eastAsia="宋体" w:hint="default"/>
                <w:spacing w:val="-12"/>
                <w:sz w:val="18"/>
                <w:szCs w:val="18"/>
              </w:rPr>
              <w:t>四、本期期末余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center"/>
              <w:rPr>
                <w:rFonts w:ascii="Times New Roman" w:hAnsi="Times New Roman" w:cs="Times New Roman" w:eastAsia="Times New Roman" w:hint="default"/>
                <w:sz w:val="18"/>
                <w:szCs w:val="18"/>
              </w:rPr>
            </w:pPr>
            <w:r>
              <w:rPr>
                <w:rFonts w:ascii="Times New Roman"/>
                <w:sz w:val="18"/>
              </w:rPr>
              <w:t>73,89</w:t>
            </w:r>
          </w:p>
          <w:p>
            <w:pPr>
              <w:pStyle w:val="TableParagraph"/>
              <w:spacing w:line="240" w:lineRule="auto" w:before="100"/>
              <w:ind w:left="38" w:right="0"/>
              <w:jc w:val="center"/>
              <w:rPr>
                <w:rFonts w:ascii="Times New Roman" w:hAnsi="Times New Roman" w:cs="Times New Roman" w:eastAsia="Times New Roman" w:hint="default"/>
                <w:sz w:val="18"/>
                <w:szCs w:val="18"/>
              </w:rPr>
            </w:pPr>
            <w:r>
              <w:rPr>
                <w:rFonts w:ascii="Times New Roman"/>
                <w:sz w:val="18"/>
              </w:rPr>
              <w:t>2,895</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3" w:right="0"/>
              <w:jc w:val="center"/>
              <w:rPr>
                <w:rFonts w:ascii="Times New Roman" w:hAnsi="Times New Roman" w:cs="Times New Roman" w:eastAsia="Times New Roman" w:hint="default"/>
                <w:sz w:val="18"/>
                <w:szCs w:val="18"/>
              </w:rPr>
            </w:pPr>
            <w:r>
              <w:rPr>
                <w:rFonts w:ascii="Times New Roman"/>
                <w:sz w:val="18"/>
              </w:rPr>
              <w:t>1,613,</w:t>
            </w:r>
          </w:p>
          <w:p>
            <w:pPr>
              <w:pStyle w:val="TableParagraph"/>
              <w:spacing w:line="240" w:lineRule="auto" w:before="100"/>
              <w:ind w:left="42" w:right="0"/>
              <w:jc w:val="center"/>
              <w:rPr>
                <w:rFonts w:ascii="Times New Roman" w:hAnsi="Times New Roman" w:cs="Times New Roman" w:eastAsia="Times New Roman" w:hint="default"/>
                <w:sz w:val="18"/>
                <w:szCs w:val="18"/>
              </w:rPr>
            </w:pPr>
            <w:r>
              <w:rPr>
                <w:rFonts w:ascii="Times New Roman"/>
                <w:sz w:val="18"/>
              </w:rPr>
              <w:t>545,65</w:t>
            </w:r>
          </w:p>
          <w:p>
            <w:pPr>
              <w:pStyle w:val="TableParagraph"/>
              <w:spacing w:line="240" w:lineRule="auto" w:before="110"/>
              <w:ind w:left="221" w:right="0"/>
              <w:jc w:val="center"/>
              <w:rPr>
                <w:rFonts w:ascii="Times New Roman" w:hAnsi="Times New Roman" w:cs="Times New Roman" w:eastAsia="Times New Roman" w:hint="default"/>
                <w:sz w:val="18"/>
                <w:szCs w:val="18"/>
              </w:rPr>
            </w:pPr>
            <w:r>
              <w:rPr>
                <w:rFonts w:ascii="Times New Roman"/>
                <w:sz w:val="18"/>
              </w:rPr>
              <w:t>3.79</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28,952</w:t>
            </w:r>
          </w:p>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,845.5</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19,065</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,290.5</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8" w:right="0"/>
              <w:jc w:val="center"/>
              <w:rPr>
                <w:rFonts w:ascii="Times New Roman" w:hAnsi="Times New Roman" w:cs="Times New Roman" w:eastAsia="Times New Roman" w:hint="default"/>
                <w:sz w:val="18"/>
                <w:szCs w:val="18"/>
              </w:rPr>
            </w:pPr>
            <w:r>
              <w:rPr>
                <w:rFonts w:ascii="Times New Roman"/>
                <w:sz w:val="18"/>
              </w:rPr>
              <w:t>1,338,</w:t>
            </w:r>
          </w:p>
          <w:p>
            <w:pPr>
              <w:pStyle w:val="TableParagraph"/>
              <w:spacing w:line="240" w:lineRule="auto" w:before="100"/>
              <w:ind w:left="37" w:right="0"/>
              <w:jc w:val="center"/>
              <w:rPr>
                <w:rFonts w:ascii="Times New Roman" w:hAnsi="Times New Roman" w:cs="Times New Roman" w:eastAsia="Times New Roman" w:hint="default"/>
                <w:sz w:val="18"/>
                <w:szCs w:val="18"/>
              </w:rPr>
            </w:pPr>
            <w:r>
              <w:rPr>
                <w:rFonts w:ascii="Times New Roman"/>
                <w:sz w:val="18"/>
              </w:rPr>
              <w:t>242,75</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1.42</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3" w:right="0"/>
              <w:jc w:val="center"/>
              <w:rPr>
                <w:rFonts w:ascii="Times New Roman" w:hAnsi="Times New Roman" w:cs="Times New Roman" w:eastAsia="Times New Roman" w:hint="default"/>
                <w:sz w:val="18"/>
                <w:szCs w:val="18"/>
              </w:rPr>
            </w:pPr>
            <w:r>
              <w:rPr>
                <w:rFonts w:ascii="Times New Roman"/>
                <w:sz w:val="18"/>
              </w:rPr>
              <w:t>3,073,</w:t>
            </w:r>
          </w:p>
          <w:p>
            <w:pPr>
              <w:pStyle w:val="TableParagraph"/>
              <w:spacing w:line="240" w:lineRule="auto" w:before="100"/>
              <w:ind w:left="42" w:right="0"/>
              <w:jc w:val="center"/>
              <w:rPr>
                <w:rFonts w:ascii="Times New Roman" w:hAnsi="Times New Roman" w:cs="Times New Roman" w:eastAsia="Times New Roman" w:hint="default"/>
                <w:sz w:val="18"/>
                <w:szCs w:val="18"/>
              </w:rPr>
            </w:pPr>
            <w:r>
              <w:rPr>
                <w:rFonts w:ascii="Times New Roman"/>
                <w:sz w:val="18"/>
              </w:rPr>
              <w:t>699,43</w:t>
            </w:r>
          </w:p>
          <w:p>
            <w:pPr>
              <w:pStyle w:val="TableParagraph"/>
              <w:spacing w:line="240" w:lineRule="auto" w:before="110"/>
              <w:ind w:left="220" w:right="0"/>
              <w:jc w:val="center"/>
              <w:rPr>
                <w:rFonts w:ascii="Times New Roman" w:hAnsi="Times New Roman" w:cs="Times New Roman" w:eastAsia="Times New Roman" w:hint="default"/>
                <w:sz w:val="18"/>
                <w:szCs w:val="18"/>
              </w:rPr>
            </w:pPr>
            <w:r>
              <w:rPr>
                <w:rFonts w:ascii="Times New Roman"/>
                <w:sz w:val="18"/>
              </w:rPr>
              <w:t>6.25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-7,549.</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95</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 w:right="0"/>
              <w:jc w:val="center"/>
              <w:rPr>
                <w:rFonts w:ascii="Times New Roman" w:hAnsi="Times New Roman" w:cs="Times New Roman" w:eastAsia="Times New Roman" w:hint="default"/>
                <w:sz w:val="18"/>
                <w:szCs w:val="18"/>
              </w:rPr>
            </w:pPr>
            <w:r>
              <w:rPr>
                <w:rFonts w:ascii="Times New Roman"/>
                <w:sz w:val="18"/>
              </w:rPr>
              <w:t>3,073,</w:t>
            </w:r>
          </w:p>
          <w:p>
            <w:pPr>
              <w:pStyle w:val="TableParagraph"/>
              <w:spacing w:line="240" w:lineRule="auto" w:before="100"/>
              <w:ind w:left="38" w:right="0"/>
              <w:jc w:val="center"/>
              <w:rPr>
                <w:rFonts w:ascii="Times New Roman" w:hAnsi="Times New Roman" w:cs="Times New Roman" w:eastAsia="Times New Roman" w:hint="default"/>
                <w:sz w:val="18"/>
                <w:szCs w:val="18"/>
              </w:rPr>
            </w:pPr>
            <w:r>
              <w:rPr>
                <w:rFonts w:ascii="Times New Roman"/>
                <w:sz w:val="18"/>
              </w:rPr>
              <w:t>691,88</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6.30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91"/>
        <w:gridCol w:w="502"/>
        <w:gridCol w:w="447"/>
        <w:gridCol w:w="451"/>
        <w:gridCol w:w="490"/>
        <w:gridCol w:w="577"/>
        <w:gridCol w:w="576"/>
        <w:gridCol w:w="576"/>
        <w:gridCol w:w="581"/>
        <w:gridCol w:w="576"/>
        <w:gridCol w:w="576"/>
        <w:gridCol w:w="591"/>
        <w:gridCol w:w="566"/>
        <w:gridCol w:w="566"/>
        <w:gridCol w:w="644"/>
        <w:gridCol w:w="648"/>
      </w:tblGrid>
      <w:tr>
        <w:trPr>
          <w:trHeight w:val="401" w:hRule="exact"/>
        </w:trPr>
        <w:tc>
          <w:tcPr>
            <w:tcW w:w="1191" w:type="dxa"/>
            <w:vMerge w:val="restart"/>
            <w:tcBorders>
              <w:top w:val="single" w:sz="4" w:space="0" w:color="000000"/>
              <w:left w:val="single" w:sz="4" w:space="0" w:color="000000"/>
              <w:right w:val="single" w:sz="4" w:space="0" w:color="000000"/>
            </w:tcBorders>
            <w:shd w:val="clear" w:color="auto" w:fill="D2D2D2"/>
          </w:tcPr>
          <w:p>
            <w:pPr/>
          </w:p>
        </w:tc>
        <w:tc>
          <w:tcPr>
            <w:tcW w:w="8367"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w:t>
            </w:r>
          </w:p>
        </w:tc>
      </w:tr>
      <w:tr>
        <w:trPr>
          <w:trHeight w:val="252" w:hRule="exact"/>
        </w:trPr>
        <w:tc>
          <w:tcPr>
            <w:tcW w:w="1191" w:type="dxa"/>
            <w:vMerge/>
            <w:tcBorders>
              <w:left w:val="single" w:sz="4" w:space="0" w:color="000000"/>
              <w:right w:val="single" w:sz="4" w:space="0" w:color="000000"/>
            </w:tcBorders>
            <w:shd w:val="clear" w:color="auto" w:fill="D2D2D2"/>
          </w:tcPr>
          <w:p>
            <w:pPr/>
          </w:p>
        </w:tc>
        <w:tc>
          <w:tcPr>
            <w:tcW w:w="7075"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644" w:type="dxa"/>
            <w:vMerge w:val="restart"/>
            <w:tcBorders>
              <w:top w:val="single" w:sz="4" w:space="0" w:color="000000"/>
              <w:left w:val="single" w:sz="4" w:space="0" w:color="000000"/>
              <w:right w:val="single" w:sz="4" w:space="0" w:color="000000"/>
            </w:tcBorders>
            <w:shd w:val="clear" w:color="auto" w:fill="D2D2D2"/>
          </w:tcPr>
          <w:p>
            <w:pPr/>
          </w:p>
        </w:tc>
        <w:tc>
          <w:tcPr>
            <w:tcW w:w="64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9" w:hRule="exact"/>
        </w:trPr>
        <w:tc>
          <w:tcPr>
            <w:tcW w:w="1191" w:type="dxa"/>
            <w:vMerge/>
            <w:tcBorders>
              <w:left w:val="single" w:sz="4" w:space="0" w:color="000000"/>
              <w:bottom w:val="nil" w:sz="6" w:space="0" w:color="auto"/>
              <w:right w:val="single" w:sz="4" w:space="0" w:color="000000"/>
            </w:tcBorders>
            <w:shd w:val="clear" w:color="auto" w:fill="D2D2D2"/>
          </w:tcPr>
          <w:p>
            <w:pPr/>
          </w:p>
        </w:tc>
        <w:tc>
          <w:tcPr>
            <w:tcW w:w="7075" w:type="dxa"/>
            <w:gridSpan w:val="13"/>
            <w:vMerge/>
            <w:tcBorders>
              <w:left w:val="single" w:sz="4" w:space="0" w:color="000000"/>
              <w:bottom w:val="single" w:sz="4" w:space="0" w:color="000000"/>
              <w:right w:val="single" w:sz="4" w:space="0" w:color="000000"/>
            </w:tcBorders>
            <w:shd w:val="clear" w:color="auto" w:fill="D2D2D2"/>
          </w:tcPr>
          <w:p>
            <w:pPr/>
          </w:p>
        </w:tc>
        <w:tc>
          <w:tcPr>
            <w:tcW w:w="644" w:type="dxa"/>
            <w:vMerge/>
            <w:tcBorders>
              <w:left w:val="single" w:sz="4" w:space="0" w:color="000000"/>
              <w:bottom w:val="nil" w:sz="6" w:space="0" w:color="auto"/>
              <w:right w:val="single" w:sz="4" w:space="0" w:color="000000"/>
            </w:tcBorders>
            <w:shd w:val="clear" w:color="auto" w:fill="D2D2D2"/>
          </w:tcPr>
          <w:p>
            <w:pPr/>
          </w:p>
        </w:tc>
        <w:tc>
          <w:tcPr>
            <w:tcW w:w="64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52" w:right="41"/>
              <w:jc w:val="center"/>
              <w:rPr>
                <w:rFonts w:ascii="宋体" w:hAnsi="宋体" w:cs="宋体" w:eastAsia="宋体" w:hint="default"/>
                <w:sz w:val="18"/>
                <w:szCs w:val="18"/>
              </w:rPr>
            </w:pPr>
            <w:r>
              <w:rPr>
                <w:rFonts w:ascii="宋体" w:hAnsi="宋体" w:cs="宋体" w:eastAsia="宋体" w:hint="default"/>
                <w:spacing w:val="-2"/>
                <w:sz w:val="18"/>
                <w:szCs w:val="18"/>
              </w:rPr>
              <w:t>所有者</w:t>
            </w:r>
            <w:r>
              <w:rPr>
                <w:rFonts w:ascii="宋体" w:hAnsi="宋体" w:cs="宋体" w:eastAsia="宋体" w:hint="default"/>
                <w:w w:val="101"/>
                <w:sz w:val="18"/>
                <w:szCs w:val="18"/>
              </w:rPr>
              <w:t> </w:t>
            </w:r>
            <w:r>
              <w:rPr>
                <w:rFonts w:ascii="宋体" w:hAnsi="宋体" w:cs="宋体" w:eastAsia="宋体" w:hint="default"/>
                <w:spacing w:val="-2"/>
                <w:sz w:val="18"/>
                <w:szCs w:val="18"/>
              </w:rPr>
              <w:t>权益合</w:t>
            </w:r>
            <w:r>
              <w:rPr>
                <w:rFonts w:ascii="宋体" w:hAnsi="宋体" w:cs="宋体" w:eastAsia="宋体" w:hint="default"/>
                <w:w w:val="101"/>
                <w:sz w:val="18"/>
                <w:szCs w:val="18"/>
              </w:rPr>
              <w:t> </w:t>
            </w:r>
            <w:r>
              <w:rPr>
                <w:rFonts w:ascii="宋体" w:hAnsi="宋体" w:cs="宋体" w:eastAsia="宋体" w:hint="default"/>
                <w:sz w:val="18"/>
                <w:szCs w:val="18"/>
              </w:rPr>
              <w:t>计</w:t>
            </w:r>
          </w:p>
        </w:tc>
      </w:tr>
      <w:tr>
        <w:trPr>
          <w:trHeight w:val="206" w:hRule="exact"/>
        </w:trPr>
        <w:tc>
          <w:tcPr>
            <w:tcW w:w="11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02" w:type="dxa"/>
            <w:vMerge w:val="restart"/>
            <w:tcBorders>
              <w:top w:val="single" w:sz="4" w:space="0" w:color="000000"/>
              <w:left w:val="single" w:sz="4" w:space="0" w:color="000000"/>
              <w:right w:val="single" w:sz="4" w:space="0" w:color="000000"/>
            </w:tcBorders>
            <w:shd w:val="clear" w:color="auto" w:fill="D2D2D2"/>
          </w:tcPr>
          <w:p>
            <w:pPr/>
          </w:p>
        </w:tc>
        <w:tc>
          <w:tcPr>
            <w:tcW w:w="13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05" w:right="94"/>
              <w:jc w:val="both"/>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综合</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581"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05" w:right="95"/>
              <w:jc w:val="both"/>
              <w:rPr>
                <w:rFonts w:ascii="宋体" w:hAnsi="宋体" w:cs="宋体" w:eastAsia="宋体" w:hint="default"/>
                <w:sz w:val="18"/>
                <w:szCs w:val="18"/>
              </w:rPr>
            </w:pPr>
            <w:r>
              <w:rPr>
                <w:rFonts w:ascii="宋体" w:hAnsi="宋体" w:cs="宋体" w:eastAsia="宋体" w:hint="default"/>
                <w:sz w:val="18"/>
                <w:szCs w:val="18"/>
              </w:rPr>
              <w:t>一般</w:t>
            </w:r>
            <w:r>
              <w:rPr>
                <w:rFonts w:ascii="宋体" w:hAnsi="宋体" w:cs="宋体" w:eastAsia="宋体" w:hint="default"/>
                <w:spacing w:val="-86"/>
                <w:sz w:val="18"/>
                <w:szCs w:val="18"/>
              </w:rPr>
              <w:t> </w:t>
            </w:r>
            <w:r>
              <w:rPr>
                <w:rFonts w:ascii="宋体" w:hAnsi="宋体" w:cs="宋体" w:eastAsia="宋体" w:hint="default"/>
                <w:sz w:val="18"/>
                <w:szCs w:val="18"/>
              </w:rPr>
              <w:t>风险</w:t>
            </w:r>
            <w:r>
              <w:rPr>
                <w:rFonts w:ascii="宋体" w:hAnsi="宋体" w:cs="宋体" w:eastAsia="宋体" w:hint="default"/>
                <w:spacing w:val="-86"/>
                <w:sz w:val="18"/>
                <w:szCs w:val="18"/>
              </w:rPr>
              <w:t> </w:t>
            </w:r>
            <w:r>
              <w:rPr>
                <w:rFonts w:ascii="宋体" w:hAnsi="宋体" w:cs="宋体" w:eastAsia="宋体" w:hint="default"/>
                <w:sz w:val="18"/>
                <w:szCs w:val="18"/>
              </w:rPr>
              <w:t>准备</w:t>
            </w:r>
          </w:p>
        </w:tc>
        <w:tc>
          <w:tcPr>
            <w:tcW w:w="5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0" w:right="104"/>
              <w:jc w:val="both"/>
              <w:rPr>
                <w:rFonts w:ascii="宋体" w:hAnsi="宋体" w:cs="宋体" w:eastAsia="宋体" w:hint="default"/>
                <w:sz w:val="18"/>
                <w:szCs w:val="18"/>
              </w:rPr>
            </w:pPr>
            <w:r>
              <w:rPr>
                <w:rFonts w:ascii="宋体" w:hAnsi="宋体" w:cs="宋体" w:eastAsia="宋体" w:hint="default"/>
                <w:sz w:val="18"/>
                <w:szCs w:val="18"/>
              </w:rPr>
              <w:t>未分</w:t>
            </w:r>
            <w:r>
              <w:rPr>
                <w:rFonts w:ascii="宋体" w:hAnsi="宋体" w:cs="宋体" w:eastAsia="宋体" w:hint="default"/>
                <w:spacing w:val="-86"/>
                <w:sz w:val="18"/>
                <w:szCs w:val="18"/>
              </w:rPr>
              <w:t> </w:t>
            </w:r>
            <w:r>
              <w:rPr>
                <w:rFonts w:ascii="宋体" w:hAnsi="宋体" w:cs="宋体" w:eastAsia="宋体" w:hint="default"/>
                <w:sz w:val="18"/>
                <w:szCs w:val="18"/>
              </w:rPr>
              <w:t>配利</w:t>
            </w:r>
            <w:r>
              <w:rPr>
                <w:rFonts w:ascii="宋体" w:hAnsi="宋体" w:cs="宋体" w:eastAsia="宋体" w:hint="default"/>
                <w:spacing w:val="-86"/>
                <w:sz w:val="18"/>
                <w:szCs w:val="18"/>
              </w:rPr>
              <w:t> </w:t>
            </w:r>
            <w:r>
              <w:rPr>
                <w:rFonts w:ascii="宋体" w:hAnsi="宋体" w:cs="宋体" w:eastAsia="宋体" w:hint="default"/>
                <w:sz w:val="18"/>
                <w:szCs w:val="18"/>
              </w:rPr>
              <w:t>润</w:t>
            </w:r>
          </w:p>
        </w:tc>
        <w:tc>
          <w:tcPr>
            <w:tcW w:w="566" w:type="dxa"/>
            <w:vMerge w:val="restart"/>
            <w:tcBorders>
              <w:top w:val="single" w:sz="4" w:space="0" w:color="000000"/>
              <w:left w:val="single" w:sz="4" w:space="0" w:color="000000"/>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
        </w:tc>
        <w:tc>
          <w:tcPr>
            <w:tcW w:w="644"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8"/>
              <w:ind w:left="48" w:right="41"/>
              <w:jc w:val="left"/>
              <w:rPr>
                <w:rFonts w:ascii="宋体" w:hAnsi="宋体" w:cs="宋体" w:eastAsia="宋体" w:hint="default"/>
                <w:sz w:val="18"/>
                <w:szCs w:val="18"/>
              </w:rPr>
            </w:pPr>
            <w:r>
              <w:rPr>
                <w:rFonts w:ascii="宋体" w:hAnsi="宋体" w:cs="宋体" w:eastAsia="宋体" w:hint="default"/>
                <w:sz w:val="18"/>
                <w:szCs w:val="18"/>
              </w:rPr>
              <w:t>少数股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东权益</w:t>
            </w:r>
          </w:p>
        </w:tc>
        <w:tc>
          <w:tcPr>
            <w:tcW w:w="648" w:type="dxa"/>
            <w:vMerge/>
            <w:tcBorders>
              <w:left w:val="single" w:sz="4" w:space="0" w:color="000000"/>
              <w:right w:val="single" w:sz="4" w:space="0" w:color="000000"/>
            </w:tcBorders>
            <w:shd w:val="clear" w:color="auto" w:fill="D2D2D2"/>
          </w:tcPr>
          <w:p>
            <w:pPr/>
          </w:p>
        </w:tc>
      </w:tr>
      <w:tr>
        <w:trPr>
          <w:trHeight w:val="167" w:hRule="exact"/>
        </w:trPr>
        <w:tc>
          <w:tcPr>
            <w:tcW w:w="1191" w:type="dxa"/>
            <w:vMerge/>
            <w:tcBorders>
              <w:left w:val="single" w:sz="4" w:space="0" w:color="000000"/>
              <w:bottom w:val="nil" w:sz="6" w:space="0" w:color="auto"/>
              <w:right w:val="single" w:sz="4" w:space="0" w:color="000000"/>
            </w:tcBorders>
            <w:shd w:val="clear" w:color="auto" w:fill="D2D2D2"/>
          </w:tcPr>
          <w:p>
            <w:pPr/>
          </w:p>
        </w:tc>
        <w:tc>
          <w:tcPr>
            <w:tcW w:w="502" w:type="dxa"/>
            <w:vMerge/>
            <w:tcBorders>
              <w:left w:val="single" w:sz="4" w:space="0" w:color="000000"/>
              <w:bottom w:val="nil" w:sz="6" w:space="0" w:color="auto"/>
              <w:right w:val="single" w:sz="4" w:space="0" w:color="000000"/>
            </w:tcBorders>
            <w:shd w:val="clear" w:color="auto" w:fill="D2D2D2"/>
          </w:tcPr>
          <w:p>
            <w:pPr/>
          </w:p>
        </w:tc>
        <w:tc>
          <w:tcPr>
            <w:tcW w:w="1388" w:type="dxa"/>
            <w:gridSpan w:val="3"/>
            <w:vMerge/>
            <w:tcBorders>
              <w:left w:val="single" w:sz="4" w:space="0" w:color="000000"/>
              <w:bottom w:val="single" w:sz="4" w:space="0" w:color="000000"/>
              <w:right w:val="single" w:sz="4" w:space="0" w:color="000000"/>
            </w:tcBorders>
            <w:shd w:val="clear" w:color="auto" w:fill="D2D2D2"/>
          </w:tcPr>
          <w:p>
            <w:pPr/>
          </w:p>
        </w:tc>
        <w:tc>
          <w:tcPr>
            <w:tcW w:w="577"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100" w:right="99"/>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105" w:right="12" w:hanging="82"/>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存股</w:t>
            </w:r>
          </w:p>
        </w:tc>
        <w:tc>
          <w:tcPr>
            <w:tcW w:w="576" w:type="dxa"/>
            <w:vMerge/>
            <w:tcBorders>
              <w:left w:val="single" w:sz="4" w:space="0" w:color="000000"/>
              <w:right w:val="single" w:sz="4" w:space="0" w:color="000000"/>
            </w:tcBorders>
            <w:shd w:val="clear" w:color="auto" w:fill="D2D2D2"/>
          </w:tcPr>
          <w:p>
            <w:pPr/>
          </w:p>
        </w:tc>
        <w:tc>
          <w:tcPr>
            <w:tcW w:w="581"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105" w:right="98"/>
              <w:jc w:val="left"/>
              <w:rPr>
                <w:rFonts w:ascii="宋体" w:hAnsi="宋体" w:cs="宋体" w:eastAsia="宋体" w:hint="default"/>
                <w:sz w:val="18"/>
                <w:szCs w:val="18"/>
              </w:rPr>
            </w:pPr>
            <w:r>
              <w:rPr>
                <w:rFonts w:ascii="宋体" w:hAnsi="宋体" w:cs="宋体" w:eastAsia="宋体" w:hint="default"/>
                <w:sz w:val="18"/>
                <w:szCs w:val="18"/>
              </w:rPr>
              <w:t>专项</w:t>
            </w:r>
            <w:r>
              <w:rPr>
                <w:rFonts w:ascii="宋体" w:hAnsi="宋体" w:cs="宋体" w:eastAsia="宋体" w:hint="default"/>
                <w:spacing w:val="-86"/>
                <w:sz w:val="18"/>
                <w:szCs w:val="18"/>
              </w:rPr>
              <w:t> </w:t>
            </w:r>
            <w:r>
              <w:rPr>
                <w:rFonts w:ascii="宋体" w:hAnsi="宋体" w:cs="宋体" w:eastAsia="宋体" w:hint="default"/>
                <w:sz w:val="18"/>
                <w:szCs w:val="18"/>
              </w:rPr>
              <w:t>储备</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100" w:right="99"/>
              <w:jc w:val="left"/>
              <w:rPr>
                <w:rFonts w:ascii="宋体" w:hAnsi="宋体" w:cs="宋体" w:eastAsia="宋体" w:hint="default"/>
                <w:sz w:val="18"/>
                <w:szCs w:val="18"/>
              </w:rPr>
            </w:pPr>
            <w:r>
              <w:rPr>
                <w:rFonts w:ascii="宋体" w:hAnsi="宋体" w:cs="宋体" w:eastAsia="宋体" w:hint="default"/>
                <w:sz w:val="18"/>
                <w:szCs w:val="18"/>
              </w:rPr>
              <w:t>盈余</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76" w:type="dxa"/>
            <w:vMerge/>
            <w:tcBorders>
              <w:left w:val="single" w:sz="4" w:space="0" w:color="000000"/>
              <w:right w:val="single" w:sz="4" w:space="0" w:color="000000"/>
            </w:tcBorders>
            <w:shd w:val="clear" w:color="auto" w:fill="D2D2D2"/>
          </w:tcPr>
          <w:p>
            <w:pPr/>
          </w:p>
        </w:tc>
        <w:tc>
          <w:tcPr>
            <w:tcW w:w="591"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644" w:type="dxa"/>
            <w:vMerge/>
            <w:tcBorders>
              <w:left w:val="single" w:sz="4" w:space="0" w:color="000000"/>
              <w:right w:val="single" w:sz="4" w:space="0" w:color="000000"/>
            </w:tcBorders>
            <w:shd w:val="clear" w:color="auto" w:fill="D2D2D2"/>
          </w:tcPr>
          <w:p>
            <w:pPr/>
          </w:p>
        </w:tc>
        <w:tc>
          <w:tcPr>
            <w:tcW w:w="648" w:type="dxa"/>
            <w:vMerge/>
            <w:tcBorders>
              <w:left w:val="single" w:sz="4" w:space="0" w:color="000000"/>
              <w:right w:val="single" w:sz="4" w:space="0" w:color="000000"/>
            </w:tcBorders>
            <w:shd w:val="clear" w:color="auto" w:fill="D2D2D2"/>
          </w:tcPr>
          <w:p>
            <w:pPr/>
          </w:p>
        </w:tc>
      </w:tr>
      <w:tr>
        <w:trPr>
          <w:trHeight w:val="193" w:hRule="exact"/>
        </w:trPr>
        <w:tc>
          <w:tcPr>
            <w:tcW w:w="1191" w:type="dxa"/>
            <w:vMerge w:val="restart"/>
            <w:tcBorders>
              <w:top w:val="nil" w:sz="6" w:space="0" w:color="auto"/>
              <w:left w:val="single" w:sz="4" w:space="0" w:color="000000"/>
              <w:right w:val="single" w:sz="4" w:space="0" w:color="000000"/>
            </w:tcBorders>
            <w:shd w:val="clear" w:color="auto" w:fill="D2D2D2"/>
          </w:tcPr>
          <w:p>
            <w:pPr/>
          </w:p>
        </w:tc>
        <w:tc>
          <w:tcPr>
            <w:tcW w:w="5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5"/>
              <w:ind w:left="6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4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3"/>
              <w:ind w:left="129" w:right="33"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4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3"/>
              <w:ind w:left="129" w:right="36"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490" w:type="dxa"/>
            <w:tcBorders>
              <w:top w:val="single" w:sz="4" w:space="0" w:color="000000"/>
              <w:left w:val="single" w:sz="4" w:space="0" w:color="000000"/>
              <w:bottom w:val="nil" w:sz="6" w:space="0" w:color="auto"/>
              <w:right w:val="single" w:sz="4" w:space="0" w:color="000000"/>
            </w:tcBorders>
            <w:shd w:val="clear" w:color="auto" w:fill="D2D2D2"/>
          </w:tcPr>
          <w:p>
            <w:pPr/>
          </w:p>
        </w:tc>
        <w:tc>
          <w:tcPr>
            <w:tcW w:w="577"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91"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5"/>
              <w:ind w:left="9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5"/>
              <w:ind w:left="9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4" w:type="dxa"/>
            <w:vMerge/>
            <w:tcBorders>
              <w:left w:val="single" w:sz="4" w:space="0" w:color="000000"/>
              <w:right w:val="single" w:sz="4" w:space="0" w:color="000000"/>
            </w:tcBorders>
            <w:shd w:val="clear" w:color="auto" w:fill="D2D2D2"/>
          </w:tcPr>
          <w:p>
            <w:pPr/>
          </w:p>
        </w:tc>
        <w:tc>
          <w:tcPr>
            <w:tcW w:w="648" w:type="dxa"/>
            <w:vMerge/>
            <w:tcBorders>
              <w:left w:val="single" w:sz="4" w:space="0" w:color="000000"/>
              <w:right w:val="single" w:sz="4" w:space="0" w:color="000000"/>
            </w:tcBorders>
            <w:shd w:val="clear" w:color="auto" w:fill="D2D2D2"/>
          </w:tcPr>
          <w:p>
            <w:pPr/>
          </w:p>
        </w:tc>
      </w:tr>
      <w:tr>
        <w:trPr>
          <w:trHeight w:val="187" w:hRule="exact"/>
        </w:trPr>
        <w:tc>
          <w:tcPr>
            <w:tcW w:w="1191" w:type="dxa"/>
            <w:vMerge/>
            <w:tcBorders>
              <w:left w:val="single" w:sz="4" w:space="0" w:color="000000"/>
              <w:right w:val="single" w:sz="4" w:space="0" w:color="000000"/>
            </w:tcBorders>
            <w:shd w:val="clear" w:color="auto" w:fill="D2D2D2"/>
          </w:tcPr>
          <w:p>
            <w:pPr/>
          </w:p>
        </w:tc>
        <w:tc>
          <w:tcPr>
            <w:tcW w:w="502" w:type="dxa"/>
            <w:vMerge/>
            <w:tcBorders>
              <w:left w:val="single" w:sz="4" w:space="0" w:color="000000"/>
              <w:bottom w:val="nil" w:sz="6" w:space="0" w:color="auto"/>
              <w:right w:val="single" w:sz="4" w:space="0" w:color="000000"/>
            </w:tcBorders>
            <w:shd w:val="clear" w:color="auto" w:fill="D2D2D2"/>
          </w:tcPr>
          <w:p>
            <w:pPr/>
          </w:p>
        </w:tc>
        <w:tc>
          <w:tcPr>
            <w:tcW w:w="447" w:type="dxa"/>
            <w:vMerge/>
            <w:tcBorders>
              <w:left w:val="single" w:sz="4" w:space="0" w:color="000000"/>
              <w:right w:val="single" w:sz="4" w:space="0" w:color="000000"/>
            </w:tcBorders>
            <w:shd w:val="clear" w:color="auto" w:fill="D2D2D2"/>
          </w:tcPr>
          <w:p>
            <w:pPr/>
          </w:p>
        </w:tc>
        <w:tc>
          <w:tcPr>
            <w:tcW w:w="451" w:type="dxa"/>
            <w:vMerge/>
            <w:tcBorders>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7"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91"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644" w:type="dxa"/>
            <w:vMerge/>
            <w:tcBorders>
              <w:left w:val="single" w:sz="4" w:space="0" w:color="000000"/>
              <w:bottom w:val="nil" w:sz="6" w:space="0" w:color="auto"/>
              <w:right w:val="single" w:sz="4" w:space="0" w:color="000000"/>
            </w:tcBorders>
            <w:shd w:val="clear" w:color="auto" w:fill="D2D2D2"/>
          </w:tcPr>
          <w:p>
            <w:pPr/>
          </w:p>
        </w:tc>
        <w:tc>
          <w:tcPr>
            <w:tcW w:w="648" w:type="dxa"/>
            <w:vMerge/>
            <w:tcBorders>
              <w:left w:val="single" w:sz="4" w:space="0" w:color="000000"/>
              <w:right w:val="single" w:sz="4" w:space="0" w:color="000000"/>
            </w:tcBorders>
            <w:shd w:val="clear" w:color="auto" w:fill="D2D2D2"/>
          </w:tcPr>
          <w:p>
            <w:pPr/>
          </w:p>
        </w:tc>
      </w:tr>
      <w:tr>
        <w:trPr>
          <w:trHeight w:val="134" w:hRule="exact"/>
        </w:trPr>
        <w:tc>
          <w:tcPr>
            <w:tcW w:w="1191" w:type="dxa"/>
            <w:vMerge/>
            <w:tcBorders>
              <w:left w:val="single" w:sz="4" w:space="0" w:color="000000"/>
              <w:right w:val="single" w:sz="4" w:space="0" w:color="000000"/>
            </w:tcBorders>
            <w:shd w:val="clear" w:color="auto" w:fill="D2D2D2"/>
          </w:tcPr>
          <w:p>
            <w:pPr/>
          </w:p>
        </w:tc>
        <w:tc>
          <w:tcPr>
            <w:tcW w:w="502" w:type="dxa"/>
            <w:vMerge w:val="restart"/>
            <w:tcBorders>
              <w:top w:val="nil" w:sz="6" w:space="0" w:color="auto"/>
              <w:left w:val="single" w:sz="4" w:space="0" w:color="000000"/>
              <w:right w:val="single" w:sz="4" w:space="0" w:color="000000"/>
            </w:tcBorders>
            <w:shd w:val="clear" w:color="auto" w:fill="D2D2D2"/>
          </w:tcPr>
          <w:p>
            <w:pPr/>
          </w:p>
        </w:tc>
        <w:tc>
          <w:tcPr>
            <w:tcW w:w="447" w:type="dxa"/>
            <w:vMerge/>
            <w:tcBorders>
              <w:left w:val="single" w:sz="4" w:space="0" w:color="000000"/>
              <w:right w:val="single" w:sz="4" w:space="0" w:color="000000"/>
            </w:tcBorders>
            <w:shd w:val="clear" w:color="auto" w:fill="D2D2D2"/>
          </w:tcPr>
          <w:p>
            <w:pPr/>
          </w:p>
        </w:tc>
        <w:tc>
          <w:tcPr>
            <w:tcW w:w="451" w:type="dxa"/>
            <w:vMerge/>
            <w:tcBorders>
              <w:left w:val="single" w:sz="4" w:space="0" w:color="000000"/>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577"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91"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
        </w:tc>
        <w:tc>
          <w:tcPr>
            <w:tcW w:w="644" w:type="dxa"/>
            <w:vMerge w:val="restart"/>
            <w:tcBorders>
              <w:top w:val="nil" w:sz="6" w:space="0" w:color="auto"/>
              <w:left w:val="single" w:sz="4" w:space="0" w:color="000000"/>
              <w:right w:val="single" w:sz="4" w:space="0" w:color="000000"/>
            </w:tcBorders>
            <w:shd w:val="clear" w:color="auto" w:fill="D2D2D2"/>
          </w:tcPr>
          <w:p>
            <w:pPr/>
          </w:p>
        </w:tc>
        <w:tc>
          <w:tcPr>
            <w:tcW w:w="648" w:type="dxa"/>
            <w:vMerge/>
            <w:tcBorders>
              <w:left w:val="single" w:sz="4" w:space="0" w:color="000000"/>
              <w:bottom w:val="nil" w:sz="6" w:space="0" w:color="auto"/>
              <w:right w:val="single" w:sz="4" w:space="0" w:color="000000"/>
            </w:tcBorders>
            <w:shd w:val="clear" w:color="auto" w:fill="D2D2D2"/>
          </w:tcPr>
          <w:p>
            <w:pPr/>
          </w:p>
        </w:tc>
      </w:tr>
      <w:tr>
        <w:trPr>
          <w:trHeight w:val="218" w:hRule="exact"/>
        </w:trPr>
        <w:tc>
          <w:tcPr>
            <w:tcW w:w="1191" w:type="dxa"/>
            <w:vMerge/>
            <w:tcBorders>
              <w:left w:val="single" w:sz="4" w:space="0" w:color="000000"/>
              <w:bottom w:val="single" w:sz="4" w:space="0" w:color="000000"/>
              <w:right w:val="single" w:sz="4" w:space="0" w:color="000000"/>
            </w:tcBorders>
            <w:shd w:val="clear" w:color="auto" w:fill="D2D2D2"/>
          </w:tcPr>
          <w:p>
            <w:pPr/>
          </w:p>
        </w:tc>
        <w:tc>
          <w:tcPr>
            <w:tcW w:w="502" w:type="dxa"/>
            <w:vMerge/>
            <w:tcBorders>
              <w:left w:val="single" w:sz="4" w:space="0" w:color="000000"/>
              <w:bottom w:val="single" w:sz="4" w:space="0" w:color="000000"/>
              <w:right w:val="single" w:sz="4" w:space="0" w:color="000000"/>
            </w:tcBorders>
            <w:shd w:val="clear" w:color="auto" w:fill="D2D2D2"/>
          </w:tcPr>
          <w:p>
            <w:pPr/>
          </w:p>
        </w:tc>
        <w:tc>
          <w:tcPr>
            <w:tcW w:w="447" w:type="dxa"/>
            <w:vMerge/>
            <w:tcBorders>
              <w:left w:val="single" w:sz="4" w:space="0" w:color="000000"/>
              <w:bottom w:val="single" w:sz="4" w:space="0" w:color="000000"/>
              <w:right w:val="single" w:sz="4" w:space="0" w:color="000000"/>
            </w:tcBorders>
            <w:shd w:val="clear" w:color="auto" w:fill="D2D2D2"/>
          </w:tcPr>
          <w:p>
            <w:pPr/>
          </w:p>
        </w:tc>
        <w:tc>
          <w:tcPr>
            <w:tcW w:w="451" w:type="dxa"/>
            <w:vMerge/>
            <w:tcBorders>
              <w:left w:val="single" w:sz="4" w:space="0" w:color="000000"/>
              <w:bottom w:val="single" w:sz="4" w:space="0" w:color="000000"/>
              <w:right w:val="single" w:sz="4" w:space="0" w:color="000000"/>
            </w:tcBorders>
            <w:shd w:val="clear" w:color="auto" w:fill="D2D2D2"/>
          </w:tcPr>
          <w:p>
            <w:pPr/>
          </w:p>
        </w:tc>
        <w:tc>
          <w:tcPr>
            <w:tcW w:w="490" w:type="dxa"/>
            <w:tcBorders>
              <w:top w:val="nil" w:sz="6" w:space="0" w:color="auto"/>
              <w:left w:val="single" w:sz="4" w:space="0" w:color="000000"/>
              <w:bottom w:val="single" w:sz="4" w:space="0" w:color="000000"/>
              <w:right w:val="single" w:sz="4" w:space="0" w:color="000000"/>
            </w:tcBorders>
            <w:shd w:val="clear" w:color="auto" w:fill="D2D2D2"/>
          </w:tcPr>
          <w:p>
            <w:pPr/>
          </w:p>
        </w:tc>
        <w:tc>
          <w:tcPr>
            <w:tcW w:w="57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81"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91"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644" w:type="dxa"/>
            <w:vMerge/>
            <w:tcBorders>
              <w:left w:val="single" w:sz="4" w:space="0" w:color="000000"/>
              <w:bottom w:val="single" w:sz="4" w:space="0" w:color="000000"/>
              <w:right w:val="single" w:sz="4" w:space="0" w:color="000000"/>
            </w:tcBorders>
            <w:shd w:val="clear" w:color="auto" w:fill="D2D2D2"/>
          </w:tcPr>
          <w:p>
            <w:pPr/>
          </w:p>
        </w:tc>
        <w:tc>
          <w:tcPr>
            <w:tcW w:w="64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58" w:hRule="exact"/>
        </w:trPr>
        <w:tc>
          <w:tcPr>
            <w:tcW w:w="1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502" w:type="dxa"/>
            <w:vMerge w:val="restart"/>
            <w:tcBorders>
              <w:top w:val="single" w:sz="4" w:space="0" w:color="000000"/>
              <w:left w:val="single" w:sz="13" w:space="0" w:color="D2D2D2"/>
              <w:right w:val="single" w:sz="4" w:space="0" w:color="000000"/>
            </w:tcBorders>
          </w:tcPr>
          <w:p>
            <w:pPr>
              <w:pStyle w:val="TableParagraph"/>
              <w:spacing w:line="240" w:lineRule="auto" w:before="96"/>
              <w:ind w:left="33" w:right="0"/>
              <w:jc w:val="center"/>
              <w:rPr>
                <w:rFonts w:ascii="Times New Roman" w:hAnsi="Times New Roman" w:cs="Times New Roman" w:eastAsia="Times New Roman" w:hint="default"/>
                <w:sz w:val="18"/>
                <w:szCs w:val="18"/>
              </w:rPr>
            </w:pPr>
            <w:r>
              <w:rPr>
                <w:rFonts w:ascii="Times New Roman"/>
                <w:sz w:val="18"/>
              </w:rPr>
              <w:t>73,89</w:t>
            </w:r>
          </w:p>
          <w:p>
            <w:pPr>
              <w:pStyle w:val="TableParagraph"/>
              <w:spacing w:line="240" w:lineRule="auto" w:before="100"/>
              <w:ind w:left="33" w:right="0"/>
              <w:jc w:val="center"/>
              <w:rPr>
                <w:rFonts w:ascii="Times New Roman" w:hAnsi="Times New Roman" w:cs="Times New Roman" w:eastAsia="Times New Roman" w:hint="default"/>
                <w:sz w:val="18"/>
                <w:szCs w:val="18"/>
              </w:rPr>
            </w:pPr>
            <w:r>
              <w:rPr>
                <w:rFonts w:ascii="Times New Roman"/>
                <w:sz w:val="18"/>
              </w:rPr>
              <w:t>2,895</w:t>
            </w:r>
          </w:p>
          <w:p>
            <w:pPr>
              <w:pStyle w:val="TableParagraph"/>
              <w:spacing w:line="240" w:lineRule="auto" w:before="110"/>
              <w:ind w:left="210" w:right="0"/>
              <w:jc w:val="center"/>
              <w:rPr>
                <w:rFonts w:ascii="Times New Roman" w:hAnsi="Times New Roman" w:cs="Times New Roman" w:eastAsia="Times New Roman" w:hint="default"/>
                <w:sz w:val="18"/>
                <w:szCs w:val="18"/>
              </w:rPr>
            </w:pPr>
            <w:r>
              <w:rPr>
                <w:rFonts w:ascii="Times New Roman"/>
                <w:sz w:val="18"/>
              </w:rPr>
              <w:t>.00</w:t>
            </w:r>
          </w:p>
        </w:tc>
        <w:tc>
          <w:tcPr>
            <w:tcW w:w="447" w:type="dxa"/>
            <w:vMerge w:val="restart"/>
            <w:tcBorders>
              <w:top w:val="single" w:sz="4" w:space="0" w:color="000000"/>
              <w:left w:val="single" w:sz="4" w:space="0" w:color="000000"/>
              <w:right w:val="single" w:sz="4" w:space="0" w:color="000000"/>
            </w:tcBorders>
          </w:tcPr>
          <w:p>
            <w:pPr/>
          </w:p>
        </w:tc>
        <w:tc>
          <w:tcPr>
            <w:tcW w:w="451" w:type="dxa"/>
            <w:vMerge w:val="restart"/>
            <w:tcBorders>
              <w:top w:val="single" w:sz="4" w:space="0" w:color="000000"/>
              <w:left w:val="single" w:sz="4" w:space="0" w:color="000000"/>
              <w:right w:val="single" w:sz="4" w:space="0" w:color="000000"/>
            </w:tcBorders>
          </w:tcPr>
          <w:p>
            <w:pPr/>
          </w:p>
        </w:tc>
        <w:tc>
          <w:tcPr>
            <w:tcW w:w="490"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Style w:val="TableParagraph"/>
              <w:spacing w:line="240" w:lineRule="auto" w:before="96"/>
              <w:ind w:left="68" w:right="0"/>
              <w:jc w:val="center"/>
              <w:rPr>
                <w:rFonts w:ascii="Times New Roman" w:hAnsi="Times New Roman" w:cs="Times New Roman" w:eastAsia="Times New Roman" w:hint="default"/>
                <w:sz w:val="18"/>
                <w:szCs w:val="18"/>
              </w:rPr>
            </w:pPr>
            <w:r>
              <w:rPr>
                <w:rFonts w:ascii="Times New Roman"/>
                <w:sz w:val="18"/>
              </w:rPr>
              <w:t>1,600,</w:t>
            </w:r>
          </w:p>
          <w:p>
            <w:pPr>
              <w:pStyle w:val="TableParagraph"/>
              <w:spacing w:line="240" w:lineRule="auto" w:before="100"/>
              <w:ind w:left="28" w:right="0"/>
              <w:jc w:val="center"/>
              <w:rPr>
                <w:rFonts w:ascii="Times New Roman" w:hAnsi="Times New Roman" w:cs="Times New Roman" w:eastAsia="Times New Roman" w:hint="default"/>
                <w:sz w:val="18"/>
                <w:szCs w:val="18"/>
              </w:rPr>
            </w:pPr>
            <w:r>
              <w:rPr>
                <w:rFonts w:ascii="Times New Roman"/>
                <w:sz w:val="18"/>
              </w:rPr>
              <w:t>354,27</w:t>
            </w:r>
          </w:p>
          <w:p>
            <w:pPr>
              <w:pStyle w:val="TableParagraph"/>
              <w:spacing w:line="240" w:lineRule="auto" w:before="110"/>
              <w:ind w:left="206" w:right="0"/>
              <w:jc w:val="center"/>
              <w:rPr>
                <w:rFonts w:ascii="Times New Roman" w:hAnsi="Times New Roman" w:cs="Times New Roman" w:eastAsia="Times New Roman" w:hint="default"/>
                <w:sz w:val="18"/>
                <w:szCs w:val="18"/>
              </w:rPr>
            </w:pPr>
            <w:r>
              <w:rPr>
                <w:rFonts w:ascii="Times New Roman"/>
                <w:sz w:val="18"/>
              </w:rPr>
              <w:t>5.31</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19" w:space="0" w:color="D2D2D2"/>
              <w:left w:val="single" w:sz="4" w:space="0" w:color="000000"/>
              <w:right w:val="single" w:sz="4" w:space="0" w:color="000000"/>
            </w:tcBorders>
          </w:tcPr>
          <w:p>
            <w:pPr>
              <w:pStyle w:val="TableParagraph"/>
              <w:spacing w:line="240" w:lineRule="auto" w:before="76"/>
              <w:ind w:left="81" w:right="0"/>
              <w:jc w:val="left"/>
              <w:rPr>
                <w:rFonts w:ascii="Times New Roman" w:hAnsi="Times New Roman" w:cs="Times New Roman" w:eastAsia="Times New Roman" w:hint="default"/>
                <w:sz w:val="18"/>
                <w:szCs w:val="18"/>
              </w:rPr>
            </w:pPr>
            <w:r>
              <w:rPr>
                <w:rFonts w:ascii="Times New Roman"/>
                <w:sz w:val="18"/>
              </w:rPr>
              <w:t>-12,21</w:t>
            </w:r>
          </w:p>
          <w:p>
            <w:pPr>
              <w:pStyle w:val="TableParagraph"/>
              <w:spacing w:line="240" w:lineRule="auto" w:before="100"/>
              <w:ind w:left="95" w:right="0"/>
              <w:jc w:val="left"/>
              <w:rPr>
                <w:rFonts w:ascii="Times New Roman" w:hAnsi="Times New Roman" w:cs="Times New Roman" w:eastAsia="Times New Roman" w:hint="default"/>
                <w:sz w:val="18"/>
                <w:szCs w:val="18"/>
              </w:rPr>
            </w:pPr>
            <w:r>
              <w:rPr>
                <w:rFonts w:ascii="Times New Roman"/>
                <w:sz w:val="18"/>
              </w:rPr>
              <w:t>4,473.</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17</w:t>
            </w:r>
          </w:p>
        </w:tc>
        <w:tc>
          <w:tcPr>
            <w:tcW w:w="58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8,943,</w:t>
            </w:r>
          </w:p>
          <w:p>
            <w:pPr>
              <w:pStyle w:val="TableParagraph"/>
              <w:spacing w:line="240" w:lineRule="auto" w:before="110"/>
              <w:ind w:left="47" w:right="0"/>
              <w:jc w:val="left"/>
              <w:rPr>
                <w:rFonts w:ascii="Times New Roman" w:hAnsi="Times New Roman" w:cs="Times New Roman" w:eastAsia="Times New Roman" w:hint="default"/>
                <w:sz w:val="18"/>
                <w:szCs w:val="18"/>
              </w:rPr>
            </w:pPr>
            <w:r>
              <w:rPr>
                <w:rFonts w:ascii="Times New Roman"/>
                <w:sz w:val="18"/>
              </w:rPr>
              <w:t>162.85</w:t>
            </w:r>
          </w:p>
        </w:tc>
        <w:tc>
          <w:tcPr>
            <w:tcW w:w="576" w:type="dxa"/>
            <w:vMerge w:val="restart"/>
            <w:tcBorders>
              <w:top w:val="single" w:sz="19" w:space="0" w:color="D2D2D2"/>
              <w:left w:val="single" w:sz="4" w:space="0" w:color="000000"/>
              <w:right w:val="single" w:sz="4" w:space="0" w:color="000000"/>
            </w:tcBorders>
          </w:tcPr>
          <w:p>
            <w:pPr/>
          </w:p>
        </w:tc>
        <w:tc>
          <w:tcPr>
            <w:tcW w:w="591" w:type="dxa"/>
            <w:vMerge w:val="restart"/>
            <w:tcBorders>
              <w:top w:val="single" w:sz="19" w:space="0" w:color="D2D2D2"/>
              <w:left w:val="single" w:sz="4" w:space="0" w:color="000000"/>
              <w:right w:val="single" w:sz="4" w:space="0" w:color="000000"/>
            </w:tcBorders>
          </w:tcPr>
          <w:p>
            <w:pPr>
              <w:pStyle w:val="TableParagraph"/>
              <w:spacing w:line="240" w:lineRule="auto" w:before="76"/>
              <w:ind w:left="62" w:right="0"/>
              <w:jc w:val="left"/>
              <w:rPr>
                <w:rFonts w:ascii="Times New Roman" w:hAnsi="Times New Roman" w:cs="Times New Roman" w:eastAsia="Times New Roman" w:hint="default"/>
                <w:sz w:val="18"/>
                <w:szCs w:val="18"/>
              </w:rPr>
            </w:pPr>
            <w:r>
              <w:rPr>
                <w:rFonts w:ascii="Times New Roman"/>
                <w:sz w:val="18"/>
              </w:rPr>
              <w:t>901,52</w:t>
            </w:r>
          </w:p>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3,172.</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91</w:t>
            </w:r>
          </w:p>
        </w:tc>
        <w:tc>
          <w:tcPr>
            <w:tcW w:w="566"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96"/>
              <w:ind w:left="59" w:right="0"/>
              <w:jc w:val="center"/>
              <w:rPr>
                <w:rFonts w:ascii="Times New Roman" w:hAnsi="Times New Roman" w:cs="Times New Roman" w:eastAsia="Times New Roman" w:hint="default"/>
                <w:sz w:val="18"/>
                <w:szCs w:val="18"/>
              </w:rPr>
            </w:pPr>
            <w:r>
              <w:rPr>
                <w:rFonts w:ascii="Times New Roman"/>
                <w:sz w:val="18"/>
              </w:rPr>
              <w:t>2,572,</w:t>
            </w:r>
          </w:p>
          <w:p>
            <w:pPr>
              <w:pStyle w:val="TableParagraph"/>
              <w:spacing w:line="240" w:lineRule="auto" w:before="100"/>
              <w:ind w:left="19" w:right="0"/>
              <w:jc w:val="center"/>
              <w:rPr>
                <w:rFonts w:ascii="Times New Roman" w:hAnsi="Times New Roman" w:cs="Times New Roman" w:eastAsia="Times New Roman" w:hint="default"/>
                <w:sz w:val="18"/>
                <w:szCs w:val="18"/>
              </w:rPr>
            </w:pPr>
            <w:r>
              <w:rPr>
                <w:rFonts w:ascii="Times New Roman"/>
                <w:sz w:val="18"/>
              </w:rPr>
              <w:t>499,03</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2.90</w:t>
            </w:r>
          </w:p>
        </w:tc>
        <w:tc>
          <w:tcPr>
            <w:tcW w:w="64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30,964,</w:t>
            </w:r>
          </w:p>
          <w:p>
            <w:pPr>
              <w:pStyle w:val="TableParagraph"/>
              <w:spacing w:line="240" w:lineRule="auto" w:before="110"/>
              <w:ind w:left="115" w:right="0"/>
              <w:jc w:val="left"/>
              <w:rPr>
                <w:rFonts w:ascii="Times New Roman" w:hAnsi="Times New Roman" w:cs="Times New Roman" w:eastAsia="Times New Roman" w:hint="default"/>
                <w:sz w:val="18"/>
                <w:szCs w:val="18"/>
              </w:rPr>
            </w:pPr>
            <w:r>
              <w:rPr>
                <w:rFonts w:ascii="Times New Roman"/>
                <w:sz w:val="18"/>
              </w:rPr>
              <w:t>990.30</w:t>
            </w:r>
          </w:p>
        </w:tc>
        <w:tc>
          <w:tcPr>
            <w:tcW w:w="648"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2,603,4</w:t>
            </w:r>
          </w:p>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64,023.</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20</w:t>
            </w:r>
          </w:p>
        </w:tc>
      </w:tr>
      <w:tr>
        <w:trPr>
          <w:trHeight w:val="706" w:hRule="exact"/>
        </w:trPr>
        <w:tc>
          <w:tcPr>
            <w:tcW w:w="1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1" w:lineRule="auto" w:before="54"/>
              <w:ind w:left="11" w:right="82"/>
              <w:jc w:val="left"/>
              <w:rPr>
                <w:rFonts w:ascii="宋体" w:hAnsi="宋体" w:cs="宋体" w:eastAsia="宋体" w:hint="default"/>
                <w:sz w:val="18"/>
                <w:szCs w:val="18"/>
              </w:rPr>
            </w:pPr>
            <w:r>
              <w:rPr>
                <w:rFonts w:ascii="宋体" w:hAnsi="宋体" w:cs="宋体" w:eastAsia="宋体" w:hint="default"/>
                <w:spacing w:val="-2"/>
                <w:sz w:val="18"/>
                <w:szCs w:val="18"/>
              </w:rPr>
              <w:t>一、上年期末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502" w:type="dxa"/>
            <w:vMerge/>
            <w:tcBorders>
              <w:left w:val="single" w:sz="13" w:space="0" w:color="D2D2D2"/>
              <w:right w:val="single" w:sz="4" w:space="0" w:color="000000"/>
            </w:tcBorders>
          </w:tcPr>
          <w:p>
            <w:pPr/>
          </w:p>
        </w:tc>
        <w:tc>
          <w:tcPr>
            <w:tcW w:w="447" w:type="dxa"/>
            <w:vMerge/>
            <w:tcBorders>
              <w:left w:val="single" w:sz="4" w:space="0" w:color="000000"/>
              <w:right w:val="single" w:sz="4" w:space="0" w:color="000000"/>
            </w:tcBorders>
          </w:tcPr>
          <w:p>
            <w:pPr/>
          </w:p>
        </w:tc>
        <w:tc>
          <w:tcPr>
            <w:tcW w:w="451"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44" w:type="dxa"/>
            <w:vMerge/>
            <w:tcBorders>
              <w:left w:val="single" w:sz="4" w:space="0" w:color="000000"/>
              <w:right w:val="single" w:sz="4" w:space="0" w:color="000000"/>
            </w:tcBorders>
          </w:tcPr>
          <w:p>
            <w:pPr/>
          </w:p>
        </w:tc>
        <w:tc>
          <w:tcPr>
            <w:tcW w:w="648" w:type="dxa"/>
            <w:vMerge/>
            <w:tcBorders>
              <w:left w:val="single" w:sz="4" w:space="0" w:color="000000"/>
              <w:right w:val="single" w:sz="4" w:space="0" w:color="000000"/>
            </w:tcBorders>
          </w:tcPr>
          <w:p>
            <w:pPr/>
          </w:p>
        </w:tc>
      </w:tr>
      <w:tr>
        <w:trPr>
          <w:trHeight w:val="158" w:hRule="exact"/>
        </w:trPr>
        <w:tc>
          <w:tcPr>
            <w:tcW w:w="1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502" w:type="dxa"/>
            <w:vMerge/>
            <w:tcBorders>
              <w:left w:val="single" w:sz="13" w:space="0" w:color="D2D2D2"/>
              <w:bottom w:val="single" w:sz="4" w:space="0" w:color="000000"/>
              <w:right w:val="single" w:sz="4" w:space="0" w:color="000000"/>
            </w:tcBorders>
          </w:tcPr>
          <w:p>
            <w:pPr/>
          </w:p>
        </w:tc>
        <w:tc>
          <w:tcPr>
            <w:tcW w:w="447" w:type="dxa"/>
            <w:vMerge/>
            <w:tcBorders>
              <w:left w:val="single" w:sz="4" w:space="0" w:color="000000"/>
              <w:bottom w:val="single" w:sz="4" w:space="0" w:color="000000"/>
              <w:right w:val="single" w:sz="4" w:space="0" w:color="000000"/>
            </w:tcBorders>
          </w:tcPr>
          <w:p>
            <w:pPr/>
          </w:p>
        </w:tc>
        <w:tc>
          <w:tcPr>
            <w:tcW w:w="451" w:type="dxa"/>
            <w:vMerge/>
            <w:tcBorders>
              <w:left w:val="single" w:sz="4" w:space="0" w:color="000000"/>
              <w:bottom w:val="single" w:sz="4" w:space="0" w:color="000000"/>
              <w:right w:val="single" w:sz="4" w:space="0" w:color="000000"/>
            </w:tcBorders>
          </w:tcPr>
          <w:p>
            <w:pPr/>
          </w:p>
        </w:tc>
        <w:tc>
          <w:tcPr>
            <w:tcW w:w="490"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9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44" w:type="dxa"/>
            <w:vMerge/>
            <w:tcBorders>
              <w:left w:val="single" w:sz="4" w:space="0" w:color="000000"/>
              <w:bottom w:val="single" w:sz="4" w:space="0" w:color="000000"/>
              <w:right w:val="single" w:sz="4" w:space="0" w:color="000000"/>
            </w:tcBorders>
          </w:tcPr>
          <w:p>
            <w:pPr/>
          </w:p>
        </w:tc>
        <w:tc>
          <w:tcPr>
            <w:tcW w:w="648" w:type="dxa"/>
            <w:vMerge/>
            <w:tcBorders>
              <w:left w:val="single" w:sz="4" w:space="0" w:color="000000"/>
              <w:bottom w:val="single" w:sz="4" w:space="0" w:color="000000"/>
              <w:right w:val="single" w:sz="4" w:space="0" w:color="000000"/>
            </w:tcBorders>
          </w:tcPr>
          <w:p>
            <w:pPr/>
          </w:p>
        </w:tc>
      </w:tr>
      <w:tr>
        <w:trPr>
          <w:trHeight w:val="715"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82" w:firstLine="360"/>
              <w:jc w:val="left"/>
              <w:rPr>
                <w:rFonts w:ascii="宋体" w:hAnsi="宋体" w:cs="宋体" w:eastAsia="宋体" w:hint="default"/>
                <w:sz w:val="18"/>
                <w:szCs w:val="18"/>
              </w:rPr>
            </w:pPr>
            <w:r>
              <w:rPr>
                <w:rFonts w:ascii="宋体" w:hAnsi="宋体" w:cs="宋体" w:eastAsia="宋体" w:hint="default"/>
                <w:sz w:val="18"/>
                <w:szCs w:val="18"/>
              </w:rPr>
              <w:t>加：会计</w:t>
            </w:r>
            <w:r>
              <w:rPr>
                <w:rFonts w:ascii="宋体" w:hAnsi="宋体" w:cs="宋体" w:eastAsia="宋体" w:hint="default"/>
                <w:w w:val="101"/>
                <w:sz w:val="18"/>
                <w:szCs w:val="18"/>
              </w:rPr>
              <w:t> </w:t>
            </w:r>
            <w:r>
              <w:rPr>
                <w:rFonts w:ascii="宋体" w:hAnsi="宋体" w:cs="宋体" w:eastAsia="宋体" w:hint="default"/>
                <w:sz w:val="18"/>
                <w:szCs w:val="18"/>
              </w:rPr>
              <w:t>政策变更</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8" w:right="0"/>
              <w:jc w:val="left"/>
              <w:rPr>
                <w:rFonts w:ascii="Times New Roman" w:hAnsi="Times New Roman" w:cs="Times New Roman" w:eastAsia="Times New Roman" w:hint="default"/>
                <w:sz w:val="18"/>
                <w:szCs w:val="18"/>
              </w:rPr>
            </w:pPr>
            <w:r>
              <w:rPr>
                <w:rFonts w:ascii="Times New Roman"/>
                <w:sz w:val="18"/>
              </w:rPr>
              <w:t>-6,086,</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256.37</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-6,086,</w:t>
            </w:r>
          </w:p>
          <w:p>
            <w:pPr>
              <w:pStyle w:val="TableParagraph"/>
              <w:spacing w:line="240" w:lineRule="auto" w:before="105"/>
              <w:ind w:left="38" w:right="0"/>
              <w:jc w:val="left"/>
              <w:rPr>
                <w:rFonts w:ascii="Times New Roman" w:hAnsi="Times New Roman" w:cs="Times New Roman" w:eastAsia="Times New Roman" w:hint="default"/>
                <w:sz w:val="18"/>
                <w:szCs w:val="18"/>
              </w:rPr>
            </w:pPr>
            <w:r>
              <w:rPr>
                <w:rFonts w:ascii="Times New Roman"/>
                <w:sz w:val="18"/>
              </w:rPr>
              <w:t>256.37</w:t>
            </w: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0" w:right="0"/>
              <w:jc w:val="left"/>
              <w:rPr>
                <w:rFonts w:ascii="Times New Roman" w:hAnsi="Times New Roman" w:cs="Times New Roman" w:eastAsia="Times New Roman" w:hint="default"/>
                <w:sz w:val="18"/>
                <w:szCs w:val="18"/>
              </w:rPr>
            </w:pPr>
            <w:r>
              <w:rPr>
                <w:rFonts w:ascii="Times New Roman"/>
                <w:sz w:val="18"/>
              </w:rPr>
              <w:t>-6,086,</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256.37</w:t>
            </w:r>
          </w:p>
        </w:tc>
      </w:tr>
      <w:tr>
        <w:trPr>
          <w:trHeight w:val="716"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1" w:right="82"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82" w:firstLine="720"/>
              <w:jc w:val="both"/>
              <w:rPr>
                <w:rFonts w:ascii="宋体" w:hAnsi="宋体" w:cs="宋体" w:eastAsia="宋体" w:hint="default"/>
                <w:sz w:val="18"/>
                <w:szCs w:val="18"/>
              </w:rPr>
            </w:pPr>
            <w:r>
              <w:rPr>
                <w:rFonts w:ascii="宋体" w:hAnsi="宋体" w:cs="宋体" w:eastAsia="宋体" w:hint="default"/>
                <w:sz w:val="18"/>
                <w:szCs w:val="18"/>
              </w:rPr>
              <w:t>同一</w:t>
            </w:r>
            <w:r>
              <w:rPr>
                <w:rFonts w:ascii="宋体" w:hAnsi="宋体" w:cs="宋体" w:eastAsia="宋体" w:hint="default"/>
                <w:w w:val="101"/>
                <w:sz w:val="18"/>
                <w:szCs w:val="18"/>
              </w:rPr>
              <w:t> </w:t>
            </w:r>
            <w:r>
              <w:rPr>
                <w:rFonts w:ascii="宋体" w:hAnsi="宋体" w:cs="宋体" w:eastAsia="宋体" w:hint="default"/>
                <w:spacing w:val="-2"/>
                <w:sz w:val="18"/>
                <w:szCs w:val="18"/>
              </w:rPr>
              <w:t>控制下企业合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并</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502" w:type="dxa"/>
            <w:vMerge w:val="restart"/>
            <w:tcBorders>
              <w:top w:val="single" w:sz="4" w:space="0" w:color="000000"/>
              <w:left w:val="single" w:sz="10" w:space="0" w:color="D2D2D2"/>
              <w:right w:val="single" w:sz="4" w:space="0" w:color="000000"/>
            </w:tcBorders>
          </w:tcPr>
          <w:p>
            <w:pPr>
              <w:pStyle w:val="TableParagraph"/>
              <w:spacing w:line="240" w:lineRule="auto" w:before="100"/>
              <w:ind w:left="38" w:right="0"/>
              <w:jc w:val="center"/>
              <w:rPr>
                <w:rFonts w:ascii="Times New Roman" w:hAnsi="Times New Roman" w:cs="Times New Roman" w:eastAsia="Times New Roman" w:hint="default"/>
                <w:sz w:val="18"/>
                <w:szCs w:val="18"/>
              </w:rPr>
            </w:pPr>
            <w:r>
              <w:rPr>
                <w:rFonts w:ascii="Times New Roman"/>
                <w:sz w:val="18"/>
              </w:rPr>
              <w:t>73,89</w:t>
            </w:r>
          </w:p>
          <w:p>
            <w:pPr>
              <w:pStyle w:val="TableParagraph"/>
              <w:spacing w:line="240" w:lineRule="auto" w:before="100"/>
              <w:ind w:left="38" w:right="0"/>
              <w:jc w:val="center"/>
              <w:rPr>
                <w:rFonts w:ascii="Times New Roman" w:hAnsi="Times New Roman" w:cs="Times New Roman" w:eastAsia="Times New Roman" w:hint="default"/>
                <w:sz w:val="18"/>
                <w:szCs w:val="18"/>
              </w:rPr>
            </w:pPr>
            <w:r>
              <w:rPr>
                <w:rFonts w:ascii="Times New Roman"/>
                <w:sz w:val="18"/>
              </w:rPr>
              <w:t>2,895</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.00</w:t>
            </w:r>
          </w:p>
        </w:tc>
        <w:tc>
          <w:tcPr>
            <w:tcW w:w="447" w:type="dxa"/>
            <w:vMerge w:val="restart"/>
            <w:tcBorders>
              <w:top w:val="single" w:sz="4" w:space="0" w:color="000000"/>
              <w:left w:val="single" w:sz="4" w:space="0" w:color="000000"/>
              <w:right w:val="single" w:sz="4" w:space="0" w:color="000000"/>
            </w:tcBorders>
          </w:tcPr>
          <w:p>
            <w:pPr/>
          </w:p>
        </w:tc>
        <w:tc>
          <w:tcPr>
            <w:tcW w:w="451" w:type="dxa"/>
            <w:vMerge w:val="restart"/>
            <w:tcBorders>
              <w:top w:val="single" w:sz="4" w:space="0" w:color="000000"/>
              <w:left w:val="single" w:sz="4" w:space="0" w:color="000000"/>
              <w:right w:val="single" w:sz="4" w:space="0" w:color="000000"/>
            </w:tcBorders>
          </w:tcPr>
          <w:p>
            <w:pPr/>
          </w:p>
        </w:tc>
        <w:tc>
          <w:tcPr>
            <w:tcW w:w="490"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Style w:val="TableParagraph"/>
              <w:spacing w:line="240" w:lineRule="auto" w:before="100"/>
              <w:ind w:left="68" w:right="0"/>
              <w:jc w:val="center"/>
              <w:rPr>
                <w:rFonts w:ascii="Times New Roman" w:hAnsi="Times New Roman" w:cs="Times New Roman" w:eastAsia="Times New Roman" w:hint="default"/>
                <w:sz w:val="18"/>
                <w:szCs w:val="18"/>
              </w:rPr>
            </w:pPr>
            <w:r>
              <w:rPr>
                <w:rFonts w:ascii="Times New Roman"/>
                <w:sz w:val="18"/>
              </w:rPr>
              <w:t>1,600,</w:t>
            </w:r>
          </w:p>
          <w:p>
            <w:pPr>
              <w:pStyle w:val="TableParagraph"/>
              <w:spacing w:line="240" w:lineRule="auto" w:before="100"/>
              <w:ind w:left="28" w:right="0"/>
              <w:jc w:val="center"/>
              <w:rPr>
                <w:rFonts w:ascii="Times New Roman" w:hAnsi="Times New Roman" w:cs="Times New Roman" w:eastAsia="Times New Roman" w:hint="default"/>
                <w:sz w:val="18"/>
                <w:szCs w:val="18"/>
              </w:rPr>
            </w:pPr>
            <w:r>
              <w:rPr>
                <w:rFonts w:ascii="Times New Roman"/>
                <w:sz w:val="18"/>
              </w:rPr>
              <w:t>354,27</w:t>
            </w:r>
          </w:p>
          <w:p>
            <w:pPr>
              <w:pStyle w:val="TableParagraph"/>
              <w:spacing w:line="240" w:lineRule="auto" w:before="110"/>
              <w:ind w:left="206" w:right="0"/>
              <w:jc w:val="center"/>
              <w:rPr>
                <w:rFonts w:ascii="Times New Roman" w:hAnsi="Times New Roman" w:cs="Times New Roman" w:eastAsia="Times New Roman" w:hint="default"/>
                <w:sz w:val="18"/>
                <w:szCs w:val="18"/>
              </w:rPr>
            </w:pPr>
            <w:r>
              <w:rPr>
                <w:rFonts w:ascii="Times New Roman"/>
                <w:sz w:val="18"/>
              </w:rPr>
              <w:t>5.31</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00"/>
              <w:ind w:left="81" w:right="0"/>
              <w:jc w:val="left"/>
              <w:rPr>
                <w:rFonts w:ascii="Times New Roman" w:hAnsi="Times New Roman" w:cs="Times New Roman" w:eastAsia="Times New Roman" w:hint="default"/>
                <w:sz w:val="18"/>
                <w:szCs w:val="18"/>
              </w:rPr>
            </w:pPr>
            <w:r>
              <w:rPr>
                <w:rFonts w:ascii="Times New Roman"/>
                <w:sz w:val="18"/>
              </w:rPr>
              <w:t>-12,21</w:t>
            </w:r>
          </w:p>
          <w:p>
            <w:pPr>
              <w:pStyle w:val="TableParagraph"/>
              <w:spacing w:line="240" w:lineRule="auto" w:before="100"/>
              <w:ind w:left="95" w:right="0"/>
              <w:jc w:val="left"/>
              <w:rPr>
                <w:rFonts w:ascii="Times New Roman" w:hAnsi="Times New Roman" w:cs="Times New Roman" w:eastAsia="Times New Roman" w:hint="default"/>
                <w:sz w:val="18"/>
                <w:szCs w:val="18"/>
              </w:rPr>
            </w:pPr>
            <w:r>
              <w:rPr>
                <w:rFonts w:ascii="Times New Roman"/>
                <w:sz w:val="18"/>
              </w:rPr>
              <w:t>4,473.</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17</w:t>
            </w:r>
          </w:p>
        </w:tc>
        <w:tc>
          <w:tcPr>
            <w:tcW w:w="58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8,943,</w:t>
            </w:r>
          </w:p>
          <w:p>
            <w:pPr>
              <w:pStyle w:val="TableParagraph"/>
              <w:spacing w:line="240" w:lineRule="auto" w:before="105"/>
              <w:ind w:left="47" w:right="0"/>
              <w:jc w:val="left"/>
              <w:rPr>
                <w:rFonts w:ascii="Times New Roman" w:hAnsi="Times New Roman" w:cs="Times New Roman" w:eastAsia="Times New Roman" w:hint="default"/>
                <w:sz w:val="18"/>
                <w:szCs w:val="18"/>
              </w:rPr>
            </w:pPr>
            <w:r>
              <w:rPr>
                <w:rFonts w:ascii="Times New Roman"/>
                <w:sz w:val="18"/>
              </w:rPr>
              <w:t>162.85</w:t>
            </w:r>
          </w:p>
        </w:tc>
        <w:tc>
          <w:tcPr>
            <w:tcW w:w="576" w:type="dxa"/>
            <w:vMerge w:val="restart"/>
            <w:tcBorders>
              <w:top w:val="single" w:sz="4" w:space="0" w:color="000000"/>
              <w:left w:val="single" w:sz="4" w:space="0" w:color="000000"/>
              <w:right w:val="single" w:sz="4" w:space="0" w:color="000000"/>
            </w:tcBorders>
          </w:tcPr>
          <w:p>
            <w:pPr/>
          </w:p>
        </w:tc>
        <w:tc>
          <w:tcPr>
            <w:tcW w:w="591" w:type="dxa"/>
            <w:vMerge w:val="restart"/>
            <w:tcBorders>
              <w:top w:val="single" w:sz="4" w:space="0" w:color="000000"/>
              <w:left w:val="single" w:sz="4" w:space="0" w:color="000000"/>
              <w:right w:val="single" w:sz="4" w:space="0" w:color="000000"/>
            </w:tcBorders>
          </w:tcPr>
          <w:p>
            <w:pPr>
              <w:pStyle w:val="TableParagraph"/>
              <w:spacing w:line="240" w:lineRule="auto" w:before="100"/>
              <w:ind w:left="62" w:right="0"/>
              <w:jc w:val="left"/>
              <w:rPr>
                <w:rFonts w:ascii="Times New Roman" w:hAnsi="Times New Roman" w:cs="Times New Roman" w:eastAsia="Times New Roman" w:hint="default"/>
                <w:sz w:val="18"/>
                <w:szCs w:val="18"/>
              </w:rPr>
            </w:pPr>
            <w:r>
              <w:rPr>
                <w:rFonts w:ascii="Times New Roman"/>
                <w:sz w:val="18"/>
              </w:rPr>
              <w:t>895,43</w:t>
            </w:r>
          </w:p>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6,916.</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54</w:t>
            </w:r>
          </w:p>
        </w:tc>
        <w:tc>
          <w:tcPr>
            <w:tcW w:w="566"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100"/>
              <w:ind w:left="59" w:right="0"/>
              <w:jc w:val="center"/>
              <w:rPr>
                <w:rFonts w:ascii="Times New Roman" w:hAnsi="Times New Roman" w:cs="Times New Roman" w:eastAsia="Times New Roman" w:hint="default"/>
                <w:sz w:val="18"/>
                <w:szCs w:val="18"/>
              </w:rPr>
            </w:pPr>
            <w:r>
              <w:rPr>
                <w:rFonts w:ascii="Times New Roman"/>
                <w:sz w:val="18"/>
              </w:rPr>
              <w:t>2,566,</w:t>
            </w:r>
          </w:p>
          <w:p>
            <w:pPr>
              <w:pStyle w:val="TableParagraph"/>
              <w:spacing w:line="240" w:lineRule="auto" w:before="100"/>
              <w:ind w:left="19" w:right="0"/>
              <w:jc w:val="center"/>
              <w:rPr>
                <w:rFonts w:ascii="Times New Roman" w:hAnsi="Times New Roman" w:cs="Times New Roman" w:eastAsia="Times New Roman" w:hint="default"/>
                <w:sz w:val="18"/>
                <w:szCs w:val="18"/>
              </w:rPr>
            </w:pPr>
            <w:r>
              <w:rPr>
                <w:rFonts w:ascii="Times New Roman"/>
                <w:sz w:val="18"/>
              </w:rPr>
              <w:t>412,77</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6.53</w:t>
            </w:r>
          </w:p>
        </w:tc>
        <w:tc>
          <w:tcPr>
            <w:tcW w:w="64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30,964,</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990.30</w:t>
            </w:r>
          </w:p>
        </w:tc>
        <w:tc>
          <w:tcPr>
            <w:tcW w:w="648" w:type="dxa"/>
            <w:vMerge w:val="restart"/>
            <w:tcBorders>
              <w:top w:val="single" w:sz="4" w:space="0" w:color="000000"/>
              <w:left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2,597,3</w:t>
            </w:r>
          </w:p>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77,766.</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83</w:t>
            </w:r>
          </w:p>
        </w:tc>
      </w:tr>
      <w:tr>
        <w:trPr>
          <w:trHeight w:val="706" w:hRule="exact"/>
        </w:trPr>
        <w:tc>
          <w:tcPr>
            <w:tcW w:w="1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1" w:right="82"/>
              <w:jc w:val="left"/>
              <w:rPr>
                <w:rFonts w:ascii="宋体" w:hAnsi="宋体" w:cs="宋体" w:eastAsia="宋体" w:hint="default"/>
                <w:sz w:val="18"/>
                <w:szCs w:val="18"/>
              </w:rPr>
            </w:pPr>
            <w:r>
              <w:rPr>
                <w:rFonts w:ascii="宋体" w:hAnsi="宋体" w:cs="宋体" w:eastAsia="宋体" w:hint="default"/>
                <w:spacing w:val="-2"/>
                <w:sz w:val="18"/>
                <w:szCs w:val="18"/>
              </w:rPr>
              <w:t>二、本年期初</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502" w:type="dxa"/>
            <w:vMerge/>
            <w:tcBorders>
              <w:left w:val="single" w:sz="10" w:space="0" w:color="D2D2D2"/>
              <w:right w:val="single" w:sz="4" w:space="0" w:color="000000"/>
            </w:tcBorders>
          </w:tcPr>
          <w:p>
            <w:pPr/>
          </w:p>
        </w:tc>
        <w:tc>
          <w:tcPr>
            <w:tcW w:w="447" w:type="dxa"/>
            <w:vMerge/>
            <w:tcBorders>
              <w:left w:val="single" w:sz="4" w:space="0" w:color="000000"/>
              <w:right w:val="single" w:sz="4" w:space="0" w:color="000000"/>
            </w:tcBorders>
          </w:tcPr>
          <w:p>
            <w:pPr/>
          </w:p>
        </w:tc>
        <w:tc>
          <w:tcPr>
            <w:tcW w:w="451"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44" w:type="dxa"/>
            <w:vMerge/>
            <w:tcBorders>
              <w:left w:val="single" w:sz="4" w:space="0" w:color="000000"/>
              <w:right w:val="single" w:sz="4" w:space="0" w:color="000000"/>
            </w:tcBorders>
          </w:tcPr>
          <w:p>
            <w:pPr/>
          </w:p>
        </w:tc>
        <w:tc>
          <w:tcPr>
            <w:tcW w:w="648" w:type="dxa"/>
            <w:vMerge/>
            <w:tcBorders>
              <w:left w:val="single" w:sz="4" w:space="0" w:color="000000"/>
              <w:right w:val="single" w:sz="4" w:space="0" w:color="000000"/>
            </w:tcBorders>
          </w:tcPr>
          <w:p>
            <w:pPr/>
          </w:p>
        </w:tc>
      </w:tr>
      <w:tr>
        <w:trPr>
          <w:trHeight w:val="158" w:hRule="exact"/>
        </w:trPr>
        <w:tc>
          <w:tcPr>
            <w:tcW w:w="1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502" w:type="dxa"/>
            <w:vMerge/>
            <w:tcBorders>
              <w:left w:val="single" w:sz="10" w:space="0" w:color="D2D2D2"/>
              <w:bottom w:val="single" w:sz="4" w:space="0" w:color="000000"/>
              <w:right w:val="single" w:sz="4" w:space="0" w:color="000000"/>
            </w:tcBorders>
          </w:tcPr>
          <w:p>
            <w:pPr/>
          </w:p>
        </w:tc>
        <w:tc>
          <w:tcPr>
            <w:tcW w:w="447" w:type="dxa"/>
            <w:vMerge/>
            <w:tcBorders>
              <w:left w:val="single" w:sz="4" w:space="0" w:color="000000"/>
              <w:bottom w:val="single" w:sz="4" w:space="0" w:color="000000"/>
              <w:right w:val="single" w:sz="4" w:space="0" w:color="000000"/>
            </w:tcBorders>
          </w:tcPr>
          <w:p>
            <w:pPr/>
          </w:p>
        </w:tc>
        <w:tc>
          <w:tcPr>
            <w:tcW w:w="451" w:type="dxa"/>
            <w:vMerge/>
            <w:tcBorders>
              <w:left w:val="single" w:sz="4" w:space="0" w:color="000000"/>
              <w:bottom w:val="single" w:sz="4" w:space="0" w:color="000000"/>
              <w:right w:val="single" w:sz="4" w:space="0" w:color="000000"/>
            </w:tcBorders>
          </w:tcPr>
          <w:p>
            <w:pPr/>
          </w:p>
        </w:tc>
        <w:tc>
          <w:tcPr>
            <w:tcW w:w="490"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9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44" w:type="dxa"/>
            <w:vMerge/>
            <w:tcBorders>
              <w:left w:val="single" w:sz="4" w:space="0" w:color="000000"/>
              <w:bottom w:val="single" w:sz="4" w:space="0" w:color="000000"/>
              <w:right w:val="single" w:sz="4" w:space="0" w:color="000000"/>
            </w:tcBorders>
          </w:tcPr>
          <w:p>
            <w:pPr/>
          </w:p>
        </w:tc>
        <w:tc>
          <w:tcPr>
            <w:tcW w:w="648" w:type="dxa"/>
            <w:vMerge/>
            <w:tcBorders>
              <w:left w:val="single" w:sz="4" w:space="0" w:color="000000"/>
              <w:bottom w:val="single" w:sz="4" w:space="0" w:color="000000"/>
              <w:right w:val="single" w:sz="4" w:space="0" w:color="000000"/>
            </w:tcBorders>
          </w:tcPr>
          <w:p>
            <w:pPr/>
          </w:p>
        </w:tc>
      </w:tr>
      <w:tr>
        <w:trPr>
          <w:trHeight w:val="1340"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11" w:right="82"/>
              <w:jc w:val="both"/>
              <w:rPr>
                <w:rFonts w:ascii="宋体" w:hAnsi="宋体" w:cs="宋体" w:eastAsia="宋体" w:hint="default"/>
                <w:sz w:val="18"/>
                <w:szCs w:val="18"/>
              </w:rPr>
            </w:pPr>
            <w:r>
              <w:rPr>
                <w:rFonts w:ascii="宋体" w:hAnsi="宋体" w:cs="宋体" w:eastAsia="宋体" w:hint="default"/>
                <w:spacing w:val="-2"/>
                <w:sz w:val="18"/>
                <w:szCs w:val="18"/>
              </w:rPr>
              <w:t>三、本期增减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变动金额（减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6"/>
                <w:sz w:val="18"/>
                <w:szCs w:val="18"/>
              </w:rPr>
              <w:t> </w:t>
            </w:r>
            <w:r>
              <w:rPr>
                <w:rFonts w:ascii="宋体" w:hAnsi="宋体" w:cs="宋体" w:eastAsia="宋体" w:hint="default"/>
                <w:sz w:val="18"/>
                <w:szCs w:val="18"/>
              </w:rPr>
              <w:t>列）</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13,191</w:t>
            </w:r>
          </w:p>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,378.4</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18,722</w:t>
            </w:r>
          </w:p>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,792.3</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3,309,</w:t>
            </w:r>
          </w:p>
          <w:p>
            <w:pPr>
              <w:pStyle w:val="TableParagraph"/>
              <w:spacing w:line="240" w:lineRule="auto" w:before="110"/>
              <w:ind w:left="47" w:right="0"/>
              <w:jc w:val="left"/>
              <w:rPr>
                <w:rFonts w:ascii="Times New Roman" w:hAnsi="Times New Roman" w:cs="Times New Roman" w:eastAsia="Times New Roman" w:hint="default"/>
                <w:sz w:val="18"/>
                <w:szCs w:val="18"/>
              </w:rPr>
            </w:pPr>
            <w:r>
              <w:rPr>
                <w:rFonts w:ascii="Times New Roman"/>
                <w:sz w:val="18"/>
              </w:rPr>
              <w:t>958.01</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288,47</w:t>
            </w:r>
          </w:p>
          <w:p>
            <w:pPr>
              <w:pStyle w:val="TableParagraph"/>
              <w:spacing w:line="240" w:lineRule="auto" w:before="101"/>
              <w:ind w:left="105" w:right="0"/>
              <w:jc w:val="left"/>
              <w:rPr>
                <w:rFonts w:ascii="Times New Roman" w:hAnsi="Times New Roman" w:cs="Times New Roman" w:eastAsia="Times New Roman" w:hint="default"/>
                <w:sz w:val="18"/>
                <w:szCs w:val="18"/>
              </w:rPr>
            </w:pPr>
            <w:r>
              <w:rPr>
                <w:rFonts w:ascii="Times New Roman"/>
                <w:sz w:val="18"/>
              </w:rPr>
              <w:t>7,157.</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25</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323,70</w:t>
            </w:r>
          </w:p>
          <w:p>
            <w:pPr>
              <w:pStyle w:val="TableParagraph"/>
              <w:spacing w:line="240" w:lineRule="auto" w:before="101"/>
              <w:ind w:left="81" w:right="0"/>
              <w:jc w:val="left"/>
              <w:rPr>
                <w:rFonts w:ascii="Times New Roman" w:hAnsi="Times New Roman" w:cs="Times New Roman" w:eastAsia="Times New Roman" w:hint="default"/>
                <w:sz w:val="18"/>
                <w:szCs w:val="18"/>
              </w:rPr>
            </w:pPr>
            <w:r>
              <w:rPr>
                <w:rFonts w:ascii="Times New Roman"/>
                <w:sz w:val="18"/>
              </w:rPr>
              <w:t>1,286.</w:t>
            </w:r>
          </w:p>
          <w:p>
            <w:pPr>
              <w:pStyle w:val="TableParagraph"/>
              <w:spacing w:line="240" w:lineRule="auto" w:before="110"/>
              <w:ind w:left="359" w:right="0"/>
              <w:jc w:val="left"/>
              <w:rPr>
                <w:rFonts w:ascii="Times New Roman" w:hAnsi="Times New Roman" w:cs="Times New Roman" w:eastAsia="Times New Roman" w:hint="default"/>
                <w:sz w:val="18"/>
                <w:szCs w:val="18"/>
              </w:rPr>
            </w:pPr>
            <w:r>
              <w:rPr>
                <w:rFonts w:ascii="Times New Roman"/>
                <w:spacing w:val="-5"/>
                <w:sz w:val="18"/>
              </w:rPr>
              <w:t>11</w:t>
            </w:r>
            <w:r>
              <w:rPr>
                <w:rFonts w:ascii="Times New Roman"/>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-11,343</w:t>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sz w:val="18"/>
              </w:rPr>
              <w:t>,129.31</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312,358</w:t>
            </w:r>
          </w:p>
          <w:p>
            <w:pPr>
              <w:pStyle w:val="TableParagraph"/>
              <w:spacing w:line="240" w:lineRule="auto" w:before="110"/>
              <w:ind w:left="81" w:right="0"/>
              <w:jc w:val="left"/>
              <w:rPr>
                <w:rFonts w:ascii="Times New Roman" w:hAnsi="Times New Roman" w:cs="Times New Roman" w:eastAsia="Times New Roman" w:hint="default"/>
                <w:sz w:val="18"/>
                <w:szCs w:val="18"/>
              </w:rPr>
            </w:pPr>
            <w:r>
              <w:rPr>
                <w:rFonts w:ascii="Times New Roman"/>
                <w:sz w:val="18"/>
              </w:rPr>
              <w:t>,156.80</w:t>
            </w:r>
          </w:p>
        </w:tc>
      </w:tr>
    </w:tbl>
    <w:p>
      <w:pPr>
        <w:spacing w:after="0" w:line="240" w:lineRule="auto"/>
        <w:jc w:val="left"/>
        <w:rPr>
          <w:rFonts w:ascii="Times New Roman" w:hAnsi="Times New Roman" w:cs="Times New Roman" w:eastAsia="Times New Roman" w:hint="default"/>
          <w:sz w:val="18"/>
          <w:szCs w:val="18"/>
        </w:rPr>
        <w:sectPr>
          <w:footerReference w:type="default" r:id="rId16"/>
          <w:pgSz w:w="11910" w:h="16840"/>
          <w:pgMar w:footer="979" w:header="741"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15"/>
        <w:gridCol w:w="490"/>
        <w:gridCol w:w="447"/>
        <w:gridCol w:w="451"/>
        <w:gridCol w:w="490"/>
        <w:gridCol w:w="577"/>
        <w:gridCol w:w="576"/>
        <w:gridCol w:w="576"/>
        <w:gridCol w:w="581"/>
        <w:gridCol w:w="576"/>
        <w:gridCol w:w="576"/>
        <w:gridCol w:w="591"/>
        <w:gridCol w:w="566"/>
        <w:gridCol w:w="566"/>
        <w:gridCol w:w="644"/>
        <w:gridCol w:w="648"/>
      </w:tblGrid>
      <w:tr>
        <w:trPr>
          <w:trHeight w:val="102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94"/>
              <w:jc w:val="left"/>
              <w:rPr>
                <w:rFonts w:ascii="宋体" w:hAnsi="宋体" w:cs="宋体" w:eastAsia="宋体" w:hint="default"/>
                <w:sz w:val="18"/>
                <w:szCs w:val="18"/>
              </w:rPr>
            </w:pPr>
            <w:r>
              <w:rPr>
                <w:rFonts w:ascii="宋体" w:hAnsi="宋体" w:cs="宋体" w:eastAsia="宋体" w:hint="default"/>
                <w:spacing w:val="-2"/>
                <w:sz w:val="18"/>
                <w:szCs w:val="18"/>
              </w:rPr>
              <w:t>（一）综合收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18,722</w:t>
            </w:r>
          </w:p>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,792.3</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321,21</w:t>
            </w:r>
          </w:p>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1,367.</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56</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339,93</w:t>
            </w:r>
          </w:p>
          <w:p>
            <w:pPr>
              <w:pStyle w:val="TableParagraph"/>
              <w:spacing w:line="240" w:lineRule="auto" w:before="100"/>
              <w:ind w:left="81" w:right="0"/>
              <w:jc w:val="left"/>
              <w:rPr>
                <w:rFonts w:ascii="Times New Roman" w:hAnsi="Times New Roman" w:cs="Times New Roman" w:eastAsia="Times New Roman" w:hint="default"/>
                <w:sz w:val="18"/>
                <w:szCs w:val="18"/>
              </w:rPr>
            </w:pPr>
            <w:r>
              <w:rPr>
                <w:rFonts w:ascii="Times New Roman"/>
                <w:sz w:val="18"/>
              </w:rPr>
              <w:t>4,159.</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93</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13,941,</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388.46</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353,875</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,548.39</w:t>
            </w:r>
          </w:p>
        </w:tc>
      </w:tr>
      <w:tr>
        <w:trPr>
          <w:trHeight w:val="102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94"/>
              <w:jc w:val="both"/>
              <w:rPr>
                <w:rFonts w:ascii="宋体" w:hAnsi="宋体" w:cs="宋体" w:eastAsia="宋体" w:hint="default"/>
                <w:sz w:val="18"/>
                <w:szCs w:val="18"/>
              </w:rPr>
            </w:pPr>
            <w:r>
              <w:rPr>
                <w:rFonts w:ascii="宋体" w:hAnsi="宋体" w:cs="宋体" w:eastAsia="宋体" w:hint="default"/>
                <w:spacing w:val="-2"/>
                <w:sz w:val="18"/>
                <w:szCs w:val="18"/>
              </w:rPr>
              <w:t>（二）所有者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投入和减少资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-7,532,</w:t>
            </w:r>
          </w:p>
          <w:p>
            <w:pPr>
              <w:pStyle w:val="TableParagraph"/>
              <w:spacing w:line="240" w:lineRule="auto" w:before="110"/>
              <w:ind w:left="115" w:right="0"/>
              <w:jc w:val="left"/>
              <w:rPr>
                <w:rFonts w:ascii="Times New Roman" w:hAnsi="Times New Roman" w:cs="Times New Roman" w:eastAsia="Times New Roman" w:hint="default"/>
                <w:sz w:val="18"/>
                <w:szCs w:val="18"/>
              </w:rPr>
            </w:pPr>
            <w:r>
              <w:rPr>
                <w:rFonts w:ascii="Times New Roman"/>
                <w:sz w:val="18"/>
              </w:rPr>
              <w:t>017.77</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-7,532,</w:t>
            </w:r>
          </w:p>
          <w:p>
            <w:pPr>
              <w:pStyle w:val="TableParagraph"/>
              <w:spacing w:line="240" w:lineRule="auto" w:before="110"/>
              <w:ind w:left="124" w:right="0"/>
              <w:jc w:val="left"/>
              <w:rPr>
                <w:rFonts w:ascii="Times New Roman" w:hAnsi="Times New Roman" w:cs="Times New Roman" w:eastAsia="Times New Roman" w:hint="default"/>
                <w:sz w:val="18"/>
                <w:szCs w:val="18"/>
              </w:rPr>
            </w:pPr>
            <w:r>
              <w:rPr>
                <w:rFonts w:ascii="Times New Roman"/>
                <w:sz w:val="18"/>
              </w:rPr>
              <w:t>017.77</w:t>
            </w:r>
          </w:p>
        </w:tc>
      </w:tr>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．所有者投入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的普通股</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．其他权益工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．股份支付计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Times New Roman" w:hAnsi="Times New Roman" w:cs="Times New Roman" w:eastAsia="Times New Roman" w:hint="default"/>
                <w:sz w:val="18"/>
                <w:szCs w:val="18"/>
              </w:rPr>
            </w:pPr>
            <w:r>
              <w:rPr>
                <w:rFonts w:ascii="Times New Roman"/>
                <w:sz w:val="18"/>
              </w:rPr>
              <w:t>-7,532,</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017.77</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-7,532,</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017.77</w:t>
            </w: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4" w:right="94"/>
              <w:jc w:val="left"/>
              <w:rPr>
                <w:rFonts w:ascii="宋体" w:hAnsi="宋体" w:cs="宋体" w:eastAsia="宋体" w:hint="default"/>
                <w:sz w:val="18"/>
                <w:szCs w:val="18"/>
              </w:rPr>
            </w:pPr>
            <w:r>
              <w:rPr>
                <w:rFonts w:ascii="宋体" w:hAnsi="宋体" w:cs="宋体" w:eastAsia="宋体" w:hint="default"/>
                <w:spacing w:val="-2"/>
                <w:sz w:val="18"/>
                <w:szCs w:val="18"/>
              </w:rPr>
              <w:t>（三）利润分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3,309,</w:t>
            </w:r>
          </w:p>
          <w:p>
            <w:pPr>
              <w:pStyle w:val="TableParagraph"/>
              <w:spacing w:line="240" w:lineRule="auto" w:before="105"/>
              <w:ind w:left="47" w:right="0"/>
              <w:jc w:val="left"/>
              <w:rPr>
                <w:rFonts w:ascii="Times New Roman" w:hAnsi="Times New Roman" w:cs="Times New Roman" w:eastAsia="Times New Roman" w:hint="default"/>
                <w:sz w:val="18"/>
                <w:szCs w:val="18"/>
              </w:rPr>
            </w:pPr>
            <w:r>
              <w:rPr>
                <w:rFonts w:ascii="Times New Roman"/>
                <w:sz w:val="18"/>
              </w:rPr>
              <w:t>958.01</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1" w:right="0"/>
              <w:jc w:val="left"/>
              <w:rPr>
                <w:rFonts w:ascii="Times New Roman" w:hAnsi="Times New Roman" w:cs="Times New Roman" w:eastAsia="Times New Roman" w:hint="default"/>
                <w:sz w:val="18"/>
                <w:szCs w:val="18"/>
              </w:rPr>
            </w:pPr>
            <w:r>
              <w:rPr>
                <w:rFonts w:ascii="Times New Roman"/>
                <w:sz w:val="18"/>
              </w:rPr>
              <w:t>-32,73</w:t>
            </w:r>
          </w:p>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4,210.</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31</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7" w:right="0"/>
              <w:jc w:val="left"/>
              <w:rPr>
                <w:rFonts w:ascii="Times New Roman" w:hAnsi="Times New Roman" w:cs="Times New Roman" w:eastAsia="Times New Roman" w:hint="default"/>
                <w:sz w:val="18"/>
                <w:szCs w:val="18"/>
              </w:rPr>
            </w:pPr>
            <w:r>
              <w:rPr>
                <w:rFonts w:ascii="Times New Roman"/>
                <w:sz w:val="18"/>
              </w:rPr>
              <w:t>-29,42</w:t>
            </w:r>
          </w:p>
          <w:p>
            <w:pPr>
              <w:pStyle w:val="TableParagraph"/>
              <w:spacing w:line="240" w:lineRule="auto" w:before="100"/>
              <w:ind w:left="81" w:right="0"/>
              <w:jc w:val="left"/>
              <w:rPr>
                <w:rFonts w:ascii="Times New Roman" w:hAnsi="Times New Roman" w:cs="Times New Roman" w:eastAsia="Times New Roman" w:hint="default"/>
                <w:sz w:val="18"/>
                <w:szCs w:val="18"/>
              </w:rPr>
            </w:pPr>
            <w:r>
              <w:rPr>
                <w:rFonts w:ascii="Times New Roman"/>
                <w:sz w:val="18"/>
              </w:rPr>
              <w:t>4,252.</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30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-17,752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,500.00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-47,176</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,752.30</w:t>
            </w:r>
          </w:p>
        </w:tc>
      </w:tr>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．提取盈余公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3,309,</w:t>
            </w:r>
          </w:p>
          <w:p>
            <w:pPr>
              <w:pStyle w:val="TableParagraph"/>
              <w:spacing w:line="240" w:lineRule="auto" w:before="110"/>
              <w:ind w:left="47" w:right="0"/>
              <w:jc w:val="left"/>
              <w:rPr>
                <w:rFonts w:ascii="Times New Roman" w:hAnsi="Times New Roman" w:cs="Times New Roman" w:eastAsia="Times New Roman" w:hint="default"/>
                <w:sz w:val="18"/>
                <w:szCs w:val="18"/>
              </w:rPr>
            </w:pPr>
            <w:r>
              <w:rPr>
                <w:rFonts w:ascii="Times New Roman"/>
                <w:sz w:val="18"/>
              </w:rPr>
              <w:t>958.01</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-3,309,</w:t>
            </w:r>
          </w:p>
          <w:p>
            <w:pPr>
              <w:pStyle w:val="TableParagraph"/>
              <w:spacing w:line="240" w:lineRule="auto" w:before="110"/>
              <w:ind w:left="62" w:right="0"/>
              <w:jc w:val="left"/>
              <w:rPr>
                <w:rFonts w:ascii="Times New Roman" w:hAnsi="Times New Roman" w:cs="Times New Roman" w:eastAsia="Times New Roman" w:hint="default"/>
                <w:sz w:val="18"/>
                <w:szCs w:val="18"/>
              </w:rPr>
            </w:pPr>
            <w:r>
              <w:rPr>
                <w:rFonts w:ascii="Times New Roman"/>
                <w:sz w:val="18"/>
              </w:rPr>
              <w:t>958.01</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．提取一般风</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21" w:lineRule="auto" w:before="58"/>
              <w:ind w:left="24" w:right="94"/>
              <w:jc w:val="left"/>
              <w:rPr>
                <w:rFonts w:ascii="宋体" w:hAnsi="宋体" w:cs="宋体" w:eastAsia="宋体" w:hint="default"/>
                <w:sz w:val="18"/>
                <w:szCs w:val="18"/>
              </w:rPr>
            </w:pPr>
            <w:r>
              <w:rPr>
                <w:rFonts w:ascii="宋体" w:hAnsi="宋体" w:cs="宋体" w:eastAsia="宋体" w:hint="default"/>
                <w:spacing w:val="-2"/>
                <w:sz w:val="18"/>
                <w:szCs w:val="18"/>
              </w:rPr>
              <w:t>（或股东）的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-29,42</w:t>
            </w:r>
          </w:p>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4,252.</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30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-29,42</w:t>
            </w:r>
          </w:p>
          <w:p>
            <w:pPr>
              <w:pStyle w:val="TableParagraph"/>
              <w:spacing w:line="240" w:lineRule="auto" w:before="100"/>
              <w:ind w:left="81" w:right="0"/>
              <w:jc w:val="left"/>
              <w:rPr>
                <w:rFonts w:ascii="Times New Roman" w:hAnsi="Times New Roman" w:cs="Times New Roman" w:eastAsia="Times New Roman" w:hint="default"/>
                <w:sz w:val="18"/>
                <w:szCs w:val="18"/>
              </w:rPr>
            </w:pPr>
            <w:r>
              <w:rPr>
                <w:rFonts w:ascii="Times New Roman"/>
                <w:sz w:val="18"/>
              </w:rPr>
              <w:t>4,252.</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30</w:t>
            </w: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-29,424</w:t>
            </w:r>
          </w:p>
          <w:p>
            <w:pPr>
              <w:pStyle w:val="TableParagraph"/>
              <w:spacing w:line="240" w:lineRule="auto" w:before="110"/>
              <w:ind w:left="81" w:right="0"/>
              <w:jc w:val="left"/>
              <w:rPr>
                <w:rFonts w:ascii="Times New Roman" w:hAnsi="Times New Roman" w:cs="Times New Roman" w:eastAsia="Times New Roman" w:hint="default"/>
                <w:sz w:val="18"/>
                <w:szCs w:val="18"/>
              </w:rPr>
            </w:pPr>
            <w:r>
              <w:rPr>
                <w:rFonts w:ascii="Times New Roman"/>
                <w:sz w:val="18"/>
              </w:rPr>
              <w:t>,252.30</w:t>
            </w:r>
          </w:p>
        </w:tc>
      </w:tr>
      <w:tr>
        <w:trPr>
          <w:trHeight w:val="716"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3" w:right="0"/>
              <w:jc w:val="left"/>
              <w:rPr>
                <w:rFonts w:ascii="Times New Roman" w:hAnsi="Times New Roman" w:cs="Times New Roman" w:eastAsia="Times New Roman" w:hint="default"/>
                <w:sz w:val="18"/>
                <w:szCs w:val="18"/>
              </w:rPr>
            </w:pPr>
            <w:r>
              <w:rPr>
                <w:rFonts w:ascii="Times New Roman"/>
                <w:sz w:val="18"/>
              </w:rPr>
              <w:t>-17,752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,500.00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2" w:right="0"/>
              <w:jc w:val="left"/>
              <w:rPr>
                <w:rFonts w:ascii="Times New Roman" w:hAnsi="Times New Roman" w:cs="Times New Roman" w:eastAsia="Times New Roman" w:hint="default"/>
                <w:sz w:val="18"/>
                <w:szCs w:val="18"/>
              </w:rPr>
            </w:pPr>
            <w:r>
              <w:rPr>
                <w:rFonts w:ascii="Times New Roman"/>
                <w:sz w:val="18"/>
              </w:rPr>
              <w:t>-17,752</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,500.00</w:t>
            </w:r>
          </w:p>
        </w:tc>
      </w:tr>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94"/>
              <w:jc w:val="left"/>
              <w:rPr>
                <w:rFonts w:ascii="宋体" w:hAnsi="宋体" w:cs="宋体" w:eastAsia="宋体" w:hint="default"/>
                <w:sz w:val="18"/>
                <w:szCs w:val="18"/>
              </w:rPr>
            </w:pPr>
            <w:r>
              <w:rPr>
                <w:rFonts w:ascii="宋体" w:hAnsi="宋体" w:cs="宋体" w:eastAsia="宋体" w:hint="default"/>
                <w:spacing w:val="-2"/>
                <w:sz w:val="18"/>
                <w:szCs w:val="18"/>
              </w:rPr>
              <w:t>（四）所有者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权益内部结转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．盈余公积弥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67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．设定受益计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划变动额结转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7"/>
          <w:pgSz w:w="11910" w:h="16840"/>
          <w:pgMar w:footer="979" w:header="741" w:top="1060" w:bottom="1160" w:left="98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15"/>
        <w:gridCol w:w="490"/>
        <w:gridCol w:w="447"/>
        <w:gridCol w:w="451"/>
        <w:gridCol w:w="490"/>
        <w:gridCol w:w="577"/>
        <w:gridCol w:w="576"/>
        <w:gridCol w:w="576"/>
        <w:gridCol w:w="581"/>
        <w:gridCol w:w="576"/>
        <w:gridCol w:w="576"/>
        <w:gridCol w:w="591"/>
        <w:gridCol w:w="566"/>
        <w:gridCol w:w="566"/>
        <w:gridCol w:w="644"/>
        <w:gridCol w:w="648"/>
      </w:tblGrid>
      <w:tr>
        <w:trPr>
          <w:trHeight w:val="360"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．其他综合收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95"/>
              <w:jc w:val="left"/>
              <w:rPr>
                <w:rFonts w:ascii="宋体" w:hAnsi="宋体" w:cs="宋体" w:eastAsia="宋体" w:hint="default"/>
                <w:sz w:val="18"/>
                <w:szCs w:val="18"/>
              </w:rPr>
            </w:pPr>
            <w:r>
              <w:rPr>
                <w:rFonts w:ascii="宋体" w:hAnsi="宋体" w:cs="宋体" w:eastAsia="宋体" w:hint="default"/>
                <w:spacing w:val="-2"/>
                <w:sz w:val="18"/>
                <w:szCs w:val="18"/>
              </w:rPr>
              <w:t>（五）专项储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pacing w:val="-4"/>
                <w:sz w:val="18"/>
                <w:szCs w:val="18"/>
              </w:rPr>
              <w:t>（六）其他</w:t>
            </w:r>
            <w:r>
              <w:rPr>
                <w:rFonts w:ascii="宋体" w:hAnsi="宋体" w:cs="宋体" w:eastAsia="宋体" w:hint="default"/>
                <w:sz w:val="18"/>
                <w:szCs w:val="18"/>
              </w:rPr>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13,191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,378.4</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13,191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,378.4</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13,191,</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378.48</w:t>
            </w: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21" w:lineRule="auto"/>
              <w:ind w:left="24" w:right="94"/>
              <w:jc w:val="left"/>
              <w:rPr>
                <w:rFonts w:ascii="宋体" w:hAnsi="宋体" w:cs="宋体" w:eastAsia="宋体" w:hint="default"/>
                <w:sz w:val="18"/>
                <w:szCs w:val="18"/>
              </w:rPr>
            </w:pPr>
            <w:r>
              <w:rPr>
                <w:rFonts w:ascii="宋体" w:hAnsi="宋体" w:cs="宋体" w:eastAsia="宋体" w:hint="default"/>
                <w:spacing w:val="-2"/>
                <w:sz w:val="18"/>
                <w:szCs w:val="18"/>
              </w:rPr>
              <w:t>四、本期期末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center"/>
              <w:rPr>
                <w:rFonts w:ascii="Times New Roman" w:hAnsi="Times New Roman" w:cs="Times New Roman" w:eastAsia="Times New Roman" w:hint="default"/>
                <w:sz w:val="18"/>
                <w:szCs w:val="18"/>
              </w:rPr>
            </w:pPr>
            <w:r>
              <w:rPr>
                <w:rFonts w:ascii="Times New Roman"/>
                <w:sz w:val="18"/>
              </w:rPr>
              <w:t>73,89</w:t>
            </w:r>
          </w:p>
          <w:p>
            <w:pPr>
              <w:pStyle w:val="TableParagraph"/>
              <w:spacing w:line="240" w:lineRule="auto" w:before="100"/>
              <w:ind w:left="33" w:right="0"/>
              <w:jc w:val="center"/>
              <w:rPr>
                <w:rFonts w:ascii="Times New Roman" w:hAnsi="Times New Roman" w:cs="Times New Roman" w:eastAsia="Times New Roman" w:hint="default"/>
                <w:sz w:val="18"/>
                <w:szCs w:val="18"/>
              </w:rPr>
            </w:pPr>
            <w:r>
              <w:rPr>
                <w:rFonts w:ascii="Times New Roman"/>
                <w:sz w:val="18"/>
              </w:rPr>
              <w:t>2,895</w:t>
            </w:r>
          </w:p>
          <w:p>
            <w:pPr>
              <w:pStyle w:val="TableParagraph"/>
              <w:spacing w:line="240" w:lineRule="auto" w:before="110"/>
              <w:ind w:left="210" w:right="0"/>
              <w:jc w:val="center"/>
              <w:rPr>
                <w:rFonts w:ascii="Times New Roman" w:hAnsi="Times New Roman" w:cs="Times New Roman" w:eastAsia="Times New Roman" w:hint="default"/>
                <w:sz w:val="18"/>
                <w:szCs w:val="18"/>
              </w:rPr>
            </w:pPr>
            <w:r>
              <w:rPr>
                <w:rFonts w:ascii="Times New Roman"/>
                <w:sz w:val="18"/>
              </w:rPr>
              <w:t>.00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8" w:right="0"/>
              <w:jc w:val="center"/>
              <w:rPr>
                <w:rFonts w:ascii="Times New Roman" w:hAnsi="Times New Roman" w:cs="Times New Roman" w:eastAsia="Times New Roman" w:hint="default"/>
                <w:sz w:val="18"/>
                <w:szCs w:val="18"/>
              </w:rPr>
            </w:pPr>
            <w:r>
              <w:rPr>
                <w:rFonts w:ascii="Times New Roman"/>
                <w:sz w:val="18"/>
              </w:rPr>
              <w:t>1,613,</w:t>
            </w:r>
          </w:p>
          <w:p>
            <w:pPr>
              <w:pStyle w:val="TableParagraph"/>
              <w:spacing w:line="240" w:lineRule="auto" w:before="100"/>
              <w:ind w:left="28" w:right="0"/>
              <w:jc w:val="center"/>
              <w:rPr>
                <w:rFonts w:ascii="Times New Roman" w:hAnsi="Times New Roman" w:cs="Times New Roman" w:eastAsia="Times New Roman" w:hint="default"/>
                <w:sz w:val="18"/>
                <w:szCs w:val="18"/>
              </w:rPr>
            </w:pPr>
            <w:r>
              <w:rPr>
                <w:rFonts w:ascii="Times New Roman"/>
                <w:sz w:val="18"/>
              </w:rPr>
              <w:t>545,65</w:t>
            </w:r>
          </w:p>
          <w:p>
            <w:pPr>
              <w:pStyle w:val="TableParagraph"/>
              <w:spacing w:line="240" w:lineRule="auto" w:before="110"/>
              <w:ind w:left="206" w:right="0"/>
              <w:jc w:val="center"/>
              <w:rPr>
                <w:rFonts w:ascii="Times New Roman" w:hAnsi="Times New Roman" w:cs="Times New Roman" w:eastAsia="Times New Roman" w:hint="default"/>
                <w:sz w:val="18"/>
                <w:szCs w:val="18"/>
              </w:rPr>
            </w:pPr>
            <w:r>
              <w:rPr>
                <w:rFonts w:ascii="Times New Roman"/>
                <w:sz w:val="18"/>
              </w:rPr>
              <w:t>3.79</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6,508,</w:t>
            </w:r>
          </w:p>
          <w:p>
            <w:pPr>
              <w:pStyle w:val="TableParagraph"/>
              <w:spacing w:line="240" w:lineRule="auto" w:before="110"/>
              <w:ind w:left="52" w:right="0"/>
              <w:jc w:val="left"/>
              <w:rPr>
                <w:rFonts w:ascii="Times New Roman" w:hAnsi="Times New Roman" w:cs="Times New Roman" w:eastAsia="Times New Roman" w:hint="default"/>
                <w:sz w:val="18"/>
                <w:szCs w:val="18"/>
              </w:rPr>
            </w:pPr>
            <w:r>
              <w:rPr>
                <w:rFonts w:ascii="Times New Roman"/>
                <w:sz w:val="18"/>
              </w:rPr>
              <w:t>319.20</w:t>
            </w: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12,253</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,120.8</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3" w:right="0"/>
              <w:jc w:val="center"/>
              <w:rPr>
                <w:rFonts w:ascii="Times New Roman" w:hAnsi="Times New Roman" w:cs="Times New Roman" w:eastAsia="Times New Roman" w:hint="default"/>
                <w:sz w:val="18"/>
                <w:szCs w:val="18"/>
              </w:rPr>
            </w:pPr>
            <w:r>
              <w:rPr>
                <w:rFonts w:ascii="Times New Roman"/>
                <w:sz w:val="18"/>
              </w:rPr>
              <w:t>1,183,</w:t>
            </w:r>
          </w:p>
          <w:p>
            <w:pPr>
              <w:pStyle w:val="TableParagraph"/>
              <w:spacing w:line="240" w:lineRule="auto" w:before="100"/>
              <w:ind w:left="42" w:right="0"/>
              <w:jc w:val="center"/>
              <w:rPr>
                <w:rFonts w:ascii="Times New Roman" w:hAnsi="Times New Roman" w:cs="Times New Roman" w:eastAsia="Times New Roman" w:hint="default"/>
                <w:sz w:val="18"/>
                <w:szCs w:val="18"/>
              </w:rPr>
            </w:pPr>
            <w:r>
              <w:rPr>
                <w:rFonts w:ascii="Times New Roman"/>
                <w:sz w:val="18"/>
              </w:rPr>
              <w:t>914,07</w:t>
            </w:r>
          </w:p>
          <w:p>
            <w:pPr>
              <w:pStyle w:val="TableParagraph"/>
              <w:spacing w:line="240" w:lineRule="auto" w:before="110"/>
              <w:ind w:left="219" w:right="0"/>
              <w:jc w:val="center"/>
              <w:rPr>
                <w:rFonts w:ascii="Times New Roman" w:hAnsi="Times New Roman" w:cs="Times New Roman" w:eastAsia="Times New Roman" w:hint="default"/>
                <w:sz w:val="18"/>
                <w:szCs w:val="18"/>
              </w:rPr>
            </w:pPr>
            <w:r>
              <w:rPr>
                <w:rFonts w:ascii="Times New Roman"/>
                <w:sz w:val="18"/>
              </w:rPr>
              <w:t>3.79</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9" w:right="0"/>
              <w:jc w:val="center"/>
              <w:rPr>
                <w:rFonts w:ascii="Times New Roman" w:hAnsi="Times New Roman" w:cs="Times New Roman" w:eastAsia="Times New Roman" w:hint="default"/>
                <w:sz w:val="18"/>
                <w:szCs w:val="18"/>
              </w:rPr>
            </w:pPr>
            <w:r>
              <w:rPr>
                <w:rFonts w:ascii="Times New Roman"/>
                <w:sz w:val="18"/>
              </w:rPr>
              <w:t>2,890,</w:t>
            </w:r>
          </w:p>
          <w:p>
            <w:pPr>
              <w:pStyle w:val="TableParagraph"/>
              <w:spacing w:line="240" w:lineRule="auto" w:before="100"/>
              <w:ind w:left="23" w:right="0"/>
              <w:jc w:val="center"/>
              <w:rPr>
                <w:rFonts w:ascii="Times New Roman" w:hAnsi="Times New Roman" w:cs="Times New Roman" w:eastAsia="Times New Roman" w:hint="default"/>
                <w:sz w:val="18"/>
                <w:szCs w:val="18"/>
              </w:rPr>
            </w:pPr>
            <w:r>
              <w:rPr>
                <w:rFonts w:ascii="Times New Roman"/>
                <w:sz w:val="18"/>
              </w:rPr>
              <w:t>114,06</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2.64</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19,621,</w:t>
            </w:r>
          </w:p>
          <w:p>
            <w:pPr>
              <w:pStyle w:val="TableParagraph"/>
              <w:spacing w:line="240" w:lineRule="auto" w:before="110"/>
              <w:ind w:left="115" w:right="0"/>
              <w:jc w:val="left"/>
              <w:rPr>
                <w:rFonts w:ascii="Times New Roman" w:hAnsi="Times New Roman" w:cs="Times New Roman" w:eastAsia="Times New Roman" w:hint="default"/>
                <w:sz w:val="18"/>
                <w:szCs w:val="18"/>
              </w:rPr>
            </w:pPr>
            <w:r>
              <w:rPr>
                <w:rFonts w:ascii="Times New Roman"/>
                <w:sz w:val="18"/>
              </w:rPr>
              <w:t>860.99</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2,909,7</w:t>
            </w:r>
          </w:p>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35,923.</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63</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bookmarkStart w:name="8、母公司所有者权益变动表" w:id="166"/>
      <w:bookmarkEnd w:id="166"/>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2"/>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82"/>
        <w:gridCol w:w="641"/>
        <w:gridCol w:w="605"/>
        <w:gridCol w:w="605"/>
        <w:gridCol w:w="605"/>
        <w:gridCol w:w="725"/>
        <w:gridCol w:w="725"/>
        <w:gridCol w:w="730"/>
        <w:gridCol w:w="725"/>
        <w:gridCol w:w="725"/>
        <w:gridCol w:w="614"/>
        <w:gridCol w:w="711"/>
        <w:gridCol w:w="864"/>
      </w:tblGrid>
      <w:tr>
        <w:trPr>
          <w:trHeight w:val="422" w:hRule="exact"/>
        </w:trPr>
        <w:tc>
          <w:tcPr>
            <w:tcW w:w="128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76"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182" w:hRule="exact"/>
        </w:trPr>
        <w:tc>
          <w:tcPr>
            <w:tcW w:w="12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4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1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4"/>
              <w:ind w:left="36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7"/>
              <w:ind w:left="268" w:right="79" w:hanging="178"/>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7"/>
              <w:ind w:left="269" w:right="12" w:hanging="246"/>
              <w:jc w:val="left"/>
              <w:rPr>
                <w:rFonts w:ascii="宋体" w:hAnsi="宋体" w:cs="宋体" w:eastAsia="宋体" w:hint="default"/>
                <w:sz w:val="18"/>
                <w:szCs w:val="18"/>
              </w:rPr>
            </w:pPr>
            <w:r>
              <w:rPr>
                <w:rFonts w:ascii="宋体" w:hAnsi="宋体" w:cs="宋体" w:eastAsia="宋体" w:hint="default"/>
                <w:spacing w:val="-14"/>
                <w:sz w:val="18"/>
                <w:szCs w:val="18"/>
              </w:rPr>
              <w:t>减：库存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7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7"/>
              <w:ind w:left="91" w:right="84"/>
              <w:jc w:val="left"/>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7"/>
              <w:ind w:left="268" w:right="79" w:hanging="178"/>
              <w:jc w:val="left"/>
              <w:rPr>
                <w:rFonts w:ascii="宋体" w:hAnsi="宋体" w:cs="宋体" w:eastAsia="宋体" w:hint="default"/>
                <w:sz w:val="18"/>
                <w:szCs w:val="18"/>
              </w:rPr>
            </w:pPr>
            <w:r>
              <w:rPr>
                <w:rFonts w:ascii="宋体" w:hAnsi="宋体" w:cs="宋体" w:eastAsia="宋体" w:hint="default"/>
                <w:sz w:val="18"/>
                <w:szCs w:val="18"/>
              </w:rPr>
              <w:t>专项储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7"/>
              <w:ind w:left="268" w:right="80" w:hanging="178"/>
              <w:jc w:val="left"/>
              <w:rPr>
                <w:rFonts w:ascii="宋体" w:hAnsi="宋体" w:cs="宋体" w:eastAsia="宋体" w:hint="default"/>
                <w:sz w:val="18"/>
                <w:szCs w:val="18"/>
              </w:rPr>
            </w:pPr>
            <w:r>
              <w:rPr>
                <w:rFonts w:ascii="宋体" w:hAnsi="宋体" w:cs="宋体" w:eastAsia="宋体" w:hint="default"/>
                <w:sz w:val="18"/>
                <w:szCs w:val="18"/>
              </w:rPr>
              <w:t>盈余公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7"/>
              <w:ind w:left="119" w:right="26" w:hanging="87"/>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w:t>
            </w:r>
          </w:p>
        </w:tc>
        <w:tc>
          <w:tcPr>
            <w:tcW w:w="711" w:type="dxa"/>
            <w:tcBorders>
              <w:top w:val="single" w:sz="4" w:space="0" w:color="000000"/>
              <w:left w:val="single" w:sz="4" w:space="0" w:color="000000"/>
              <w:bottom w:val="nil" w:sz="6" w:space="0" w:color="auto"/>
              <w:right w:val="single" w:sz="4" w:space="0" w:color="000000"/>
            </w:tcBorders>
            <w:shd w:val="clear" w:color="auto" w:fill="D2D2D2"/>
          </w:tcPr>
          <w:p>
            <w:pPr/>
          </w:p>
        </w:tc>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7"/>
              <w:ind w:left="158" w:right="60" w:hanging="92"/>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益合计</w:t>
            </w:r>
          </w:p>
        </w:tc>
      </w:tr>
      <w:tr>
        <w:trPr>
          <w:trHeight w:val="192" w:hRule="exact"/>
        </w:trPr>
        <w:tc>
          <w:tcPr>
            <w:tcW w:w="1282" w:type="dxa"/>
            <w:vMerge/>
            <w:tcBorders>
              <w:left w:val="single" w:sz="4" w:space="0" w:color="000000"/>
              <w:bottom w:val="nil" w:sz="6" w:space="0" w:color="auto"/>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5" w:type="dxa"/>
            <w:gridSpan w:val="3"/>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30"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614" w:type="dxa"/>
            <w:vMerge/>
            <w:tcBorders>
              <w:left w:val="single" w:sz="4" w:space="0" w:color="000000"/>
              <w:right w:val="single" w:sz="4" w:space="0" w:color="000000"/>
            </w:tcBorders>
            <w:shd w:val="clear" w:color="auto" w:fill="D2D2D2"/>
          </w:tcPr>
          <w:p>
            <w:pPr/>
          </w:p>
        </w:tc>
        <w:tc>
          <w:tcPr>
            <w:tcW w:w="7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6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4" w:type="dxa"/>
            <w:vMerge/>
            <w:tcBorders>
              <w:left w:val="single" w:sz="4" w:space="0" w:color="000000"/>
              <w:right w:val="single" w:sz="4" w:space="0" w:color="000000"/>
            </w:tcBorders>
            <w:shd w:val="clear" w:color="auto" w:fill="D2D2D2"/>
          </w:tcPr>
          <w:p>
            <w:pPr/>
          </w:p>
        </w:tc>
      </w:tr>
      <w:tr>
        <w:trPr>
          <w:trHeight w:val="202" w:hRule="exact"/>
        </w:trPr>
        <w:tc>
          <w:tcPr>
            <w:tcW w:w="1282" w:type="dxa"/>
            <w:vMerge w:val="restart"/>
            <w:tcBorders>
              <w:top w:val="nil" w:sz="6" w:space="0" w:color="auto"/>
              <w:left w:val="single" w:sz="4" w:space="0" w:color="000000"/>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2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2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1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5"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30"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614" w:type="dxa"/>
            <w:vMerge/>
            <w:tcBorders>
              <w:left w:val="single" w:sz="4" w:space="0" w:color="000000"/>
              <w:right w:val="single" w:sz="4" w:space="0" w:color="000000"/>
            </w:tcBorders>
            <w:shd w:val="clear" w:color="auto" w:fill="D2D2D2"/>
          </w:tcPr>
          <w:p>
            <w:pPr/>
          </w:p>
        </w:tc>
        <w:tc>
          <w:tcPr>
            <w:tcW w:w="711" w:type="dxa"/>
            <w:vMerge/>
            <w:tcBorders>
              <w:left w:val="single" w:sz="4" w:space="0" w:color="000000"/>
              <w:bottom w:val="nil" w:sz="6" w:space="0" w:color="auto"/>
              <w:right w:val="single" w:sz="4" w:space="0" w:color="000000"/>
            </w:tcBorders>
            <w:shd w:val="clear" w:color="auto" w:fill="D2D2D2"/>
          </w:tcPr>
          <w:p>
            <w:pPr/>
          </w:p>
        </w:tc>
        <w:tc>
          <w:tcPr>
            <w:tcW w:w="864" w:type="dxa"/>
            <w:vMerge/>
            <w:tcBorders>
              <w:left w:val="single" w:sz="4" w:space="0" w:color="000000"/>
              <w:right w:val="single" w:sz="4" w:space="0" w:color="000000"/>
            </w:tcBorders>
            <w:shd w:val="clear" w:color="auto" w:fill="D2D2D2"/>
          </w:tcPr>
          <w:p>
            <w:pPr/>
          </w:p>
        </w:tc>
      </w:tr>
      <w:tr>
        <w:trPr>
          <w:trHeight w:val="185" w:hRule="exact"/>
        </w:trPr>
        <w:tc>
          <w:tcPr>
            <w:tcW w:w="1282" w:type="dxa"/>
            <w:vMerge/>
            <w:tcBorders>
              <w:left w:val="single" w:sz="4" w:space="0" w:color="000000"/>
              <w:bottom w:val="single" w:sz="4" w:space="0" w:color="000000"/>
              <w:right w:val="single" w:sz="4" w:space="0" w:color="000000"/>
            </w:tcBorders>
            <w:shd w:val="clear" w:color="auto" w:fill="D2D2D2"/>
          </w:tcPr>
          <w:p>
            <w:pPr/>
          </w:p>
        </w:tc>
        <w:tc>
          <w:tcPr>
            <w:tcW w:w="6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30"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614" w:type="dxa"/>
            <w:vMerge/>
            <w:tcBorders>
              <w:left w:val="single" w:sz="4" w:space="0" w:color="000000"/>
              <w:bottom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single" w:sz="4" w:space="0" w:color="000000"/>
              <w:right w:val="single" w:sz="4" w:space="0" w:color="000000"/>
            </w:tcBorders>
            <w:shd w:val="clear" w:color="auto" w:fill="D2D2D2"/>
          </w:tcPr>
          <w:p>
            <w:pPr/>
          </w:p>
        </w:tc>
        <w:tc>
          <w:tcPr>
            <w:tcW w:w="864" w:type="dxa"/>
            <w:vMerge/>
            <w:tcBorders>
              <w:left w:val="single" w:sz="4" w:space="0" w:color="000000"/>
              <w:bottom w:val="single" w:sz="4" w:space="0" w:color="000000"/>
              <w:right w:val="single" w:sz="4" w:space="0" w:color="000000"/>
            </w:tcBorders>
            <w:shd w:val="clear" w:color="auto" w:fill="D2D2D2"/>
          </w:tcPr>
          <w:p>
            <w:pPr/>
          </w:p>
        </w:tc>
      </w:tr>
      <w:tr>
        <w:trPr>
          <w:trHeight w:val="185" w:hRule="exact"/>
        </w:trPr>
        <w:tc>
          <w:tcPr>
            <w:tcW w:w="12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41" w:type="dxa"/>
            <w:vMerge w:val="restart"/>
            <w:tcBorders>
              <w:top w:val="single" w:sz="4" w:space="0" w:color="000000"/>
              <w:left w:val="single" w:sz="10" w:space="0" w:color="D2D2D2"/>
              <w:right w:val="single" w:sz="4" w:space="0" w:color="000000"/>
            </w:tcBorders>
          </w:tcPr>
          <w:p>
            <w:pPr>
              <w:pStyle w:val="TableParagraph"/>
              <w:spacing w:line="240" w:lineRule="auto" w:before="117"/>
              <w:ind w:right="17"/>
              <w:jc w:val="right"/>
              <w:rPr>
                <w:rFonts w:ascii="Times New Roman" w:hAnsi="Times New Roman" w:cs="Times New Roman" w:eastAsia="Times New Roman" w:hint="default"/>
                <w:sz w:val="18"/>
                <w:szCs w:val="18"/>
              </w:rPr>
            </w:pPr>
            <w:r>
              <w:rPr>
                <w:rFonts w:ascii="Times New Roman"/>
                <w:spacing w:val="-1"/>
                <w:sz w:val="18"/>
              </w:rPr>
              <w:t>700,57</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7,436.0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17" w:space="0" w:color="D2D2D2"/>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2,610,66</w:t>
            </w:r>
          </w:p>
          <w:p>
            <w:pPr>
              <w:pStyle w:val="TableParagraph"/>
              <w:spacing w:line="240" w:lineRule="auto" w:before="105"/>
              <w:ind w:left="67" w:right="0"/>
              <w:jc w:val="left"/>
              <w:rPr>
                <w:rFonts w:ascii="Times New Roman" w:hAnsi="Times New Roman" w:cs="Times New Roman" w:eastAsia="Times New Roman" w:hint="default"/>
                <w:sz w:val="18"/>
                <w:szCs w:val="18"/>
              </w:rPr>
            </w:pPr>
            <w:r>
              <w:rPr>
                <w:rFonts w:ascii="Times New Roman"/>
                <w:sz w:val="18"/>
              </w:rPr>
              <w:t>9,983.51</w:t>
            </w:r>
          </w:p>
        </w:tc>
        <w:tc>
          <w:tcPr>
            <w:tcW w:w="725" w:type="dxa"/>
            <w:vMerge w:val="restart"/>
            <w:tcBorders>
              <w:top w:val="single" w:sz="17" w:space="0" w:color="D2D2D2"/>
              <w:left w:val="single" w:sz="4" w:space="0" w:color="000000"/>
              <w:right w:val="single" w:sz="4" w:space="0" w:color="000000"/>
            </w:tcBorders>
          </w:tcPr>
          <w:p>
            <w:pPr/>
          </w:p>
        </w:tc>
        <w:tc>
          <w:tcPr>
            <w:tcW w:w="730" w:type="dxa"/>
            <w:vMerge w:val="restart"/>
            <w:tcBorders>
              <w:top w:val="single" w:sz="17" w:space="0" w:color="D2D2D2"/>
              <w:left w:val="single" w:sz="4" w:space="0" w:color="000000"/>
              <w:right w:val="single" w:sz="4" w:space="0" w:color="000000"/>
            </w:tcBorders>
          </w:tcPr>
          <w:p>
            <w:pPr/>
          </w:p>
        </w:tc>
        <w:tc>
          <w:tcPr>
            <w:tcW w:w="725" w:type="dxa"/>
            <w:vMerge w:val="restart"/>
            <w:tcBorders>
              <w:top w:val="single" w:sz="17" w:space="0" w:color="D2D2D2"/>
              <w:left w:val="single" w:sz="4" w:space="0" w:color="000000"/>
              <w:right w:val="single" w:sz="4" w:space="0" w:color="000000"/>
            </w:tcBorders>
          </w:tcPr>
          <w:p>
            <w:pPr/>
          </w:p>
        </w:tc>
        <w:tc>
          <w:tcPr>
            <w:tcW w:w="725" w:type="dxa"/>
            <w:vMerge w:val="restart"/>
            <w:tcBorders>
              <w:top w:val="single" w:sz="17" w:space="0" w:color="D2D2D2"/>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40,552,4</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17.37</w:t>
            </w:r>
          </w:p>
        </w:tc>
        <w:tc>
          <w:tcPr>
            <w:tcW w:w="614" w:type="dxa"/>
            <w:vMerge w:val="restart"/>
            <w:tcBorders>
              <w:top w:val="single" w:sz="17" w:space="0" w:color="D2D2D2"/>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32,904,</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671.42</w:t>
            </w:r>
          </w:p>
        </w:tc>
        <w:tc>
          <w:tcPr>
            <w:tcW w:w="711" w:type="dxa"/>
            <w:vMerge w:val="restart"/>
            <w:tcBorders>
              <w:top w:val="single" w:sz="4" w:space="0" w:color="000000"/>
              <w:left w:val="single" w:sz="4" w:space="0" w:color="000000"/>
              <w:right w:val="single" w:sz="4" w:space="0" w:color="000000"/>
            </w:tcBorders>
          </w:tcPr>
          <w:p>
            <w:pPr/>
          </w:p>
        </w:tc>
        <w:tc>
          <w:tcPr>
            <w:tcW w:w="864" w:type="dxa"/>
            <w:vMerge w:val="restart"/>
            <w:tcBorders>
              <w:top w:val="single" w:sz="17" w:space="0" w:color="D2D2D2"/>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3,384,704,</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508.30</w:t>
            </w:r>
          </w:p>
        </w:tc>
      </w:tr>
      <w:tr>
        <w:trPr>
          <w:trHeight w:val="701" w:hRule="exact"/>
        </w:trPr>
        <w:tc>
          <w:tcPr>
            <w:tcW w:w="12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1" w:right="5"/>
              <w:jc w:val="left"/>
              <w:rPr>
                <w:rFonts w:ascii="宋体" w:hAnsi="宋体" w:cs="宋体" w:eastAsia="宋体" w:hint="default"/>
                <w:sz w:val="18"/>
                <w:szCs w:val="18"/>
              </w:rPr>
            </w:pPr>
            <w:r>
              <w:rPr>
                <w:rFonts w:ascii="宋体" w:hAnsi="宋体" w:cs="宋体" w:eastAsia="宋体" w:hint="default"/>
                <w:spacing w:val="-4"/>
                <w:sz w:val="18"/>
                <w:szCs w:val="18"/>
              </w:rPr>
              <w:t>一、上年期末余</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额</w:t>
            </w:r>
          </w:p>
        </w:tc>
        <w:tc>
          <w:tcPr>
            <w:tcW w:w="641"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30"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r>
      <w:tr>
        <w:trPr>
          <w:trHeight w:val="163" w:hRule="exact"/>
        </w:trPr>
        <w:tc>
          <w:tcPr>
            <w:tcW w:w="12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41"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30"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614"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r>
      <w:tr>
        <w:trPr>
          <w:trHeight w:val="711"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5" w:firstLine="360"/>
              <w:jc w:val="left"/>
              <w:rPr>
                <w:rFonts w:ascii="宋体" w:hAnsi="宋体" w:cs="宋体" w:eastAsia="宋体" w:hint="default"/>
                <w:sz w:val="18"/>
                <w:szCs w:val="18"/>
              </w:rPr>
            </w:pPr>
            <w:r>
              <w:rPr>
                <w:rFonts w:ascii="宋体" w:hAnsi="宋体" w:cs="宋体" w:eastAsia="宋体" w:hint="default"/>
                <w:spacing w:val="-4"/>
                <w:sz w:val="18"/>
                <w:szCs w:val="18"/>
              </w:rPr>
              <w:t>加：会计政</w:t>
            </w:r>
            <w:r>
              <w:rPr>
                <w:rFonts w:ascii="宋体" w:hAnsi="宋体" w:cs="宋体" w:eastAsia="宋体" w:hint="default"/>
                <w:w w:val="101"/>
                <w:sz w:val="18"/>
                <w:szCs w:val="18"/>
              </w:rPr>
              <w:t> </w:t>
            </w:r>
            <w:r>
              <w:rPr>
                <w:rFonts w:ascii="宋体" w:hAnsi="宋体" w:cs="宋体" w:eastAsia="宋体" w:hint="default"/>
                <w:sz w:val="18"/>
                <w:szCs w:val="18"/>
              </w:rPr>
              <w:t>策变更</w:t>
            </w:r>
          </w:p>
        </w:tc>
        <w:tc>
          <w:tcPr>
            <w:tcW w:w="641"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8,263,50</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1.24</w:t>
            </w: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-147,861</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.34</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-1,330,</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752.07</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6,784,887.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83</w:t>
            </w:r>
          </w:p>
        </w:tc>
      </w:tr>
      <w:tr>
        <w:trPr>
          <w:trHeight w:val="715"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173"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641"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41"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64" w:hRule="exact"/>
        </w:trPr>
        <w:tc>
          <w:tcPr>
            <w:tcW w:w="12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41" w:type="dxa"/>
            <w:vMerge w:val="restart"/>
            <w:tcBorders>
              <w:top w:val="single" w:sz="4" w:space="0" w:color="000000"/>
              <w:left w:val="single" w:sz="10" w:space="0" w:color="D2D2D2"/>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700,57</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7,436.0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2,610,66</w:t>
            </w:r>
          </w:p>
          <w:p>
            <w:pPr>
              <w:pStyle w:val="TableParagraph"/>
              <w:spacing w:line="240" w:lineRule="auto" w:before="105"/>
              <w:ind w:left="67" w:right="0"/>
              <w:jc w:val="left"/>
              <w:rPr>
                <w:rFonts w:ascii="Times New Roman" w:hAnsi="Times New Roman" w:cs="Times New Roman" w:eastAsia="Times New Roman" w:hint="default"/>
                <w:sz w:val="18"/>
                <w:szCs w:val="18"/>
              </w:rPr>
            </w:pPr>
            <w:r>
              <w:rPr>
                <w:rFonts w:ascii="Times New Roman"/>
                <w:sz w:val="18"/>
              </w:rPr>
              <w:t>9,983.51</w:t>
            </w:r>
          </w:p>
        </w:tc>
        <w:tc>
          <w:tcPr>
            <w:tcW w:w="725" w:type="dxa"/>
            <w:vMerge w:val="restart"/>
            <w:tcBorders>
              <w:top w:val="single" w:sz="4" w:space="0" w:color="000000"/>
              <w:left w:val="single" w:sz="4" w:space="0" w:color="000000"/>
              <w:right w:val="single" w:sz="4" w:space="0" w:color="000000"/>
            </w:tcBorders>
          </w:tcPr>
          <w:p>
            <w:pPr/>
          </w:p>
        </w:tc>
        <w:tc>
          <w:tcPr>
            <w:tcW w:w="73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8,263,50</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1.24</w:t>
            </w:r>
          </w:p>
        </w:tc>
        <w:tc>
          <w:tcPr>
            <w:tcW w:w="725"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40,404,5</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56.03</w:t>
            </w:r>
          </w:p>
        </w:tc>
        <w:tc>
          <w:tcPr>
            <w:tcW w:w="61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31,573,</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919.35</w:t>
            </w:r>
          </w:p>
        </w:tc>
        <w:tc>
          <w:tcPr>
            <w:tcW w:w="711" w:type="dxa"/>
            <w:vMerge w:val="restart"/>
            <w:tcBorders>
              <w:top w:val="single" w:sz="4" w:space="0" w:color="000000"/>
              <w:left w:val="single" w:sz="4" w:space="0" w:color="000000"/>
              <w:right w:val="single" w:sz="4" w:space="0" w:color="000000"/>
            </w:tcBorders>
          </w:tcPr>
          <w:p>
            <w:pPr/>
          </w:p>
        </w:tc>
        <w:tc>
          <w:tcPr>
            <w:tcW w:w="8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3,391,489,</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396.13</w:t>
            </w:r>
          </w:p>
        </w:tc>
      </w:tr>
      <w:tr>
        <w:trPr>
          <w:trHeight w:val="701" w:hRule="exact"/>
        </w:trPr>
        <w:tc>
          <w:tcPr>
            <w:tcW w:w="12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1" w:right="5"/>
              <w:jc w:val="left"/>
              <w:rPr>
                <w:rFonts w:ascii="宋体" w:hAnsi="宋体" w:cs="宋体" w:eastAsia="宋体" w:hint="default"/>
                <w:sz w:val="18"/>
                <w:szCs w:val="18"/>
              </w:rPr>
            </w:pPr>
            <w:r>
              <w:rPr>
                <w:rFonts w:ascii="宋体" w:hAnsi="宋体" w:cs="宋体" w:eastAsia="宋体" w:hint="default"/>
                <w:spacing w:val="-4"/>
                <w:sz w:val="18"/>
                <w:szCs w:val="18"/>
              </w:rPr>
              <w:t>二、本年期初余</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额</w:t>
            </w:r>
          </w:p>
        </w:tc>
        <w:tc>
          <w:tcPr>
            <w:tcW w:w="641"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30"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r>
      <w:tr>
        <w:trPr>
          <w:trHeight w:val="163" w:hRule="exact"/>
        </w:trPr>
        <w:tc>
          <w:tcPr>
            <w:tcW w:w="12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41"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30"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614"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r>
      <w:tr>
        <w:trPr>
          <w:trHeight w:val="1023"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5"/>
              <w:jc w:val="both"/>
              <w:rPr>
                <w:rFonts w:ascii="宋体" w:hAnsi="宋体" w:cs="宋体" w:eastAsia="宋体" w:hint="default"/>
                <w:sz w:val="18"/>
                <w:szCs w:val="18"/>
              </w:rPr>
            </w:pPr>
            <w:r>
              <w:rPr>
                <w:rFonts w:ascii="宋体" w:hAnsi="宋体" w:cs="宋体" w:eastAsia="宋体" w:hint="default"/>
                <w:spacing w:val="-4"/>
                <w:sz w:val="18"/>
                <w:szCs w:val="18"/>
              </w:rPr>
              <w:t>三、本期增减变</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4"/>
                <w:sz w:val="18"/>
                <w:szCs w:val="18"/>
              </w:rPr>
              <w:t>动金额（减少以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41"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661,539.</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63</w:t>
            </w: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6,960,03</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0.99</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13,818,</w:t>
            </w:r>
          </w:p>
          <w:p>
            <w:pPr>
              <w:pStyle w:val="TableParagraph"/>
              <w:spacing w:line="240" w:lineRule="auto" w:before="110"/>
              <w:ind w:left="86" w:right="0"/>
              <w:jc w:val="left"/>
              <w:rPr>
                <w:rFonts w:ascii="Times New Roman" w:hAnsi="Times New Roman" w:cs="Times New Roman" w:eastAsia="Times New Roman" w:hint="default"/>
                <w:sz w:val="18"/>
                <w:szCs w:val="18"/>
              </w:rPr>
            </w:pPr>
            <w:r>
              <w:rPr>
                <w:rFonts w:ascii="Times New Roman"/>
                <w:sz w:val="18"/>
              </w:rPr>
              <w:t>661.87</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21,440,23</w:t>
            </w:r>
          </w:p>
          <w:p>
            <w:pPr>
              <w:pStyle w:val="TableParagraph"/>
              <w:spacing w:line="240" w:lineRule="auto" w:before="110"/>
              <w:ind w:left="513" w:right="0"/>
              <w:jc w:val="left"/>
              <w:rPr>
                <w:rFonts w:ascii="Times New Roman" w:hAnsi="Times New Roman" w:cs="Times New Roman" w:eastAsia="Times New Roman" w:hint="default"/>
                <w:sz w:val="18"/>
                <w:szCs w:val="18"/>
              </w:rPr>
            </w:pPr>
            <w:r>
              <w:rPr>
                <w:rFonts w:ascii="Times New Roman"/>
                <w:sz w:val="18"/>
              </w:rPr>
              <w:t>2.49</w:t>
            </w:r>
          </w:p>
        </w:tc>
      </w:tr>
      <w:tr>
        <w:trPr>
          <w:trHeight w:val="715"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5"/>
              <w:jc w:val="left"/>
              <w:rPr>
                <w:rFonts w:ascii="宋体" w:hAnsi="宋体" w:cs="宋体" w:eastAsia="宋体" w:hint="default"/>
                <w:sz w:val="18"/>
                <w:szCs w:val="18"/>
              </w:rPr>
            </w:pPr>
            <w:r>
              <w:rPr>
                <w:rFonts w:ascii="宋体" w:hAnsi="宋体" w:cs="宋体" w:eastAsia="宋体" w:hint="default"/>
                <w:spacing w:val="-4"/>
                <w:sz w:val="18"/>
                <w:szCs w:val="18"/>
              </w:rPr>
              <w:t>（一）综合收益</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总额</w:t>
            </w:r>
          </w:p>
        </w:tc>
        <w:tc>
          <w:tcPr>
            <w:tcW w:w="641"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center"/>
              <w:rPr>
                <w:rFonts w:ascii="Times New Roman" w:hAnsi="Times New Roman" w:cs="Times New Roman" w:eastAsia="Times New Roman" w:hint="default"/>
                <w:sz w:val="18"/>
                <w:szCs w:val="18"/>
              </w:rPr>
            </w:pPr>
            <w:r>
              <w:rPr>
                <w:rFonts w:ascii="Times New Roman"/>
                <w:sz w:val="18"/>
              </w:rPr>
              <w:t>-4,626,2</w:t>
            </w:r>
          </w:p>
          <w:p>
            <w:pPr>
              <w:pStyle w:val="TableParagraph"/>
              <w:spacing w:line="240" w:lineRule="auto" w:before="109"/>
              <w:ind w:left="273" w:right="0"/>
              <w:jc w:val="center"/>
              <w:rPr>
                <w:rFonts w:ascii="Times New Roman" w:hAnsi="Times New Roman" w:cs="Times New Roman" w:eastAsia="Times New Roman" w:hint="default"/>
                <w:sz w:val="18"/>
                <w:szCs w:val="18"/>
              </w:rPr>
            </w:pPr>
            <w:r>
              <w:rPr>
                <w:rFonts w:ascii="Times New Roman"/>
                <w:sz w:val="18"/>
              </w:rPr>
              <w:t>55.29</w:t>
            </w: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60,055,</w:t>
            </w:r>
          </w:p>
          <w:p>
            <w:pPr>
              <w:pStyle w:val="TableParagraph"/>
              <w:spacing w:line="240" w:lineRule="auto" w:before="109"/>
              <w:ind w:left="86" w:right="0"/>
              <w:jc w:val="left"/>
              <w:rPr>
                <w:rFonts w:ascii="Times New Roman" w:hAnsi="Times New Roman" w:cs="Times New Roman" w:eastAsia="Times New Roman" w:hint="default"/>
                <w:sz w:val="18"/>
                <w:szCs w:val="18"/>
              </w:rPr>
            </w:pPr>
            <w:r>
              <w:rPr>
                <w:rFonts w:ascii="Times New Roman"/>
                <w:sz w:val="18"/>
              </w:rPr>
              <w:t>648.15</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55,429,39</w:t>
            </w:r>
          </w:p>
          <w:p>
            <w:pPr>
              <w:pStyle w:val="TableParagraph"/>
              <w:spacing w:line="240" w:lineRule="auto" w:before="109"/>
              <w:ind w:left="513" w:right="0"/>
              <w:jc w:val="left"/>
              <w:rPr>
                <w:rFonts w:ascii="Times New Roman" w:hAnsi="Times New Roman" w:cs="Times New Roman" w:eastAsia="Times New Roman" w:hint="default"/>
                <w:sz w:val="18"/>
                <w:szCs w:val="18"/>
              </w:rPr>
            </w:pPr>
            <w:r>
              <w:rPr>
                <w:rFonts w:ascii="Times New Roman"/>
                <w:sz w:val="18"/>
              </w:rPr>
              <w:t>2.86</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06"/>
        <w:gridCol w:w="629"/>
        <w:gridCol w:w="605"/>
        <w:gridCol w:w="605"/>
        <w:gridCol w:w="605"/>
        <w:gridCol w:w="725"/>
        <w:gridCol w:w="725"/>
        <w:gridCol w:w="730"/>
        <w:gridCol w:w="725"/>
        <w:gridCol w:w="725"/>
        <w:gridCol w:w="614"/>
        <w:gridCol w:w="711"/>
        <w:gridCol w:w="864"/>
      </w:tblGrid>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4"/>
                <w:sz w:val="18"/>
                <w:szCs w:val="18"/>
              </w:rPr>
              <w:t>（二）所有者投</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入和减少资本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的普通股</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8"/>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4"/>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7,665,07</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0.31</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-39,891</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,632.37</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-32,226,56</w:t>
            </w:r>
          </w:p>
          <w:p>
            <w:pPr>
              <w:pStyle w:val="TableParagraph"/>
              <w:spacing w:line="240" w:lineRule="auto" w:before="105"/>
              <w:ind w:left="513" w:right="0"/>
              <w:jc w:val="left"/>
              <w:rPr>
                <w:rFonts w:ascii="Times New Roman" w:hAnsi="Times New Roman" w:cs="Times New Roman" w:eastAsia="Times New Roman" w:hint="default"/>
                <w:sz w:val="18"/>
                <w:szCs w:val="18"/>
              </w:rPr>
            </w:pPr>
            <w:r>
              <w:rPr>
                <w:rFonts w:ascii="Times New Roman"/>
                <w:sz w:val="18"/>
              </w:rPr>
              <w:t>2.06</w:t>
            </w: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7" w:right="0"/>
              <w:jc w:val="left"/>
              <w:rPr>
                <w:rFonts w:ascii="Times New Roman" w:hAnsi="Times New Roman" w:cs="Times New Roman" w:eastAsia="Times New Roman" w:hint="default"/>
                <w:sz w:val="18"/>
                <w:szCs w:val="18"/>
              </w:rPr>
            </w:pPr>
            <w:r>
              <w:rPr>
                <w:rFonts w:ascii="Times New Roman"/>
                <w:sz w:val="18"/>
              </w:rPr>
              <w:t>7,665,07</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0.31</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sz w:val="18"/>
              </w:rPr>
              <w:t>-7,665,</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070.31</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．对所有者（或</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-32,226</w:t>
            </w:r>
          </w:p>
          <w:p>
            <w:pPr>
              <w:pStyle w:val="TableParagraph"/>
              <w:spacing w:line="240" w:lineRule="auto" w:before="110"/>
              <w:ind w:left="43" w:right="0"/>
              <w:jc w:val="left"/>
              <w:rPr>
                <w:rFonts w:ascii="Times New Roman" w:hAnsi="Times New Roman" w:cs="Times New Roman" w:eastAsia="Times New Roman" w:hint="default"/>
                <w:sz w:val="18"/>
                <w:szCs w:val="18"/>
              </w:rPr>
            </w:pPr>
            <w:r>
              <w:rPr>
                <w:rFonts w:ascii="Times New Roman"/>
                <w:sz w:val="18"/>
              </w:rPr>
              <w:t>,562.06</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-32,226,56</w:t>
            </w:r>
          </w:p>
          <w:p>
            <w:pPr>
              <w:pStyle w:val="TableParagraph"/>
              <w:spacing w:line="240" w:lineRule="auto" w:before="110"/>
              <w:ind w:left="513" w:right="0"/>
              <w:jc w:val="left"/>
              <w:rPr>
                <w:rFonts w:ascii="Times New Roman" w:hAnsi="Times New Roman" w:cs="Times New Roman" w:eastAsia="Times New Roman" w:hint="default"/>
                <w:sz w:val="18"/>
                <w:szCs w:val="18"/>
              </w:rPr>
            </w:pPr>
            <w:r>
              <w:rPr>
                <w:rFonts w:ascii="Times New Roman"/>
                <w:sz w:val="18"/>
              </w:rPr>
              <w:t>2.06</w:t>
            </w:r>
          </w:p>
        </w:tc>
      </w:tr>
      <w:tr>
        <w:trPr>
          <w:trHeight w:val="40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4"/>
                <w:sz w:val="18"/>
                <w:szCs w:val="18"/>
              </w:rPr>
              <w:t>（四）所有者权</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5,287,79</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4.92</w:t>
            </w: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-5,287,</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794.92</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8"/>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9"/>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5,287,79</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4.92</w:t>
            </w: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-5,287,</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794.92</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4"/>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06"/>
        <w:gridCol w:w="629"/>
        <w:gridCol w:w="605"/>
        <w:gridCol w:w="605"/>
        <w:gridCol w:w="605"/>
        <w:gridCol w:w="725"/>
        <w:gridCol w:w="725"/>
        <w:gridCol w:w="730"/>
        <w:gridCol w:w="725"/>
        <w:gridCol w:w="725"/>
        <w:gridCol w:w="614"/>
        <w:gridCol w:w="711"/>
        <w:gridCol w:w="864"/>
      </w:tblGrid>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-705,039</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.32</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-1,057,</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558.99</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-1,762,598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.31</w:t>
            </w: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21" w:lineRule="auto"/>
              <w:ind w:left="24" w:right="17"/>
              <w:jc w:val="left"/>
              <w:rPr>
                <w:rFonts w:ascii="宋体" w:hAnsi="宋体" w:cs="宋体" w:eastAsia="宋体" w:hint="default"/>
                <w:sz w:val="18"/>
                <w:szCs w:val="18"/>
              </w:rPr>
            </w:pPr>
            <w:r>
              <w:rPr>
                <w:rFonts w:ascii="宋体" w:hAnsi="宋体" w:cs="宋体" w:eastAsia="宋体" w:hint="default"/>
                <w:spacing w:val="-4"/>
                <w:sz w:val="18"/>
                <w:szCs w:val="18"/>
              </w:rPr>
              <w:t>四、本期期末余</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700,57</w:t>
            </w:r>
          </w:p>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7,436.0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2,610,66</w:t>
            </w:r>
          </w:p>
          <w:p>
            <w:pPr>
              <w:pStyle w:val="TableParagraph"/>
              <w:spacing w:line="240" w:lineRule="auto" w:before="110"/>
              <w:ind w:left="67" w:right="0"/>
              <w:jc w:val="left"/>
              <w:rPr>
                <w:rFonts w:ascii="Times New Roman" w:hAnsi="Times New Roman" w:cs="Times New Roman" w:eastAsia="Times New Roman" w:hint="default"/>
                <w:sz w:val="18"/>
                <w:szCs w:val="18"/>
              </w:rPr>
            </w:pPr>
            <w:r>
              <w:rPr>
                <w:rFonts w:ascii="Times New Roman"/>
                <w:sz w:val="18"/>
              </w:rPr>
              <w:t>9,983.51</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8,925,04</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0.87</w:t>
            </w: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47,364,5</w:t>
            </w:r>
          </w:p>
          <w:p>
            <w:pPr>
              <w:pStyle w:val="TableParagraph"/>
              <w:spacing w:line="240" w:lineRule="auto" w:before="110"/>
              <w:ind w:left="292" w:right="0"/>
              <w:jc w:val="left"/>
              <w:rPr>
                <w:rFonts w:ascii="Times New Roman" w:hAnsi="Times New Roman" w:cs="Times New Roman" w:eastAsia="Times New Roman" w:hint="default"/>
                <w:sz w:val="18"/>
                <w:szCs w:val="18"/>
              </w:rPr>
            </w:pPr>
            <w:r>
              <w:rPr>
                <w:rFonts w:ascii="Times New Roman"/>
                <w:sz w:val="18"/>
              </w:rPr>
              <w:t>87.02</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45,392,</w:t>
            </w:r>
          </w:p>
          <w:p>
            <w:pPr>
              <w:pStyle w:val="TableParagraph"/>
              <w:spacing w:line="240" w:lineRule="auto" w:before="110"/>
              <w:ind w:left="86" w:right="0"/>
              <w:jc w:val="left"/>
              <w:rPr>
                <w:rFonts w:ascii="Times New Roman" w:hAnsi="Times New Roman" w:cs="Times New Roman" w:eastAsia="Times New Roman" w:hint="default"/>
                <w:sz w:val="18"/>
                <w:szCs w:val="18"/>
              </w:rPr>
            </w:pPr>
            <w:r>
              <w:rPr>
                <w:rFonts w:ascii="Times New Roman"/>
                <w:sz w:val="18"/>
              </w:rPr>
              <w:t>581.22</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3,412,929,</w:t>
            </w:r>
          </w:p>
          <w:p>
            <w:pPr>
              <w:pStyle w:val="TableParagraph"/>
              <w:spacing w:line="240" w:lineRule="auto" w:before="110"/>
              <w:ind w:left="335" w:right="0"/>
              <w:jc w:val="left"/>
              <w:rPr>
                <w:rFonts w:ascii="Times New Roman" w:hAnsi="Times New Roman" w:cs="Times New Roman" w:eastAsia="Times New Roman" w:hint="default"/>
                <w:sz w:val="18"/>
                <w:szCs w:val="18"/>
              </w:rPr>
            </w:pPr>
            <w:r>
              <w:rPr>
                <w:rFonts w:ascii="Times New Roman"/>
                <w:sz w:val="18"/>
              </w:rPr>
              <w:t>628.62</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17"/>
        <w:gridCol w:w="595"/>
        <w:gridCol w:w="572"/>
        <w:gridCol w:w="576"/>
        <w:gridCol w:w="572"/>
        <w:gridCol w:w="682"/>
        <w:gridCol w:w="687"/>
        <w:gridCol w:w="686"/>
        <w:gridCol w:w="783"/>
        <w:gridCol w:w="662"/>
        <w:gridCol w:w="802"/>
        <w:gridCol w:w="797"/>
        <w:gridCol w:w="926"/>
      </w:tblGrid>
      <w:tr>
        <w:trPr>
          <w:trHeight w:val="394" w:hRule="exact"/>
        </w:trPr>
        <w:tc>
          <w:tcPr>
            <w:tcW w:w="1217" w:type="dxa"/>
            <w:vMerge w:val="restart"/>
            <w:tcBorders>
              <w:top w:val="single" w:sz="4" w:space="0" w:color="000000"/>
              <w:left w:val="single" w:sz="4" w:space="0" w:color="000000"/>
              <w:right w:val="single" w:sz="4" w:space="0" w:color="000000"/>
            </w:tcBorders>
            <w:shd w:val="clear" w:color="auto" w:fill="D2D2D2"/>
          </w:tcPr>
          <w:p>
            <w:pPr/>
          </w:p>
        </w:tc>
        <w:tc>
          <w:tcPr>
            <w:tcW w:w="834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w:t>
            </w:r>
          </w:p>
        </w:tc>
      </w:tr>
      <w:tr>
        <w:trPr>
          <w:trHeight w:val="190" w:hRule="exact"/>
        </w:trPr>
        <w:tc>
          <w:tcPr>
            <w:tcW w:w="1217" w:type="dxa"/>
            <w:vMerge/>
            <w:tcBorders>
              <w:left w:val="single" w:sz="4" w:space="0" w:color="000000"/>
              <w:bottom w:val="nil" w:sz="6" w:space="0" w:color="auto"/>
              <w:right w:val="single" w:sz="4" w:space="0" w:color="000000"/>
            </w:tcBorders>
            <w:shd w:val="clear" w:color="auto" w:fill="D2D2D2"/>
          </w:tcPr>
          <w:p>
            <w:pPr/>
          </w:p>
        </w:tc>
        <w:tc>
          <w:tcPr>
            <w:tcW w:w="595" w:type="dxa"/>
            <w:vMerge w:val="restart"/>
            <w:tcBorders>
              <w:top w:val="single" w:sz="4" w:space="0" w:color="000000"/>
              <w:left w:val="single" w:sz="4" w:space="0" w:color="000000"/>
              <w:right w:val="single" w:sz="4" w:space="0" w:color="000000"/>
            </w:tcBorders>
            <w:shd w:val="clear" w:color="auto" w:fill="D2D2D2"/>
          </w:tcPr>
          <w:p>
            <w:pPr/>
          </w:p>
        </w:tc>
        <w:tc>
          <w:tcPr>
            <w:tcW w:w="171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vMerge w:val="restart"/>
            <w:tcBorders>
              <w:top w:val="single" w:sz="4" w:space="0" w:color="000000"/>
              <w:left w:val="single" w:sz="4" w:space="0" w:color="000000"/>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0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92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81" w:hRule="exact"/>
        </w:trPr>
        <w:tc>
          <w:tcPr>
            <w:tcW w:w="12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95" w:type="dxa"/>
            <w:vMerge/>
            <w:tcBorders>
              <w:left w:val="single" w:sz="4" w:space="0" w:color="000000"/>
              <w:bottom w:val="nil" w:sz="6" w:space="0" w:color="auto"/>
              <w:right w:val="single" w:sz="4" w:space="0" w:color="000000"/>
            </w:tcBorders>
            <w:shd w:val="clear" w:color="auto" w:fill="D2D2D2"/>
          </w:tcPr>
          <w:p>
            <w:pPr/>
          </w:p>
        </w:tc>
        <w:tc>
          <w:tcPr>
            <w:tcW w:w="1719" w:type="dxa"/>
            <w:gridSpan w:val="3"/>
            <w:vMerge/>
            <w:tcBorders>
              <w:left w:val="single" w:sz="4" w:space="0" w:color="000000"/>
              <w:bottom w:val="single" w:sz="4" w:space="0" w:color="000000"/>
              <w:right w:val="single" w:sz="4" w:space="0" w:color="000000"/>
            </w:tcBorders>
            <w:shd w:val="clear" w:color="auto" w:fill="D2D2D2"/>
          </w:tcPr>
          <w:p>
            <w:pPr/>
          </w:p>
        </w:tc>
        <w:tc>
          <w:tcPr>
            <w:tcW w:w="682"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64"/>
              <w:ind w:left="249" w:right="60" w:hanging="183"/>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87"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64"/>
              <w:ind w:left="249" w:right="17" w:hanging="226"/>
              <w:jc w:val="left"/>
              <w:rPr>
                <w:rFonts w:ascii="宋体" w:hAnsi="宋体" w:cs="宋体" w:eastAsia="宋体" w:hint="default"/>
                <w:sz w:val="18"/>
                <w:szCs w:val="18"/>
              </w:rPr>
            </w:pPr>
            <w:r>
              <w:rPr>
                <w:rFonts w:ascii="宋体" w:hAnsi="宋体" w:cs="宋体" w:eastAsia="宋体" w:hint="default"/>
                <w:spacing w:val="-24"/>
                <w:w w:val="101"/>
                <w:sz w:val="18"/>
                <w:szCs w:val="18"/>
              </w:rPr>
              <w:t>减：库存</w:t>
            </w:r>
            <w:r>
              <w:rPr>
                <w:rFonts w:ascii="宋体" w:hAnsi="宋体" w:cs="宋体" w:eastAsia="宋体" w:hint="default"/>
                <w:w w:val="101"/>
                <w:sz w:val="18"/>
                <w:szCs w:val="18"/>
              </w:rPr>
              <w:t> </w:t>
            </w:r>
            <w:r>
              <w:rPr>
                <w:rFonts w:ascii="宋体" w:hAnsi="宋体" w:cs="宋体" w:eastAsia="宋体" w:hint="default"/>
                <w:sz w:val="18"/>
                <w:szCs w:val="18"/>
              </w:rPr>
              <w:t>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64"/>
              <w:ind w:left="67" w:right="65"/>
              <w:jc w:val="left"/>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p>
        </w:tc>
        <w:tc>
          <w:tcPr>
            <w:tcW w:w="783" w:type="dxa"/>
            <w:vMerge/>
            <w:tcBorders>
              <w:left w:val="single" w:sz="4" w:space="0" w:color="000000"/>
              <w:bottom w:val="nil" w:sz="6" w:space="0" w:color="auto"/>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9"/>
              <w:ind w:left="239" w:right="50" w:hanging="183"/>
              <w:jc w:val="left"/>
              <w:rPr>
                <w:rFonts w:ascii="宋体" w:hAnsi="宋体" w:cs="宋体" w:eastAsia="宋体" w:hint="default"/>
                <w:sz w:val="18"/>
                <w:szCs w:val="18"/>
              </w:rPr>
            </w:pPr>
            <w:r>
              <w:rPr>
                <w:rFonts w:ascii="宋体" w:hAnsi="宋体" w:cs="宋体" w:eastAsia="宋体" w:hint="default"/>
                <w:sz w:val="18"/>
                <w:szCs w:val="18"/>
              </w:rPr>
              <w:t>盈余公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802"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9"/>
              <w:ind w:left="307" w:right="31" w:hanging="274"/>
              <w:jc w:val="left"/>
              <w:rPr>
                <w:rFonts w:ascii="宋体" w:hAnsi="宋体" w:cs="宋体" w:eastAsia="宋体" w:hint="default"/>
                <w:sz w:val="18"/>
                <w:szCs w:val="18"/>
              </w:rPr>
            </w:pPr>
            <w:r>
              <w:rPr>
                <w:rFonts w:ascii="宋体" w:hAnsi="宋体" w:cs="宋体" w:eastAsia="宋体" w:hint="default"/>
                <w:sz w:val="18"/>
                <w:szCs w:val="18"/>
              </w:rPr>
              <w:t>未分配利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润</w:t>
            </w:r>
          </w:p>
        </w:tc>
        <w:tc>
          <w:tcPr>
            <w:tcW w:w="797" w:type="dxa"/>
            <w:vMerge/>
            <w:tcBorders>
              <w:left w:val="single" w:sz="4" w:space="0" w:color="000000"/>
              <w:bottom w:val="nil" w:sz="6" w:space="0" w:color="auto"/>
              <w:right w:val="single" w:sz="4" w:space="0" w:color="000000"/>
            </w:tcBorders>
            <w:shd w:val="clear" w:color="auto" w:fill="D2D2D2"/>
          </w:tcPr>
          <w:p>
            <w:pPr/>
          </w:p>
        </w:tc>
        <w:tc>
          <w:tcPr>
            <w:tcW w:w="926"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9"/>
              <w:ind w:left="192" w:right="89" w:hanging="92"/>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益合计</w:t>
            </w:r>
          </w:p>
        </w:tc>
      </w:tr>
      <w:tr>
        <w:trPr>
          <w:trHeight w:val="188" w:hRule="exact"/>
        </w:trPr>
        <w:tc>
          <w:tcPr>
            <w:tcW w:w="1217" w:type="dxa"/>
            <w:vMerge/>
            <w:tcBorders>
              <w:left w:val="single" w:sz="4" w:space="0" w:color="000000"/>
              <w:bottom w:val="nil" w:sz="6" w:space="0" w:color="auto"/>
              <w:right w:val="single" w:sz="4" w:space="0" w:color="000000"/>
            </w:tcBorders>
            <w:shd w:val="clear" w:color="auto" w:fill="D2D2D2"/>
          </w:tcPr>
          <w:p>
            <w:pPr/>
          </w:p>
        </w:tc>
        <w:tc>
          <w:tcPr>
            <w:tcW w:w="5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7"/>
              <w:ind w:left="11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5"/>
              <w:ind w:left="192" w:right="94"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5"/>
              <w:ind w:left="191" w:right="98"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57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5"/>
              <w:ind w:left="2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2"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5"/>
              <w:ind w:left="2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6" w:type="dxa"/>
            <w:vMerge/>
            <w:tcBorders>
              <w:left w:val="single" w:sz="4" w:space="0" w:color="000000"/>
              <w:right w:val="single" w:sz="4" w:space="0" w:color="000000"/>
            </w:tcBorders>
            <w:shd w:val="clear" w:color="auto" w:fill="D2D2D2"/>
          </w:tcPr>
          <w:p>
            <w:pPr/>
          </w:p>
        </w:tc>
      </w:tr>
      <w:tr>
        <w:trPr>
          <w:trHeight w:val="192" w:hRule="exact"/>
        </w:trPr>
        <w:tc>
          <w:tcPr>
            <w:tcW w:w="1217" w:type="dxa"/>
            <w:vMerge w:val="restart"/>
            <w:tcBorders>
              <w:top w:val="nil" w:sz="6" w:space="0" w:color="auto"/>
              <w:left w:val="single" w:sz="4" w:space="0" w:color="000000"/>
              <w:right w:val="single" w:sz="4" w:space="0" w:color="000000"/>
            </w:tcBorders>
            <w:shd w:val="clear" w:color="auto" w:fill="D2D2D2"/>
          </w:tcPr>
          <w:p>
            <w:pPr/>
          </w:p>
        </w:tc>
        <w:tc>
          <w:tcPr>
            <w:tcW w:w="595" w:type="dxa"/>
            <w:vMerge/>
            <w:tcBorders>
              <w:left w:val="single" w:sz="4" w:space="0" w:color="000000"/>
              <w:bottom w:val="nil" w:sz="6" w:space="0" w:color="auto"/>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2"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26" w:type="dxa"/>
            <w:vMerge/>
            <w:tcBorders>
              <w:left w:val="single" w:sz="4" w:space="0" w:color="000000"/>
              <w:right w:val="single" w:sz="4" w:space="0" w:color="000000"/>
            </w:tcBorders>
            <w:shd w:val="clear" w:color="auto" w:fill="D2D2D2"/>
          </w:tcPr>
          <w:p>
            <w:pPr/>
          </w:p>
        </w:tc>
      </w:tr>
      <w:tr>
        <w:trPr>
          <w:trHeight w:val="158" w:hRule="exact"/>
        </w:trPr>
        <w:tc>
          <w:tcPr>
            <w:tcW w:w="1217" w:type="dxa"/>
            <w:vMerge/>
            <w:tcBorders>
              <w:left w:val="single" w:sz="4" w:space="0" w:color="000000"/>
              <w:right w:val="single" w:sz="4" w:space="0" w:color="000000"/>
            </w:tcBorders>
            <w:shd w:val="clear" w:color="auto" w:fill="D2D2D2"/>
          </w:tcPr>
          <w:p>
            <w:pPr/>
          </w:p>
        </w:tc>
        <w:tc>
          <w:tcPr>
            <w:tcW w:w="595" w:type="dxa"/>
            <w:vMerge w:val="restart"/>
            <w:tcBorders>
              <w:top w:val="nil" w:sz="6" w:space="0" w:color="auto"/>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682" w:type="dxa"/>
            <w:vMerge/>
            <w:tcBorders>
              <w:left w:val="single" w:sz="4" w:space="0" w:color="000000"/>
              <w:bottom w:val="nil" w:sz="6" w:space="0" w:color="auto"/>
              <w:right w:val="single" w:sz="4" w:space="0" w:color="000000"/>
            </w:tcBorders>
            <w:shd w:val="clear" w:color="auto" w:fill="D2D2D2"/>
          </w:tcPr>
          <w:p>
            <w:pPr/>
          </w:p>
        </w:tc>
        <w:tc>
          <w:tcPr>
            <w:tcW w:w="687"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783" w:type="dxa"/>
            <w:vMerge w:val="restart"/>
            <w:tcBorders>
              <w:top w:val="nil" w:sz="6" w:space="0" w:color="auto"/>
              <w:left w:val="single" w:sz="4" w:space="0" w:color="000000"/>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802"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926"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217" w:type="dxa"/>
            <w:vMerge/>
            <w:tcBorders>
              <w:left w:val="single" w:sz="4" w:space="0" w:color="000000"/>
              <w:bottom w:val="single" w:sz="4" w:space="0" w:color="000000"/>
              <w:right w:val="single" w:sz="4" w:space="0" w:color="000000"/>
            </w:tcBorders>
            <w:shd w:val="clear" w:color="auto" w:fill="D2D2D2"/>
          </w:tcPr>
          <w:p>
            <w:pPr/>
          </w:p>
        </w:tc>
        <w:tc>
          <w:tcPr>
            <w:tcW w:w="595"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vMerge/>
            <w:tcBorders>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2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58" w:hRule="exact"/>
        </w:trPr>
        <w:tc>
          <w:tcPr>
            <w:tcW w:w="1217"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 w:type="dxa"/>
            <w:vMerge w:val="restart"/>
            <w:tcBorders>
              <w:top w:val="single" w:sz="4" w:space="0" w:color="000000"/>
              <w:left w:val="single" w:sz="10" w:space="0" w:color="D2D2D2"/>
              <w:right w:val="single" w:sz="4" w:space="0" w:color="000000"/>
            </w:tcBorders>
          </w:tcPr>
          <w:p>
            <w:pPr>
              <w:pStyle w:val="TableParagraph"/>
              <w:spacing w:line="240" w:lineRule="auto" w:before="96"/>
              <w:ind w:left="64" w:right="0"/>
              <w:jc w:val="left"/>
              <w:rPr>
                <w:rFonts w:ascii="Times New Roman" w:hAnsi="Times New Roman" w:cs="Times New Roman" w:eastAsia="Times New Roman" w:hint="default"/>
                <w:sz w:val="18"/>
                <w:szCs w:val="18"/>
              </w:rPr>
            </w:pPr>
            <w:r>
              <w:rPr>
                <w:rFonts w:ascii="Times New Roman"/>
                <w:sz w:val="18"/>
              </w:rPr>
              <w:t>700,57</w:t>
            </w:r>
          </w:p>
          <w:p>
            <w:pPr>
              <w:pStyle w:val="TableParagraph"/>
              <w:spacing w:line="240" w:lineRule="auto" w:before="101"/>
              <w:ind w:left="108" w:right="0"/>
              <w:jc w:val="left"/>
              <w:rPr>
                <w:rFonts w:ascii="Times New Roman" w:hAnsi="Times New Roman" w:cs="Times New Roman" w:eastAsia="Times New Roman" w:hint="default"/>
                <w:sz w:val="18"/>
                <w:szCs w:val="18"/>
              </w:rPr>
            </w:pPr>
            <w:r>
              <w:rPr>
                <w:rFonts w:ascii="Times New Roman"/>
                <w:sz w:val="18"/>
              </w:rPr>
              <w:t>7,436.</w:t>
            </w:r>
          </w:p>
          <w:p>
            <w:pPr>
              <w:pStyle w:val="TableParagraph"/>
              <w:spacing w:line="240" w:lineRule="auto" w:before="110"/>
              <w:ind w:left="381" w:right="0"/>
              <w:jc w:val="left"/>
              <w:rPr>
                <w:rFonts w:ascii="Times New Roman" w:hAnsi="Times New Roman" w:cs="Times New Roman" w:eastAsia="Times New Roman" w:hint="default"/>
                <w:sz w:val="18"/>
                <w:szCs w:val="18"/>
              </w:rPr>
            </w:pPr>
            <w:r>
              <w:rPr>
                <w:rFonts w:ascii="Times New Roman"/>
                <w:sz w:val="18"/>
              </w:rPr>
              <w:t>00</w:t>
            </w:r>
          </w:p>
        </w:tc>
        <w:tc>
          <w:tcPr>
            <w:tcW w:w="57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2,610,6</w:t>
            </w:r>
          </w:p>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pacing w:val="-2"/>
                <w:sz w:val="18"/>
              </w:rPr>
              <w:t>69,983.</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51</w:t>
            </w:r>
          </w:p>
        </w:tc>
        <w:tc>
          <w:tcPr>
            <w:tcW w:w="687"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78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37,242,</w:t>
            </w:r>
          </w:p>
          <w:p>
            <w:pPr>
              <w:pStyle w:val="TableParagraph"/>
              <w:spacing w:line="240" w:lineRule="auto" w:before="110"/>
              <w:ind w:left="139" w:right="0"/>
              <w:jc w:val="left"/>
              <w:rPr>
                <w:rFonts w:ascii="Times New Roman" w:hAnsi="Times New Roman" w:cs="Times New Roman" w:eastAsia="Times New Roman" w:hint="default"/>
                <w:sz w:val="18"/>
                <w:szCs w:val="18"/>
              </w:rPr>
            </w:pPr>
            <w:r>
              <w:rPr>
                <w:rFonts w:ascii="Times New Roman"/>
                <w:sz w:val="18"/>
              </w:rPr>
              <w:t>459.36</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38,625,55</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8.04</w:t>
            </w:r>
          </w:p>
        </w:tc>
        <w:tc>
          <w:tcPr>
            <w:tcW w:w="797" w:type="dxa"/>
            <w:vMerge w:val="restart"/>
            <w:tcBorders>
              <w:top w:val="single" w:sz="4" w:space="0" w:color="000000"/>
              <w:left w:val="single" w:sz="4" w:space="0" w:color="000000"/>
              <w:right w:val="single" w:sz="4" w:space="0" w:color="000000"/>
            </w:tcBorders>
          </w:tcPr>
          <w:p>
            <w:pPr/>
          </w:p>
        </w:tc>
        <w:tc>
          <w:tcPr>
            <w:tcW w:w="92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3,387,115,4</w:t>
            </w:r>
          </w:p>
          <w:p>
            <w:pPr>
              <w:pStyle w:val="TableParagraph"/>
              <w:spacing w:line="240" w:lineRule="auto" w:before="110"/>
              <w:ind w:left="494" w:right="0"/>
              <w:jc w:val="left"/>
              <w:rPr>
                <w:rFonts w:ascii="Times New Roman" w:hAnsi="Times New Roman" w:cs="Times New Roman" w:eastAsia="Times New Roman" w:hint="default"/>
                <w:sz w:val="18"/>
                <w:szCs w:val="18"/>
              </w:rPr>
            </w:pPr>
            <w:r>
              <w:rPr>
                <w:rFonts w:ascii="Times New Roman"/>
                <w:sz w:val="18"/>
              </w:rPr>
              <w:t>36.91</w:t>
            </w:r>
          </w:p>
        </w:tc>
      </w:tr>
      <w:tr>
        <w:trPr>
          <w:trHeight w:val="706" w:hRule="exact"/>
        </w:trPr>
        <w:tc>
          <w:tcPr>
            <w:tcW w:w="12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4" w:lineRule="auto" w:before="53"/>
              <w:ind w:left="11" w:right="12"/>
              <w:jc w:val="left"/>
              <w:rPr>
                <w:rFonts w:ascii="宋体" w:hAnsi="宋体" w:cs="宋体" w:eastAsia="宋体" w:hint="default"/>
                <w:sz w:val="18"/>
                <w:szCs w:val="18"/>
              </w:rPr>
            </w:pPr>
            <w:r>
              <w:rPr>
                <w:rFonts w:ascii="宋体" w:hAnsi="宋体" w:cs="宋体" w:eastAsia="宋体" w:hint="default"/>
                <w:spacing w:val="-14"/>
                <w:w w:val="101"/>
                <w:sz w:val="18"/>
                <w:szCs w:val="18"/>
              </w:rPr>
              <w:t>一、上年期末余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595" w:type="dxa"/>
            <w:vMerge/>
            <w:tcBorders>
              <w:left w:val="single" w:sz="10" w:space="0" w:color="D2D2D2"/>
              <w:right w:val="single" w:sz="4" w:space="0" w:color="000000"/>
            </w:tcBorders>
          </w:tcPr>
          <w:p>
            <w:pPr/>
          </w:p>
        </w:tc>
        <w:tc>
          <w:tcPr>
            <w:tcW w:w="57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78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26" w:type="dxa"/>
            <w:vMerge/>
            <w:tcBorders>
              <w:left w:val="single" w:sz="4" w:space="0" w:color="000000"/>
              <w:right w:val="single" w:sz="4" w:space="0" w:color="000000"/>
            </w:tcBorders>
          </w:tcPr>
          <w:p>
            <w:pPr/>
          </w:p>
        </w:tc>
      </w:tr>
      <w:tr>
        <w:trPr>
          <w:trHeight w:val="163" w:hRule="exact"/>
        </w:trPr>
        <w:tc>
          <w:tcPr>
            <w:tcW w:w="1217" w:type="dxa"/>
            <w:tcBorders>
              <w:top w:val="nil" w:sz="6" w:space="0" w:color="auto"/>
              <w:left w:val="single" w:sz="4" w:space="0" w:color="000000"/>
              <w:bottom w:val="single" w:sz="4" w:space="0" w:color="000000"/>
              <w:right w:val="single" w:sz="4" w:space="0" w:color="000000"/>
            </w:tcBorders>
            <w:shd w:val="clear" w:color="auto" w:fill="D2D2D2"/>
          </w:tcPr>
          <w:p>
            <w:pPr/>
          </w:p>
        </w:tc>
        <w:tc>
          <w:tcPr>
            <w:tcW w:w="595" w:type="dxa"/>
            <w:vMerge/>
            <w:tcBorders>
              <w:left w:val="single" w:sz="10" w:space="0" w:color="D2D2D2"/>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78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26" w:type="dxa"/>
            <w:vMerge/>
            <w:tcBorders>
              <w:left w:val="single" w:sz="4" w:space="0" w:color="000000"/>
              <w:bottom w:val="single" w:sz="4" w:space="0" w:color="000000"/>
              <w:right w:val="single" w:sz="4" w:space="0" w:color="000000"/>
            </w:tcBorders>
          </w:tcPr>
          <w:p>
            <w:pPr/>
          </w:p>
        </w:tc>
      </w:tr>
      <w:tr>
        <w:trPr>
          <w:trHeight w:val="710"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2" w:firstLine="360"/>
              <w:jc w:val="left"/>
              <w:rPr>
                <w:rFonts w:ascii="宋体" w:hAnsi="宋体" w:cs="宋体" w:eastAsia="宋体" w:hint="default"/>
                <w:sz w:val="18"/>
                <w:szCs w:val="18"/>
              </w:rPr>
            </w:pPr>
            <w:r>
              <w:rPr>
                <w:rFonts w:ascii="宋体" w:hAnsi="宋体" w:cs="宋体" w:eastAsia="宋体" w:hint="default"/>
                <w:spacing w:val="-19"/>
                <w:w w:val="101"/>
                <w:sz w:val="18"/>
                <w:szCs w:val="18"/>
              </w:rPr>
              <w:t>加：会计政</w:t>
            </w:r>
            <w:r>
              <w:rPr>
                <w:rFonts w:ascii="宋体" w:hAnsi="宋体" w:cs="宋体" w:eastAsia="宋体" w:hint="default"/>
                <w:w w:val="101"/>
                <w:sz w:val="18"/>
                <w:szCs w:val="18"/>
              </w:rPr>
              <w:t> </w:t>
            </w:r>
            <w:r>
              <w:rPr>
                <w:rFonts w:ascii="宋体" w:hAnsi="宋体" w:cs="宋体" w:eastAsia="宋体" w:hint="default"/>
                <w:sz w:val="18"/>
                <w:szCs w:val="18"/>
              </w:rPr>
              <w:t>策变更</w:t>
            </w:r>
          </w:p>
        </w:tc>
        <w:tc>
          <w:tcPr>
            <w:tcW w:w="595"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7" w:right="0"/>
              <w:jc w:val="left"/>
              <w:rPr>
                <w:rFonts w:ascii="Times New Roman" w:hAnsi="Times New Roman" w:cs="Times New Roman" w:eastAsia="Times New Roman" w:hint="default"/>
                <w:sz w:val="18"/>
                <w:szCs w:val="18"/>
              </w:rPr>
            </w:pPr>
            <w:r>
              <w:rPr>
                <w:rFonts w:ascii="Times New Roman"/>
                <w:sz w:val="18"/>
              </w:rPr>
              <w:t>-6,086,25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6.37</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-6,086,256.</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37</w:t>
            </w:r>
          </w:p>
        </w:tc>
      </w:tr>
      <w:tr>
        <w:trPr>
          <w:trHeight w:val="716"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1" w:right="108"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595"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95"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58" w:hRule="exact"/>
        </w:trPr>
        <w:tc>
          <w:tcPr>
            <w:tcW w:w="1217"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 w:type="dxa"/>
            <w:vMerge w:val="restart"/>
            <w:tcBorders>
              <w:top w:val="single" w:sz="4" w:space="0" w:color="000000"/>
              <w:left w:val="single" w:sz="10" w:space="0" w:color="D2D2D2"/>
              <w:right w:val="single" w:sz="4" w:space="0" w:color="000000"/>
            </w:tcBorders>
          </w:tcPr>
          <w:p>
            <w:pPr>
              <w:pStyle w:val="TableParagraph"/>
              <w:spacing w:line="240" w:lineRule="auto" w:before="96"/>
              <w:ind w:left="64" w:right="0"/>
              <w:jc w:val="left"/>
              <w:rPr>
                <w:rFonts w:ascii="Times New Roman" w:hAnsi="Times New Roman" w:cs="Times New Roman" w:eastAsia="Times New Roman" w:hint="default"/>
                <w:sz w:val="18"/>
                <w:szCs w:val="18"/>
              </w:rPr>
            </w:pPr>
            <w:r>
              <w:rPr>
                <w:rFonts w:ascii="Times New Roman"/>
                <w:sz w:val="18"/>
              </w:rPr>
              <w:t>700,57</w:t>
            </w:r>
          </w:p>
          <w:p>
            <w:pPr>
              <w:pStyle w:val="TableParagraph"/>
              <w:spacing w:line="240" w:lineRule="auto" w:before="100"/>
              <w:ind w:left="108" w:right="0"/>
              <w:jc w:val="left"/>
              <w:rPr>
                <w:rFonts w:ascii="Times New Roman" w:hAnsi="Times New Roman" w:cs="Times New Roman" w:eastAsia="Times New Roman" w:hint="default"/>
                <w:sz w:val="18"/>
                <w:szCs w:val="18"/>
              </w:rPr>
            </w:pPr>
            <w:r>
              <w:rPr>
                <w:rFonts w:ascii="Times New Roman"/>
                <w:sz w:val="18"/>
              </w:rPr>
              <w:t>7,436.</w:t>
            </w:r>
          </w:p>
          <w:p>
            <w:pPr>
              <w:pStyle w:val="TableParagraph"/>
              <w:spacing w:line="240" w:lineRule="auto" w:before="110"/>
              <w:ind w:left="381" w:right="0"/>
              <w:jc w:val="left"/>
              <w:rPr>
                <w:rFonts w:ascii="Times New Roman" w:hAnsi="Times New Roman" w:cs="Times New Roman" w:eastAsia="Times New Roman" w:hint="default"/>
                <w:sz w:val="18"/>
                <w:szCs w:val="18"/>
              </w:rPr>
            </w:pPr>
            <w:r>
              <w:rPr>
                <w:rFonts w:ascii="Times New Roman"/>
                <w:sz w:val="18"/>
              </w:rPr>
              <w:t>00</w:t>
            </w:r>
          </w:p>
        </w:tc>
        <w:tc>
          <w:tcPr>
            <w:tcW w:w="57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2,610,6</w:t>
            </w:r>
          </w:p>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69,983.</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51</w:t>
            </w:r>
          </w:p>
        </w:tc>
        <w:tc>
          <w:tcPr>
            <w:tcW w:w="687"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78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37,242,</w:t>
            </w:r>
          </w:p>
          <w:p>
            <w:pPr>
              <w:pStyle w:val="TableParagraph"/>
              <w:spacing w:line="240" w:lineRule="auto" w:before="110"/>
              <w:ind w:left="139" w:right="0"/>
              <w:jc w:val="left"/>
              <w:rPr>
                <w:rFonts w:ascii="Times New Roman" w:hAnsi="Times New Roman" w:cs="Times New Roman" w:eastAsia="Times New Roman" w:hint="default"/>
                <w:sz w:val="18"/>
                <w:szCs w:val="18"/>
              </w:rPr>
            </w:pPr>
            <w:r>
              <w:rPr>
                <w:rFonts w:ascii="Times New Roman"/>
                <w:sz w:val="18"/>
              </w:rPr>
              <w:t>459.36</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32,539,30</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1.67</w:t>
            </w:r>
          </w:p>
        </w:tc>
        <w:tc>
          <w:tcPr>
            <w:tcW w:w="797" w:type="dxa"/>
            <w:vMerge w:val="restart"/>
            <w:tcBorders>
              <w:top w:val="single" w:sz="4" w:space="0" w:color="000000"/>
              <w:left w:val="single" w:sz="4" w:space="0" w:color="000000"/>
              <w:right w:val="single" w:sz="4" w:space="0" w:color="000000"/>
            </w:tcBorders>
          </w:tcPr>
          <w:p>
            <w:pPr/>
          </w:p>
        </w:tc>
        <w:tc>
          <w:tcPr>
            <w:tcW w:w="92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3,381,029,1</w:t>
            </w:r>
          </w:p>
          <w:p>
            <w:pPr>
              <w:pStyle w:val="TableParagraph"/>
              <w:spacing w:line="240" w:lineRule="auto" w:before="110"/>
              <w:ind w:left="494" w:right="0"/>
              <w:jc w:val="left"/>
              <w:rPr>
                <w:rFonts w:ascii="Times New Roman" w:hAnsi="Times New Roman" w:cs="Times New Roman" w:eastAsia="Times New Roman" w:hint="default"/>
                <w:sz w:val="18"/>
                <w:szCs w:val="18"/>
              </w:rPr>
            </w:pPr>
            <w:r>
              <w:rPr>
                <w:rFonts w:ascii="Times New Roman"/>
                <w:sz w:val="18"/>
              </w:rPr>
              <w:t>80.54</w:t>
            </w:r>
          </w:p>
        </w:tc>
      </w:tr>
      <w:tr>
        <w:trPr>
          <w:trHeight w:val="706" w:hRule="exact"/>
        </w:trPr>
        <w:tc>
          <w:tcPr>
            <w:tcW w:w="12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1" w:lineRule="auto" w:before="53"/>
              <w:ind w:left="11" w:right="12"/>
              <w:jc w:val="left"/>
              <w:rPr>
                <w:rFonts w:ascii="宋体" w:hAnsi="宋体" w:cs="宋体" w:eastAsia="宋体" w:hint="default"/>
                <w:sz w:val="18"/>
                <w:szCs w:val="18"/>
              </w:rPr>
            </w:pPr>
            <w:r>
              <w:rPr>
                <w:rFonts w:ascii="宋体" w:hAnsi="宋体" w:cs="宋体" w:eastAsia="宋体" w:hint="default"/>
                <w:spacing w:val="-14"/>
                <w:w w:val="101"/>
                <w:sz w:val="18"/>
                <w:szCs w:val="18"/>
              </w:rPr>
              <w:t>二、本年期初余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595" w:type="dxa"/>
            <w:vMerge/>
            <w:tcBorders>
              <w:left w:val="single" w:sz="10" w:space="0" w:color="D2D2D2"/>
              <w:right w:val="single" w:sz="4" w:space="0" w:color="000000"/>
            </w:tcBorders>
          </w:tcPr>
          <w:p>
            <w:pPr/>
          </w:p>
        </w:tc>
        <w:tc>
          <w:tcPr>
            <w:tcW w:w="57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78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26" w:type="dxa"/>
            <w:vMerge/>
            <w:tcBorders>
              <w:left w:val="single" w:sz="4" w:space="0" w:color="000000"/>
              <w:right w:val="single" w:sz="4" w:space="0" w:color="000000"/>
            </w:tcBorders>
          </w:tcPr>
          <w:p>
            <w:pPr/>
          </w:p>
        </w:tc>
      </w:tr>
      <w:tr>
        <w:trPr>
          <w:trHeight w:val="164" w:hRule="exact"/>
        </w:trPr>
        <w:tc>
          <w:tcPr>
            <w:tcW w:w="1217" w:type="dxa"/>
            <w:tcBorders>
              <w:top w:val="nil" w:sz="6" w:space="0" w:color="auto"/>
              <w:left w:val="single" w:sz="4" w:space="0" w:color="000000"/>
              <w:bottom w:val="single" w:sz="4" w:space="0" w:color="000000"/>
              <w:right w:val="single" w:sz="4" w:space="0" w:color="000000"/>
            </w:tcBorders>
            <w:shd w:val="clear" w:color="auto" w:fill="D2D2D2"/>
          </w:tcPr>
          <w:p>
            <w:pPr/>
          </w:p>
        </w:tc>
        <w:tc>
          <w:tcPr>
            <w:tcW w:w="595" w:type="dxa"/>
            <w:vMerge/>
            <w:tcBorders>
              <w:left w:val="single" w:sz="10" w:space="0" w:color="D2D2D2"/>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78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26" w:type="dxa"/>
            <w:vMerge/>
            <w:tcBorders>
              <w:left w:val="single" w:sz="4" w:space="0" w:color="000000"/>
              <w:bottom w:val="single" w:sz="4" w:space="0" w:color="000000"/>
              <w:right w:val="single" w:sz="4" w:space="0" w:color="000000"/>
            </w:tcBorders>
          </w:tcPr>
          <w:p>
            <w:pPr/>
          </w:p>
        </w:tc>
      </w:tr>
      <w:tr>
        <w:trPr>
          <w:trHeight w:val="1022"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2"/>
              <w:jc w:val="both"/>
              <w:rPr>
                <w:rFonts w:ascii="宋体" w:hAnsi="宋体" w:cs="宋体" w:eastAsia="宋体" w:hint="default"/>
                <w:sz w:val="18"/>
                <w:szCs w:val="18"/>
              </w:rPr>
            </w:pPr>
            <w:r>
              <w:rPr>
                <w:rFonts w:ascii="宋体" w:hAnsi="宋体" w:cs="宋体" w:eastAsia="宋体" w:hint="default"/>
                <w:spacing w:val="-14"/>
                <w:w w:val="101"/>
                <w:sz w:val="18"/>
                <w:szCs w:val="18"/>
              </w:rPr>
              <w:t>三、本期增减变</w:t>
            </w:r>
            <w:r>
              <w:rPr>
                <w:rFonts w:ascii="宋体" w:hAnsi="宋体" w:cs="宋体" w:eastAsia="宋体" w:hint="default"/>
                <w:w w:val="101"/>
                <w:sz w:val="18"/>
                <w:szCs w:val="18"/>
              </w:rPr>
              <w:t> </w:t>
            </w:r>
            <w:r>
              <w:rPr>
                <w:rFonts w:ascii="宋体" w:hAnsi="宋体" w:cs="宋体" w:eastAsia="宋体" w:hint="default"/>
                <w:spacing w:val="-14"/>
                <w:w w:val="101"/>
                <w:sz w:val="18"/>
                <w:szCs w:val="18"/>
              </w:rPr>
              <w:t>动金额（减少以</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95"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3,309,9</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58.01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365,369.7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3,675,327.7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r>
      <w:tr>
        <w:trPr>
          <w:trHeight w:val="716"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1" w:right="12"/>
              <w:jc w:val="left"/>
              <w:rPr>
                <w:rFonts w:ascii="宋体" w:hAnsi="宋体" w:cs="宋体" w:eastAsia="宋体" w:hint="default"/>
                <w:sz w:val="18"/>
                <w:szCs w:val="18"/>
              </w:rPr>
            </w:pPr>
            <w:r>
              <w:rPr>
                <w:rFonts w:ascii="宋体" w:hAnsi="宋体" w:cs="宋体" w:eastAsia="宋体" w:hint="default"/>
                <w:spacing w:val="-14"/>
                <w:w w:val="101"/>
                <w:sz w:val="18"/>
                <w:szCs w:val="18"/>
              </w:rPr>
              <w:t>（一）综合收益</w:t>
            </w:r>
            <w:r>
              <w:rPr>
                <w:rFonts w:ascii="宋体" w:hAnsi="宋体" w:cs="宋体" w:eastAsia="宋体" w:hint="default"/>
                <w:w w:val="101"/>
                <w:sz w:val="18"/>
                <w:szCs w:val="18"/>
              </w:rPr>
              <w:t> </w:t>
            </w:r>
            <w:r>
              <w:rPr>
                <w:rFonts w:ascii="宋体" w:hAnsi="宋体" w:cs="宋体" w:eastAsia="宋体" w:hint="default"/>
                <w:sz w:val="18"/>
                <w:szCs w:val="18"/>
              </w:rPr>
              <w:t>总额</w:t>
            </w:r>
          </w:p>
        </w:tc>
        <w:tc>
          <w:tcPr>
            <w:tcW w:w="595"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33,099,58</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0.06</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33,099,580.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06</w:t>
            </w:r>
          </w:p>
        </w:tc>
      </w:tr>
      <w:tr>
        <w:trPr>
          <w:trHeight w:val="715"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2"/>
              <w:jc w:val="left"/>
              <w:rPr>
                <w:rFonts w:ascii="宋体" w:hAnsi="宋体" w:cs="宋体" w:eastAsia="宋体" w:hint="default"/>
                <w:sz w:val="18"/>
                <w:szCs w:val="18"/>
              </w:rPr>
            </w:pPr>
            <w:r>
              <w:rPr>
                <w:rFonts w:ascii="宋体" w:hAnsi="宋体" w:cs="宋体" w:eastAsia="宋体" w:hint="default"/>
                <w:spacing w:val="-14"/>
                <w:w w:val="101"/>
                <w:sz w:val="18"/>
                <w:szCs w:val="18"/>
              </w:rPr>
              <w:t>（二）所有者投</w:t>
            </w:r>
            <w:r>
              <w:rPr>
                <w:rFonts w:ascii="宋体" w:hAnsi="宋体" w:cs="宋体" w:eastAsia="宋体" w:hint="default"/>
                <w:w w:val="101"/>
                <w:sz w:val="18"/>
                <w:szCs w:val="18"/>
              </w:rPr>
              <w:t> </w:t>
            </w:r>
            <w:r>
              <w:rPr>
                <w:rFonts w:ascii="宋体" w:hAnsi="宋体" w:cs="宋体" w:eastAsia="宋体" w:hint="default"/>
                <w:sz w:val="18"/>
                <w:szCs w:val="18"/>
              </w:rPr>
              <w:t>入和减少资本</w:t>
            </w:r>
          </w:p>
        </w:tc>
        <w:tc>
          <w:tcPr>
            <w:tcW w:w="595"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的普通股</w:t>
            </w:r>
          </w:p>
        </w:tc>
        <w:tc>
          <w:tcPr>
            <w:tcW w:w="595"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4"/>
              <w:ind w:left="11"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595"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1"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595"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5"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w w:val="101"/>
                <w:sz w:val="18"/>
                <w:szCs w:val="18"/>
              </w:rPr>
              <w:t>（三</w:t>
            </w:r>
            <w:r>
              <w:rPr>
                <w:rFonts w:ascii="宋体" w:hAnsi="宋体" w:cs="宋体" w:eastAsia="宋体" w:hint="default"/>
                <w:spacing w:val="-92"/>
                <w:w w:val="101"/>
                <w:sz w:val="18"/>
                <w:szCs w:val="18"/>
              </w:rPr>
              <w:t>）</w:t>
            </w:r>
            <w:r>
              <w:rPr>
                <w:rFonts w:ascii="宋体" w:hAnsi="宋体" w:cs="宋体" w:eastAsia="宋体" w:hint="default"/>
                <w:w w:val="101"/>
                <w:sz w:val="18"/>
                <w:szCs w:val="18"/>
              </w:rPr>
              <w:t>利</w:t>
            </w:r>
            <w:r>
              <w:rPr>
                <w:rFonts w:ascii="宋体" w:hAnsi="宋体" w:cs="宋体" w:eastAsia="宋体" w:hint="default"/>
                <w:spacing w:val="-5"/>
                <w:w w:val="101"/>
                <w:sz w:val="18"/>
                <w:szCs w:val="18"/>
              </w:rPr>
              <w:t>润</w:t>
            </w:r>
            <w:r>
              <w:rPr>
                <w:rFonts w:ascii="宋体" w:hAnsi="宋体" w:cs="宋体" w:eastAsia="宋体" w:hint="default"/>
                <w:w w:val="101"/>
                <w:sz w:val="18"/>
                <w:szCs w:val="18"/>
              </w:rPr>
              <w:t>分配</w:t>
            </w:r>
            <w:r>
              <w:rPr>
                <w:rFonts w:ascii="宋体" w:hAnsi="宋体" w:cs="宋体" w:eastAsia="宋体" w:hint="default"/>
                <w:sz w:val="18"/>
                <w:szCs w:val="18"/>
              </w:rPr>
            </w:r>
          </w:p>
        </w:tc>
        <w:tc>
          <w:tcPr>
            <w:tcW w:w="595"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95" w:right="0"/>
              <w:jc w:val="left"/>
              <w:rPr>
                <w:rFonts w:ascii="Times New Roman" w:hAnsi="Times New Roman" w:cs="Times New Roman" w:eastAsia="Times New Roman" w:hint="default"/>
                <w:sz w:val="18"/>
                <w:szCs w:val="18"/>
              </w:rPr>
            </w:pPr>
            <w:r>
              <w:rPr>
                <w:rFonts w:ascii="Times New Roman"/>
                <w:sz w:val="18"/>
              </w:rPr>
              <w:t>3,309,9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77" w:right="0"/>
              <w:jc w:val="left"/>
              <w:rPr>
                <w:rFonts w:ascii="Times New Roman" w:hAnsi="Times New Roman" w:cs="Times New Roman" w:eastAsia="Times New Roman" w:hint="default"/>
                <w:sz w:val="18"/>
                <w:szCs w:val="18"/>
              </w:rPr>
            </w:pPr>
            <w:r>
              <w:rPr>
                <w:rFonts w:ascii="Times New Roman"/>
                <w:sz w:val="18"/>
              </w:rPr>
              <w:t>-32,734,2</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8" w:right="0"/>
              <w:jc w:val="left"/>
              <w:rPr>
                <w:rFonts w:ascii="Times New Roman" w:hAnsi="Times New Roman" w:cs="Times New Roman" w:eastAsia="Times New Roman" w:hint="default"/>
                <w:sz w:val="18"/>
                <w:szCs w:val="18"/>
              </w:rPr>
            </w:pPr>
            <w:r>
              <w:rPr>
                <w:rFonts w:ascii="Times New Roman"/>
                <w:sz w:val="18"/>
              </w:rPr>
              <w:t>-29,424,252</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29"/>
        <w:gridCol w:w="595"/>
        <w:gridCol w:w="572"/>
        <w:gridCol w:w="576"/>
        <w:gridCol w:w="572"/>
        <w:gridCol w:w="682"/>
        <w:gridCol w:w="687"/>
        <w:gridCol w:w="686"/>
        <w:gridCol w:w="783"/>
        <w:gridCol w:w="662"/>
        <w:gridCol w:w="802"/>
        <w:gridCol w:w="797"/>
        <w:gridCol w:w="926"/>
      </w:tblGrid>
      <w:tr>
        <w:trPr>
          <w:trHeight w:val="360"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0" w:right="0"/>
              <w:jc w:val="left"/>
              <w:rPr>
                <w:rFonts w:ascii="Times New Roman" w:hAnsi="Times New Roman" w:cs="Times New Roman" w:eastAsia="Times New Roman" w:hint="default"/>
                <w:sz w:val="18"/>
                <w:szCs w:val="18"/>
              </w:rPr>
            </w:pPr>
            <w:r>
              <w:rPr>
                <w:rFonts w:ascii="Times New Roman"/>
                <w:sz w:val="18"/>
              </w:rPr>
              <w:t>58.01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65" w:right="0"/>
              <w:jc w:val="left"/>
              <w:rPr>
                <w:rFonts w:ascii="Times New Roman" w:hAnsi="Times New Roman" w:cs="Times New Roman" w:eastAsia="Times New Roman" w:hint="default"/>
                <w:sz w:val="18"/>
                <w:szCs w:val="18"/>
              </w:rPr>
            </w:pPr>
            <w:r>
              <w:rPr>
                <w:rFonts w:ascii="Times New Roman"/>
                <w:sz w:val="18"/>
              </w:rPr>
              <w:t>10.31</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2"/>
              <w:jc w:val="right"/>
              <w:rPr>
                <w:rFonts w:ascii="Times New Roman" w:hAnsi="Times New Roman" w:cs="Times New Roman" w:eastAsia="Times New Roman" w:hint="default"/>
                <w:sz w:val="18"/>
                <w:szCs w:val="18"/>
              </w:rPr>
            </w:pPr>
            <w:r>
              <w:rPr>
                <w:rFonts w:ascii="Times New Roman"/>
                <w:sz w:val="18"/>
              </w:rPr>
              <w:t>.30</w:t>
            </w:r>
          </w:p>
        </w:tc>
      </w:tr>
      <w:tr>
        <w:trPr>
          <w:trHeight w:val="716"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积</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center"/>
              <w:rPr>
                <w:rFonts w:ascii="Times New Roman" w:hAnsi="Times New Roman" w:cs="Times New Roman" w:eastAsia="Times New Roman" w:hint="default"/>
                <w:sz w:val="18"/>
                <w:szCs w:val="18"/>
              </w:rPr>
            </w:pPr>
            <w:r>
              <w:rPr>
                <w:rFonts w:ascii="Times New Roman"/>
                <w:sz w:val="18"/>
              </w:rPr>
              <w:t>3,309,9</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58.01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7" w:right="0"/>
              <w:jc w:val="left"/>
              <w:rPr>
                <w:rFonts w:ascii="Times New Roman" w:hAnsi="Times New Roman" w:cs="Times New Roman" w:eastAsia="Times New Roman" w:hint="default"/>
                <w:sz w:val="18"/>
                <w:szCs w:val="18"/>
              </w:rPr>
            </w:pPr>
            <w:r>
              <w:rPr>
                <w:rFonts w:ascii="Times New Roman"/>
                <w:sz w:val="18"/>
              </w:rPr>
              <w:t>-3,309,95</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8.01</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2"/>
              <w:jc w:val="left"/>
              <w:rPr>
                <w:rFonts w:ascii="宋体" w:hAnsi="宋体" w:cs="宋体" w:eastAsia="宋体" w:hint="default"/>
                <w:sz w:val="18"/>
                <w:szCs w:val="18"/>
              </w:rPr>
            </w:pPr>
            <w:r>
              <w:rPr>
                <w:rFonts w:ascii="Times New Roman" w:hAnsi="Times New Roman" w:cs="Times New Roman" w:eastAsia="Times New Roman" w:hint="default"/>
                <w:spacing w:val="-24"/>
                <w:w w:val="101"/>
                <w:sz w:val="18"/>
                <w:szCs w:val="18"/>
              </w:rPr>
              <w:t>2</w:t>
            </w:r>
            <w:r>
              <w:rPr>
                <w:rFonts w:ascii="宋体" w:hAnsi="宋体" w:cs="宋体" w:eastAsia="宋体" w:hint="default"/>
                <w:spacing w:val="-24"/>
                <w:w w:val="101"/>
                <w:sz w:val="18"/>
                <w:szCs w:val="18"/>
              </w:rPr>
              <w:t>．对所有者（或</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股东）的分配</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7" w:right="0"/>
              <w:jc w:val="left"/>
              <w:rPr>
                <w:rFonts w:ascii="Times New Roman" w:hAnsi="Times New Roman" w:cs="Times New Roman" w:eastAsia="Times New Roman" w:hint="default"/>
                <w:sz w:val="18"/>
                <w:szCs w:val="18"/>
              </w:rPr>
            </w:pPr>
            <w:r>
              <w:rPr>
                <w:rFonts w:ascii="Times New Roman"/>
                <w:sz w:val="18"/>
              </w:rPr>
              <w:t>-29,424,2</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52.30</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-29,424,252</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.30</w:t>
            </w: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（四）所有者权</w:t>
            </w:r>
            <w:r>
              <w:rPr>
                <w:rFonts w:ascii="宋体" w:hAnsi="宋体" w:cs="宋体" w:eastAsia="宋体" w:hint="default"/>
                <w:w w:val="101"/>
                <w:sz w:val="18"/>
                <w:szCs w:val="18"/>
              </w:rPr>
              <w:t> </w:t>
            </w:r>
            <w:r>
              <w:rPr>
                <w:rFonts w:ascii="宋体" w:hAnsi="宋体" w:cs="宋体" w:eastAsia="宋体" w:hint="default"/>
                <w:sz w:val="18"/>
                <w:szCs w:val="18"/>
              </w:rPr>
              <w:t>益内部结转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补亏损</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（五</w:t>
            </w:r>
            <w:r>
              <w:rPr>
                <w:rFonts w:ascii="宋体" w:hAnsi="宋体" w:cs="宋体" w:eastAsia="宋体" w:hint="default"/>
                <w:spacing w:val="-92"/>
                <w:w w:val="101"/>
                <w:sz w:val="18"/>
                <w:szCs w:val="18"/>
              </w:rPr>
              <w:t>）</w:t>
            </w:r>
            <w:r>
              <w:rPr>
                <w:rFonts w:ascii="宋体" w:hAnsi="宋体" w:cs="宋体" w:eastAsia="宋体" w:hint="default"/>
                <w:w w:val="101"/>
                <w:sz w:val="18"/>
                <w:szCs w:val="18"/>
              </w:rPr>
              <w:t>专</w:t>
            </w:r>
            <w:r>
              <w:rPr>
                <w:rFonts w:ascii="宋体" w:hAnsi="宋体" w:cs="宋体" w:eastAsia="宋体" w:hint="default"/>
                <w:spacing w:val="-5"/>
                <w:w w:val="101"/>
                <w:sz w:val="18"/>
                <w:szCs w:val="18"/>
              </w:rPr>
              <w:t>项</w:t>
            </w:r>
            <w:r>
              <w:rPr>
                <w:rFonts w:ascii="宋体" w:hAnsi="宋体" w:cs="宋体" w:eastAsia="宋体" w:hint="default"/>
                <w:w w:val="101"/>
                <w:sz w:val="18"/>
                <w:szCs w:val="18"/>
              </w:rPr>
              <w:t>储备</w:t>
            </w:r>
            <w:r>
              <w:rPr>
                <w:rFonts w:ascii="宋体" w:hAnsi="宋体" w:cs="宋体" w:eastAsia="宋体" w:hint="default"/>
                <w:sz w:val="18"/>
                <w:szCs w:val="18"/>
              </w:rPr>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四、本期期末余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700,57</w:t>
            </w:r>
          </w:p>
          <w:p>
            <w:pPr>
              <w:pStyle w:val="TableParagraph"/>
              <w:spacing w:line="240" w:lineRule="auto" w:before="100"/>
              <w:ind w:left="115" w:right="0"/>
              <w:jc w:val="left"/>
              <w:rPr>
                <w:rFonts w:ascii="Times New Roman" w:hAnsi="Times New Roman" w:cs="Times New Roman" w:eastAsia="Times New Roman" w:hint="default"/>
                <w:sz w:val="18"/>
                <w:szCs w:val="18"/>
              </w:rPr>
            </w:pPr>
            <w:r>
              <w:rPr>
                <w:rFonts w:ascii="Times New Roman"/>
                <w:sz w:val="18"/>
              </w:rPr>
              <w:t>7,436.</w:t>
            </w:r>
          </w:p>
          <w:p>
            <w:pPr>
              <w:pStyle w:val="TableParagraph"/>
              <w:spacing w:line="240" w:lineRule="auto" w:before="110"/>
              <w:ind w:left="388" w:right="0"/>
              <w:jc w:val="left"/>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2,610,6</w:t>
            </w:r>
          </w:p>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69,983.</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51</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40,552,</w:t>
            </w:r>
          </w:p>
          <w:p>
            <w:pPr>
              <w:pStyle w:val="TableParagraph"/>
              <w:spacing w:line="240" w:lineRule="auto" w:before="110"/>
              <w:ind w:left="139" w:right="0"/>
              <w:jc w:val="left"/>
              <w:rPr>
                <w:rFonts w:ascii="Times New Roman" w:hAnsi="Times New Roman" w:cs="Times New Roman" w:eastAsia="Times New Roman" w:hint="default"/>
                <w:sz w:val="18"/>
                <w:szCs w:val="18"/>
              </w:rPr>
            </w:pPr>
            <w:r>
              <w:rPr>
                <w:rFonts w:ascii="Times New Roman"/>
                <w:sz w:val="18"/>
              </w:rPr>
              <w:t>417.37</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32,904,67</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1.42</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3,384,704,5</w:t>
            </w:r>
          </w:p>
          <w:p>
            <w:pPr>
              <w:pStyle w:val="TableParagraph"/>
              <w:spacing w:line="240" w:lineRule="auto" w:before="110"/>
              <w:ind w:left="494" w:right="0"/>
              <w:jc w:val="left"/>
              <w:rPr>
                <w:rFonts w:ascii="Times New Roman" w:hAnsi="Times New Roman" w:cs="Times New Roman" w:eastAsia="Times New Roman" w:hint="default"/>
                <w:sz w:val="18"/>
                <w:szCs w:val="18"/>
              </w:rPr>
            </w:pPr>
            <w:r>
              <w:rPr>
                <w:rFonts w:ascii="Times New Roman"/>
                <w:sz w:val="18"/>
              </w:rPr>
              <w:t>08.30</w:t>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三、公司基本情况" w:id="167"/>
      <w:bookmarkEnd w:id="167"/>
      <w:r>
        <w:rPr>
          <w:b w:val="0"/>
          <w:bCs w:val="0"/>
        </w:rPr>
      </w:r>
      <w:r>
        <w:rPr/>
        <w:t>三、公司基本情况</w:t>
      </w:r>
      <w:r>
        <w:rPr>
          <w:b w:val="0"/>
          <w:bCs w:val="0"/>
        </w:rPr>
      </w:r>
    </w:p>
    <w:p>
      <w:pPr>
        <w:spacing w:line="240" w:lineRule="auto" w:before="12"/>
        <w:rPr>
          <w:rFonts w:ascii="宋体" w:hAnsi="宋体" w:cs="宋体" w:eastAsia="宋体" w:hint="default"/>
          <w:b/>
          <w:bCs/>
          <w:sz w:val="24"/>
          <w:szCs w:val="24"/>
        </w:rPr>
      </w:pPr>
    </w:p>
    <w:p>
      <w:pPr>
        <w:pStyle w:val="BodyText"/>
        <w:spacing w:line="256" w:lineRule="auto" w:before="0"/>
        <w:ind w:right="1117" w:firstLine="422"/>
        <w:jc w:val="both"/>
      </w:pPr>
      <w:r>
        <w:rPr/>
        <w:t>视觉</w:t>
      </w:r>
      <w:r>
        <w:rPr>
          <w:rFonts w:ascii="Times New Roman" w:hAnsi="Times New Roman" w:cs="Times New Roman" w:eastAsia="Times New Roman" w:hint="default"/>
        </w:rPr>
        <w:t>(</w:t>
      </w:r>
      <w:r>
        <w:rPr/>
        <w:t>中国</w:t>
      </w:r>
      <w:r>
        <w:rPr>
          <w:rFonts w:ascii="Times New Roman" w:hAnsi="Times New Roman" w:cs="Times New Roman" w:eastAsia="Times New Roman" w:hint="default"/>
        </w:rPr>
        <w:t>)</w:t>
      </w:r>
      <w:r>
        <w:rPr/>
        <w:t>文化发展股份有限公司</w:t>
      </w:r>
      <w:r>
        <w:rPr>
          <w:rFonts w:ascii="Times New Roman" w:hAnsi="Times New Roman" w:cs="Times New Roman" w:eastAsia="Times New Roman" w:hint="default"/>
        </w:rPr>
        <w:t>(</w:t>
      </w:r>
      <w:r>
        <w:rPr/>
        <w:t>以下简称公司或本公司</w:t>
      </w:r>
      <w:r>
        <w:rPr>
          <w:rFonts w:ascii="Times New Roman" w:hAnsi="Times New Roman" w:cs="Times New Roman" w:eastAsia="Times New Roman" w:hint="default"/>
        </w:rPr>
        <w:t>)</w:t>
      </w:r>
      <w:r>
        <w:rPr/>
        <w:t>原名远东实业股份有限公司</w:t>
      </w:r>
      <w:r>
        <w:rPr>
          <w:rFonts w:ascii="Times New Roman" w:hAnsi="Times New Roman" w:cs="Times New Roman" w:eastAsia="Times New Roman" w:hint="default"/>
        </w:rPr>
        <w:t>(</w:t>
      </w:r>
      <w:r>
        <w:rPr/>
        <w:t>以下简称远东</w:t>
      </w:r>
      <w:r>
        <w:rPr>
          <w:w w:val="100"/>
        </w:rPr>
        <w:t> </w:t>
      </w:r>
      <w:r>
        <w:rPr>
          <w:spacing w:val="-4"/>
        </w:rPr>
        <w:t>股份</w:t>
      </w:r>
      <w:r>
        <w:rPr>
          <w:rFonts w:ascii="Times New Roman" w:hAnsi="Times New Roman" w:cs="Times New Roman" w:eastAsia="Times New Roman" w:hint="default"/>
          <w:spacing w:val="-4"/>
        </w:rPr>
        <w:t>)</w:t>
      </w:r>
      <w:r>
        <w:rPr>
          <w:spacing w:val="-4"/>
        </w:rPr>
        <w:t>，远东股份成立时的发起人为远东服装有限公司、常州服装集团公司和中行江苏信托咨询公司。经江</w:t>
      </w:r>
      <w:r>
        <w:rPr>
          <w:spacing w:val="-13"/>
        </w:rPr>
        <w:t> </w:t>
      </w:r>
      <w:r>
        <w:rPr>
          <w:spacing w:val="-13"/>
        </w:rPr>
      </w:r>
      <w:r>
        <w:rPr>
          <w:spacing w:val="9"/>
        </w:rPr>
        <w:t>苏省经济体制改革委员会</w:t>
      </w:r>
      <w:r>
        <w:rPr>
          <w:rFonts w:ascii="Times New Roman" w:hAnsi="Times New Roman" w:cs="Times New Roman" w:eastAsia="Times New Roman" w:hint="default"/>
          <w:spacing w:val="9"/>
        </w:rPr>
        <w:t>1993</w:t>
      </w:r>
      <w:r>
        <w:rPr>
          <w:spacing w:val="9"/>
        </w:rPr>
        <w:t>年</w:t>
      </w:r>
      <w:r>
        <w:rPr>
          <w:rFonts w:ascii="Times New Roman" w:hAnsi="Times New Roman" w:cs="Times New Roman" w:eastAsia="Times New Roman" w:hint="default"/>
          <w:spacing w:val="9"/>
        </w:rPr>
        <w:t>10</w:t>
      </w:r>
      <w:r>
        <w:rPr>
          <w:spacing w:val="9"/>
        </w:rPr>
        <w:t>月</w:t>
      </w:r>
      <w:r>
        <w:rPr>
          <w:rFonts w:ascii="Times New Roman" w:hAnsi="Times New Roman" w:cs="Times New Roman" w:eastAsia="Times New Roman" w:hint="default"/>
          <w:spacing w:val="9"/>
        </w:rPr>
        <w:t>20</w:t>
      </w:r>
      <w:r>
        <w:rPr>
          <w:spacing w:val="9"/>
        </w:rPr>
        <w:t>日《关于同意设立远东实业股份有限公司的批复》</w:t>
      </w:r>
      <w:r>
        <w:rPr>
          <w:rFonts w:ascii="Times New Roman" w:hAnsi="Times New Roman" w:cs="Times New Roman" w:eastAsia="Times New Roman" w:hint="default"/>
          <w:spacing w:val="9"/>
        </w:rPr>
        <w:t>(</w:t>
      </w:r>
      <w:r>
        <w:rPr>
          <w:spacing w:val="9"/>
        </w:rPr>
        <w:t>苏体改生</w:t>
      </w:r>
      <w:r>
        <w:rPr>
          <w:spacing w:val="-8"/>
        </w:rPr>
        <w:t> </w:t>
      </w:r>
      <w:r>
        <w:rPr>
          <w:spacing w:val="-8"/>
        </w:rPr>
      </w:r>
      <w:r>
        <w:rPr>
          <w:rFonts w:ascii="Times New Roman" w:hAnsi="Times New Roman" w:cs="Times New Roman" w:eastAsia="Times New Roman" w:hint="default"/>
        </w:rPr>
        <w:t>[1993]376</w:t>
      </w:r>
      <w:r>
        <w:rPr/>
        <w:t>号</w:t>
      </w:r>
      <w:r>
        <w:rPr>
          <w:rFonts w:ascii="Times New Roman" w:hAnsi="Times New Roman" w:cs="Times New Roman" w:eastAsia="Times New Roman" w:hint="default"/>
        </w:rPr>
        <w:t>)</w:t>
      </w:r>
      <w:r>
        <w:rPr/>
        <w:t>批准，由远东服装有限公司作为主要发起人，常州服装集团公司和中行江苏信托咨询公司作</w:t>
      </w:r>
      <w:r>
        <w:rPr>
          <w:spacing w:val="-37"/>
        </w:rPr>
        <w:t> </w:t>
      </w:r>
      <w:r>
        <w:rPr>
          <w:spacing w:val="-37"/>
        </w:rPr>
      </w:r>
      <w:r>
        <w:rPr/>
        <w:t>为共同发起人，向社会法人和内部职工定向募集设立公司，股本总额为</w:t>
      </w:r>
      <w:r>
        <w:rPr>
          <w:rFonts w:ascii="Times New Roman" w:hAnsi="Times New Roman" w:cs="Times New Roman" w:eastAsia="Times New Roman" w:hint="default"/>
        </w:rPr>
        <w:t>5,422.9377</w:t>
      </w:r>
      <w:r>
        <w:rPr/>
        <w:t>万元。</w:t>
      </w:r>
    </w:p>
    <w:p>
      <w:pPr>
        <w:pStyle w:val="BodyText"/>
        <w:spacing w:line="256" w:lineRule="auto" w:before="5"/>
        <w:ind w:right="1122" w:firstLine="422"/>
        <w:jc w:val="both"/>
        <w:rPr>
          <w:rFonts w:ascii="Times New Roman" w:hAnsi="Times New Roman" w:cs="Times New Roman" w:eastAsia="Times New Roman" w:hint="default"/>
        </w:rPr>
      </w:pPr>
      <w:r>
        <w:rPr>
          <w:spacing w:val="-2"/>
        </w:rPr>
        <w:t>经远东股份</w:t>
      </w:r>
      <w:r>
        <w:rPr>
          <w:rFonts w:ascii="Times New Roman" w:hAnsi="Times New Roman" w:cs="Times New Roman" w:eastAsia="Times New Roman" w:hint="default"/>
          <w:spacing w:val="-2"/>
        </w:rPr>
        <w:t>1996</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10</w:t>
      </w:r>
      <w:r>
        <w:rPr>
          <w:spacing w:val="-2"/>
        </w:rPr>
        <w:t>日临时股东大会审议通过，并经江苏省人民政府</w:t>
      </w:r>
      <w:r>
        <w:rPr>
          <w:rFonts w:ascii="Times New Roman" w:hAnsi="Times New Roman" w:cs="Times New Roman" w:eastAsia="Times New Roman" w:hint="default"/>
          <w:spacing w:val="-2"/>
        </w:rPr>
        <w:t>1996</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17</w:t>
      </w:r>
      <w:r>
        <w:rPr>
          <w:spacing w:val="-2"/>
        </w:rPr>
        <w:t>日《省政府关于</w:t>
      </w:r>
      <w:r>
        <w:rPr>
          <w:w w:val="100"/>
        </w:rPr>
        <w:t> </w:t>
      </w:r>
      <w:r>
        <w:rPr/>
        <w:t>同意远东实业股份有限公司分立的批复》</w:t>
      </w:r>
      <w:r>
        <w:rPr>
          <w:rFonts w:ascii="Times New Roman" w:hAnsi="Times New Roman" w:cs="Times New Roman" w:eastAsia="Times New Roman" w:hint="default"/>
        </w:rPr>
        <w:t>(</w:t>
      </w:r>
      <w:r>
        <w:rPr/>
        <w:t>苏政复</w:t>
      </w:r>
      <w:r>
        <w:rPr>
          <w:rFonts w:ascii="Times New Roman" w:hAnsi="Times New Roman" w:cs="Times New Roman" w:eastAsia="Times New Roman" w:hint="default"/>
        </w:rPr>
        <w:t>[1996]72</w:t>
      </w:r>
      <w:r>
        <w:rPr/>
        <w:t>号</w:t>
      </w:r>
      <w:r>
        <w:rPr>
          <w:rFonts w:ascii="Times New Roman" w:hAnsi="Times New Roman" w:cs="Times New Roman" w:eastAsia="Times New Roman" w:hint="default"/>
        </w:rPr>
        <w:t>)</w:t>
      </w:r>
      <w:r>
        <w:rPr/>
        <w:t>批准，远东股份因分立减少注册资本至</w:t>
      </w:r>
      <w:r>
        <w:rPr>
          <w:rFonts w:ascii="Times New Roman" w:hAnsi="Times New Roman" w:cs="Times New Roman" w:eastAsia="Times New Roman" w:hint="default"/>
        </w:rPr>
        <w:t>3,750</w:t>
      </w:r>
    </w:p>
    <w:p>
      <w:pPr>
        <w:spacing w:after="0" w:line="256" w:lineRule="auto"/>
        <w:jc w:val="both"/>
        <w:rPr>
          <w:rFonts w:ascii="Times New Roman" w:hAnsi="Times New Roman" w:cs="Times New Roman" w:eastAsia="Times New Roman" w:hint="default"/>
        </w:rPr>
        <w:sectPr>
          <w:pgSz w:w="11910" w:h="16840"/>
          <w:pgMar w:header="741" w:footer="979" w:top="1060" w:bottom="1160" w:left="980" w:right="0"/>
        </w:sectPr>
      </w:pPr>
    </w:p>
    <w:p>
      <w:pPr>
        <w:spacing w:line="240" w:lineRule="auto" w:before="4"/>
        <w:rPr>
          <w:rFonts w:ascii="Times New Roman" w:hAnsi="Times New Roman" w:cs="Times New Roman" w:eastAsia="Times New Roman" w:hint="default"/>
          <w:sz w:val="28"/>
          <w:szCs w:val="28"/>
        </w:rPr>
      </w:pPr>
    </w:p>
    <w:p>
      <w:pPr>
        <w:pStyle w:val="BodyText"/>
        <w:spacing w:line="240" w:lineRule="auto" w:before="36"/>
        <w:ind w:right="0"/>
        <w:jc w:val="both"/>
      </w:pPr>
      <w:r>
        <w:rPr/>
        <w:t>万元。</w:t>
      </w:r>
    </w:p>
    <w:p>
      <w:pPr>
        <w:pStyle w:val="BodyText"/>
        <w:spacing w:line="256" w:lineRule="auto" w:before="37"/>
        <w:ind w:right="1119" w:firstLine="422"/>
        <w:jc w:val="both"/>
      </w:pPr>
      <w:r>
        <w:rPr>
          <w:spacing w:val="-2"/>
        </w:rPr>
        <w:t>根据江苏省经济体制改革委员会</w:t>
      </w:r>
      <w:r>
        <w:rPr>
          <w:rFonts w:ascii="Times New Roman" w:hAnsi="Times New Roman" w:cs="Times New Roman" w:eastAsia="Times New Roman" w:hint="default"/>
          <w:spacing w:val="-2"/>
        </w:rPr>
        <w:t>1996</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11</w:t>
      </w:r>
      <w:r>
        <w:rPr>
          <w:spacing w:val="-2"/>
        </w:rPr>
        <w:t>日《关于远东实业股份有限公司内部职工股清理情况的</w:t>
      </w:r>
      <w:r>
        <w:rPr>
          <w:w w:val="100"/>
        </w:rPr>
        <w:t> </w:t>
      </w:r>
      <w:r>
        <w:rPr>
          <w:spacing w:val="-5"/>
        </w:rPr>
        <w:t>报告》</w:t>
      </w:r>
      <w:r>
        <w:rPr>
          <w:rFonts w:ascii="Times New Roman" w:hAnsi="Times New Roman" w:cs="Times New Roman" w:eastAsia="Times New Roman" w:hint="default"/>
          <w:spacing w:val="-5"/>
        </w:rPr>
        <w:t>(</w:t>
      </w:r>
      <w:r>
        <w:rPr>
          <w:spacing w:val="-5"/>
        </w:rPr>
        <w:t>苏体改生</w:t>
      </w:r>
      <w:r>
        <w:rPr>
          <w:rFonts w:ascii="Times New Roman" w:hAnsi="Times New Roman" w:cs="Times New Roman" w:eastAsia="Times New Roman" w:hint="default"/>
          <w:spacing w:val="-5"/>
        </w:rPr>
        <w:t>[1996]357</w:t>
      </w:r>
      <w:r>
        <w:rPr>
          <w:spacing w:val="-5"/>
        </w:rPr>
        <w:t>号</w:t>
      </w:r>
      <w:r>
        <w:rPr>
          <w:rFonts w:ascii="Times New Roman" w:hAnsi="Times New Roman" w:cs="Times New Roman" w:eastAsia="Times New Roman" w:hint="default"/>
          <w:spacing w:val="-5"/>
        </w:rPr>
        <w:t>)</w:t>
      </w:r>
      <w:r>
        <w:rPr>
          <w:spacing w:val="-5"/>
        </w:rPr>
        <w:t>和《关于对远东实业股份有限公司股票托管情况的确认函》</w:t>
      </w:r>
      <w:r>
        <w:rPr>
          <w:rFonts w:ascii="Times New Roman" w:hAnsi="Times New Roman" w:cs="Times New Roman" w:eastAsia="Times New Roman" w:hint="default"/>
          <w:spacing w:val="-5"/>
        </w:rPr>
        <w:t>(</w:t>
      </w:r>
      <w:r>
        <w:rPr>
          <w:spacing w:val="-5"/>
        </w:rPr>
        <w:t>苏体改函</w:t>
      </w:r>
      <w:r>
        <w:rPr>
          <w:rFonts w:ascii="Times New Roman" w:hAnsi="Times New Roman" w:cs="Times New Roman" w:eastAsia="Times New Roman" w:hint="default"/>
          <w:spacing w:val="-5"/>
        </w:rPr>
        <w:t>[1996]53</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spacing w:val="-4"/>
        </w:rPr>
        <w:t>号</w:t>
      </w:r>
      <w:r>
        <w:rPr>
          <w:rFonts w:ascii="Times New Roman" w:hAnsi="Times New Roman" w:cs="Times New Roman" w:eastAsia="Times New Roman" w:hint="default"/>
          <w:spacing w:val="-4"/>
        </w:rPr>
        <w:t>)</w:t>
      </w:r>
      <w:r>
        <w:rPr>
          <w:spacing w:val="-4"/>
        </w:rPr>
        <w:t>，经征得内部职工股持有人同意、远东股份股东大会通过，将内部职工股全部转让给法人股东，并由常</w:t>
      </w:r>
      <w:r>
        <w:rPr>
          <w:spacing w:val="-11"/>
        </w:rPr>
        <w:t> </w:t>
      </w:r>
      <w:r>
        <w:rPr>
          <w:spacing w:val="-11"/>
        </w:rPr>
      </w:r>
      <w:r>
        <w:rPr/>
        <w:t>州市证券登记公司办理了股权转让手续，远东股份的所有股份全部办理托管手续。</w:t>
      </w:r>
    </w:p>
    <w:p>
      <w:pPr>
        <w:pStyle w:val="BodyText"/>
        <w:spacing w:line="256" w:lineRule="auto" w:before="22"/>
        <w:ind w:right="1122" w:firstLine="422"/>
        <w:jc w:val="both"/>
      </w:pPr>
      <w:r>
        <w:rPr/>
        <w:t>经远东股份</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日临时股东大会审议通过，并经中国证监会《关于远东实业股份有限公司申</w:t>
      </w:r>
      <w:r>
        <w:rPr>
          <w:w w:val="100"/>
        </w:rPr>
        <w:t> </w:t>
      </w:r>
      <w:r>
        <w:rPr>
          <w:spacing w:val="-1"/>
        </w:rPr>
        <w:t>请公开发行股票的批复》</w:t>
      </w:r>
      <w:r>
        <w:rPr>
          <w:rFonts w:ascii="Times New Roman" w:hAnsi="Times New Roman" w:cs="Times New Roman" w:eastAsia="Times New Roman" w:hint="default"/>
          <w:spacing w:val="-1"/>
        </w:rPr>
        <w:t>(</w:t>
      </w:r>
      <w:r>
        <w:rPr>
          <w:spacing w:val="-1"/>
        </w:rPr>
        <w:t>证监发字</w:t>
      </w:r>
      <w:r>
        <w:rPr>
          <w:rFonts w:ascii="Times New Roman" w:hAnsi="Times New Roman" w:cs="Times New Roman" w:eastAsia="Times New Roman" w:hint="default"/>
          <w:spacing w:val="-1"/>
        </w:rPr>
        <w:t>[1996]406</w:t>
      </w:r>
      <w:r>
        <w:rPr>
          <w:spacing w:val="-1"/>
        </w:rPr>
        <w:t>号</w:t>
      </w:r>
      <w:r>
        <w:rPr>
          <w:rFonts w:ascii="Times New Roman" w:hAnsi="Times New Roman" w:cs="Times New Roman" w:eastAsia="Times New Roman" w:hint="default"/>
          <w:spacing w:val="-1"/>
        </w:rPr>
        <w:t>)</w:t>
      </w:r>
      <w:r>
        <w:rPr>
          <w:spacing w:val="-1"/>
        </w:rPr>
        <w:t>、《关于同意远东实业股份有限公司采用</w:t>
      </w:r>
      <w:r>
        <w:rPr>
          <w:rFonts w:ascii="Times New Roman" w:hAnsi="Times New Roman" w:cs="Times New Roman" w:eastAsia="Times New Roman" w:hint="default"/>
          <w:spacing w:val="-1"/>
        </w:rPr>
        <w:t>“</w:t>
      </w:r>
      <w:r>
        <w:rPr>
          <w:spacing w:val="-1"/>
        </w:rPr>
        <w:t>上网定价</w:t>
      </w:r>
      <w:r>
        <w:rPr>
          <w:rFonts w:ascii="Times New Roman" w:hAnsi="Times New Roman" w:cs="Times New Roman" w:eastAsia="Times New Roman" w:hint="default"/>
          <w:spacing w:val="-1"/>
        </w:rPr>
        <w:t>”</w:t>
      </w:r>
      <w:r>
        <w:rPr>
          <w:spacing w:val="-1"/>
        </w:rPr>
        <w:t>方式</w:t>
      </w:r>
      <w:r>
        <w:rPr>
          <w:spacing w:val="-18"/>
        </w:rPr>
        <w:t> </w:t>
      </w:r>
      <w:r>
        <w:rPr>
          <w:spacing w:val="-1"/>
        </w:rPr>
        <w:t>发行</w:t>
      </w:r>
      <w:r>
        <w:rPr>
          <w:rFonts w:ascii="Times New Roman" w:hAnsi="Times New Roman" w:cs="Times New Roman" w:eastAsia="Times New Roman" w:hint="default"/>
          <w:spacing w:val="-1"/>
        </w:rPr>
        <w:t>A</w:t>
      </w:r>
      <w:r>
        <w:rPr>
          <w:spacing w:val="-1"/>
        </w:rPr>
        <w:t>股的批复》</w:t>
      </w:r>
      <w:r>
        <w:rPr>
          <w:rFonts w:ascii="Times New Roman" w:hAnsi="Times New Roman" w:cs="Times New Roman" w:eastAsia="Times New Roman" w:hint="default"/>
          <w:spacing w:val="-1"/>
        </w:rPr>
        <w:t>(</w:t>
      </w:r>
      <w:r>
        <w:rPr>
          <w:spacing w:val="-1"/>
        </w:rPr>
        <w:t>证监发字</w:t>
      </w:r>
      <w:r>
        <w:rPr>
          <w:rFonts w:ascii="Times New Roman" w:hAnsi="Times New Roman" w:cs="Times New Roman" w:eastAsia="Times New Roman" w:hint="default"/>
          <w:spacing w:val="-1"/>
        </w:rPr>
        <w:t>[1996]407</w:t>
      </w:r>
      <w:r>
        <w:rPr>
          <w:spacing w:val="-1"/>
        </w:rPr>
        <w:t>号</w:t>
      </w:r>
      <w:r>
        <w:rPr>
          <w:rFonts w:ascii="Times New Roman" w:hAnsi="Times New Roman" w:cs="Times New Roman" w:eastAsia="Times New Roman" w:hint="default"/>
          <w:spacing w:val="-1"/>
        </w:rPr>
        <w:t>)</w:t>
      </w:r>
      <w:r>
        <w:rPr>
          <w:spacing w:val="-1"/>
        </w:rPr>
        <w:t>批准，远东股份于</w:t>
      </w:r>
      <w:r>
        <w:rPr>
          <w:rFonts w:ascii="Times New Roman" w:hAnsi="Times New Roman" w:cs="Times New Roman" w:eastAsia="Times New Roman" w:hint="default"/>
          <w:spacing w:val="-1"/>
        </w:rPr>
        <w:t>1996</w:t>
      </w:r>
      <w:r>
        <w:rPr>
          <w:spacing w:val="-1"/>
        </w:rPr>
        <w:t>年</w:t>
      </w:r>
      <w:r>
        <w:rPr>
          <w:rFonts w:ascii="Times New Roman" w:hAnsi="Times New Roman" w:cs="Times New Roman" w:eastAsia="Times New Roman" w:hint="default"/>
          <w:spacing w:val="-1"/>
        </w:rPr>
        <w:t>12</w:t>
      </w:r>
      <w:r>
        <w:rPr>
          <w:spacing w:val="-1"/>
        </w:rPr>
        <w:t>月向社会公开发行人民币普通股</w:t>
      </w:r>
      <w:r>
        <w:rPr>
          <w:rFonts w:ascii="Times New Roman" w:hAnsi="Times New Roman" w:cs="Times New Roman" w:eastAsia="Times New Roman" w:hint="default"/>
          <w:spacing w:val="-1"/>
        </w:rPr>
        <w:t>1,250</w:t>
      </w:r>
      <w:r>
        <w:rPr>
          <w:rFonts w:ascii="Times New Roman" w:hAnsi="Times New Roman" w:cs="Times New Roman" w:eastAsia="Times New Roman" w:hint="default"/>
          <w:spacing w:val="27"/>
        </w:rPr>
        <w:t> </w:t>
      </w:r>
      <w:r>
        <w:rPr/>
        <w:t>万股</w:t>
      </w:r>
      <w:r>
        <w:rPr>
          <w:rFonts w:ascii="Times New Roman" w:hAnsi="Times New Roman" w:cs="Times New Roman" w:eastAsia="Times New Roman" w:hint="default"/>
        </w:rPr>
        <w:t>(</w:t>
      </w:r>
      <w:r>
        <w:rPr/>
        <w:t>含职工股</w:t>
      </w:r>
      <w:r>
        <w:rPr>
          <w:rFonts w:ascii="Times New Roman" w:hAnsi="Times New Roman" w:cs="Times New Roman" w:eastAsia="Times New Roman" w:hint="default"/>
        </w:rPr>
        <w:t>125</w:t>
      </w:r>
      <w:r>
        <w:rPr/>
        <w:t>万股</w:t>
      </w:r>
      <w:r>
        <w:rPr>
          <w:rFonts w:ascii="Times New Roman" w:hAnsi="Times New Roman" w:cs="Times New Roman" w:eastAsia="Times New Roman" w:hint="default"/>
        </w:rPr>
        <w:t>)</w:t>
      </w:r>
      <w:r>
        <w:rPr/>
        <w:t>，远东股份的注册资本增加为</w:t>
      </w:r>
      <w:r>
        <w:rPr>
          <w:rFonts w:ascii="Times New Roman" w:hAnsi="Times New Roman" w:cs="Times New Roman" w:eastAsia="Times New Roman" w:hint="default"/>
        </w:rPr>
        <w:t>5,000</w:t>
      </w:r>
      <w:r>
        <w:rPr/>
        <w:t>万元，其中，职工股自本次发行的股票上市之</w:t>
      </w:r>
      <w:r>
        <w:rPr>
          <w:spacing w:val="-12"/>
        </w:rPr>
        <w:t> </w:t>
      </w:r>
      <w:r>
        <w:rPr>
          <w:spacing w:val="-12"/>
        </w:rPr>
      </w:r>
      <w:r>
        <w:rPr/>
        <w:t>日起期满半年后方可上市流通。远东股份股票于</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21</w:t>
      </w:r>
      <w:r>
        <w:rPr/>
        <w:t>日在深圳证券交易所挂牌交易，股票代码：</w:t>
      </w:r>
      <w:r>
        <w:rPr>
          <w:spacing w:val="-29"/>
        </w:rPr>
        <w:t> </w:t>
      </w:r>
      <w:r>
        <w:rPr>
          <w:spacing w:val="-29"/>
        </w:rPr>
      </w:r>
      <w:r>
        <w:rPr>
          <w:rFonts w:ascii="Times New Roman" w:hAnsi="Times New Roman" w:cs="Times New Roman" w:eastAsia="Times New Roman" w:hint="default"/>
        </w:rPr>
        <w:t>000681</w:t>
      </w:r>
      <w:r>
        <w:rPr/>
        <w:t>，股票简称：苏常远东。</w:t>
      </w:r>
    </w:p>
    <w:p>
      <w:pPr>
        <w:pStyle w:val="BodyText"/>
        <w:spacing w:line="256" w:lineRule="auto" w:before="5"/>
        <w:ind w:right="1127" w:firstLine="422"/>
        <w:jc w:val="both"/>
      </w:pPr>
      <w:r>
        <w:rPr/>
        <w:t>经远东股份</w:t>
      </w:r>
      <w:r>
        <w:rPr>
          <w:rFonts w:ascii="Times New Roman" w:hAnsi="Times New Roman" w:cs="Times New Roman" w:eastAsia="Times New Roman" w:hint="default"/>
        </w:rPr>
        <w:t>1996</w:t>
      </w:r>
      <w:r>
        <w:rPr/>
        <w:t>年度股东大会审议通过，远东股份按总股本</w:t>
      </w:r>
      <w:r>
        <w:rPr>
          <w:rFonts w:ascii="Times New Roman" w:hAnsi="Times New Roman" w:cs="Times New Roman" w:eastAsia="Times New Roman" w:hint="default"/>
        </w:rPr>
        <w:t>5,000</w:t>
      </w:r>
      <w:r>
        <w:rPr/>
        <w:t>万股计算，实施了向全体股东每</w:t>
      </w:r>
      <w:r>
        <w:rPr>
          <w:rFonts w:ascii="Times New Roman" w:hAnsi="Times New Roman" w:cs="Times New Roman" w:eastAsia="Times New Roman" w:hint="default"/>
        </w:rPr>
        <w:t>10</w:t>
      </w:r>
      <w:r>
        <w:rPr>
          <w:rFonts w:ascii="Times New Roman" w:hAnsi="Times New Roman" w:cs="Times New Roman" w:eastAsia="Times New Roman" w:hint="default"/>
          <w:spacing w:val="-5"/>
          <w:w w:val="100"/>
        </w:rPr>
        <w:t> </w:t>
      </w:r>
      <w:r>
        <w:rPr/>
        <w:t>股送红股</w:t>
      </w:r>
      <w:r>
        <w:rPr>
          <w:rFonts w:ascii="Times New Roman" w:hAnsi="Times New Roman" w:cs="Times New Roman" w:eastAsia="Times New Roman" w:hint="default"/>
        </w:rPr>
        <w:t>2.5</w:t>
      </w:r>
      <w:r>
        <w:rPr/>
        <w:t>股、用公积金向全体股东每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7.5</w:t>
      </w:r>
      <w:r>
        <w:rPr/>
        <w:t>股的利润分配方案及公积金转增股本方案，远东股份</w:t>
      </w:r>
      <w:r>
        <w:rPr>
          <w:spacing w:val="-29"/>
        </w:rPr>
        <w:t> </w:t>
      </w:r>
      <w:r>
        <w:rPr>
          <w:spacing w:val="-29"/>
        </w:rPr>
      </w:r>
      <w:r>
        <w:rPr/>
        <w:t>的注册资本增加为</w:t>
      </w:r>
      <w:r>
        <w:rPr>
          <w:rFonts w:ascii="Times New Roman" w:hAnsi="Times New Roman" w:cs="Times New Roman" w:eastAsia="Times New Roman" w:hint="default"/>
        </w:rPr>
        <w:t>10,000</w:t>
      </w:r>
      <w:r>
        <w:rPr/>
        <w:t>万元，股份总数增加为</w:t>
      </w:r>
      <w:r>
        <w:rPr>
          <w:rFonts w:ascii="Times New Roman" w:hAnsi="Times New Roman" w:cs="Times New Roman" w:eastAsia="Times New Roman" w:hint="default"/>
        </w:rPr>
        <w:t>10,000</w:t>
      </w:r>
      <w:r>
        <w:rPr/>
        <w:t>万股。</w:t>
      </w:r>
    </w:p>
    <w:p>
      <w:pPr>
        <w:pStyle w:val="BodyText"/>
        <w:spacing w:line="256" w:lineRule="auto" w:before="5"/>
        <w:ind w:right="1122" w:firstLine="422"/>
        <w:jc w:val="both"/>
      </w:pPr>
      <w:r>
        <w:rPr>
          <w:spacing w:val="-1"/>
        </w:rPr>
        <w:t>经远东股份</w:t>
      </w:r>
      <w:r>
        <w:rPr>
          <w:rFonts w:ascii="Times New Roman" w:hAnsi="Times New Roman" w:cs="Times New Roman" w:eastAsia="Times New Roman" w:hint="default"/>
          <w:spacing w:val="-1"/>
        </w:rPr>
        <w:t>1999</w:t>
      </w:r>
      <w:r>
        <w:rPr>
          <w:spacing w:val="-1"/>
        </w:rPr>
        <w:t>年度股东大会审议通过，远东股份以</w:t>
      </w:r>
      <w:r>
        <w:rPr>
          <w:rFonts w:ascii="Times New Roman" w:hAnsi="Times New Roman" w:cs="Times New Roman" w:eastAsia="Times New Roman" w:hint="default"/>
          <w:spacing w:val="-1"/>
        </w:rPr>
        <w:t>1999</w:t>
      </w:r>
      <w:r>
        <w:rPr>
          <w:spacing w:val="-1"/>
        </w:rPr>
        <w:t>年末总股本</w:t>
      </w:r>
      <w:r>
        <w:rPr>
          <w:rFonts w:ascii="Times New Roman" w:hAnsi="Times New Roman" w:cs="Times New Roman" w:eastAsia="Times New Roman" w:hint="default"/>
          <w:spacing w:val="-1"/>
        </w:rPr>
        <w:t>10,000</w:t>
      </w:r>
      <w:r>
        <w:rPr>
          <w:spacing w:val="-1"/>
        </w:rPr>
        <w:t>万股为基数，实施了每</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5"/>
          <w:w w:val="100"/>
        </w:rPr>
        <w:t> </w:t>
      </w:r>
      <w:r>
        <w:rPr>
          <w:spacing w:val="-1"/>
        </w:rPr>
        <w:t>股送</w:t>
      </w:r>
      <w:r>
        <w:rPr>
          <w:rFonts w:ascii="Times New Roman" w:hAnsi="Times New Roman" w:cs="Times New Roman" w:eastAsia="Times New Roman" w:hint="default"/>
          <w:spacing w:val="-1"/>
        </w:rPr>
        <w:t>2.5</w:t>
      </w:r>
      <w:r>
        <w:rPr>
          <w:spacing w:val="-1"/>
        </w:rPr>
        <w:t>股、派现金股利</w:t>
      </w:r>
      <w:r>
        <w:rPr>
          <w:rFonts w:ascii="Times New Roman" w:hAnsi="Times New Roman" w:cs="Times New Roman" w:eastAsia="Times New Roman" w:hint="default"/>
          <w:spacing w:val="-1"/>
        </w:rPr>
        <w:t>0.625</w:t>
      </w:r>
      <w:r>
        <w:rPr>
          <w:spacing w:val="-1"/>
        </w:rPr>
        <w:t>元</w:t>
      </w:r>
      <w:r>
        <w:rPr>
          <w:rFonts w:ascii="Times New Roman" w:hAnsi="Times New Roman" w:cs="Times New Roman" w:eastAsia="Times New Roman" w:hint="default"/>
          <w:spacing w:val="-1"/>
        </w:rPr>
        <w:t>(</w:t>
      </w:r>
      <w:r>
        <w:rPr>
          <w:spacing w:val="-1"/>
        </w:rPr>
        <w:t>含税</w:t>
      </w:r>
      <w:r>
        <w:rPr>
          <w:rFonts w:ascii="Times New Roman" w:hAnsi="Times New Roman" w:cs="Times New Roman" w:eastAsia="Times New Roman" w:hint="default"/>
          <w:spacing w:val="-1"/>
        </w:rPr>
        <w:t>)</w:t>
      </w:r>
      <w:r>
        <w:rPr>
          <w:spacing w:val="-1"/>
        </w:rPr>
        <w:t>的利润分配方案，公司的注册资本增加为</w:t>
      </w:r>
      <w:r>
        <w:rPr>
          <w:rFonts w:ascii="Times New Roman" w:hAnsi="Times New Roman" w:cs="Times New Roman" w:eastAsia="Times New Roman" w:hint="default"/>
          <w:spacing w:val="-1"/>
        </w:rPr>
        <w:t>12,500</w:t>
      </w:r>
      <w:r>
        <w:rPr>
          <w:spacing w:val="-1"/>
        </w:rPr>
        <w:t>万元，股份总数增加</w:t>
      </w:r>
      <w:r>
        <w:rPr>
          <w:spacing w:val="-52"/>
        </w:rPr>
        <w:t> </w:t>
      </w:r>
      <w:r>
        <w:rPr>
          <w:spacing w:val="-52"/>
        </w:rPr>
      </w:r>
      <w:r>
        <w:rPr/>
        <w:t>为</w:t>
      </w:r>
      <w:r>
        <w:rPr>
          <w:rFonts w:ascii="Times New Roman" w:hAnsi="Times New Roman" w:cs="Times New Roman" w:eastAsia="Times New Roman" w:hint="default"/>
        </w:rPr>
        <w:t>12,500</w:t>
      </w:r>
      <w:r>
        <w:rPr/>
        <w:t>万股。</w:t>
      </w:r>
    </w:p>
    <w:p>
      <w:pPr>
        <w:pStyle w:val="BodyText"/>
        <w:spacing w:line="256" w:lineRule="auto" w:before="5"/>
        <w:ind w:right="1124" w:firstLine="422"/>
        <w:jc w:val="both"/>
      </w:pPr>
      <w:r>
        <w:rPr>
          <w:spacing w:val="-2"/>
        </w:rPr>
        <w:t>经远东股份</w:t>
      </w:r>
      <w:r>
        <w:rPr>
          <w:rFonts w:ascii="Times New Roman" w:hAnsi="Times New Roman" w:cs="Times New Roman" w:eastAsia="Times New Roman" w:hint="default"/>
          <w:spacing w:val="-2"/>
        </w:rPr>
        <w:t>1999</w:t>
      </w:r>
      <w:r>
        <w:rPr>
          <w:spacing w:val="-2"/>
        </w:rPr>
        <w:t>年度股东大会审议通过，并经中国证监会《关于远东实业股份有限公司申请配股的批</w:t>
      </w:r>
      <w:r>
        <w:rPr>
          <w:w w:val="100"/>
        </w:rPr>
        <w:t> </w:t>
      </w:r>
      <w:r>
        <w:rPr/>
        <w:t>复》</w:t>
      </w:r>
      <w:r>
        <w:rPr>
          <w:rFonts w:ascii="Times New Roman" w:hAnsi="Times New Roman" w:cs="Times New Roman" w:eastAsia="Times New Roman" w:hint="default"/>
        </w:rPr>
        <w:t>(</w:t>
      </w:r>
      <w:r>
        <w:rPr/>
        <w:t>证监公司字</w:t>
      </w:r>
      <w:r>
        <w:rPr>
          <w:rFonts w:ascii="Times New Roman" w:hAnsi="Times New Roman" w:cs="Times New Roman" w:eastAsia="Times New Roman" w:hint="default"/>
        </w:rPr>
        <w:t>[2000]134</w:t>
      </w:r>
      <w:r>
        <w:rPr/>
        <w:t>号</w:t>
      </w:r>
      <w:r>
        <w:rPr>
          <w:rFonts w:ascii="Times New Roman" w:hAnsi="Times New Roman" w:cs="Times New Roman" w:eastAsia="Times New Roman" w:hint="default"/>
        </w:rPr>
        <w:t>)</w:t>
      </w:r>
      <w:r>
        <w:rPr/>
        <w:t>批准，远东股份向社会公众配售</w:t>
      </w:r>
      <w:r>
        <w:rPr>
          <w:rFonts w:ascii="Times New Roman" w:hAnsi="Times New Roman" w:cs="Times New Roman" w:eastAsia="Times New Roman" w:hint="default"/>
        </w:rPr>
        <w:t>750</w:t>
      </w:r>
      <w:r>
        <w:rPr/>
        <w:t>万股股份。远东股份的注册资本增加为</w:t>
      </w:r>
      <w:r>
        <w:rPr>
          <w:spacing w:val="7"/>
        </w:rPr>
        <w:t> </w:t>
      </w:r>
      <w:r>
        <w:rPr>
          <w:spacing w:val="7"/>
        </w:rPr>
      </w:r>
      <w:r>
        <w:rPr>
          <w:rFonts w:ascii="Times New Roman" w:hAnsi="Times New Roman" w:cs="Times New Roman" w:eastAsia="Times New Roman" w:hint="default"/>
        </w:rPr>
        <w:t>13,250</w:t>
      </w:r>
      <w:r>
        <w:rPr/>
        <w:t>万元，股份总数增加为</w:t>
      </w:r>
      <w:r>
        <w:rPr>
          <w:rFonts w:ascii="Times New Roman" w:hAnsi="Times New Roman" w:cs="Times New Roman" w:eastAsia="Times New Roman" w:hint="default"/>
        </w:rPr>
        <w:t>13,250</w:t>
      </w:r>
      <w:r>
        <w:rPr/>
        <w:t>万股。</w:t>
      </w:r>
    </w:p>
    <w:p>
      <w:pPr>
        <w:pStyle w:val="BodyText"/>
        <w:spacing w:line="256" w:lineRule="auto" w:before="5"/>
        <w:ind w:right="1122" w:firstLine="422"/>
        <w:jc w:val="both"/>
      </w:pPr>
      <w:r>
        <w:rPr>
          <w:spacing w:val="-1"/>
        </w:rPr>
        <w:t>经远东股份</w:t>
      </w:r>
      <w:r>
        <w:rPr>
          <w:rFonts w:ascii="Times New Roman" w:hAnsi="Times New Roman" w:cs="Times New Roman" w:eastAsia="Times New Roman" w:hint="default"/>
          <w:spacing w:val="-1"/>
        </w:rPr>
        <w:t>2000</w:t>
      </w:r>
      <w:r>
        <w:rPr>
          <w:spacing w:val="-1"/>
        </w:rPr>
        <w:t>年度股东大会审议通过，远东股份以</w:t>
      </w:r>
      <w:r>
        <w:rPr>
          <w:rFonts w:ascii="Times New Roman" w:hAnsi="Times New Roman" w:cs="Times New Roman" w:eastAsia="Times New Roman" w:hint="default"/>
          <w:spacing w:val="-1"/>
        </w:rPr>
        <w:t>2000</w:t>
      </w:r>
      <w:r>
        <w:rPr>
          <w:spacing w:val="-1"/>
        </w:rPr>
        <w:t>年末总股本</w:t>
      </w:r>
      <w:r>
        <w:rPr>
          <w:rFonts w:ascii="Times New Roman" w:hAnsi="Times New Roman" w:cs="Times New Roman" w:eastAsia="Times New Roman" w:hint="default"/>
          <w:spacing w:val="-1"/>
        </w:rPr>
        <w:t>13,250</w:t>
      </w:r>
      <w:r>
        <w:rPr>
          <w:spacing w:val="-1"/>
        </w:rPr>
        <w:t>万股为基数，实施了向全</w:t>
      </w:r>
      <w:r>
        <w:rPr>
          <w:w w:val="100"/>
        </w:rPr>
        <w:t> </w:t>
      </w:r>
      <w:r>
        <w:rPr/>
        <w:t>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、以资本公积金每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股的利润分配方案，远东股份的注册资</w:t>
      </w:r>
      <w:r>
        <w:rPr>
          <w:spacing w:val="-54"/>
        </w:rPr>
        <w:t> </w:t>
      </w:r>
      <w:r>
        <w:rPr/>
        <w:t>本增加为</w:t>
      </w:r>
      <w:r>
        <w:rPr>
          <w:rFonts w:ascii="Times New Roman" w:hAnsi="Times New Roman" w:cs="Times New Roman" w:eastAsia="Times New Roman" w:hint="default"/>
        </w:rPr>
        <w:t>19,875</w:t>
      </w:r>
      <w:r>
        <w:rPr/>
        <w:t>万元，股份总数增加为</w:t>
      </w:r>
      <w:r>
        <w:rPr>
          <w:rFonts w:ascii="Times New Roman" w:hAnsi="Times New Roman" w:cs="Times New Roman" w:eastAsia="Times New Roman" w:hint="default"/>
        </w:rPr>
        <w:t>19,875</w:t>
      </w:r>
      <w:r>
        <w:rPr/>
        <w:t>万股。</w:t>
      </w:r>
    </w:p>
    <w:p>
      <w:pPr>
        <w:pStyle w:val="BodyText"/>
        <w:spacing w:line="256" w:lineRule="auto" w:before="5"/>
        <w:ind w:right="1122" w:firstLine="422"/>
        <w:jc w:val="both"/>
      </w:pPr>
      <w:r>
        <w:rPr/>
        <w:t>经远东股份</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日股权分置改革相关股东会议审议通过、并经商务部</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日《商务部</w:t>
      </w:r>
      <w:r>
        <w:rPr>
          <w:w w:val="100"/>
        </w:rPr>
        <w:t> </w:t>
      </w:r>
      <w:r>
        <w:rPr>
          <w:spacing w:val="-3"/>
        </w:rPr>
        <w:t>关于同意远东实业股份有限公司股权转让等事项的批复》</w:t>
      </w:r>
      <w:r>
        <w:rPr>
          <w:rFonts w:ascii="Times New Roman" w:hAnsi="Times New Roman" w:cs="Times New Roman" w:eastAsia="Times New Roman" w:hint="default"/>
          <w:spacing w:val="-3"/>
        </w:rPr>
        <w:t>(</w:t>
      </w:r>
      <w:r>
        <w:rPr>
          <w:spacing w:val="-3"/>
        </w:rPr>
        <w:t>商资批</w:t>
      </w:r>
      <w:r>
        <w:rPr>
          <w:rFonts w:ascii="Times New Roman" w:hAnsi="Times New Roman" w:cs="Times New Roman" w:eastAsia="Times New Roman" w:hint="default"/>
          <w:spacing w:val="-3"/>
        </w:rPr>
        <w:t>[2006]1577</w:t>
      </w:r>
      <w:r>
        <w:rPr>
          <w:spacing w:val="-3"/>
        </w:rPr>
        <w:t>号</w:t>
      </w:r>
      <w:r>
        <w:rPr>
          <w:rFonts w:ascii="Times New Roman" w:hAnsi="Times New Roman" w:cs="Times New Roman" w:eastAsia="Times New Roman" w:hint="default"/>
          <w:spacing w:val="-3"/>
        </w:rPr>
        <w:t>)</w:t>
      </w:r>
      <w:r>
        <w:rPr>
          <w:spacing w:val="-3"/>
        </w:rPr>
        <w:t>批准，公司非流通股股东向</w:t>
      </w:r>
      <w:r>
        <w:rPr>
          <w:spacing w:val="-36"/>
        </w:rPr>
        <w:t> </w:t>
      </w:r>
      <w:r>
        <w:rPr>
          <w:spacing w:val="-36"/>
        </w:rPr>
      </w:r>
      <w:r>
        <w:rPr>
          <w:spacing w:val="-2"/>
        </w:rPr>
        <w:t>截至</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25</w:t>
      </w:r>
      <w:r>
        <w:rPr>
          <w:spacing w:val="-2"/>
        </w:rPr>
        <w:t>日登记在册的流通股股东送股，流通股股东每</w:t>
      </w:r>
      <w:r>
        <w:rPr>
          <w:rFonts w:ascii="Times New Roman" w:hAnsi="Times New Roman" w:cs="Times New Roman" w:eastAsia="Times New Roman" w:hint="default"/>
          <w:spacing w:val="-2"/>
        </w:rPr>
        <w:t>10</w:t>
      </w:r>
      <w:r>
        <w:rPr>
          <w:spacing w:val="-2"/>
        </w:rPr>
        <w:t>股获送</w:t>
      </w:r>
      <w:r>
        <w:rPr>
          <w:rFonts w:ascii="Times New Roman" w:hAnsi="Times New Roman" w:cs="Times New Roman" w:eastAsia="Times New Roman" w:hint="default"/>
          <w:spacing w:val="-2"/>
        </w:rPr>
        <w:t>3</w:t>
      </w:r>
      <w:r>
        <w:rPr>
          <w:spacing w:val="-2"/>
        </w:rPr>
        <w:t>股股份，全体流通股股东共计获</w:t>
      </w:r>
      <w:r>
        <w:rPr>
          <w:spacing w:val="-27"/>
        </w:rPr>
        <w:t> </w:t>
      </w:r>
      <w:r>
        <w:rPr>
          <w:spacing w:val="-27"/>
        </w:rPr>
      </w:r>
      <w:r>
        <w:rPr/>
        <w:t>送</w:t>
      </w:r>
      <w:r>
        <w:rPr>
          <w:rFonts w:ascii="Times New Roman" w:hAnsi="Times New Roman" w:cs="Times New Roman" w:eastAsia="Times New Roman" w:hint="default"/>
        </w:rPr>
        <w:t>17,437,501</w:t>
      </w:r>
      <w:r>
        <w:rPr/>
        <w:t>股股份，公司的股份总数不变。</w:t>
      </w:r>
    </w:p>
    <w:p>
      <w:pPr>
        <w:pStyle w:val="BodyText"/>
        <w:spacing w:line="256" w:lineRule="auto" w:before="5"/>
        <w:ind w:right="1122" w:firstLine="422"/>
        <w:jc w:val="both"/>
      </w:pPr>
      <w:r>
        <w:rPr/>
        <w:t>经远东股份</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t>日临时股东大会审议通过，并于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19</w:t>
      </w:r>
      <w:r>
        <w:rPr/>
        <w:t>日经中国证监会《关于核准远</w:t>
      </w:r>
      <w:r>
        <w:rPr>
          <w:w w:val="100"/>
        </w:rPr>
        <w:t> </w:t>
      </w:r>
      <w:r>
        <w:rPr>
          <w:spacing w:val="-1"/>
        </w:rPr>
        <w:t>东实业股份有限公司向柴继军等发行股份购买资产的批复》</w:t>
      </w:r>
      <w:r>
        <w:rPr>
          <w:rFonts w:ascii="Times New Roman" w:hAnsi="Times New Roman" w:cs="Times New Roman" w:eastAsia="Times New Roman" w:hint="default"/>
          <w:spacing w:val="-1"/>
        </w:rPr>
        <w:t>(</w:t>
      </w:r>
      <w:r>
        <w:rPr>
          <w:spacing w:val="-1"/>
        </w:rPr>
        <w:t>证监许可</w:t>
      </w:r>
      <w:r>
        <w:rPr>
          <w:rFonts w:ascii="Times New Roman" w:hAnsi="Times New Roman" w:cs="Times New Roman" w:eastAsia="Times New Roman" w:hint="default"/>
          <w:spacing w:val="-1"/>
        </w:rPr>
        <w:t>[2014]221</w:t>
      </w:r>
      <w:r>
        <w:rPr>
          <w:spacing w:val="-1"/>
        </w:rPr>
        <w:t>号</w:t>
      </w:r>
      <w:r>
        <w:rPr>
          <w:rFonts w:ascii="Times New Roman" w:hAnsi="Times New Roman" w:cs="Times New Roman" w:eastAsia="Times New Roman" w:hint="default"/>
          <w:spacing w:val="-1"/>
        </w:rPr>
        <w:t>)</w:t>
      </w:r>
      <w:r>
        <w:rPr>
          <w:spacing w:val="-1"/>
        </w:rPr>
        <w:t>及《关于核准柴继军及</w:t>
      </w:r>
      <w:r>
        <w:rPr>
          <w:spacing w:val="-37"/>
        </w:rPr>
        <w:t> </w:t>
      </w:r>
      <w:r>
        <w:rPr>
          <w:spacing w:val="-37"/>
        </w:rPr>
      </w:r>
      <w:r>
        <w:rPr>
          <w:spacing w:val="-1"/>
        </w:rPr>
        <w:t>一致行动人公告远东实业股份有限公司收购报告书并豁免其要约收购义务的批复》</w:t>
      </w:r>
      <w:r>
        <w:rPr>
          <w:rFonts w:ascii="Times New Roman" w:hAnsi="Times New Roman" w:cs="Times New Roman" w:eastAsia="Times New Roman" w:hint="default"/>
          <w:spacing w:val="-1"/>
        </w:rPr>
        <w:t>(</w:t>
      </w:r>
      <w:r>
        <w:rPr>
          <w:spacing w:val="-1"/>
        </w:rPr>
        <w:t>证监许可</w:t>
      </w:r>
      <w:r>
        <w:rPr>
          <w:rFonts w:ascii="Times New Roman" w:hAnsi="Times New Roman" w:cs="Times New Roman" w:eastAsia="Times New Roman" w:hint="default"/>
          <w:spacing w:val="-1"/>
        </w:rPr>
        <w:t>[2014]222</w:t>
      </w:r>
      <w:r>
        <w:rPr>
          <w:spacing w:val="-1"/>
        </w:rPr>
        <w:t>号</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5"/>
        </w:rPr>
        <w:t> </w:t>
      </w:r>
      <w:r>
        <w:rPr>
          <w:spacing w:val="-2"/>
        </w:rPr>
        <w:t>核准，远东股份实施重大资产重组并同时向廖道训等</w:t>
      </w:r>
      <w:r>
        <w:rPr>
          <w:rFonts w:ascii="Times New Roman" w:hAnsi="Times New Roman" w:cs="Times New Roman" w:eastAsia="Times New Roman" w:hint="default"/>
          <w:spacing w:val="-2"/>
        </w:rPr>
        <w:t>17</w:t>
      </w:r>
      <w:r>
        <w:rPr>
          <w:spacing w:val="-2"/>
        </w:rPr>
        <w:t>名自然人发行</w:t>
      </w:r>
      <w:r>
        <w:rPr>
          <w:rFonts w:ascii="Times New Roman" w:hAnsi="Times New Roman" w:cs="Times New Roman" w:eastAsia="Times New Roman" w:hint="default"/>
          <w:spacing w:val="-2"/>
        </w:rPr>
        <w:t>471,236,736</w:t>
      </w:r>
      <w:r>
        <w:rPr>
          <w:spacing w:val="-2"/>
        </w:rPr>
        <w:t>股股份，远东股份总股本</w:t>
      </w:r>
      <w:r>
        <w:rPr>
          <w:spacing w:val="-17"/>
        </w:rPr>
        <w:t> </w:t>
      </w:r>
      <w:r>
        <w:rPr>
          <w:spacing w:val="-17"/>
        </w:rPr>
      </w:r>
      <w:r>
        <w:rPr/>
        <w:t>由</w:t>
      </w:r>
      <w:r>
        <w:rPr>
          <w:rFonts w:ascii="Times New Roman" w:hAnsi="Times New Roman" w:cs="Times New Roman" w:eastAsia="Times New Roman" w:hint="default"/>
        </w:rPr>
        <w:t>198,750,000</w:t>
      </w:r>
      <w:r>
        <w:rPr/>
        <w:t>股增加至</w:t>
      </w:r>
      <w:r>
        <w:rPr>
          <w:rFonts w:ascii="Times New Roman" w:hAnsi="Times New Roman" w:cs="Times New Roman" w:eastAsia="Times New Roman" w:hint="default"/>
        </w:rPr>
        <w:t>669,986,736</w:t>
      </w:r>
      <w:r>
        <w:rPr/>
        <w:t>股。</w:t>
      </w:r>
    </w:p>
    <w:p>
      <w:pPr>
        <w:pStyle w:val="BodyText"/>
        <w:spacing w:line="256" w:lineRule="auto" w:before="5"/>
        <w:ind w:right="1122" w:firstLine="422"/>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9</w:t>
      </w:r>
      <w:r>
        <w:rPr>
          <w:spacing w:val="-2"/>
        </w:rPr>
        <w:t>日远东股份召开了第七届董事会第二十四次会议审议通过了《关于变更公司名称和经营范</w:t>
      </w:r>
      <w:r>
        <w:rPr>
          <w:w w:val="100"/>
        </w:rPr>
        <w:t> </w:t>
      </w:r>
      <w:r>
        <w:rPr>
          <w:spacing w:val="-3"/>
        </w:rPr>
        <w:t>围的议案》《关于修订</w:t>
      </w:r>
      <w:r>
        <w:rPr>
          <w:rFonts w:ascii="Times New Roman" w:hAnsi="Times New Roman" w:cs="Times New Roman" w:eastAsia="Times New Roman" w:hint="default"/>
          <w:spacing w:val="-3"/>
        </w:rPr>
        <w:t>&lt;</w:t>
      </w:r>
      <w:r>
        <w:rPr>
          <w:spacing w:val="-3"/>
        </w:rPr>
        <w:t>公司章程</w:t>
      </w:r>
      <w:r>
        <w:rPr>
          <w:rFonts w:ascii="Times New Roman" w:hAnsi="Times New Roman" w:cs="Times New Roman" w:eastAsia="Times New Roman" w:hint="default"/>
          <w:spacing w:val="-3"/>
        </w:rPr>
        <w:t>&gt;</w:t>
      </w:r>
      <w:r>
        <w:rPr>
          <w:spacing w:val="-3"/>
        </w:rPr>
        <w:t>的议案》，上述事项已经公司</w:t>
      </w:r>
      <w:r>
        <w:rPr>
          <w:rFonts w:ascii="Times New Roman" w:hAnsi="Times New Roman" w:cs="Times New Roman" w:eastAsia="Times New Roman" w:hint="default"/>
          <w:spacing w:val="-3"/>
        </w:rPr>
        <w:t>2013</w:t>
      </w:r>
      <w:r>
        <w:rPr>
          <w:spacing w:val="-3"/>
        </w:rPr>
        <w:t>年度股东大会审议批准。经国家工商</w:t>
      </w:r>
      <w:r>
        <w:rPr>
          <w:spacing w:val="-5"/>
        </w:rPr>
        <w:t> </w:t>
      </w:r>
      <w:r>
        <w:rPr>
          <w:spacing w:val="-5"/>
        </w:rPr>
      </w:r>
      <w:r>
        <w:rPr/>
        <w:t>总局和江苏省常州工商行政管理局核准，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日，远东股份完成了工商变更登记手续，取得由江</w:t>
      </w:r>
      <w:r>
        <w:rPr>
          <w:spacing w:val="-30"/>
        </w:rPr>
        <w:t> </w:t>
      </w:r>
      <w:r>
        <w:rPr>
          <w:spacing w:val="-30"/>
        </w:rPr>
      </w:r>
      <w:r>
        <w:rPr>
          <w:spacing w:val="-3"/>
        </w:rPr>
        <w:t>苏省常州工商行政管理局换发的《企业法人营业执照》，变更后的公司名称为</w:t>
      </w:r>
      <w:r>
        <w:rPr>
          <w:rFonts w:ascii="Times New Roman" w:hAnsi="Times New Roman" w:cs="Times New Roman" w:eastAsia="Times New Roman" w:hint="default"/>
          <w:spacing w:val="-3"/>
        </w:rPr>
        <w:t>“</w:t>
      </w:r>
      <w:r>
        <w:rPr>
          <w:spacing w:val="-3"/>
        </w:rPr>
        <w:t>视觉</w:t>
      </w:r>
      <w:r>
        <w:rPr>
          <w:rFonts w:ascii="Times New Roman" w:hAnsi="Times New Roman" w:cs="Times New Roman" w:eastAsia="Times New Roman" w:hint="default"/>
          <w:spacing w:val="-3"/>
        </w:rPr>
        <w:t>(</w:t>
      </w:r>
      <w:r>
        <w:rPr>
          <w:spacing w:val="-3"/>
        </w:rPr>
        <w:t>中国</w:t>
      </w:r>
      <w:r>
        <w:rPr>
          <w:rFonts w:ascii="Times New Roman" w:hAnsi="Times New Roman" w:cs="Times New Roman" w:eastAsia="Times New Roman" w:hint="default"/>
          <w:spacing w:val="-3"/>
        </w:rPr>
        <w:t>)</w:t>
      </w:r>
      <w:r>
        <w:rPr>
          <w:spacing w:val="-3"/>
        </w:rPr>
        <w:t>文化发展股份有</w:t>
      </w:r>
      <w:r>
        <w:rPr>
          <w:spacing w:val="-4"/>
        </w:rPr>
        <w:t> </w:t>
      </w:r>
      <w:r>
        <w:rPr>
          <w:spacing w:val="-4"/>
        </w:rPr>
      </w:r>
      <w:r>
        <w:rPr/>
        <w:t>限公司</w:t>
      </w:r>
      <w:r>
        <w:rPr>
          <w:rFonts w:ascii="Times New Roman" w:hAnsi="Times New Roman" w:cs="Times New Roman" w:eastAsia="Times New Roman" w:hint="default"/>
        </w:rPr>
        <w:t>”</w:t>
      </w:r>
      <w:r>
        <w:rPr/>
        <w:t>，股票简称</w:t>
      </w:r>
      <w:r>
        <w:rPr>
          <w:rFonts w:ascii="Times New Roman" w:hAnsi="Times New Roman" w:cs="Times New Roman" w:eastAsia="Times New Roman" w:hint="default"/>
        </w:rPr>
        <w:t>“</w:t>
      </w:r>
      <w:r>
        <w:rPr/>
        <w:t>视觉中国</w:t>
      </w:r>
      <w:r>
        <w:rPr>
          <w:rFonts w:ascii="Times New Roman" w:hAnsi="Times New Roman" w:cs="Times New Roman" w:eastAsia="Times New Roman" w:hint="default"/>
        </w:rPr>
        <w:t>”</w:t>
      </w:r>
      <w:r>
        <w:rPr/>
        <w:t>。</w:t>
      </w:r>
    </w:p>
    <w:p>
      <w:pPr>
        <w:pStyle w:val="BodyText"/>
        <w:spacing w:line="240" w:lineRule="auto" w:before="5"/>
        <w:ind w:left="662"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25</w:t>
      </w:r>
      <w:r>
        <w:rPr/>
        <w:t>日公司召开的第七届董事会第二十七次会议和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19</w:t>
      </w:r>
      <w:r>
        <w:rPr/>
        <w:t>日召开的 </w:t>
      </w:r>
      <w:r>
        <w:rPr>
          <w:rFonts w:ascii="Times New Roman" w:hAnsi="Times New Roman" w:cs="Times New Roman" w:eastAsia="Times New Roman" w:hint="default"/>
        </w:rPr>
        <w:t>2014</w:t>
      </w:r>
      <w:r>
        <w:rPr>
          <w:rFonts w:ascii="Times New Roman" w:hAnsi="Times New Roman" w:cs="Times New Roman" w:eastAsia="Times New Roman" w:hint="default"/>
          <w:spacing w:val="42"/>
        </w:rPr>
        <w:t> </w:t>
      </w:r>
      <w:r>
        <w:rPr/>
        <w:t>年第二</w:t>
      </w:r>
    </w:p>
    <w:p>
      <w:pPr>
        <w:pStyle w:val="BodyText"/>
        <w:spacing w:line="256" w:lineRule="auto" w:before="21"/>
        <w:ind w:right="1122"/>
        <w:jc w:val="both"/>
      </w:pPr>
      <w:r>
        <w:rPr/>
        <w:t>次临时股东大会、</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13</w:t>
      </w:r>
      <w:r>
        <w:rPr/>
        <w:t>日召开的第七届董事会第三十一次会议和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29</w:t>
      </w:r>
      <w:r>
        <w:rPr/>
        <w:t>日召开的</w:t>
      </w:r>
      <w:r>
        <w:rPr>
          <w:spacing w:val="-1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4"/>
        </w:rPr>
        <w:t> </w:t>
      </w:r>
      <w:r>
        <w:rPr>
          <w:spacing w:val="-5"/>
        </w:rPr>
        <w:t>年第</w:t>
      </w:r>
      <w:r>
        <w:rPr>
          <w:spacing w:val="-103"/>
        </w:rPr>
        <w:t> </w:t>
      </w:r>
      <w:r>
        <w:rPr/>
        <w:t>一次临时股东大会、</w:t>
      </w: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5</w:t>
      </w:r>
      <w:r>
        <w:rPr/>
        <w:t>日召开的第七届董事会第三十四次会议通过的发行人民币普通股股票决</w:t>
      </w:r>
      <w:r>
        <w:rPr>
          <w:spacing w:val="-87"/>
        </w:rPr>
        <w:t> </w:t>
      </w:r>
      <w:r>
        <w:rPr>
          <w:spacing w:val="-87"/>
        </w:rPr>
      </w:r>
      <w:r>
        <w:rPr>
          <w:spacing w:val="-3"/>
        </w:rPr>
        <w:t>议，并经中国证券监督管理委员会于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12</w:t>
      </w:r>
      <w:r>
        <w:rPr>
          <w:spacing w:val="-3"/>
        </w:rPr>
        <w:t>日出具的《关于核准视觉</w:t>
      </w:r>
      <w:r>
        <w:rPr>
          <w:rFonts w:ascii="Times New Roman" w:hAnsi="Times New Roman" w:cs="Times New Roman" w:eastAsia="Times New Roman" w:hint="default"/>
          <w:spacing w:val="-3"/>
        </w:rPr>
        <w:t>(</w:t>
      </w:r>
      <w:r>
        <w:rPr>
          <w:spacing w:val="-3"/>
        </w:rPr>
        <w:t>中国</w:t>
      </w:r>
      <w:r>
        <w:rPr>
          <w:rFonts w:ascii="Times New Roman" w:hAnsi="Times New Roman" w:cs="Times New Roman" w:eastAsia="Times New Roman" w:hint="default"/>
          <w:spacing w:val="-3"/>
        </w:rPr>
        <w:t>)</w:t>
      </w:r>
      <w:r>
        <w:rPr>
          <w:spacing w:val="-3"/>
        </w:rPr>
        <w:t>文化发展股份有限公司非</w:t>
      </w:r>
      <w:r>
        <w:rPr>
          <w:spacing w:val="-6"/>
        </w:rPr>
        <w:t> </w:t>
      </w:r>
      <w:r>
        <w:rPr>
          <w:spacing w:val="-6"/>
        </w:rPr>
      </w:r>
      <w:r>
        <w:rPr/>
        <w:t>公开发行股票的批复》</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[2015]1230 </w:t>
      </w:r>
      <w:r>
        <w:rPr/>
        <w:t>号</w:t>
      </w:r>
      <w:r>
        <w:rPr>
          <w:rFonts w:ascii="Times New Roman" w:hAnsi="Times New Roman" w:cs="Times New Roman" w:eastAsia="Times New Roman" w:hint="default"/>
        </w:rPr>
        <w:t>)</w:t>
      </w:r>
      <w:r>
        <w:rPr/>
        <w:t>文件核准，公司非公开发行</w:t>
      </w:r>
      <w:r>
        <w:rPr>
          <w:rFonts w:ascii="Times New Roman" w:hAnsi="Times New Roman" w:cs="Times New Roman" w:eastAsia="Times New Roman" w:hint="default"/>
        </w:rPr>
        <w:t>30,590,700 </w:t>
      </w:r>
      <w:r>
        <w:rPr/>
        <w:t>股人民币普通股股</w:t>
      </w:r>
      <w:r>
        <w:rPr>
          <w:spacing w:val="-94"/>
        </w:rPr>
        <w:t> </w:t>
      </w:r>
      <w:r>
        <w:rPr/>
        <w:t>票。公司总股本由</w:t>
      </w:r>
      <w:r>
        <w:rPr>
          <w:rFonts w:ascii="Times New Roman" w:hAnsi="Times New Roman" w:cs="Times New Roman" w:eastAsia="Times New Roman" w:hint="default"/>
        </w:rPr>
        <w:t>669,986,736</w:t>
      </w:r>
      <w:r>
        <w:rPr/>
        <w:t>元增至</w:t>
      </w:r>
      <w:r>
        <w:rPr>
          <w:rFonts w:ascii="Times New Roman" w:hAnsi="Times New Roman" w:cs="Times New Roman" w:eastAsia="Times New Roman" w:hint="default"/>
        </w:rPr>
        <w:t>700,577,436.00</w:t>
      </w:r>
      <w:r>
        <w:rPr/>
        <w:t>元</w:t>
      </w:r>
      <w:r>
        <w:rPr>
          <w:rFonts w:ascii="Times New Roman" w:hAnsi="Times New Roman" w:cs="Times New Roman" w:eastAsia="Times New Roman" w:hint="default"/>
        </w:rPr>
        <w:t>(</w:t>
      </w:r>
      <w:r>
        <w:rPr/>
        <w:t>每股面值</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w:t>
      </w:r>
      <w:r>
        <w:rPr/>
        <w:t>。</w:t>
      </w:r>
    </w:p>
    <w:p>
      <w:pPr>
        <w:pStyle w:val="BodyText"/>
        <w:spacing w:line="240" w:lineRule="auto" w:before="5"/>
        <w:ind w:left="575" w:right="0"/>
        <w:jc w:val="left"/>
      </w:pPr>
      <w:r>
        <w:rPr/>
        <w:t>经以上历次变更，截至本报告期末，本公司注册资本为人民币</w:t>
      </w:r>
      <w:r>
        <w:rPr>
          <w:rFonts w:ascii="Times New Roman" w:hAnsi="Times New Roman" w:cs="Times New Roman" w:eastAsia="Times New Roman" w:hint="default"/>
        </w:rPr>
        <w:t>70,057.74</w:t>
      </w:r>
      <w:r>
        <w:rPr/>
        <w:t>万元，住所位于江苏省武进经</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BodyText"/>
        <w:spacing w:line="256" w:lineRule="auto" w:before="36"/>
        <w:ind w:left="575" w:right="0" w:hanging="423"/>
        <w:jc w:val="left"/>
      </w:pPr>
      <w:r>
        <w:rPr/>
        <w:t>济开发区绿杨路</w:t>
      </w:r>
      <w:r>
        <w:rPr>
          <w:rFonts w:ascii="Times New Roman" w:hAnsi="Times New Roman" w:cs="Times New Roman" w:eastAsia="Times New Roman" w:hint="default"/>
        </w:rPr>
        <w:t>2</w:t>
      </w:r>
      <w:r>
        <w:rPr/>
        <w:t>号，法定代表人为廖杰。</w:t>
      </w:r>
      <w:r>
        <w:rPr>
          <w:spacing w:val="-103"/>
        </w:rPr>
        <w:t> </w:t>
      </w:r>
      <w:r>
        <w:rPr>
          <w:spacing w:val="-103"/>
        </w:rPr>
      </w:r>
      <w:r>
        <w:rPr>
          <w:spacing w:val="-3"/>
        </w:rPr>
        <w:t>本公司及子公司</w:t>
      </w:r>
      <w:r>
        <w:rPr>
          <w:rFonts w:ascii="Times New Roman" w:hAnsi="Times New Roman" w:cs="Times New Roman" w:eastAsia="Times New Roman" w:hint="default"/>
          <w:spacing w:val="-3"/>
        </w:rPr>
        <w:t>(</w:t>
      </w:r>
      <w:r>
        <w:rPr>
          <w:spacing w:val="-3"/>
        </w:rPr>
        <w:t>以下合称本集团</w:t>
      </w:r>
      <w:r>
        <w:rPr>
          <w:rFonts w:ascii="Times New Roman" w:hAnsi="Times New Roman" w:cs="Times New Roman" w:eastAsia="Times New Roman" w:hint="default"/>
          <w:spacing w:val="-3"/>
        </w:rPr>
        <w:t>)</w:t>
      </w:r>
      <w:r>
        <w:rPr>
          <w:spacing w:val="-3"/>
        </w:rPr>
        <w:t>属于文化创意产业的信息传播服务业，主要业务板块包括</w:t>
      </w:r>
      <w:r>
        <w:rPr>
          <w:rFonts w:ascii="Times New Roman" w:hAnsi="Times New Roman" w:cs="Times New Roman" w:eastAsia="Times New Roman" w:hint="default"/>
          <w:spacing w:val="-3"/>
        </w:rPr>
        <w:t>“</w:t>
      </w:r>
      <w:r>
        <w:rPr>
          <w:spacing w:val="-3"/>
        </w:rPr>
        <w:t>互联网娱</w:t>
      </w:r>
    </w:p>
    <w:p>
      <w:pPr>
        <w:pStyle w:val="BodyText"/>
        <w:spacing w:line="266" w:lineRule="auto" w:before="5"/>
        <w:ind w:right="1125"/>
        <w:jc w:val="both"/>
      </w:pPr>
      <w:r>
        <w:rPr>
          <w:spacing w:val="-4"/>
        </w:rPr>
        <w:t>乐与传媒</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旅游及其他</w:t>
      </w:r>
      <w:r>
        <w:rPr>
          <w:rFonts w:ascii="Times New Roman" w:hAnsi="Times New Roman" w:cs="Times New Roman" w:eastAsia="Times New Roman" w:hint="default"/>
          <w:spacing w:val="-4"/>
        </w:rPr>
        <w:t>”</w:t>
      </w:r>
      <w:r>
        <w:rPr>
          <w:spacing w:val="-4"/>
        </w:rPr>
        <w:t>。本集团主要基于互联网的版权交易平台，为媒体客户、商业客户及政府企事业</w:t>
      </w:r>
      <w:r>
        <w:rPr>
          <w:spacing w:val="-6"/>
        </w:rPr>
        <w:t> </w:t>
      </w:r>
      <w:r>
        <w:rPr>
          <w:spacing w:val="-6"/>
        </w:rPr>
      </w:r>
      <w:r>
        <w:rPr>
          <w:spacing w:val="-2"/>
        </w:rPr>
        <w:t>单位提供视觉素材和定制化的增值服务；提供主题公园、城市综合体数字娱乐整体解决方案，提供广告设</w:t>
      </w:r>
      <w:r>
        <w:rPr>
          <w:spacing w:val="-33"/>
        </w:rPr>
        <w:t> </w:t>
      </w:r>
      <w:r>
        <w:rPr>
          <w:spacing w:val="-33"/>
        </w:rPr>
      </w:r>
      <w:r>
        <w:rPr/>
        <w:t>计、策划等全流程服务。</w:t>
      </w:r>
    </w:p>
    <w:p>
      <w:pPr>
        <w:pStyle w:val="BodyText"/>
        <w:spacing w:line="266" w:lineRule="auto" w:before="14"/>
        <w:ind w:right="1122" w:firstLine="422"/>
        <w:jc w:val="both"/>
      </w:pPr>
      <w:r>
        <w:rPr>
          <w:spacing w:val="-2"/>
        </w:rPr>
        <w:t>本公司经营范围：广播电视传输技术，互联网络传播、互联网络游戏及娱乐技术，移动通讯网络游戏</w:t>
      </w:r>
      <w:r>
        <w:rPr>
          <w:w w:val="100"/>
        </w:rPr>
        <w:t> </w:t>
      </w:r>
      <w:r>
        <w:rPr>
          <w:spacing w:val="-2"/>
        </w:rPr>
        <w:t>及娱乐的技术，广播影视网影视娱乐的技术，视频制作、电子传输技术等文化及娱乐产品技术的开发、咨</w:t>
      </w:r>
      <w:r>
        <w:rPr>
          <w:spacing w:val="-33"/>
        </w:rPr>
        <w:t> </w:t>
      </w:r>
      <w:r>
        <w:rPr>
          <w:spacing w:val="-33"/>
        </w:rPr>
      </w:r>
      <w:r>
        <w:rPr>
          <w:spacing w:val="-2"/>
        </w:rPr>
        <w:t>询、服务与转让；媒体资产管理软件及其他计算机软件的开发、咨询、服务与转让；计算机图文设计、制</w:t>
      </w:r>
      <w:r>
        <w:rPr>
          <w:spacing w:val="-33"/>
        </w:rPr>
        <w:t> </w:t>
      </w:r>
      <w:r>
        <w:rPr>
          <w:spacing w:val="-33"/>
        </w:rPr>
      </w:r>
      <w:r>
        <w:rPr>
          <w:spacing w:val="-4"/>
        </w:rPr>
        <w:t>作服务</w:t>
      </w:r>
      <w:r>
        <w:rPr>
          <w:rFonts w:ascii="Times New Roman" w:hAnsi="Times New Roman" w:cs="Times New Roman" w:eastAsia="Times New Roman" w:hint="default"/>
          <w:spacing w:val="-4"/>
        </w:rPr>
        <w:t>(</w:t>
      </w:r>
      <w:r>
        <w:rPr>
          <w:spacing w:val="-4"/>
        </w:rPr>
        <w:t>不含印刷和广告</w:t>
      </w:r>
      <w:r>
        <w:rPr>
          <w:rFonts w:ascii="Times New Roman" w:hAnsi="Times New Roman" w:cs="Times New Roman" w:eastAsia="Times New Roman" w:hint="default"/>
          <w:spacing w:val="-4"/>
        </w:rPr>
        <w:t>)</w:t>
      </w:r>
      <w:r>
        <w:rPr>
          <w:spacing w:val="-4"/>
        </w:rPr>
        <w:t>；摄影、扩印服务；组织文化艺术交流活动</w:t>
      </w:r>
      <w:r>
        <w:rPr>
          <w:rFonts w:ascii="Times New Roman" w:hAnsi="Times New Roman" w:cs="Times New Roman" w:eastAsia="Times New Roman" w:hint="default"/>
          <w:spacing w:val="-4"/>
        </w:rPr>
        <w:t>(</w:t>
      </w:r>
      <w:r>
        <w:rPr>
          <w:spacing w:val="-4"/>
        </w:rPr>
        <w:t>不含演出</w:t>
      </w:r>
      <w:r>
        <w:rPr>
          <w:rFonts w:ascii="Times New Roman" w:hAnsi="Times New Roman" w:cs="Times New Roman" w:eastAsia="Times New Roman" w:hint="default"/>
          <w:spacing w:val="-4"/>
        </w:rPr>
        <w:t>)</w:t>
      </w:r>
      <w:r>
        <w:rPr>
          <w:spacing w:val="-4"/>
        </w:rPr>
        <w:t>；企业管理，企业创业投资</w:t>
      </w:r>
      <w:r>
        <w:rPr>
          <w:spacing w:val="-8"/>
        </w:rPr>
        <w:t> </w:t>
      </w:r>
      <w:r>
        <w:rPr>
          <w:spacing w:val="-8"/>
        </w:rPr>
      </w:r>
      <w:r>
        <w:rPr>
          <w:spacing w:val="-4"/>
        </w:rPr>
        <w:t>咨询服务，企业形象策划，市场营销策划，财务咨询；版权代理；物业管理，自有房屋租赁。</w:t>
      </w:r>
      <w:r>
        <w:rPr>
          <w:rFonts w:ascii="Times New Roman" w:hAnsi="Times New Roman" w:cs="Times New Roman" w:eastAsia="Times New Roman" w:hint="default"/>
          <w:spacing w:val="-4"/>
        </w:rPr>
        <w:t>(</w:t>
      </w:r>
      <w:r>
        <w:rPr>
          <w:spacing w:val="-4"/>
        </w:rPr>
        <w:t>依法须经批</w:t>
      </w:r>
      <w:r>
        <w:rPr>
          <w:spacing w:val="-7"/>
        </w:rPr>
        <w:t> </w:t>
      </w:r>
      <w:r>
        <w:rPr>
          <w:spacing w:val="-7"/>
        </w:rPr>
      </w:r>
      <w:r>
        <w:rPr/>
        <w:t>准的项目，经相关部门批准后方可开展经营活动</w:t>
      </w:r>
      <w:r>
        <w:rPr>
          <w:rFonts w:ascii="Times New Roman" w:hAnsi="Times New Roman" w:cs="Times New Roman" w:eastAsia="Times New Roman" w:hint="default"/>
        </w:rPr>
        <w:t>)</w:t>
      </w:r>
      <w:r>
        <w:rPr/>
        <w:t>。</w:t>
      </w:r>
    </w:p>
    <w:p>
      <w:pPr>
        <w:pStyle w:val="BodyText"/>
        <w:spacing w:line="256" w:lineRule="auto" w:before="0"/>
        <w:ind w:right="1127" w:firstLine="422"/>
        <w:jc w:val="both"/>
      </w:pPr>
      <w:r>
        <w:rPr/>
        <w:t>本公司股东吴春红、廖道训、吴玉瑞、柴继军、梁世平</w:t>
      </w:r>
      <w:r>
        <w:rPr>
          <w:rFonts w:ascii="Times New Roman" w:hAnsi="Times New Roman" w:cs="Times New Roman" w:eastAsia="Times New Roman" w:hint="default"/>
        </w:rPr>
        <w:t>5</w:t>
      </w:r>
      <w:r>
        <w:rPr/>
        <w:t>名一致行动人合计持有本公司</w:t>
      </w:r>
      <w:r>
        <w:rPr>
          <w:rFonts w:ascii="Times New Roman" w:hAnsi="Times New Roman" w:cs="Times New Roman" w:eastAsia="Times New Roman" w:hint="default"/>
        </w:rPr>
        <w:t>31,646.86</w:t>
      </w:r>
      <w:r>
        <w:rPr/>
        <w:t>股股</w:t>
      </w:r>
      <w:r>
        <w:rPr>
          <w:w w:val="100"/>
        </w:rPr>
        <w:t> </w:t>
      </w:r>
      <w:r>
        <w:rPr/>
        <w:t>份，持股比例为</w:t>
      </w:r>
      <w:r>
        <w:rPr>
          <w:rFonts w:ascii="Times New Roman" w:hAnsi="Times New Roman" w:cs="Times New Roman" w:eastAsia="Times New Roman" w:hint="default"/>
        </w:rPr>
        <w:t>45.17%</w:t>
      </w:r>
      <w:r>
        <w:rPr/>
        <w:t>，取得本公司的控制权，为公司实际控制人。</w:t>
      </w:r>
    </w:p>
    <w:p>
      <w:pPr>
        <w:pStyle w:val="BodyText"/>
        <w:spacing w:line="259" w:lineRule="auto" w:before="5"/>
        <w:ind w:left="494" w:right="0" w:firstLine="81"/>
        <w:jc w:val="left"/>
      </w:pPr>
      <w:r>
        <w:rPr/>
        <w:t>本财务报表由本公司董事会于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日批准报出。</w:t>
      </w:r>
      <w:r>
        <w:rPr>
          <w:w w:val="100"/>
        </w:rPr>
        <w:t> </w:t>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日，本集团纳入合并范围的子公司共</w:t>
      </w:r>
      <w:r>
        <w:rPr>
          <w:rFonts w:ascii="Times New Roman" w:hAnsi="Times New Roman" w:cs="Times New Roman" w:eastAsia="Times New Roman" w:hint="default"/>
        </w:rPr>
        <w:t>27</w:t>
      </w:r>
      <w:r>
        <w:rPr/>
        <w:t>户，详见本附注九</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w:t>
      </w:r>
    </w:p>
    <w:p>
      <w:pPr>
        <w:pStyle w:val="BodyText"/>
        <w:spacing w:line="240" w:lineRule="auto" w:before="2"/>
        <w:ind w:right="0"/>
        <w:jc w:val="both"/>
      </w:pPr>
      <w:r>
        <w:rPr/>
        <w:t>本集团本年合并范围比上年增加</w:t>
      </w:r>
      <w:r>
        <w:rPr>
          <w:rFonts w:ascii="Times New Roman" w:hAnsi="Times New Roman" w:cs="Times New Roman" w:eastAsia="Times New Roman" w:hint="default"/>
        </w:rPr>
        <w:t>4</w:t>
      </w:r>
      <w:r>
        <w:rPr/>
        <w:t>户，减少</w:t>
      </w:r>
      <w:r>
        <w:rPr>
          <w:rFonts w:ascii="Times New Roman" w:hAnsi="Times New Roman" w:cs="Times New Roman" w:eastAsia="Times New Roman" w:hint="default"/>
        </w:rPr>
        <w:t>5</w:t>
      </w:r>
      <w:r>
        <w:rPr/>
        <w:t>户，详见本附注八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line="240" w:lineRule="auto" w:before="6"/>
        <w:rPr>
          <w:rFonts w:ascii="宋体" w:hAnsi="宋体" w:cs="宋体" w:eastAsia="宋体" w:hint="default"/>
          <w:sz w:val="22"/>
          <w:szCs w:val="22"/>
        </w:rPr>
      </w:pPr>
    </w:p>
    <w:p>
      <w:pPr>
        <w:pStyle w:val="Heading2"/>
        <w:spacing w:line="240" w:lineRule="auto"/>
        <w:ind w:right="0"/>
        <w:jc w:val="both"/>
        <w:rPr>
          <w:b w:val="0"/>
          <w:bCs w:val="0"/>
        </w:rPr>
      </w:pPr>
      <w:bookmarkStart w:name="四、财务报表的编制基础" w:id="168"/>
      <w:bookmarkEnd w:id="168"/>
      <w:r>
        <w:rPr>
          <w:b w:val="0"/>
          <w:bCs w:val="0"/>
        </w:rPr>
      </w: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bookmarkStart w:name="1、编制基础" w:id="169"/>
      <w:bookmarkEnd w:id="169"/>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10"/>
        <w:rPr>
          <w:rFonts w:ascii="宋体" w:hAnsi="宋体" w:cs="宋体" w:eastAsia="宋体" w:hint="default"/>
          <w:b/>
          <w:bCs/>
          <w:sz w:val="24"/>
          <w:szCs w:val="24"/>
        </w:rPr>
      </w:pPr>
    </w:p>
    <w:p>
      <w:pPr>
        <w:pStyle w:val="BodyText"/>
        <w:spacing w:line="261" w:lineRule="auto" w:before="0"/>
        <w:ind w:right="1120" w:firstLine="422"/>
        <w:jc w:val="both"/>
      </w:pPr>
      <w:r>
        <w:rPr>
          <w:spacing w:val="-2"/>
        </w:rPr>
        <w:t>本集团财务报表以持续经营假设为基础，根据实际发生的交易和事项，按照财政部发布的《企业会计</w:t>
      </w:r>
      <w:r>
        <w:rPr>
          <w:w w:val="100"/>
        </w:rPr>
        <w:t> </w:t>
      </w:r>
      <w:r>
        <w:rPr>
          <w:spacing w:val="-3"/>
        </w:rPr>
        <w:t>准则</w:t>
      </w:r>
      <w:r>
        <w:rPr>
          <w:rFonts w:ascii="Times New Roman" w:hAnsi="Times New Roman" w:cs="Times New Roman" w:eastAsia="Times New Roman" w:hint="default"/>
          <w:spacing w:val="-3"/>
        </w:rPr>
        <w:t>——</w:t>
      </w:r>
      <w:r>
        <w:rPr>
          <w:spacing w:val="-3"/>
        </w:rPr>
        <w:t>基本准则》</w:t>
      </w:r>
      <w:r>
        <w:rPr>
          <w:rFonts w:ascii="Times New Roman" w:hAnsi="Times New Roman" w:cs="Times New Roman" w:eastAsia="Times New Roman" w:hint="default"/>
          <w:spacing w:val="-3"/>
        </w:rPr>
        <w:t>(</w:t>
      </w:r>
      <w:r>
        <w:rPr>
          <w:spacing w:val="-3"/>
        </w:rPr>
        <w:t>财政部令第</w:t>
      </w:r>
      <w:r>
        <w:rPr>
          <w:rFonts w:ascii="Times New Roman" w:hAnsi="Times New Roman" w:cs="Times New Roman" w:eastAsia="Times New Roman" w:hint="default"/>
          <w:spacing w:val="-3"/>
        </w:rPr>
        <w:t>33</w:t>
      </w:r>
      <w:r>
        <w:rPr>
          <w:spacing w:val="-3"/>
        </w:rPr>
        <w:t>号发布、财政部令第</w:t>
      </w:r>
      <w:r>
        <w:rPr>
          <w:rFonts w:ascii="Times New Roman" w:hAnsi="Times New Roman" w:cs="Times New Roman" w:eastAsia="Times New Roman" w:hint="default"/>
          <w:spacing w:val="-3"/>
        </w:rPr>
        <w:t>76</w:t>
      </w:r>
      <w:r>
        <w:rPr>
          <w:spacing w:val="-3"/>
        </w:rPr>
        <w:t>号修订</w:t>
      </w:r>
      <w:r>
        <w:rPr>
          <w:rFonts w:ascii="Times New Roman" w:hAnsi="Times New Roman" w:cs="Times New Roman" w:eastAsia="Times New Roman" w:hint="default"/>
          <w:spacing w:val="-3"/>
        </w:rPr>
        <w:t>)</w:t>
      </w:r>
      <w:r>
        <w:rPr>
          <w:spacing w:val="-3"/>
        </w:rPr>
        <w:t>、于</w:t>
      </w:r>
      <w:r>
        <w:rPr>
          <w:rFonts w:ascii="Times New Roman" w:hAnsi="Times New Roman" w:cs="Times New Roman" w:eastAsia="Times New Roman" w:hint="default"/>
          <w:spacing w:val="-3"/>
        </w:rPr>
        <w:t>2006</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15</w:t>
      </w:r>
      <w:r>
        <w:rPr>
          <w:spacing w:val="-3"/>
        </w:rPr>
        <w:t>日及其后颁布和修订的</w:t>
      </w:r>
      <w:r>
        <w:rPr>
          <w:spacing w:val="-2"/>
        </w:rPr>
        <w:t> </w:t>
      </w:r>
      <w:r>
        <w:rPr>
          <w:spacing w:val="-2"/>
        </w:rPr>
      </w:r>
      <w:r>
        <w:rPr>
          <w:rFonts w:ascii="Times New Roman" w:hAnsi="Times New Roman" w:cs="Times New Roman" w:eastAsia="Times New Roman" w:hint="default"/>
          <w:spacing w:val="2"/>
        </w:rPr>
        <w:t>42</w:t>
      </w:r>
      <w:r>
        <w:rPr>
          <w:spacing w:val="2"/>
        </w:rPr>
        <w:t>项具体会计准则、企业会计准则应用指南、企业会计准则解释及其他相关规定</w:t>
      </w:r>
      <w:r>
        <w:rPr>
          <w:rFonts w:ascii="Times New Roman" w:hAnsi="Times New Roman" w:cs="Times New Roman" w:eastAsia="Times New Roman" w:hint="default"/>
          <w:spacing w:val="2"/>
        </w:rPr>
        <w:t>(</w:t>
      </w:r>
      <w:r>
        <w:rPr>
          <w:spacing w:val="2"/>
        </w:rPr>
        <w:t>以下合称</w:t>
      </w:r>
      <w:r>
        <w:rPr>
          <w:rFonts w:ascii="Times New Roman" w:hAnsi="Times New Roman" w:cs="Times New Roman" w:eastAsia="Times New Roman" w:hint="default"/>
          <w:spacing w:val="2"/>
        </w:rPr>
        <w:t>“</w:t>
      </w:r>
      <w:r>
        <w:rPr>
          <w:spacing w:val="2"/>
        </w:rPr>
        <w:t>企业会计准</w:t>
      </w:r>
      <w:r>
        <w:rPr>
          <w:spacing w:val="14"/>
        </w:rPr>
        <w:t> </w:t>
      </w:r>
      <w:r>
        <w:rPr>
          <w:spacing w:val="14"/>
        </w:rPr>
      </w:r>
      <w:r>
        <w:rPr>
          <w:spacing w:val="-1"/>
        </w:rPr>
        <w:t>则</w:t>
      </w:r>
      <w:r>
        <w:rPr>
          <w:rFonts w:ascii="Times New Roman" w:hAnsi="Times New Roman" w:cs="Times New Roman" w:eastAsia="Times New Roman" w:hint="default"/>
          <w:spacing w:val="-1"/>
        </w:rPr>
        <w:t>”)</w:t>
      </w:r>
      <w:r>
        <w:rPr>
          <w:spacing w:val="-1"/>
        </w:rPr>
        <w:t>，以及中国证券监督管理委员会《公开发行证券的公司信息披露编报规则第</w:t>
      </w:r>
      <w:r>
        <w:rPr>
          <w:rFonts w:ascii="Times New Roman" w:hAnsi="Times New Roman" w:cs="Times New Roman" w:eastAsia="Times New Roman" w:hint="default"/>
          <w:spacing w:val="-1"/>
        </w:rPr>
        <w:t>15</w:t>
      </w:r>
      <w:r>
        <w:rPr>
          <w:spacing w:val="-1"/>
        </w:rPr>
        <w:t>号</w:t>
      </w:r>
      <w:r>
        <w:rPr>
          <w:rFonts w:ascii="Times New Roman" w:hAnsi="Times New Roman" w:cs="Times New Roman" w:eastAsia="Times New Roman" w:hint="default"/>
          <w:spacing w:val="-1"/>
        </w:rPr>
        <w:t>——</w:t>
      </w:r>
      <w:r>
        <w:rPr>
          <w:spacing w:val="-1"/>
        </w:rPr>
        <w:t>财务报告的一般</w:t>
      </w:r>
      <w:r>
        <w:rPr>
          <w:spacing w:val="-27"/>
        </w:rPr>
        <w:t> </w:t>
      </w:r>
      <w:r>
        <w:rPr>
          <w:spacing w:val="-27"/>
        </w:rPr>
      </w:r>
      <w:r>
        <w:rPr/>
        <w:t>规定</w:t>
      </w:r>
      <w:r>
        <w:rPr>
          <w:rFonts w:ascii="Times New Roman" w:hAnsi="Times New Roman" w:cs="Times New Roman" w:eastAsia="Times New Roman" w:hint="default"/>
        </w:rPr>
        <w:t>(2014</w:t>
      </w:r>
      <w:r>
        <w:rPr/>
        <w:t>年修订</w:t>
      </w:r>
      <w:r>
        <w:rPr>
          <w:rFonts w:ascii="Times New Roman" w:hAnsi="Times New Roman" w:cs="Times New Roman" w:eastAsia="Times New Roman" w:hint="default"/>
        </w:rPr>
        <w:t>)</w:t>
      </w:r>
      <w:r>
        <w:rPr/>
        <w:t>》的披露规定编制。</w:t>
      </w:r>
    </w:p>
    <w:p>
      <w:pPr>
        <w:pStyle w:val="BodyText"/>
        <w:spacing w:line="273" w:lineRule="auto" w:before="0"/>
        <w:ind w:right="1120" w:firstLine="422"/>
        <w:jc w:val="both"/>
      </w:pPr>
      <w:r>
        <w:rPr>
          <w:spacing w:val="-2"/>
        </w:rPr>
        <w:t>根据企业会计准则的相关规定，本集团会计核算以权责发生制为基础。除某些金融工具外，本财务报</w:t>
      </w:r>
      <w:r>
        <w:rPr>
          <w:w w:val="100"/>
        </w:rPr>
        <w:t> </w:t>
      </w:r>
      <w:r>
        <w:rPr/>
        <w:t>表均以历史成本为计量基础。资产如果发生减值，则按照相关规定计提相应的减值准备。</w:t>
      </w:r>
    </w:p>
    <w:p>
      <w:pPr>
        <w:spacing w:line="240" w:lineRule="auto" w:before="9"/>
        <w:rPr>
          <w:rFonts w:ascii="宋体" w:hAnsi="宋体" w:cs="宋体" w:eastAsia="宋体" w:hint="default"/>
          <w:sz w:val="23"/>
          <w:szCs w:val="23"/>
        </w:rPr>
      </w:pPr>
    </w:p>
    <w:p>
      <w:pPr>
        <w:pStyle w:val="Heading4"/>
        <w:spacing w:line="240" w:lineRule="auto"/>
        <w:ind w:right="0"/>
        <w:jc w:val="both"/>
        <w:rPr>
          <w:b w:val="0"/>
          <w:bCs w:val="0"/>
        </w:rPr>
      </w:pPr>
      <w:bookmarkStart w:name="2、持续经营" w:id="170"/>
      <w:bookmarkEnd w:id="170"/>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5"/>
        <w:rPr>
          <w:rFonts w:ascii="宋体" w:hAnsi="宋体" w:cs="宋体" w:eastAsia="宋体" w:hint="default"/>
          <w:b/>
          <w:bCs/>
          <w:sz w:val="24"/>
          <w:szCs w:val="24"/>
        </w:rPr>
      </w:pPr>
    </w:p>
    <w:p>
      <w:pPr>
        <w:pStyle w:val="BodyText"/>
        <w:spacing w:line="256" w:lineRule="auto" w:before="0"/>
        <w:ind w:right="1122" w:firstLine="422"/>
        <w:jc w:val="both"/>
      </w:pPr>
      <w:r>
        <w:rPr>
          <w:spacing w:val="-2"/>
        </w:rPr>
        <w:t>本集团在编制财务报表过程中，已全面评估本集团自资产负债表日起未来</w:t>
      </w:r>
      <w:r>
        <w:rPr>
          <w:rFonts w:ascii="Times New Roman" w:hAnsi="Times New Roman" w:cs="Times New Roman" w:eastAsia="Times New Roman" w:hint="default"/>
          <w:spacing w:val="-2"/>
        </w:rPr>
        <w:t>12</w:t>
      </w:r>
      <w:r>
        <w:rPr>
          <w:spacing w:val="-2"/>
        </w:rPr>
        <w:t>个月的持续经营能力。本</w:t>
      </w:r>
      <w:r>
        <w:rPr>
          <w:w w:val="100"/>
        </w:rPr>
        <w:t> </w:t>
      </w:r>
      <w:r>
        <w:rPr>
          <w:spacing w:val="-2"/>
        </w:rPr>
        <w:t>集团利用所有可获得的信息，包括近期获利经营的历史、通过银行融资等财务资源支持的信息作出评估后</w:t>
      </w:r>
    </w:p>
    <w:p>
      <w:pPr>
        <w:pStyle w:val="BodyText"/>
        <w:spacing w:line="256" w:lineRule="auto" w:before="22"/>
        <w:ind w:right="0"/>
        <w:jc w:val="left"/>
      </w:pPr>
      <w:r>
        <w:rPr>
          <w:spacing w:val="-2"/>
        </w:rPr>
        <w:t>﹐合理预期本集团将有足够的资源在自资产负债表日起未来</w:t>
      </w:r>
      <w:r>
        <w:rPr>
          <w:rFonts w:ascii="Times New Roman" w:hAnsi="Times New Roman" w:cs="Times New Roman" w:eastAsia="Times New Roman" w:hint="default"/>
          <w:spacing w:val="-2"/>
        </w:rPr>
        <w:t>12</w:t>
      </w:r>
      <w:r>
        <w:rPr>
          <w:spacing w:val="-2"/>
        </w:rPr>
        <w:t>个月内保持持续经营，本集团因而按持续经</w:t>
      </w:r>
      <w:r>
        <w:rPr>
          <w:spacing w:val="-29"/>
        </w:rPr>
        <w:t> </w:t>
      </w:r>
      <w:r>
        <w:rPr>
          <w:spacing w:val="-29"/>
        </w:rPr>
      </w:r>
      <w:r>
        <w:rPr/>
        <w:t>营基础编制本财务报表。</w:t>
      </w:r>
    </w:p>
    <w:p>
      <w:pPr>
        <w:spacing w:line="240" w:lineRule="auto" w:before="7"/>
        <w:rPr>
          <w:rFonts w:ascii="宋体" w:hAnsi="宋体" w:cs="宋体" w:eastAsia="宋体" w:hint="default"/>
          <w:sz w:val="22"/>
          <w:szCs w:val="22"/>
        </w:rPr>
      </w:pPr>
    </w:p>
    <w:p>
      <w:pPr>
        <w:pStyle w:val="Heading2"/>
        <w:spacing w:line="240" w:lineRule="auto"/>
        <w:ind w:right="0"/>
        <w:jc w:val="both"/>
        <w:rPr>
          <w:b w:val="0"/>
          <w:bCs w:val="0"/>
        </w:rPr>
      </w:pPr>
      <w:bookmarkStart w:name="五、重要会计政策及会计估计" w:id="171"/>
      <w:bookmarkEnd w:id="171"/>
      <w:r>
        <w:rPr>
          <w:b w:val="0"/>
          <w:bCs w:val="0"/>
        </w:rPr>
      </w:r>
      <w:r>
        <w:rPr/>
        <w:t>五、重要会计政策及会计估计</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pacing w:val="-3"/>
          <w:sz w:val="18"/>
          <w:szCs w:val="18"/>
        </w:rPr>
        <w:t>具体会计政策和会计估计提示：</w:t>
      </w:r>
    </w:p>
    <w:p>
      <w:pPr>
        <w:pStyle w:val="BodyText"/>
        <w:spacing w:line="256" w:lineRule="auto" w:before="84"/>
        <w:ind w:right="1146"/>
        <w:jc w:val="left"/>
      </w:pPr>
      <w:r>
        <w:rPr/>
        <w:t>本集团根据生产经营特点确定具体会计政策和会计估计，主要体现在金融工具减值的判断标准</w:t>
      </w:r>
      <w:r>
        <w:rPr>
          <w:spacing w:val="-20"/>
        </w:rPr>
        <w:t> </w:t>
      </w:r>
      <w:r>
        <w:rPr>
          <w:rFonts w:ascii="Times New Roman" w:hAnsi="Times New Roman" w:cs="Times New Roman" w:eastAsia="Times New Roman" w:hint="default"/>
        </w:rPr>
        <w:t>(</w:t>
      </w:r>
      <w:r>
        <w:rPr/>
        <w:t>附注五、</w:t>
      </w:r>
      <w:r>
        <w:rPr>
          <w:w w:val="100"/>
        </w:rPr>
        <w:t> </w:t>
      </w:r>
      <w:r>
        <w:rPr>
          <w:rFonts w:ascii="Times New Roman" w:hAnsi="Times New Roman" w:cs="Times New Roman" w:eastAsia="Times New Roman" w:hint="default"/>
        </w:rPr>
        <w:t>11)</w:t>
      </w:r>
      <w:r>
        <w:rPr/>
        <w:t>、、固定资产折旧和无形资产摊销</w:t>
      </w:r>
      <w:r>
        <w:rPr>
          <w:rFonts w:ascii="Times New Roman" w:hAnsi="Times New Roman" w:cs="Times New Roman" w:eastAsia="Times New Roman" w:hint="default"/>
        </w:rPr>
        <w:t>(</w:t>
      </w:r>
      <w:r>
        <w:rPr/>
        <w:t>附注五</w:t>
      </w:r>
      <w:r>
        <w:rPr>
          <w:rFonts w:ascii="Times New Roman" w:hAnsi="Times New Roman" w:cs="Times New Roman" w:eastAsia="Times New Roman" w:hint="default"/>
        </w:rPr>
        <w:t>15</w:t>
      </w:r>
      <w:r>
        <w:rPr/>
        <w:t>、</w:t>
      </w:r>
      <w:r>
        <w:rPr>
          <w:rFonts w:ascii="Times New Roman" w:hAnsi="Times New Roman" w:cs="Times New Roman" w:eastAsia="Times New Roman" w:hint="default"/>
        </w:rPr>
        <w:t>17)</w:t>
      </w:r>
      <w:r>
        <w:rPr/>
        <w:t>、收入的确认时点</w:t>
      </w:r>
      <w:r>
        <w:rPr>
          <w:rFonts w:ascii="Times New Roman" w:hAnsi="Times New Roman" w:cs="Times New Roman" w:eastAsia="Times New Roman" w:hint="default"/>
        </w:rPr>
        <w:t>(</w:t>
      </w:r>
      <w:r>
        <w:rPr/>
        <w:t>附注五、</w:t>
      </w:r>
      <w:r>
        <w:rPr>
          <w:rFonts w:ascii="Times New Roman" w:hAnsi="Times New Roman" w:cs="Times New Roman" w:eastAsia="Times New Roman" w:hint="default"/>
        </w:rPr>
        <w:t>23)</w:t>
      </w:r>
      <w:r>
        <w:rPr/>
        <w:t>等。</w:t>
      </w:r>
    </w:p>
    <w:p>
      <w:pPr>
        <w:spacing w:after="0" w:line="256" w:lineRule="auto"/>
        <w:jc w:val="left"/>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4"/>
        <w:spacing w:line="240" w:lineRule="auto" w:before="36"/>
        <w:ind w:right="0"/>
        <w:jc w:val="left"/>
        <w:rPr>
          <w:b w:val="0"/>
          <w:bCs w:val="0"/>
        </w:rPr>
      </w:pPr>
      <w:bookmarkStart w:name="1、遵循企业会计准则的声明" w:id="172"/>
      <w:bookmarkEnd w:id="172"/>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5"/>
        <w:rPr>
          <w:rFonts w:ascii="宋体" w:hAnsi="宋体" w:cs="宋体" w:eastAsia="宋体" w:hint="default"/>
          <w:b/>
          <w:bCs/>
          <w:sz w:val="24"/>
          <w:szCs w:val="24"/>
        </w:rPr>
      </w:pPr>
    </w:p>
    <w:p>
      <w:pPr>
        <w:pStyle w:val="BodyText"/>
        <w:spacing w:line="256" w:lineRule="auto" w:before="0"/>
        <w:ind w:right="1122" w:firstLine="422"/>
        <w:jc w:val="both"/>
      </w:pPr>
      <w:r>
        <w:rPr>
          <w:spacing w:val="-2"/>
        </w:rPr>
        <w:t>本公司编制的财务报表符合企业会计准则的要求，真实、完整地反映了本公司及本集团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rFonts w:ascii="Times New Roman" w:hAnsi="Times New Roman" w:cs="Times New Roman" w:eastAsia="Times New Roman" w:hint="default"/>
          <w:w w:val="100"/>
        </w:rPr>
        <w:t> </w:t>
      </w:r>
      <w:r>
        <w:rPr>
          <w:spacing w:val="-2"/>
        </w:rPr>
        <w:t>日的财务状况及</w:t>
      </w:r>
      <w:r>
        <w:rPr>
          <w:rFonts w:ascii="Times New Roman" w:hAnsi="Times New Roman" w:cs="Times New Roman" w:eastAsia="Times New Roman" w:hint="default"/>
          <w:spacing w:val="-2"/>
        </w:rPr>
        <w:t>2019</w:t>
      </w:r>
      <w:r>
        <w:rPr>
          <w:spacing w:val="-2"/>
        </w:rPr>
        <w:t>年度的经营成果和现金流量等有关信息。此外，本公司及本集团的财务报表在所有重</w:t>
      </w:r>
      <w:r>
        <w:rPr>
          <w:spacing w:val="-29"/>
        </w:rPr>
        <w:t> </w:t>
      </w:r>
      <w:r>
        <w:rPr>
          <w:spacing w:val="-29"/>
        </w:rPr>
      </w:r>
      <w:r>
        <w:rPr>
          <w:spacing w:val="-2"/>
        </w:rPr>
        <w:t>大方面符合中国证券监督管理委员会</w:t>
      </w:r>
      <w:r>
        <w:rPr>
          <w:rFonts w:ascii="Times New Roman" w:hAnsi="Times New Roman" w:cs="Times New Roman" w:eastAsia="Times New Roman" w:hint="default"/>
          <w:spacing w:val="-2"/>
        </w:rPr>
        <w:t>2014</w:t>
      </w:r>
      <w:r>
        <w:rPr>
          <w:spacing w:val="-2"/>
        </w:rPr>
        <w:t>年修订的《公开发行证券的公司信息披露编报规则第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财</w:t>
      </w:r>
      <w:r>
        <w:rPr>
          <w:spacing w:val="-24"/>
        </w:rPr>
        <w:t> </w:t>
      </w:r>
      <w:r>
        <w:rPr/>
        <w:t>务报告的一般规定》有关财务报表及其附注的披露要求。</w:t>
      </w:r>
    </w:p>
    <w:p>
      <w:pPr>
        <w:spacing w:line="240" w:lineRule="auto" w:before="11"/>
        <w:rPr>
          <w:rFonts w:ascii="宋体" w:hAnsi="宋体" w:cs="宋体" w:eastAsia="宋体" w:hint="default"/>
          <w:sz w:val="24"/>
          <w:szCs w:val="24"/>
        </w:rPr>
      </w:pPr>
    </w:p>
    <w:p>
      <w:pPr>
        <w:pStyle w:val="Heading4"/>
        <w:spacing w:line="240" w:lineRule="auto"/>
        <w:ind w:right="0"/>
        <w:jc w:val="left"/>
        <w:rPr>
          <w:b w:val="0"/>
          <w:bCs w:val="0"/>
        </w:rPr>
      </w:pPr>
      <w:bookmarkStart w:name="2、会计期间" w:id="173"/>
      <w:bookmarkEnd w:id="173"/>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5"/>
        <w:rPr>
          <w:rFonts w:ascii="宋体" w:hAnsi="宋体" w:cs="宋体" w:eastAsia="宋体" w:hint="default"/>
          <w:b/>
          <w:bCs/>
          <w:sz w:val="24"/>
          <w:szCs w:val="24"/>
        </w:rPr>
      </w:pPr>
    </w:p>
    <w:p>
      <w:pPr>
        <w:pStyle w:val="BodyText"/>
        <w:spacing w:line="273" w:lineRule="auto" w:before="0"/>
        <w:ind w:right="1125" w:firstLine="422"/>
        <w:jc w:val="both"/>
      </w:pPr>
      <w:r>
        <w:rPr>
          <w:spacing w:val="-2"/>
        </w:rPr>
        <w:t>本集团的会计期间分为年度和中期，会计中期指短于一个完整的会计年度的报告期间。本集团会计年</w:t>
      </w:r>
      <w:r>
        <w:rPr>
          <w:w w:val="100"/>
        </w:rPr>
        <w:t> </w:t>
      </w:r>
      <w:r>
        <w:rPr/>
        <w:t>度采用公历年度，即每年自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3"/>
        <w:rPr>
          <w:rFonts w:ascii="宋体" w:hAnsi="宋体" w:cs="宋体" w:eastAsia="宋体" w:hint="default"/>
          <w:sz w:val="22"/>
          <w:szCs w:val="22"/>
        </w:rPr>
      </w:pPr>
    </w:p>
    <w:p>
      <w:pPr>
        <w:pStyle w:val="Heading4"/>
        <w:spacing w:line="240" w:lineRule="auto"/>
        <w:ind w:right="0"/>
        <w:jc w:val="left"/>
        <w:rPr>
          <w:b w:val="0"/>
          <w:bCs w:val="0"/>
        </w:rPr>
      </w:pPr>
      <w:bookmarkStart w:name="3、营业周期" w:id="174"/>
      <w:bookmarkEnd w:id="174"/>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5"/>
        <w:rPr>
          <w:rFonts w:ascii="宋体" w:hAnsi="宋体" w:cs="宋体" w:eastAsia="宋体" w:hint="default"/>
          <w:b/>
          <w:bCs/>
          <w:sz w:val="24"/>
          <w:szCs w:val="24"/>
        </w:rPr>
      </w:pPr>
    </w:p>
    <w:p>
      <w:pPr>
        <w:pStyle w:val="BodyText"/>
        <w:spacing w:line="256" w:lineRule="auto" w:before="0"/>
        <w:ind w:right="1122" w:firstLine="422"/>
        <w:jc w:val="both"/>
      </w:pPr>
      <w:r>
        <w:rPr>
          <w:spacing w:val="-2"/>
        </w:rPr>
        <w:t>正常营业周期是指本集团从购买用于加工的资产起至实现现金或现金等价物的期间。本集团以</w:t>
      </w:r>
      <w:r>
        <w:rPr>
          <w:rFonts w:ascii="Times New Roman" w:hAnsi="Times New Roman" w:cs="Times New Roman" w:eastAsia="Times New Roman" w:hint="default"/>
          <w:spacing w:val="-2"/>
        </w:rPr>
        <w:t>12</w:t>
      </w:r>
      <w:r>
        <w:rPr>
          <w:spacing w:val="-2"/>
        </w:rPr>
        <w:t>个月</w:t>
      </w:r>
      <w:r>
        <w:rPr>
          <w:w w:val="100"/>
        </w:rPr>
        <w:t> </w:t>
      </w:r>
      <w:r>
        <w:rPr/>
        <w:t>作为一个营业周期，并以其作为资产和负债的流动性划分标准。</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Heading4"/>
        <w:spacing w:line="240" w:lineRule="auto"/>
        <w:ind w:right="0"/>
        <w:jc w:val="left"/>
        <w:rPr>
          <w:b w:val="0"/>
          <w:bCs w:val="0"/>
        </w:rPr>
      </w:pPr>
      <w:bookmarkStart w:name="4、记账本位币" w:id="175"/>
      <w:bookmarkEnd w:id="175"/>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right="1125" w:firstLine="422"/>
        <w:jc w:val="both"/>
      </w:pPr>
      <w:r>
        <w:rPr>
          <w:spacing w:val="-2"/>
        </w:rPr>
        <w:t>人民币为本公司及境内子公司经营所处的主要经济环境中的货币，本公司及境内子公司以人民币为记</w:t>
      </w:r>
      <w:r>
        <w:rPr>
          <w:w w:val="100"/>
        </w:rPr>
        <w:t> </w:t>
      </w:r>
      <w:r>
        <w:rPr>
          <w:spacing w:val="-2"/>
        </w:rPr>
        <w:t>账本位币。本公司之境外子公司根据其经营所处的主要经济环境中的货币确定为其记账本位币。本集团编</w:t>
      </w:r>
      <w:r>
        <w:rPr>
          <w:spacing w:val="-33"/>
        </w:rPr>
        <w:t> </w:t>
      </w:r>
      <w:r>
        <w:rPr>
          <w:spacing w:val="-33"/>
        </w:rPr>
      </w:r>
      <w:r>
        <w:rPr/>
        <w:t>制本财务报表时所采用的货币为人民币。</w:t>
      </w:r>
    </w:p>
    <w:p>
      <w:pPr>
        <w:spacing w:line="590" w:lineRule="atLeast" w:before="11"/>
        <w:ind w:left="575" w:right="0" w:hanging="423"/>
        <w:jc w:val="left"/>
        <w:rPr>
          <w:rFonts w:ascii="宋体" w:hAnsi="宋体" w:cs="宋体" w:eastAsia="宋体" w:hint="default"/>
          <w:sz w:val="21"/>
          <w:szCs w:val="21"/>
        </w:rPr>
      </w:pPr>
      <w:bookmarkStart w:name="5、同一控制下和非同一控制下企业合并的会计处理方法" w:id="176"/>
      <w:bookmarkEnd w:id="176"/>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企业合并，是指将两个或两个以上单独的企业合并形成一个报告主体的交易或事项。企业合并分为同</w:t>
      </w:r>
    </w:p>
    <w:p>
      <w:pPr>
        <w:pStyle w:val="BodyText"/>
        <w:spacing w:line="405" w:lineRule="auto" w:before="37"/>
        <w:ind w:right="6397" w:firstLine="4"/>
        <w:jc w:val="left"/>
      </w:pPr>
      <w:r>
        <w:rPr>
          <w:spacing w:val="-1"/>
        </w:rPr>
        <w:t>一控制下企业合并和非同一控制下企业合并。</w:t>
      </w:r>
      <w:r>
        <w:rPr>
          <w:spacing w:val="-85"/>
        </w:rPr>
        <w:t> </w:t>
      </w:r>
      <w:r>
        <w:rPr>
          <w:spacing w:val="-85"/>
        </w:rPr>
      </w:r>
      <w:r>
        <w:rPr>
          <w:rFonts w:ascii="宋体" w:hAnsi="宋体" w:cs="宋体" w:eastAsia="宋体" w:hint="default"/>
        </w:rPr>
        <w:t>1.</w:t>
      </w:r>
      <w:r>
        <w:rPr>
          <w:rFonts w:ascii="宋体" w:hAnsi="宋体" w:cs="宋体" w:eastAsia="宋体" w:hint="default"/>
          <w:spacing w:val="50"/>
        </w:rPr>
        <w:t> </w:t>
      </w:r>
      <w:r>
        <w:rPr/>
        <w:t>同一控制下企业合并</w:t>
      </w:r>
    </w:p>
    <w:p>
      <w:pPr>
        <w:pStyle w:val="BodyText"/>
        <w:spacing w:line="273" w:lineRule="auto" w:before="50"/>
        <w:ind w:left="513" w:right="1119" w:firstLine="422"/>
        <w:jc w:val="both"/>
      </w:pPr>
      <w:r>
        <w:rPr/>
        <w:t>参与合并的企业在合并前后均受同一方或相同的多方最终控制，且该控制并非暂时性的，为同一</w:t>
      </w:r>
      <w:r>
        <w:rPr>
          <w:w w:val="100"/>
        </w:rPr>
        <w:t> </w:t>
      </w:r>
      <w:r>
        <w:rPr>
          <w:spacing w:val="-1"/>
        </w:rPr>
        <w:t>控制下的企业合并。同一控制下的企业合并，在合并日取得对其他参与合并企业控制权的一方为合并</w:t>
      </w:r>
      <w:r>
        <w:rPr>
          <w:spacing w:val="-24"/>
        </w:rPr>
        <w:t> </w:t>
      </w:r>
      <w:r>
        <w:rPr>
          <w:spacing w:val="-24"/>
        </w:rPr>
      </w:r>
      <w:r>
        <w:rPr/>
        <w:t>方，参与合并的其他企业为被合并方。合并日，是指合并方实际取得对被合并方控制权的日期。</w:t>
      </w:r>
    </w:p>
    <w:p>
      <w:pPr>
        <w:pStyle w:val="BodyText"/>
        <w:spacing w:line="264" w:lineRule="auto"/>
        <w:ind w:left="513" w:right="1120" w:firstLine="422"/>
        <w:jc w:val="both"/>
      </w:pPr>
      <w:r>
        <w:rPr/>
        <w:t>合并方取得的资产和负债均按合并日在被合并方的账面价值计量。合并方取得的净资产账面价值</w:t>
      </w:r>
      <w:r>
        <w:rPr>
          <w:w w:val="100"/>
        </w:rPr>
        <w:t> </w:t>
      </w:r>
      <w:r>
        <w:rPr>
          <w:spacing w:val="-4"/>
        </w:rPr>
        <w:t>与支付的合并对价账面价值</w:t>
      </w:r>
      <w:r>
        <w:rPr>
          <w:rFonts w:ascii="Times New Roman" w:hAnsi="Times New Roman" w:cs="Times New Roman" w:eastAsia="Times New Roman" w:hint="default"/>
          <w:spacing w:val="-4"/>
        </w:rPr>
        <w:t>(</w:t>
      </w:r>
      <w:r>
        <w:rPr>
          <w:spacing w:val="-4"/>
        </w:rPr>
        <w:t>或发行股份面值总额</w:t>
      </w:r>
      <w:r>
        <w:rPr>
          <w:rFonts w:ascii="Times New Roman" w:hAnsi="Times New Roman" w:cs="Times New Roman" w:eastAsia="Times New Roman" w:hint="default"/>
          <w:spacing w:val="-4"/>
        </w:rPr>
        <w:t>)</w:t>
      </w:r>
      <w:r>
        <w:rPr>
          <w:spacing w:val="-4"/>
        </w:rPr>
        <w:t>的差额，调整资本公积</w:t>
      </w:r>
      <w:r>
        <w:rPr>
          <w:rFonts w:ascii="Times New Roman" w:hAnsi="Times New Roman" w:cs="Times New Roman" w:eastAsia="Times New Roman" w:hint="default"/>
          <w:spacing w:val="-4"/>
        </w:rPr>
        <w:t>(</w:t>
      </w:r>
      <w:r>
        <w:rPr>
          <w:spacing w:val="-4"/>
        </w:rPr>
        <w:t>股本溢价</w:t>
      </w:r>
      <w:r>
        <w:rPr>
          <w:rFonts w:ascii="Times New Roman" w:hAnsi="Times New Roman" w:cs="Times New Roman" w:eastAsia="Times New Roman" w:hint="default"/>
          <w:spacing w:val="-4"/>
        </w:rPr>
        <w:t>)</w:t>
      </w:r>
      <w:r>
        <w:rPr>
          <w:spacing w:val="-4"/>
        </w:rPr>
        <w:t>；资本公积</w:t>
      </w:r>
      <w:r>
        <w:rPr>
          <w:rFonts w:ascii="Times New Roman" w:hAnsi="Times New Roman" w:cs="Times New Roman" w:eastAsia="Times New Roman" w:hint="default"/>
          <w:spacing w:val="-4"/>
        </w:rPr>
        <w:t>(</w:t>
      </w:r>
      <w:r>
        <w:rPr>
          <w:spacing w:val="-4"/>
        </w:rPr>
        <w:t>股本溢</w:t>
      </w:r>
      <w:r>
        <w:rPr>
          <w:spacing w:val="-19"/>
        </w:rPr>
        <w:t> </w:t>
      </w:r>
      <w:r>
        <w:rPr>
          <w:spacing w:val="-19"/>
        </w:rPr>
      </w:r>
      <w:r>
        <w:rPr/>
        <w:t>价</w:t>
      </w:r>
      <w:r>
        <w:rPr>
          <w:rFonts w:ascii="Times New Roman" w:hAnsi="Times New Roman" w:cs="Times New Roman" w:eastAsia="Times New Roman" w:hint="default"/>
        </w:rPr>
        <w:t>)</w:t>
      </w:r>
      <w:r>
        <w:rPr/>
        <w:t>不足以冲减的，调整留存收益。</w:t>
      </w:r>
    </w:p>
    <w:p>
      <w:pPr>
        <w:pStyle w:val="BodyText"/>
        <w:spacing w:line="405" w:lineRule="auto" w:before="0"/>
        <w:ind w:right="3351" w:firstLine="782"/>
        <w:jc w:val="left"/>
      </w:pPr>
      <w:r>
        <w:rPr>
          <w:spacing w:val="-2"/>
        </w:rPr>
        <w:t>合并方为进行企业合并发生的各项直接费用，于发生时计入当期损益。</w:t>
      </w:r>
      <w:r>
        <w:rPr>
          <w:w w:val="100"/>
        </w:rPr>
        <w:t> </w:t>
      </w:r>
      <w:r>
        <w:rPr>
          <w:rFonts w:ascii="宋体" w:hAnsi="宋体" w:cs="宋体" w:eastAsia="宋体" w:hint="default"/>
        </w:rPr>
        <w:t>1.</w:t>
      </w:r>
      <w:r>
        <w:rPr>
          <w:rFonts w:ascii="宋体" w:hAnsi="宋体" w:cs="宋体" w:eastAsia="宋体" w:hint="default"/>
          <w:spacing w:val="46"/>
        </w:rPr>
        <w:t> </w:t>
      </w:r>
      <w:r>
        <w:rPr/>
        <w:t>非同一控制下企业合并</w:t>
      </w:r>
    </w:p>
    <w:p>
      <w:pPr>
        <w:pStyle w:val="BodyText"/>
        <w:spacing w:line="273" w:lineRule="auto" w:before="50"/>
        <w:ind w:right="1125" w:firstLine="422"/>
        <w:jc w:val="both"/>
      </w:pPr>
      <w:r>
        <w:rPr>
          <w:spacing w:val="-2"/>
        </w:rPr>
        <w:t>参与合并的企业在合并前后不受同一方或相同的多方最终控制的，为非同一控制下的企业合并。非同</w:t>
      </w:r>
      <w:r>
        <w:rPr>
          <w:w w:val="100"/>
        </w:rPr>
        <w:t> </w:t>
      </w:r>
      <w:r>
        <w:rPr>
          <w:spacing w:val="-2"/>
        </w:rPr>
        <w:t>一控制下的企业合并，在购买日取得对其他参与合并企业控制权的一方为购买方，参与合并的其他企业为</w:t>
      </w:r>
      <w:r>
        <w:rPr>
          <w:spacing w:val="-33"/>
        </w:rPr>
        <w:t> </w:t>
      </w:r>
      <w:r>
        <w:rPr>
          <w:spacing w:val="-33"/>
        </w:rPr>
      </w:r>
      <w:r>
        <w:rPr/>
        <w:t>被购买方。购买日，是指为购买方实际取得对被购买方控制权的日期。</w:t>
      </w:r>
    </w:p>
    <w:p>
      <w:pPr>
        <w:pStyle w:val="BodyText"/>
        <w:spacing w:line="273" w:lineRule="auto"/>
        <w:ind w:right="1123" w:firstLine="422"/>
        <w:jc w:val="both"/>
      </w:pPr>
      <w:r>
        <w:rPr>
          <w:spacing w:val="2"/>
        </w:rPr>
        <w:t>对于非同一控制下的企业合并，合并成本包含购买日购买方为取得对被购买方的控制权而付出的资</w:t>
      </w:r>
      <w:r>
        <w:rPr>
          <w:w w:val="100"/>
        </w:rPr>
        <w:t> </w:t>
      </w:r>
      <w:r>
        <w:rPr>
          <w:spacing w:val="-2"/>
        </w:rPr>
        <w:t>产、发生或承担的负债以及发行的权益性证券的公允价值，为企业合并发生的审计、法律服务、评估咨询</w:t>
      </w:r>
      <w:r>
        <w:rPr>
          <w:spacing w:val="-33"/>
        </w:rPr>
        <w:t> </w:t>
      </w:r>
      <w:r>
        <w:rPr>
          <w:spacing w:val="-33"/>
        </w:rPr>
      </w:r>
      <w:r>
        <w:rPr>
          <w:spacing w:val="-2"/>
        </w:rPr>
        <w:t>等中介费用以及其他管理费用于发生时计入当期损益。购买方作为合并对价发行的权益性证券或债务性证</w:t>
      </w:r>
    </w:p>
    <w:p>
      <w:pPr>
        <w:spacing w:after="0" w:line="273" w:lineRule="auto"/>
        <w:jc w:val="both"/>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BodyText"/>
        <w:spacing w:line="271" w:lineRule="auto" w:before="36"/>
        <w:ind w:right="0"/>
        <w:jc w:val="left"/>
      </w:pPr>
      <w:r>
        <w:rPr>
          <w:spacing w:val="-2"/>
        </w:rPr>
        <w:t>券的交易费用，计入权益性证券或债务性证券的初始确认金额。所涉及的或有对价按其在购买日的公允价</w:t>
      </w:r>
      <w:r>
        <w:rPr>
          <w:spacing w:val="-33"/>
        </w:rPr>
        <w:t> </w:t>
      </w:r>
      <w:r>
        <w:rPr>
          <w:spacing w:val="-33"/>
        </w:rPr>
      </w:r>
      <w:r>
        <w:rPr/>
        <w:t>值计入合并成本，购买日后</w:t>
      </w:r>
      <w:r>
        <w:rPr>
          <w:rFonts w:ascii="Times New Roman" w:hAnsi="Times New Roman" w:cs="Times New Roman" w:eastAsia="Times New Roman" w:hint="default"/>
        </w:rPr>
        <w:t>12</w:t>
      </w:r>
      <w:r>
        <w:rPr/>
        <w:t>个月内出现对购买日已存在情况的新的或进一步证据而需要调整或有对价</w:t>
      </w:r>
      <w:r>
        <w:rPr>
          <w:spacing w:val="62"/>
        </w:rPr>
        <w:t> </w:t>
      </w:r>
      <w:r>
        <w:rPr>
          <w:spacing w:val="62"/>
        </w:rPr>
      </w:r>
      <w:r>
        <w:rPr>
          <w:spacing w:val="-4"/>
        </w:rPr>
        <w:t>的，相应调整合并商誉。购买方发生的合并成本及在合并中取得的可辨认净资产按购买日的公允价值计量。</w:t>
      </w:r>
      <w:r>
        <w:rPr>
          <w:spacing w:val="-47"/>
        </w:rPr>
        <w:t> </w:t>
      </w:r>
      <w:r>
        <w:rPr>
          <w:spacing w:val="-47"/>
        </w:rPr>
      </w:r>
      <w:r>
        <w:rPr>
          <w:spacing w:val="-2"/>
        </w:rPr>
        <w:t>合并成本大于合并中取得的被购买方于购买日可辨认净资产公允价值份额的差额，确认为商誉。合并成本</w:t>
      </w:r>
      <w:r>
        <w:rPr>
          <w:spacing w:val="-33"/>
        </w:rPr>
        <w:t> </w:t>
      </w:r>
      <w:r>
        <w:rPr>
          <w:spacing w:val="-33"/>
        </w:rPr>
      </w:r>
      <w:r>
        <w:rPr>
          <w:spacing w:val="-2"/>
        </w:rPr>
        <w:t>小于合并中取得的被购买方可辨认净资产公允价值份额的，首先对取得的被购买方各项可辨认资产、负债</w:t>
      </w:r>
      <w:r>
        <w:rPr>
          <w:spacing w:val="-33"/>
        </w:rPr>
        <w:t> </w:t>
      </w:r>
      <w:r>
        <w:rPr>
          <w:spacing w:val="-33"/>
        </w:rPr>
      </w:r>
      <w:r>
        <w:rPr>
          <w:spacing w:val="-2"/>
        </w:rPr>
        <w:t>及或有负债的公允价值以及合并成本的计量进行复核，复核后合并成本仍小于合并中取得的被购买方可辨</w:t>
      </w:r>
      <w:r>
        <w:rPr>
          <w:spacing w:val="-33"/>
        </w:rPr>
        <w:t> </w:t>
      </w:r>
      <w:r>
        <w:rPr>
          <w:spacing w:val="-33"/>
        </w:rPr>
      </w:r>
      <w:r>
        <w:rPr/>
        <w:t>认净资产公允价值份额的，其差额计入当期损益。</w:t>
      </w:r>
    </w:p>
    <w:p>
      <w:pPr>
        <w:pStyle w:val="BodyText"/>
        <w:spacing w:line="268" w:lineRule="auto" w:before="10"/>
        <w:ind w:right="1106" w:firstLine="422"/>
        <w:jc w:val="both"/>
      </w:pPr>
      <w:r>
        <w:rPr>
          <w:spacing w:val="2"/>
        </w:rPr>
        <w:t>购买方取得被购买方的可抵扣暂时性差异，在购买日因不符合递延所得税资产确认条件而未予确认</w:t>
      </w:r>
      <w:r>
        <w:rPr>
          <w:w w:val="100"/>
        </w:rPr>
        <w:t> </w:t>
      </w:r>
      <w:r>
        <w:rPr>
          <w:spacing w:val="-2"/>
        </w:rPr>
        <w:t>的，在购买日后</w:t>
      </w:r>
      <w:r>
        <w:rPr>
          <w:rFonts w:ascii="Times New Roman" w:hAnsi="Times New Roman" w:cs="Times New Roman" w:eastAsia="Times New Roman" w:hint="default"/>
          <w:spacing w:val="-2"/>
        </w:rPr>
        <w:t>12</w:t>
      </w:r>
      <w:r>
        <w:rPr>
          <w:spacing w:val="-2"/>
        </w:rPr>
        <w:t>个月内，如取得新的或进一步的信息表明购买日的相关情况已经存在，预期被购买方在</w:t>
      </w:r>
      <w:r>
        <w:rPr>
          <w:spacing w:val="-31"/>
        </w:rPr>
        <w:t> </w:t>
      </w:r>
      <w:r>
        <w:rPr>
          <w:spacing w:val="-31"/>
        </w:rPr>
      </w:r>
      <w:r>
        <w:rPr>
          <w:spacing w:val="-2"/>
        </w:rPr>
        <w:t>购买日可抵扣暂时性差异带来的经济利益能够实现的，则确认相关的递延所得税资产，同时减少商誉，商</w:t>
      </w:r>
      <w:r>
        <w:rPr>
          <w:spacing w:val="-33"/>
        </w:rPr>
        <w:t> </w:t>
      </w:r>
      <w:r>
        <w:rPr>
          <w:spacing w:val="-33"/>
        </w:rPr>
      </w:r>
      <w:r>
        <w:rPr>
          <w:spacing w:val="-2"/>
        </w:rPr>
        <w:t>誉不足冲减的，差额部分确认为当期损益；除上述情况以外，确认与企业合并相关的递延所得税资产的，</w:t>
      </w:r>
      <w:r>
        <w:rPr>
          <w:spacing w:val="-13"/>
        </w:rPr>
        <w:t> </w:t>
      </w:r>
      <w:r>
        <w:rPr>
          <w:spacing w:val="-13"/>
        </w:rPr>
      </w:r>
      <w:r>
        <w:rPr/>
        <w:t>计入当期损益。</w:t>
      </w:r>
    </w:p>
    <w:p>
      <w:pPr>
        <w:pStyle w:val="BodyText"/>
        <w:spacing w:line="256" w:lineRule="auto" w:before="12"/>
        <w:ind w:right="1122" w:firstLine="422"/>
        <w:jc w:val="both"/>
      </w:pPr>
      <w:r>
        <w:rPr/>
        <w:t>通过多次交易分步实现的非同一控制下企业合并，根据《财政部关于印发企业会计准则解释第</w:t>
      </w:r>
      <w:r>
        <w:rPr>
          <w:rFonts w:ascii="Times New Roman" w:hAnsi="Times New Roman" w:cs="Times New Roman" w:eastAsia="Times New Roman" w:hint="default"/>
        </w:rPr>
        <w:t>5</w:t>
      </w:r>
      <w:r>
        <w:rPr/>
        <w:t>号的</w:t>
      </w:r>
      <w:r>
        <w:rPr>
          <w:w w:val="100"/>
        </w:rPr>
        <w:t> </w:t>
      </w:r>
      <w:r>
        <w:rPr/>
        <w:t>通知》</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19</w:t>
      </w:r>
      <w:r>
        <w:rPr/>
        <w:t>号</w:t>
      </w:r>
      <w:r>
        <w:rPr>
          <w:rFonts w:ascii="Times New Roman" w:hAnsi="Times New Roman" w:cs="Times New Roman" w:eastAsia="Times New Roman" w:hint="default"/>
        </w:rPr>
        <w:t>)</w:t>
      </w:r>
      <w:r>
        <w:rPr/>
        <w:t>和《企业会计准则第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合并财务报表》第五十一条关于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w:t>
      </w:r>
      <w:r>
        <w:rPr>
          <w:spacing w:val="-35"/>
        </w:rPr>
        <w:t> </w:t>
      </w:r>
      <w:r>
        <w:rPr>
          <w:spacing w:val="-3"/>
        </w:rPr>
        <w:t>判断标准</w:t>
      </w:r>
      <w:r>
        <w:rPr>
          <w:rFonts w:ascii="Times New Roman" w:hAnsi="Times New Roman" w:cs="Times New Roman" w:eastAsia="Times New Roman" w:hint="default"/>
          <w:spacing w:val="-3"/>
        </w:rPr>
        <w:t>(</w:t>
      </w:r>
      <w:r>
        <w:rPr>
          <w:spacing w:val="-3"/>
        </w:rPr>
        <w:t>参见本附注五、</w:t>
      </w:r>
      <w:r>
        <w:rPr>
          <w:rFonts w:ascii="Times New Roman" w:hAnsi="Times New Roman" w:cs="Times New Roman" w:eastAsia="Times New Roman" w:hint="default"/>
          <w:spacing w:val="-3"/>
        </w:rPr>
        <w:t>6“</w:t>
      </w:r>
      <w:r>
        <w:rPr>
          <w:spacing w:val="-3"/>
        </w:rPr>
        <w:t>合并财务报表的编制方法</w:t>
      </w:r>
      <w:r>
        <w:rPr>
          <w:rFonts w:ascii="Times New Roman" w:hAnsi="Times New Roman" w:cs="Times New Roman" w:eastAsia="Times New Roman" w:hint="default"/>
          <w:spacing w:val="-3"/>
        </w:rPr>
        <w:t>")</w:t>
      </w:r>
      <w:r>
        <w:rPr>
          <w:spacing w:val="-3"/>
        </w:rPr>
        <w:t>，判断该多次交易是否属于</w:t>
      </w:r>
      <w:r>
        <w:rPr>
          <w:rFonts w:ascii="Times New Roman" w:hAnsi="Times New Roman" w:cs="Times New Roman" w:eastAsia="Times New Roman" w:hint="default"/>
          <w:spacing w:val="-3"/>
        </w:rPr>
        <w:t>“</w:t>
      </w:r>
      <w:r>
        <w:rPr>
          <w:spacing w:val="-3"/>
        </w:rPr>
        <w:t>一揽子交易</w:t>
      </w:r>
      <w:r>
        <w:rPr>
          <w:rFonts w:ascii="Times New Roman" w:hAnsi="Times New Roman" w:cs="Times New Roman" w:eastAsia="Times New Roman" w:hint="default"/>
          <w:spacing w:val="-3"/>
        </w:rPr>
        <w:t>”</w:t>
      </w:r>
      <w:r>
        <w:rPr>
          <w:spacing w:val="-3"/>
        </w:rPr>
        <w:t>。属于</w:t>
      </w:r>
      <w:r>
        <w:rPr>
          <w:rFonts w:ascii="Times New Roman" w:hAnsi="Times New Roman" w:cs="Times New Roman" w:eastAsia="Times New Roman" w:hint="default"/>
          <w:spacing w:val="-3"/>
        </w:rPr>
        <w:t>“</w:t>
      </w:r>
      <w:r>
        <w:rPr>
          <w:spacing w:val="-3"/>
        </w:rPr>
        <w:t>一</w:t>
      </w:r>
      <w:r>
        <w:rPr>
          <w:spacing w:val="-47"/>
        </w:rPr>
        <w:t> </w:t>
      </w:r>
      <w:r>
        <w:rPr>
          <w:spacing w:val="-1"/>
        </w:rPr>
        <w:t>揽子交易</w:t>
      </w:r>
      <w:r>
        <w:rPr>
          <w:rFonts w:ascii="Times New Roman" w:hAnsi="Times New Roman" w:cs="Times New Roman" w:eastAsia="Times New Roman" w:hint="default"/>
          <w:spacing w:val="-1"/>
        </w:rPr>
        <w:t>”</w:t>
      </w:r>
      <w:r>
        <w:rPr>
          <w:spacing w:val="-1"/>
        </w:rPr>
        <w:t>的，参考本部分前面各段描述及本附注五、</w:t>
      </w:r>
      <w:r>
        <w:rPr>
          <w:rFonts w:ascii="Times New Roman" w:hAnsi="Times New Roman" w:cs="Times New Roman" w:eastAsia="Times New Roman" w:hint="default"/>
          <w:spacing w:val="-1"/>
        </w:rPr>
        <w:t>14“</w:t>
      </w:r>
      <w:r>
        <w:rPr>
          <w:spacing w:val="-1"/>
        </w:rPr>
        <w:t>长期股权投资</w:t>
      </w:r>
      <w:r>
        <w:rPr>
          <w:rFonts w:ascii="Times New Roman" w:hAnsi="Times New Roman" w:cs="Times New Roman" w:eastAsia="Times New Roman" w:hint="default"/>
          <w:spacing w:val="-1"/>
        </w:rPr>
        <w:t>”</w:t>
      </w:r>
      <w:r>
        <w:rPr>
          <w:spacing w:val="-1"/>
        </w:rPr>
        <w:t>进行会计处理；不属于</w:t>
      </w:r>
      <w:r>
        <w:rPr>
          <w:rFonts w:ascii="Times New Roman" w:hAnsi="Times New Roman" w:cs="Times New Roman" w:eastAsia="Times New Roman" w:hint="default"/>
          <w:spacing w:val="-1"/>
        </w:rPr>
        <w:t>“</w:t>
      </w:r>
      <w:r>
        <w:rPr>
          <w:spacing w:val="-1"/>
        </w:rPr>
        <w:t>一揽子交</w:t>
      </w:r>
      <w:r>
        <w:rPr>
          <w:spacing w:val="-31"/>
        </w:rPr>
        <w:t> </w:t>
      </w:r>
      <w:r>
        <w:rPr>
          <w:spacing w:val="-31"/>
        </w:rPr>
      </w:r>
      <w:r>
        <w:rPr/>
        <w:t>易</w:t>
      </w:r>
      <w:r>
        <w:rPr>
          <w:rFonts w:ascii="Times New Roman" w:hAnsi="Times New Roman" w:cs="Times New Roman" w:eastAsia="Times New Roman" w:hint="default"/>
        </w:rPr>
        <w:t>”</w:t>
      </w:r>
      <w:r>
        <w:rPr/>
        <w:t>的，区分个别财务报表和合并财务报表进行相关会计处理：</w:t>
      </w:r>
    </w:p>
    <w:p>
      <w:pPr>
        <w:pStyle w:val="BodyText"/>
        <w:spacing w:line="273" w:lineRule="auto" w:before="5"/>
        <w:ind w:right="1098" w:firstLine="422"/>
        <w:jc w:val="both"/>
      </w:pPr>
      <w:r>
        <w:rPr>
          <w:spacing w:val="-2"/>
        </w:rPr>
        <w:t>在个别财务报表中，以购买日之前所持被购买方的股权投资的账面价值与购买日新增投资成本之和，</w:t>
      </w:r>
      <w:r>
        <w:rPr>
          <w:w w:val="100"/>
        </w:rPr>
        <w:t> </w:t>
      </w:r>
      <w:r>
        <w:rPr>
          <w:spacing w:val="-2"/>
        </w:rPr>
        <w:t>作为该项投资的初始投资成本；购买日之前持有的被购买方的股权涉及其他综合收益的，在处置该项投资</w:t>
      </w:r>
      <w:r>
        <w:rPr>
          <w:spacing w:val="-33"/>
        </w:rPr>
        <w:t> </w:t>
      </w:r>
      <w:r>
        <w:rPr>
          <w:spacing w:val="-33"/>
        </w:rPr>
      </w:r>
      <w:r>
        <w:rPr/>
        <w:t>时将与其相关的其他综合收益采用与被购买方直接处置相关资产或负债相同的基础进行会计处理。</w:t>
      </w:r>
    </w:p>
    <w:p>
      <w:pPr>
        <w:pStyle w:val="BodyText"/>
        <w:spacing w:line="273" w:lineRule="auto"/>
        <w:ind w:right="1125" w:firstLine="422"/>
        <w:jc w:val="both"/>
      </w:pPr>
      <w:r>
        <w:rPr>
          <w:spacing w:val="-2"/>
        </w:rPr>
        <w:t>在合并财务报表中，对于购买日之前持有的被购买方的股权，按照该股权在购买日的公允价值进行重</w:t>
      </w:r>
      <w:r>
        <w:rPr>
          <w:w w:val="100"/>
        </w:rPr>
        <w:t> </w:t>
      </w:r>
      <w:r>
        <w:rPr>
          <w:spacing w:val="-2"/>
        </w:rPr>
        <w:t>新计量，公允价值与其账面价值的差额计入当期投资收益；购买日之前持有的被购买方的股权涉及其他综</w:t>
      </w:r>
      <w:r>
        <w:rPr>
          <w:spacing w:val="-33"/>
        </w:rPr>
        <w:t> </w:t>
      </w:r>
      <w:r>
        <w:rPr>
          <w:spacing w:val="-33"/>
        </w:rPr>
      </w:r>
      <w:r>
        <w:rPr>
          <w:spacing w:val="-2"/>
        </w:rPr>
        <w:t>合收益的，与其相关的其他综合收益应当采用与被购买方直接处置相关资产或负债相同的基础进行会计处</w:t>
      </w:r>
      <w:r>
        <w:rPr>
          <w:spacing w:val="-33"/>
        </w:rPr>
        <w:t> </w:t>
      </w:r>
      <w:r>
        <w:rPr>
          <w:spacing w:val="-33"/>
        </w:rPr>
      </w:r>
      <w:r>
        <w:rPr/>
        <w:t>理。</w:t>
      </w:r>
    </w:p>
    <w:p>
      <w:pPr>
        <w:spacing w:line="240" w:lineRule="auto" w:before="10"/>
        <w:rPr>
          <w:rFonts w:ascii="宋体" w:hAnsi="宋体" w:cs="宋体" w:eastAsia="宋体" w:hint="default"/>
          <w:sz w:val="23"/>
          <w:szCs w:val="23"/>
        </w:rPr>
      </w:pPr>
    </w:p>
    <w:p>
      <w:pPr>
        <w:pStyle w:val="Heading4"/>
        <w:spacing w:line="240" w:lineRule="auto"/>
        <w:ind w:right="0"/>
        <w:jc w:val="left"/>
        <w:rPr>
          <w:b w:val="0"/>
          <w:bCs w:val="0"/>
        </w:rPr>
      </w:pPr>
      <w:bookmarkStart w:name="6、合并财务报表的编制方法" w:id="177"/>
      <w:bookmarkEnd w:id="177"/>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5"/>
        <w:rPr>
          <w:rFonts w:ascii="宋体" w:hAnsi="宋体" w:cs="宋体" w:eastAsia="宋体" w:hint="default"/>
          <w:b/>
          <w:bCs/>
          <w:sz w:val="24"/>
          <w:szCs w:val="24"/>
        </w:rPr>
      </w:pPr>
    </w:p>
    <w:p>
      <w:pPr>
        <w:pStyle w:val="BodyText"/>
        <w:spacing w:line="273" w:lineRule="auto" w:before="0"/>
        <w:ind w:left="936" w:right="0" w:hanging="783"/>
        <w:jc w:val="left"/>
      </w:pPr>
      <w:r>
        <w:rPr>
          <w:rFonts w:ascii="宋体" w:hAnsi="宋体" w:cs="宋体" w:eastAsia="宋体" w:hint="default"/>
        </w:rPr>
        <w:t>1.</w:t>
      </w:r>
      <w:r>
        <w:rPr>
          <w:rFonts w:ascii="宋体" w:hAnsi="宋体" w:cs="宋体" w:eastAsia="宋体" w:hint="default"/>
          <w:spacing w:val="43"/>
        </w:rPr>
        <w:t> </w:t>
      </w:r>
      <w:r>
        <w:rPr/>
        <w:t>合并财务报表范围的确定原则</w:t>
      </w:r>
      <w:r>
        <w:rPr>
          <w:spacing w:val="-99"/>
        </w:rPr>
        <w:t> </w:t>
      </w:r>
      <w:r>
        <w:rPr>
          <w:spacing w:val="-99"/>
        </w:rPr>
      </w:r>
      <w:r>
        <w:rPr/>
        <w:t>合并财务报表的合并范围以控制为基础予以确定。控制是指本集团拥有对被投资方的权力，通过</w:t>
      </w:r>
    </w:p>
    <w:p>
      <w:pPr>
        <w:pStyle w:val="BodyText"/>
        <w:spacing w:line="273" w:lineRule="auto"/>
        <w:ind w:left="513" w:right="0"/>
        <w:jc w:val="left"/>
      </w:pPr>
      <w:r>
        <w:rPr>
          <w:spacing w:val="-1"/>
        </w:rPr>
        <w:t>参与被投资方的相关活动而享有可变回报，并且有能力运用对被投资方的权力影响该回报金额。合并</w:t>
      </w:r>
      <w:r>
        <w:rPr>
          <w:spacing w:val="-24"/>
        </w:rPr>
        <w:t> </w:t>
      </w:r>
      <w:r>
        <w:rPr>
          <w:spacing w:val="-24"/>
        </w:rPr>
      </w:r>
      <w:r>
        <w:rPr/>
        <w:t>范围包括本公司及全部子公司。子公司，是指被本集团控制的主体。</w:t>
      </w:r>
    </w:p>
    <w:p>
      <w:pPr>
        <w:pStyle w:val="BodyText"/>
        <w:spacing w:line="240" w:lineRule="auto"/>
        <w:ind w:left="936" w:right="0"/>
        <w:jc w:val="left"/>
      </w:pPr>
      <w:r>
        <w:rPr/>
        <w:t>一旦相关事实和情况的变化导致上述控制定义涉及的相关要素发生了变化，本集团将进行重新评</w:t>
      </w:r>
    </w:p>
    <w:p>
      <w:pPr>
        <w:pStyle w:val="BodyText"/>
        <w:spacing w:line="240" w:lineRule="auto" w:before="37"/>
        <w:ind w:left="513" w:right="0"/>
        <w:jc w:val="left"/>
      </w:pPr>
      <w:r>
        <w:rPr/>
        <w:t>估。</w:t>
      </w:r>
    </w:p>
    <w:p>
      <w:pPr>
        <w:pStyle w:val="BodyText"/>
        <w:spacing w:line="273" w:lineRule="auto" w:before="37"/>
        <w:ind w:left="575" w:right="0" w:hanging="423"/>
        <w:jc w:val="left"/>
      </w:pPr>
      <w:r>
        <w:rPr>
          <w:rFonts w:ascii="宋体" w:hAnsi="宋体" w:cs="宋体" w:eastAsia="宋体" w:hint="default"/>
        </w:rPr>
        <w:t>1.</w:t>
      </w:r>
      <w:r>
        <w:rPr>
          <w:rFonts w:ascii="宋体" w:hAnsi="宋体" w:cs="宋体" w:eastAsia="宋体" w:hint="default"/>
          <w:spacing w:val="43"/>
        </w:rPr>
        <w:t> </w:t>
      </w:r>
      <w:r>
        <w:rPr/>
        <w:t>合并财务报表编制的方法</w:t>
      </w:r>
      <w:r>
        <w:rPr>
          <w:spacing w:val="-101"/>
        </w:rPr>
        <w:t> </w:t>
      </w:r>
      <w:r>
        <w:rPr>
          <w:spacing w:val="-101"/>
        </w:rPr>
      </w:r>
      <w:r>
        <w:rPr>
          <w:spacing w:val="-2"/>
        </w:rPr>
        <w:t>从取得子公司的净资产和生产经营决策的实际控制权之日起，本集团开始将其纳入合并范围；从丧失</w:t>
      </w:r>
    </w:p>
    <w:p>
      <w:pPr>
        <w:pStyle w:val="BodyText"/>
        <w:spacing w:line="273" w:lineRule="auto"/>
        <w:ind w:right="1124"/>
        <w:jc w:val="both"/>
      </w:pPr>
      <w:r>
        <w:rPr>
          <w:spacing w:val="-2"/>
        </w:rPr>
        <w:t>实际控制权之日起停止纳入合并范围。对于处置的子公司，处置日前的经营成果和现金流量已经适当地包</w:t>
      </w:r>
      <w:r>
        <w:rPr>
          <w:spacing w:val="-32"/>
        </w:rPr>
        <w:t> </w:t>
      </w:r>
      <w:r>
        <w:rPr>
          <w:spacing w:val="-32"/>
        </w:rPr>
      </w:r>
      <w:r>
        <w:rPr>
          <w:spacing w:val="-2"/>
        </w:rPr>
        <w:t>括在合并利润表和合并现金流量表中；当期处置的子公司，不调整合并资产负债表的期初数。非同一控制</w:t>
      </w:r>
      <w:r>
        <w:rPr>
          <w:spacing w:val="-33"/>
        </w:rPr>
        <w:t> </w:t>
      </w:r>
      <w:r>
        <w:rPr>
          <w:spacing w:val="-33"/>
        </w:rPr>
      </w:r>
      <w:r>
        <w:rPr>
          <w:spacing w:val="-2"/>
        </w:rPr>
        <w:t>下企业合并增加的子公司，其购买日后的经营成果及现金流量已经适当地包括在合并利润表和合并现金流</w:t>
      </w:r>
      <w:r>
        <w:rPr>
          <w:spacing w:val="-33"/>
        </w:rPr>
        <w:t> </w:t>
      </w:r>
      <w:r>
        <w:rPr>
          <w:spacing w:val="-33"/>
        </w:rPr>
      </w:r>
      <w:r>
        <w:rPr>
          <w:spacing w:val="-2"/>
        </w:rPr>
        <w:t>量表中，且不调整合并财务报表的期初数和对比数。同一控制下企业合并增加的子公司及吸收合并下的被</w:t>
      </w:r>
      <w:r>
        <w:rPr>
          <w:spacing w:val="-33"/>
        </w:rPr>
        <w:t> </w:t>
      </w:r>
      <w:r>
        <w:rPr>
          <w:spacing w:val="-33"/>
        </w:rPr>
      </w:r>
      <w:r>
        <w:rPr>
          <w:spacing w:val="-2"/>
        </w:rPr>
        <w:t>合并方，其自合并当期期初至合并日的经营成果和现金流量已经适当地包括在合并利润表和合并现金流量</w:t>
      </w:r>
      <w:r>
        <w:rPr>
          <w:spacing w:val="-33"/>
        </w:rPr>
        <w:t> </w:t>
      </w:r>
      <w:r>
        <w:rPr>
          <w:spacing w:val="-33"/>
        </w:rPr>
      </w:r>
      <w:r>
        <w:rPr/>
        <w:t>表中，并且同时调整合并财务报表的对比数。</w:t>
      </w:r>
    </w:p>
    <w:p>
      <w:pPr>
        <w:pStyle w:val="BodyText"/>
        <w:spacing w:line="273" w:lineRule="auto" w:before="8"/>
        <w:ind w:right="1123" w:firstLine="422"/>
        <w:jc w:val="both"/>
      </w:pPr>
      <w:r>
        <w:rPr>
          <w:spacing w:val="-2"/>
        </w:rPr>
        <w:t>在编制合并财务报表时，子公司与本公司采用的会计政策或会计期间不一致的，按照本公司的会计政</w:t>
      </w:r>
      <w:r>
        <w:rPr>
          <w:w w:val="100"/>
        </w:rPr>
        <w:t> </w:t>
      </w:r>
      <w:r>
        <w:rPr>
          <w:spacing w:val="-2"/>
        </w:rPr>
        <w:t>策和会计期间对子公司财务报表进行必要的调整。对于非同一控制下企业合并取得的子公司，以购买日可</w:t>
      </w:r>
      <w:r>
        <w:rPr>
          <w:spacing w:val="-33"/>
        </w:rPr>
        <w:t> </w:t>
      </w:r>
      <w:r>
        <w:rPr>
          <w:spacing w:val="-33"/>
        </w:rPr>
      </w:r>
      <w:r>
        <w:rPr/>
        <w:t>辨认净资产公允价值为基础对其财务报表进行调整。</w:t>
      </w:r>
    </w:p>
    <w:p>
      <w:pPr>
        <w:spacing w:after="0" w:line="273" w:lineRule="auto"/>
        <w:jc w:val="both"/>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BodyText"/>
        <w:spacing w:line="273" w:lineRule="auto" w:before="36"/>
        <w:ind w:left="575" w:right="0"/>
        <w:jc w:val="left"/>
      </w:pPr>
      <w:r>
        <w:rPr/>
        <w:t>集团内所有重大往来余额、交易及未实现利润在合并财务报表编制时予以抵销。</w:t>
      </w:r>
      <w:r>
        <w:rPr>
          <w:w w:val="100"/>
        </w:rPr>
        <w:t> </w:t>
      </w:r>
      <w:r>
        <w:rPr>
          <w:spacing w:val="2"/>
        </w:rPr>
        <w:t>子公司的股东权益及当期净损益中不属于本公司所拥有的部分分别作为少数股东权益及少数股东损</w:t>
      </w:r>
    </w:p>
    <w:p>
      <w:pPr>
        <w:pStyle w:val="BodyText"/>
        <w:spacing w:line="266" w:lineRule="auto"/>
        <w:ind w:right="1125"/>
        <w:jc w:val="both"/>
      </w:pPr>
      <w:r>
        <w:rPr>
          <w:spacing w:val="-2"/>
        </w:rPr>
        <w:t>益在合并财务报表中股东权益及净利润项下单独列示。子公司当期净损益中属于少数股东权益的份额，在</w:t>
      </w:r>
      <w:r>
        <w:rPr>
          <w:spacing w:val="-33"/>
        </w:rPr>
        <w:t> </w:t>
      </w:r>
      <w:r>
        <w:rPr>
          <w:spacing w:val="-33"/>
        </w:rPr>
      </w:r>
      <w:r>
        <w:rPr>
          <w:spacing w:val="-2"/>
        </w:rPr>
        <w:t>合并利润表中净利润项目下以</w:t>
      </w:r>
      <w:r>
        <w:rPr>
          <w:rFonts w:ascii="Times New Roman" w:hAnsi="Times New Roman" w:cs="Times New Roman" w:eastAsia="Times New Roman" w:hint="default"/>
          <w:spacing w:val="-2"/>
        </w:rPr>
        <w:t>“</w:t>
      </w:r>
      <w:r>
        <w:rPr>
          <w:spacing w:val="-2"/>
        </w:rPr>
        <w:t>少数股东损益</w:t>
      </w:r>
      <w:r>
        <w:rPr>
          <w:rFonts w:ascii="Times New Roman" w:hAnsi="Times New Roman" w:cs="Times New Roman" w:eastAsia="Times New Roman" w:hint="default"/>
          <w:spacing w:val="-2"/>
        </w:rPr>
        <w:t>”</w:t>
      </w:r>
      <w:r>
        <w:rPr>
          <w:spacing w:val="-2"/>
        </w:rPr>
        <w:t>项目列示。少数股东分担的子公司的亏损超过了少数股东在</w:t>
      </w:r>
      <w:r>
        <w:rPr>
          <w:spacing w:val="-9"/>
        </w:rPr>
        <w:t> </w:t>
      </w:r>
      <w:r>
        <w:rPr>
          <w:spacing w:val="-9"/>
        </w:rPr>
      </w:r>
      <w:r>
        <w:rPr/>
        <w:t>该子公司期初股东权益中所享有的份额，仍冲减少数股东权益。</w:t>
      </w:r>
    </w:p>
    <w:p>
      <w:pPr>
        <w:pStyle w:val="BodyText"/>
        <w:spacing w:line="266" w:lineRule="auto" w:before="14"/>
        <w:ind w:right="1106" w:firstLine="422"/>
        <w:jc w:val="both"/>
      </w:pPr>
      <w:r>
        <w:rPr>
          <w:spacing w:val="-2"/>
        </w:rPr>
        <w:t>当因处置部分股权投资或其他原因丧失了对原有子公司的控制权时，对于剩余股权，按照其在丧失控</w:t>
      </w:r>
      <w:r>
        <w:rPr>
          <w:w w:val="100"/>
        </w:rPr>
        <w:t> </w:t>
      </w:r>
      <w:r>
        <w:rPr>
          <w:spacing w:val="-2"/>
        </w:rPr>
        <w:t>制权日的公允价值进行重新计量。处置股权取得的对价与剩余股权公允价值之和，减去按原持股比例计算</w:t>
      </w:r>
      <w:r>
        <w:rPr>
          <w:spacing w:val="-33"/>
        </w:rPr>
        <w:t> </w:t>
      </w:r>
      <w:r>
        <w:rPr>
          <w:spacing w:val="-33"/>
        </w:rPr>
      </w:r>
      <w:r>
        <w:rPr>
          <w:spacing w:val="-2"/>
        </w:rPr>
        <w:t>应享有原有子公司自购买日开始持续计算的净资产的份额之间的差额，计入丧失控制权当期的投资收益。</w:t>
      </w:r>
      <w:r>
        <w:rPr>
          <w:spacing w:val="-13"/>
        </w:rPr>
        <w:t> </w:t>
      </w:r>
      <w:r>
        <w:rPr>
          <w:spacing w:val="-13"/>
        </w:rPr>
      </w:r>
      <w:r>
        <w:rPr>
          <w:spacing w:val="-2"/>
        </w:rPr>
        <w:t>与原有子公司股权投资相关的其他综合收益，在丧失控制权时采用与该子公司直接处置相关资产或负债相</w:t>
      </w:r>
      <w:r>
        <w:rPr>
          <w:spacing w:val="-33"/>
        </w:rPr>
        <w:t> </w:t>
      </w:r>
      <w:r>
        <w:rPr>
          <w:spacing w:val="-33"/>
        </w:rPr>
      </w:r>
      <w:r>
        <w:rPr/>
        <w:t>同的基础进行会计处理。其后，对该部分剩余股权按照《企业会计准则第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长期股权投资》或《企</w:t>
      </w:r>
      <w:r>
        <w:rPr>
          <w:spacing w:val="-29"/>
        </w:rPr>
        <w:t> </w:t>
      </w:r>
      <w:r>
        <w:rPr>
          <w:spacing w:val="-29"/>
        </w:rPr>
      </w:r>
      <w:r>
        <w:rPr/>
        <w:t>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金融工具确认和计量》等相关规定进行后续计量，详见本附注五、</w:t>
      </w:r>
      <w:r>
        <w:rPr>
          <w:rFonts w:ascii="Times New Roman" w:hAnsi="Times New Roman" w:cs="Times New Roman" w:eastAsia="Times New Roman" w:hint="default"/>
        </w:rPr>
        <w:t>14“</w:t>
      </w:r>
      <w:r>
        <w:rPr/>
        <w:t>长期股权投</w:t>
      </w:r>
      <w:r>
        <w:rPr>
          <w:spacing w:val="-18"/>
        </w:rPr>
        <w:t> </w:t>
      </w:r>
      <w:r>
        <w:rPr/>
        <w:t>资</w:t>
      </w:r>
      <w:r>
        <w:rPr>
          <w:rFonts w:ascii="Times New Roman" w:hAnsi="Times New Roman" w:cs="Times New Roman" w:eastAsia="Times New Roman" w:hint="default"/>
        </w:rPr>
        <w:t>”</w:t>
      </w:r>
      <w:r>
        <w:rPr/>
        <w:t>或本附注五、</w:t>
      </w:r>
      <w:r>
        <w:rPr>
          <w:rFonts w:ascii="Times New Roman" w:hAnsi="Times New Roman" w:cs="Times New Roman" w:eastAsia="Times New Roman" w:hint="default"/>
        </w:rPr>
        <w:t>10“</w:t>
      </w:r>
      <w:r>
        <w:rPr/>
        <w:t>金融工具</w:t>
      </w:r>
      <w:r>
        <w:rPr>
          <w:rFonts w:ascii="Times New Roman" w:hAnsi="Times New Roman" w:cs="Times New Roman" w:eastAsia="Times New Roman" w:hint="default"/>
        </w:rPr>
        <w:t>”</w:t>
      </w:r>
      <w:r>
        <w:rPr/>
        <w:t>。</w:t>
      </w:r>
    </w:p>
    <w:p>
      <w:pPr>
        <w:pStyle w:val="BodyText"/>
        <w:spacing w:line="268" w:lineRule="auto" w:before="0"/>
        <w:ind w:right="0" w:firstLine="422"/>
        <w:jc w:val="left"/>
      </w:pPr>
      <w:r>
        <w:rPr>
          <w:spacing w:val="-2"/>
        </w:rPr>
        <w:t>本集团通过多次交易分步处置对子公司股权投资直至丧失控制权的，需区分处置对子公司股权投资直</w:t>
      </w:r>
      <w:r>
        <w:rPr>
          <w:w w:val="100"/>
        </w:rPr>
        <w:t> </w:t>
      </w:r>
      <w:r>
        <w:rPr>
          <w:spacing w:val="-2"/>
        </w:rPr>
        <w:t>至丧失控制权的各项交易是否属于一揽子交易。处置对子公司股权投资的各项交易的条款、条件以及经济</w:t>
      </w:r>
      <w:r>
        <w:rPr>
          <w:spacing w:val="-33"/>
        </w:rPr>
        <w:t> </w:t>
      </w:r>
      <w:r>
        <w:rPr>
          <w:spacing w:val="-33"/>
        </w:rPr>
      </w:r>
      <w:r>
        <w:rPr>
          <w:spacing w:val="-2"/>
        </w:rPr>
        <w:t>影响符合以下一种或多种情况，通常表明应将多次交易事项作为一揽子交易进行会计处理：①这些交易是</w:t>
      </w:r>
      <w:r>
        <w:rPr>
          <w:spacing w:val="-33"/>
        </w:rPr>
        <w:t> </w:t>
      </w:r>
      <w:r>
        <w:rPr>
          <w:spacing w:val="-33"/>
        </w:rPr>
      </w:r>
      <w:r>
        <w:rPr>
          <w:spacing w:val="-2"/>
        </w:rPr>
        <w:t>同时或者在考虑了彼此影响的情况下订立的；②这些交易整体才能达成一项完整的商业结果；③一项交易</w:t>
      </w:r>
      <w:r>
        <w:rPr>
          <w:spacing w:val="-33"/>
        </w:rPr>
        <w:t> </w:t>
      </w:r>
      <w:r>
        <w:rPr>
          <w:spacing w:val="-33"/>
        </w:rPr>
      </w:r>
      <w:r>
        <w:rPr>
          <w:spacing w:val="-2"/>
        </w:rPr>
        <w:t>的发生取决于其他至少一项交易的发生；④一项交易单独看是不经济的，但是和其他交易一并考虑时是经</w:t>
      </w:r>
      <w:r>
        <w:rPr>
          <w:spacing w:val="-33"/>
        </w:rPr>
        <w:t> </w:t>
      </w:r>
      <w:r>
        <w:rPr>
          <w:spacing w:val="-33"/>
        </w:rPr>
      </w:r>
      <w:r>
        <w:rPr/>
        <w:t>济的。不属于一揽子交易的，对其中的每一项交易视情况分别按照</w:t>
      </w:r>
      <w:r>
        <w:rPr>
          <w:rFonts w:ascii="Times New Roman" w:hAnsi="Times New Roman" w:cs="Times New Roman" w:eastAsia="Times New Roman" w:hint="default"/>
        </w:rPr>
        <w:t>“</w:t>
      </w:r>
      <w:r>
        <w:rPr/>
        <w:t>不丧失控制权的情况下部分处置对子</w:t>
      </w:r>
      <w:r>
        <w:rPr>
          <w:spacing w:val="-102"/>
        </w:rPr>
        <w:t> </w:t>
      </w:r>
      <w:r>
        <w:rPr>
          <w:spacing w:val="-102"/>
        </w:rPr>
      </w:r>
      <w:r>
        <w:rPr>
          <w:spacing w:val="-2"/>
        </w:rPr>
        <w:t>公司的长期股权投资</w:t>
      </w:r>
      <w:r>
        <w:rPr>
          <w:rFonts w:ascii="Times New Roman" w:hAnsi="Times New Roman" w:cs="Times New Roman" w:eastAsia="Times New Roman" w:hint="default"/>
          <w:spacing w:val="-2"/>
        </w:rPr>
        <w:t>”(</w:t>
      </w:r>
      <w:r>
        <w:rPr>
          <w:spacing w:val="-2"/>
        </w:rPr>
        <w:t>详见本附注五、</w:t>
      </w:r>
      <w:r>
        <w:rPr>
          <w:rFonts w:ascii="Times New Roman" w:hAnsi="Times New Roman" w:cs="Times New Roman" w:eastAsia="Times New Roman" w:hint="default"/>
          <w:spacing w:val="-2"/>
        </w:rPr>
        <w:t>14“</w:t>
      </w:r>
      <w:r>
        <w:rPr>
          <w:spacing w:val="-2"/>
        </w:rPr>
        <w:t>长期股权投资</w:t>
      </w:r>
      <w:r>
        <w:rPr>
          <w:rFonts w:ascii="Times New Roman" w:hAnsi="Times New Roman" w:cs="Times New Roman" w:eastAsia="Times New Roman" w:hint="default"/>
          <w:spacing w:val="-2"/>
        </w:rPr>
        <w:t>”2(4))</w:t>
      </w:r>
      <w:r>
        <w:rPr>
          <w:spacing w:val="-2"/>
        </w:rPr>
        <w:t>和</w:t>
      </w:r>
      <w:r>
        <w:rPr>
          <w:rFonts w:ascii="Times New Roman" w:hAnsi="Times New Roman" w:cs="Times New Roman" w:eastAsia="Times New Roman" w:hint="default"/>
          <w:spacing w:val="-2"/>
        </w:rPr>
        <w:t>“</w:t>
      </w:r>
      <w:r>
        <w:rPr>
          <w:spacing w:val="-2"/>
        </w:rPr>
        <w:t>因处置部分股权投资或其他原因丧失了对</w:t>
      </w:r>
      <w:r>
        <w:rPr>
          <w:spacing w:val="-48"/>
        </w:rPr>
        <w:t> </w:t>
      </w:r>
      <w:r>
        <w:rPr>
          <w:spacing w:val="-48"/>
        </w:rPr>
      </w:r>
      <w:r>
        <w:rPr>
          <w:spacing w:val="-3"/>
        </w:rPr>
        <w:t>原有子公司的控制权</w:t>
      </w:r>
      <w:r>
        <w:rPr>
          <w:rFonts w:ascii="Times New Roman" w:hAnsi="Times New Roman" w:cs="Times New Roman" w:eastAsia="Times New Roman" w:hint="default"/>
          <w:spacing w:val="-3"/>
        </w:rPr>
        <w:t>”(</w:t>
      </w:r>
      <w:r>
        <w:rPr>
          <w:spacing w:val="-3"/>
        </w:rPr>
        <w:t>详见前段</w:t>
      </w:r>
      <w:r>
        <w:rPr>
          <w:rFonts w:ascii="Times New Roman" w:hAnsi="Times New Roman" w:cs="Times New Roman" w:eastAsia="Times New Roman" w:hint="default"/>
          <w:spacing w:val="-3"/>
        </w:rPr>
        <w:t>)</w:t>
      </w:r>
      <w:r>
        <w:rPr>
          <w:spacing w:val="-3"/>
        </w:rPr>
        <w:t>适用的原则进行会计处理。处置对子公司股权投资直至丧失控制权的各项</w:t>
      </w:r>
      <w:r>
        <w:rPr>
          <w:spacing w:val="-5"/>
        </w:rPr>
        <w:t> </w:t>
      </w:r>
      <w:r>
        <w:rPr>
          <w:spacing w:val="-5"/>
        </w:rPr>
      </w:r>
      <w:r>
        <w:rPr>
          <w:spacing w:val="-2"/>
        </w:rPr>
        <w:t>交易属于一揽子交易的，将各项交易作为一项处置子公司并丧失控制权的交易进行会计处理；但是，在丧</w:t>
      </w:r>
      <w:r>
        <w:rPr>
          <w:spacing w:val="-33"/>
        </w:rPr>
        <w:t> </w:t>
      </w:r>
      <w:r>
        <w:rPr>
          <w:spacing w:val="-33"/>
        </w:rPr>
      </w:r>
      <w:r>
        <w:rPr>
          <w:spacing w:val="-2"/>
        </w:rPr>
        <w:t>失控制权之前每一次处置价款与处置投资对应的享有该子公司净资产份额的差额，在合并财务报表中确认</w:t>
      </w:r>
      <w:r>
        <w:rPr>
          <w:spacing w:val="-32"/>
        </w:rPr>
        <w:t> </w:t>
      </w:r>
      <w:r>
        <w:rPr>
          <w:spacing w:val="-32"/>
        </w:rPr>
      </w:r>
      <w:r>
        <w:rPr/>
        <w:t>为其他综合收益，在丧失控制权时一并转入丧失控制权当期的损益。</w:t>
      </w:r>
    </w:p>
    <w:p>
      <w:pPr>
        <w:spacing w:line="590" w:lineRule="atLeast" w:before="15"/>
        <w:ind w:left="575" w:right="0" w:hanging="423"/>
        <w:jc w:val="left"/>
        <w:rPr>
          <w:rFonts w:ascii="宋体" w:hAnsi="宋体" w:cs="宋体" w:eastAsia="宋体" w:hint="default"/>
          <w:sz w:val="21"/>
          <w:szCs w:val="21"/>
        </w:rPr>
      </w:pPr>
      <w:bookmarkStart w:name="7、合营安排分类及共同经营会计处理方法" w:id="178"/>
      <w:bookmarkEnd w:id="178"/>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合营安排，是指一项由两个或两个以上的参与方共同控制的安排。本集团根据在合营安排中享有的权</w:t>
      </w:r>
    </w:p>
    <w:p>
      <w:pPr>
        <w:pStyle w:val="BodyText"/>
        <w:spacing w:line="273" w:lineRule="auto" w:before="37"/>
        <w:ind w:right="1125"/>
        <w:jc w:val="both"/>
      </w:pPr>
      <w:r>
        <w:rPr>
          <w:spacing w:val="-2"/>
        </w:rPr>
        <w:t>利和承担的义务，将合营安排分为共同经营和合营企业。共同经营，是指本集团享有该安排相关资产且承</w:t>
      </w:r>
      <w:r>
        <w:rPr>
          <w:spacing w:val="-33"/>
        </w:rPr>
        <w:t> </w:t>
      </w:r>
      <w:r>
        <w:rPr>
          <w:spacing w:val="-33"/>
        </w:rPr>
      </w:r>
      <w:r>
        <w:rPr/>
        <w:t>担该安排相关负债的合营安排。合营企业，是指本集团仅对该安排的净资产享有权利的合营安排。</w:t>
      </w:r>
    </w:p>
    <w:p>
      <w:pPr>
        <w:pStyle w:val="BodyText"/>
        <w:spacing w:line="259" w:lineRule="auto"/>
        <w:ind w:right="0" w:firstLine="422"/>
        <w:jc w:val="left"/>
      </w:pPr>
      <w:r>
        <w:rPr>
          <w:spacing w:val="-3"/>
        </w:rPr>
        <w:t>本集团对合营企业的投资采用权益法核算，按照本附注五、</w:t>
      </w:r>
      <w:r>
        <w:rPr>
          <w:rFonts w:ascii="Times New Roman" w:hAnsi="Times New Roman" w:cs="Times New Roman" w:eastAsia="Times New Roman" w:hint="default"/>
          <w:spacing w:val="-3"/>
        </w:rPr>
        <w:t>14“</w:t>
      </w:r>
      <w:r>
        <w:rPr>
          <w:spacing w:val="-3"/>
        </w:rPr>
        <w:t>长期股权投资</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30"/>
        </w:rPr>
        <w:t> </w:t>
      </w:r>
      <w:r>
        <w:rPr>
          <w:rFonts w:ascii="Times New Roman" w:hAnsi="Times New Roman" w:cs="Times New Roman" w:eastAsia="Times New Roman" w:hint="default"/>
        </w:rPr>
        <w:t>“</w:t>
      </w:r>
      <w:r>
        <w:rPr/>
        <w:t>权益法核算的长</w:t>
      </w:r>
      <w:r>
        <w:rPr>
          <w:w w:val="100"/>
        </w:rPr>
        <w:t> </w:t>
      </w:r>
      <w:r>
        <w:rPr/>
        <w:t>期股权投资</w:t>
      </w:r>
      <w:r>
        <w:rPr>
          <w:rFonts w:ascii="Times New Roman" w:hAnsi="Times New Roman" w:cs="Times New Roman" w:eastAsia="Times New Roman" w:hint="default"/>
        </w:rPr>
        <w:t>”</w:t>
      </w:r>
      <w:r>
        <w:rPr/>
        <w:t>中所述的会计政策处理。</w:t>
      </w:r>
    </w:p>
    <w:p>
      <w:pPr>
        <w:pStyle w:val="BodyText"/>
        <w:spacing w:line="268" w:lineRule="auto" w:before="2"/>
        <w:ind w:right="0" w:firstLine="422"/>
        <w:jc w:val="left"/>
      </w:pPr>
      <w:r>
        <w:rPr/>
        <w:t>本集团作为合营方对共同经营，确认本集团单独持有的资产、单独所承担的负债，以及按本集团份额</w:t>
      </w:r>
      <w:r>
        <w:rPr>
          <w:w w:val="100"/>
        </w:rPr>
        <w:t> </w:t>
      </w:r>
      <w:r>
        <w:rPr/>
        <w:t>确认共同持有的资产和共同承担的负债；确认出售本集团享有的共同经营产出份额所产生的收入；按本集</w:t>
      </w:r>
      <w:r>
        <w:rPr>
          <w:w w:val="100"/>
        </w:rPr>
        <w:t> </w:t>
      </w:r>
      <w:r>
        <w:rPr/>
        <w:t>团份额确认共同经营因出售产出所产生的收入；确认本集团单独所发生的费用，以及按本集团份额确认共</w:t>
      </w:r>
      <w:r>
        <w:rPr>
          <w:w w:val="100"/>
        </w:rPr>
        <w:t> </w:t>
      </w:r>
      <w:r>
        <w:rPr/>
        <w:t>同经营发生的费用。</w:t>
      </w:r>
      <w:r>
        <w:rPr>
          <w:spacing w:val="-100"/>
        </w:rPr>
        <w:t> </w:t>
      </w:r>
      <w:r>
        <w:rPr>
          <w:spacing w:val="-100"/>
        </w:rPr>
      </w:r>
      <w:r>
        <w:rPr>
          <w:spacing w:val="-3"/>
        </w:rPr>
        <w:t>当本集团作为合营方向共同经营投出或出售资产</w:t>
      </w:r>
      <w:r>
        <w:rPr>
          <w:rFonts w:ascii="Times New Roman" w:hAnsi="Times New Roman" w:cs="Times New Roman" w:eastAsia="Times New Roman" w:hint="default"/>
          <w:spacing w:val="-3"/>
        </w:rPr>
        <w:t>(</w:t>
      </w:r>
      <w:r>
        <w:rPr>
          <w:spacing w:val="-3"/>
        </w:rPr>
        <w:t>该资产不构成业务，下同</w:t>
      </w:r>
      <w:r>
        <w:rPr>
          <w:rFonts w:ascii="Times New Roman" w:hAnsi="Times New Roman" w:cs="Times New Roman" w:eastAsia="Times New Roman" w:hint="default"/>
          <w:spacing w:val="-3"/>
        </w:rPr>
        <w:t>)</w:t>
      </w:r>
      <w:r>
        <w:rPr>
          <w:spacing w:val="-3"/>
        </w:rPr>
        <w:t>、或者自共同经营购买资产时，</w:t>
      </w:r>
      <w:r>
        <w:rPr>
          <w:spacing w:val="-14"/>
        </w:rPr>
        <w:t> </w:t>
      </w:r>
      <w:r>
        <w:rPr>
          <w:spacing w:val="-14"/>
        </w:rPr>
      </w:r>
      <w:r>
        <w:rPr/>
        <w:t>在该等资产出售给第三方之前，本集团仅确认因该交易产生的损益中归属于共同经营其他参与方的部分。</w:t>
      </w:r>
      <w:r>
        <w:rPr>
          <w:spacing w:val="-102"/>
        </w:rPr>
        <w:t> </w:t>
      </w:r>
      <w:r>
        <w:rPr>
          <w:spacing w:val="-102"/>
        </w:rPr>
      </w:r>
      <w:r>
        <w:rPr/>
        <w:t>该等资产发生符合《企业会计准则第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资产减值》等规定的资产减值损失的，对于由本集团向共同</w:t>
      </w:r>
      <w:r>
        <w:rPr>
          <w:spacing w:val="-30"/>
        </w:rPr>
        <w:t> </w:t>
      </w:r>
      <w:r>
        <w:rPr>
          <w:spacing w:val="-30"/>
        </w:rPr>
      </w:r>
      <w:r>
        <w:rPr/>
        <w:t>经营投出或出售资产的情况，本集团全额确认该损失；对于本集团自共同经营购买资产的情况，本集团按</w:t>
      </w:r>
      <w:r>
        <w:rPr>
          <w:w w:val="100"/>
        </w:rPr>
        <w:t> </w:t>
      </w:r>
      <w:r>
        <w:rPr/>
        <w:t>承担的份额确认该损失。</w:t>
      </w:r>
    </w:p>
    <w:p>
      <w:pPr>
        <w:spacing w:after="0" w:line="268" w:lineRule="auto"/>
        <w:jc w:val="left"/>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4"/>
        <w:spacing w:line="240" w:lineRule="auto" w:before="36"/>
        <w:ind w:right="0"/>
        <w:jc w:val="both"/>
        <w:rPr>
          <w:b w:val="0"/>
          <w:bCs w:val="0"/>
        </w:rPr>
      </w:pPr>
      <w:bookmarkStart w:name="8、现金及现金等价物的确定标准" w:id="179"/>
      <w:bookmarkEnd w:id="179"/>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5"/>
        <w:rPr>
          <w:rFonts w:ascii="宋体" w:hAnsi="宋体" w:cs="宋体" w:eastAsia="宋体" w:hint="default"/>
          <w:b/>
          <w:bCs/>
          <w:sz w:val="24"/>
          <w:szCs w:val="24"/>
        </w:rPr>
      </w:pPr>
    </w:p>
    <w:p>
      <w:pPr>
        <w:pStyle w:val="BodyText"/>
        <w:spacing w:line="259" w:lineRule="auto" w:before="0"/>
        <w:ind w:right="1122" w:firstLine="422"/>
        <w:jc w:val="both"/>
      </w:pPr>
      <w:r>
        <w:rPr>
          <w:spacing w:val="-4"/>
          <w:w w:val="100"/>
        </w:rPr>
        <w:t>本集团现金及现金等价物包括库存现金、可以随时用于支付的存款以及本集团持有的期限短</w:t>
      </w:r>
      <w:r>
        <w:rPr>
          <w:rFonts w:ascii="Times New Roman" w:hAnsi="Times New Roman" w:cs="Times New Roman" w:eastAsia="Times New Roman" w:hint="default"/>
          <w:spacing w:val="-4"/>
          <w:w w:val="100"/>
        </w:rPr>
        <w:t>(</w:t>
      </w:r>
      <w:r>
        <w:rPr>
          <w:spacing w:val="-4"/>
          <w:w w:val="100"/>
        </w:rPr>
        <w:t>一般为从</w:t>
      </w:r>
      <w:r>
        <w:rPr>
          <w:w w:val="100"/>
        </w:rPr>
        <w:t> </w:t>
      </w:r>
      <w:r>
        <w:rPr/>
        <w:t>购买日起三个月内到期</w:t>
      </w:r>
      <w:r>
        <w:rPr>
          <w:rFonts w:ascii="Times New Roman" w:hAnsi="Times New Roman" w:cs="Times New Roman" w:eastAsia="Times New Roman" w:hint="default"/>
        </w:rPr>
        <w:t>)</w:t>
      </w:r>
      <w:r>
        <w:rPr/>
        <w:t>、流动性强、易于转换为已知金额现金、价值变动风险很小的投资。</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5"/>
          <w:szCs w:val="25"/>
        </w:rPr>
      </w:pPr>
    </w:p>
    <w:p>
      <w:pPr>
        <w:pStyle w:val="Heading4"/>
        <w:spacing w:line="240" w:lineRule="auto"/>
        <w:ind w:right="0"/>
        <w:jc w:val="both"/>
        <w:rPr>
          <w:b w:val="0"/>
          <w:bCs w:val="0"/>
        </w:rPr>
      </w:pPr>
      <w:bookmarkStart w:name="9、外币业务和外币报表折算" w:id="180"/>
      <w:bookmarkEnd w:id="180"/>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0"/>
        <w:ind w:right="0"/>
        <w:jc w:val="both"/>
      </w:pPr>
      <w:r>
        <w:rPr>
          <w:rFonts w:ascii="宋体" w:hAnsi="宋体" w:cs="宋体" w:eastAsia="宋体" w:hint="default"/>
        </w:rPr>
        <w:t>1.</w:t>
      </w:r>
      <w:r>
        <w:rPr>
          <w:rFonts w:ascii="宋体" w:hAnsi="宋体" w:cs="宋体" w:eastAsia="宋体" w:hint="default"/>
          <w:spacing w:val="50"/>
        </w:rPr>
        <w:t> </w:t>
      </w:r>
      <w:r>
        <w:rPr/>
        <w:t>外币交易的折算方法</w:t>
      </w:r>
    </w:p>
    <w:p>
      <w:pPr>
        <w:pStyle w:val="BodyText"/>
        <w:spacing w:line="256" w:lineRule="auto" w:before="37"/>
        <w:ind w:left="513" w:right="1123" w:firstLine="422"/>
        <w:jc w:val="both"/>
      </w:pPr>
      <w:r>
        <w:rPr>
          <w:spacing w:val="-2"/>
        </w:rPr>
        <w:t>本集团发生的外币交易在初始确认时，按交易日的即期汇率</w:t>
      </w:r>
      <w:r>
        <w:rPr>
          <w:rFonts w:ascii="Times New Roman" w:hAnsi="Times New Roman" w:cs="Times New Roman" w:eastAsia="Times New Roman" w:hint="default"/>
          <w:spacing w:val="-2"/>
        </w:rPr>
        <w:t>(</w:t>
      </w:r>
      <w:r>
        <w:rPr>
          <w:spacing w:val="-2"/>
        </w:rPr>
        <w:t>通常指中国人民银行公布的当日外汇</w:t>
      </w:r>
      <w:r>
        <w:rPr>
          <w:w w:val="100"/>
        </w:rPr>
        <w:t> </w:t>
      </w:r>
      <w:r>
        <w:rPr>
          <w:spacing w:val="-2"/>
        </w:rPr>
        <w:t>牌价的中间价，下同</w:t>
      </w:r>
      <w:r>
        <w:rPr>
          <w:rFonts w:ascii="Times New Roman" w:hAnsi="Times New Roman" w:cs="Times New Roman" w:eastAsia="Times New Roman" w:hint="default"/>
          <w:spacing w:val="-2"/>
        </w:rPr>
        <w:t>)</w:t>
      </w:r>
      <w:r>
        <w:rPr>
          <w:spacing w:val="-2"/>
        </w:rPr>
        <w:t>折算为记账本位币金额，但本集团发生的外币兑换业务或涉及外币兑换的交易事</w:t>
      </w:r>
      <w:r>
        <w:rPr>
          <w:spacing w:val="-45"/>
        </w:rPr>
        <w:t> </w:t>
      </w:r>
      <w:r>
        <w:rPr>
          <w:spacing w:val="-45"/>
        </w:rPr>
      </w:r>
      <w:r>
        <w:rPr/>
        <w:t>项，按照实际采用的汇率折算为记账本位币金额。</w:t>
      </w:r>
    </w:p>
    <w:p>
      <w:pPr>
        <w:pStyle w:val="BodyText"/>
        <w:spacing w:line="273" w:lineRule="auto" w:before="22"/>
        <w:ind w:left="936" w:right="0" w:hanging="783"/>
        <w:jc w:val="left"/>
      </w:pPr>
      <w:r>
        <w:rPr>
          <w:rFonts w:ascii="宋体" w:hAnsi="宋体" w:cs="宋体" w:eastAsia="宋体" w:hint="default"/>
        </w:rPr>
        <w:t>1.</w:t>
      </w:r>
      <w:r>
        <w:rPr>
          <w:rFonts w:ascii="宋体" w:hAnsi="宋体" w:cs="宋体" w:eastAsia="宋体" w:hint="default"/>
          <w:spacing w:val="43"/>
        </w:rPr>
        <w:t> </w:t>
      </w:r>
      <w:r>
        <w:rPr/>
        <w:t>对于外币货币性项目和外币非货币性项目的折算方法</w:t>
      </w:r>
      <w:r>
        <w:rPr>
          <w:spacing w:val="-102"/>
        </w:rPr>
        <w:t> </w:t>
      </w:r>
      <w:r>
        <w:rPr>
          <w:spacing w:val="-102"/>
        </w:rPr>
      </w:r>
      <w:r>
        <w:rPr>
          <w:spacing w:val="-3"/>
        </w:rPr>
        <w:t>资产负债表日，对于外币货币性项目采用资产负债表日即期汇率折算，由此产生的汇兑差额，除：</w:t>
      </w:r>
    </w:p>
    <w:p>
      <w:pPr>
        <w:pStyle w:val="BodyText"/>
        <w:spacing w:line="273" w:lineRule="auto" w:before="8"/>
        <w:ind w:left="513" w:right="1127"/>
        <w:jc w:val="both"/>
      </w:pPr>
      <w:r>
        <w:rPr>
          <w:spacing w:val="-1"/>
        </w:rPr>
        <w:t>属于与购建符合资本化条件的资产相关的外币专门借款产生的汇兑差额按照借款费用资本化的原则处</w:t>
      </w:r>
      <w:r>
        <w:rPr>
          <w:spacing w:val="-24"/>
        </w:rPr>
        <w:t> </w:t>
      </w:r>
      <w:r>
        <w:rPr>
          <w:spacing w:val="-24"/>
        </w:rPr>
      </w:r>
      <w:r>
        <w:rPr>
          <w:spacing w:val="-1"/>
        </w:rPr>
        <w:t>理；以及可供出售的外币货币性项目除摊余成本之外的其他账面余额变动产生的汇兑差额计入其他综</w:t>
      </w:r>
      <w:r>
        <w:rPr>
          <w:spacing w:val="-21"/>
        </w:rPr>
        <w:t> </w:t>
      </w:r>
      <w:r>
        <w:rPr>
          <w:spacing w:val="-21"/>
        </w:rPr>
      </w:r>
      <w:r>
        <w:rPr/>
        <w:t>合收益之外，均计入当期损益。</w:t>
      </w:r>
    </w:p>
    <w:p>
      <w:pPr>
        <w:pStyle w:val="BodyText"/>
        <w:spacing w:line="268" w:lineRule="auto"/>
        <w:ind w:left="513" w:right="1010" w:firstLine="422"/>
        <w:jc w:val="left"/>
      </w:pPr>
      <w:r>
        <w:rPr>
          <w:spacing w:val="-3"/>
        </w:rPr>
        <w:t>以历史成本计量的外币非货币性项目，仍采用交易发生日的即期汇率折算的记账本位币金额计量。</w:t>
      </w:r>
      <w:r>
        <w:rPr>
          <w:w w:val="100"/>
        </w:rPr>
        <w:t> </w:t>
      </w:r>
      <w:r>
        <w:rPr/>
        <w:t>以公允价值计量的外币非货币性项目，采用公允价值确定日的即期汇率折算，折算后的记账本位币金</w:t>
      </w:r>
      <w:r>
        <w:rPr>
          <w:spacing w:val="-68"/>
        </w:rPr>
        <w:t> </w:t>
      </w:r>
      <w:r>
        <w:rPr>
          <w:spacing w:val="-68"/>
        </w:rPr>
      </w:r>
      <w:r>
        <w:rPr>
          <w:spacing w:val="-4"/>
        </w:rPr>
        <w:t>额与原记账本位币金额的差额，作为公允价值变动</w:t>
      </w:r>
      <w:r>
        <w:rPr>
          <w:rFonts w:ascii="Times New Roman" w:hAnsi="Times New Roman" w:cs="Times New Roman" w:eastAsia="Times New Roman" w:hint="default"/>
          <w:spacing w:val="-4"/>
        </w:rPr>
        <w:t>(</w:t>
      </w:r>
      <w:r>
        <w:rPr>
          <w:spacing w:val="-4"/>
        </w:rPr>
        <w:t>含汇率变动</w:t>
      </w:r>
      <w:r>
        <w:rPr>
          <w:rFonts w:ascii="Times New Roman" w:hAnsi="Times New Roman" w:cs="Times New Roman" w:eastAsia="Times New Roman" w:hint="default"/>
          <w:spacing w:val="-4"/>
        </w:rPr>
        <w:t>)</w:t>
      </w:r>
      <w:r>
        <w:rPr>
          <w:spacing w:val="-4"/>
        </w:rPr>
        <w:t>处理，计入当期损益或确认为其他综合</w:t>
      </w:r>
      <w:r>
        <w:rPr>
          <w:spacing w:val="-20"/>
        </w:rPr>
        <w:t> </w:t>
      </w:r>
      <w:r>
        <w:rPr>
          <w:spacing w:val="-20"/>
        </w:rPr>
      </w:r>
      <w:r>
        <w:rPr/>
        <w:t>收益。</w:t>
      </w:r>
    </w:p>
    <w:p>
      <w:pPr>
        <w:pStyle w:val="BodyText"/>
        <w:spacing w:line="273" w:lineRule="auto" w:before="12"/>
        <w:ind w:left="575" w:right="0" w:hanging="423"/>
        <w:jc w:val="left"/>
      </w:pPr>
      <w:r>
        <w:rPr>
          <w:rFonts w:ascii="宋体" w:hAnsi="宋体" w:cs="宋体" w:eastAsia="宋体" w:hint="default"/>
        </w:rPr>
        <w:t>1.</w:t>
      </w:r>
      <w:r>
        <w:rPr>
          <w:rFonts w:ascii="宋体" w:hAnsi="宋体" w:cs="宋体" w:eastAsia="宋体" w:hint="default"/>
          <w:spacing w:val="43"/>
        </w:rPr>
        <w:t> </w:t>
      </w:r>
      <w:r>
        <w:rPr/>
        <w:t>外币财务报表的折算方法</w:t>
      </w:r>
      <w:r>
        <w:rPr>
          <w:spacing w:val="-101"/>
        </w:rPr>
        <w:t> </w:t>
      </w:r>
      <w:r>
        <w:rPr>
          <w:spacing w:val="-101"/>
        </w:rPr>
      </w:r>
      <w:r>
        <w:rPr>
          <w:spacing w:val="-2"/>
        </w:rPr>
        <w:t>本集团对境外经营的财务报表进行折算时，遵循下列规定：资产负债表中的资产和负债项目，采用资</w:t>
      </w:r>
    </w:p>
    <w:p>
      <w:pPr>
        <w:pStyle w:val="BodyText"/>
        <w:spacing w:line="266" w:lineRule="auto"/>
        <w:ind w:right="1125"/>
        <w:jc w:val="both"/>
      </w:pPr>
      <w:r>
        <w:rPr>
          <w:spacing w:val="-2"/>
        </w:rPr>
        <w:t>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项目外，其他项目采用发生时的即期汇率折</w:t>
      </w:r>
      <w:r>
        <w:rPr>
          <w:spacing w:val="-10"/>
        </w:rPr>
        <w:t> </w:t>
      </w:r>
      <w:r>
        <w:rPr>
          <w:spacing w:val="-10"/>
        </w:rPr>
      </w:r>
      <w:r>
        <w:rPr>
          <w:spacing w:val="-2"/>
        </w:rPr>
        <w:t>算；利润表中的收入和费用项目，采用交易发生日的当期平均汇率折算。按照上述折算产生的外币财务报</w:t>
      </w:r>
      <w:r>
        <w:rPr>
          <w:spacing w:val="-33"/>
        </w:rPr>
        <w:t> </w:t>
      </w:r>
      <w:r>
        <w:rPr>
          <w:spacing w:val="-33"/>
        </w:rPr>
      </w:r>
      <w:r>
        <w:rPr/>
        <w:t>表折算差额，确认为其他综合收益。比较财务报表的折算比照上述规定处理。</w:t>
      </w:r>
    </w:p>
    <w:p>
      <w:pPr>
        <w:spacing w:line="240" w:lineRule="auto" w:before="2"/>
        <w:rPr>
          <w:rFonts w:ascii="宋体" w:hAnsi="宋体" w:cs="宋体" w:eastAsia="宋体" w:hint="default"/>
          <w:sz w:val="24"/>
          <w:szCs w:val="24"/>
        </w:rPr>
      </w:pPr>
    </w:p>
    <w:p>
      <w:pPr>
        <w:pStyle w:val="Heading4"/>
        <w:spacing w:line="240" w:lineRule="auto"/>
        <w:ind w:right="0"/>
        <w:jc w:val="both"/>
        <w:rPr>
          <w:b w:val="0"/>
          <w:bCs w:val="0"/>
        </w:rPr>
      </w:pPr>
      <w:bookmarkStart w:name="10、金融工具" w:id="181"/>
      <w:bookmarkEnd w:id="181"/>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5"/>
        <w:rPr>
          <w:rFonts w:ascii="宋体" w:hAnsi="宋体" w:cs="宋体" w:eastAsia="宋体" w:hint="default"/>
          <w:b/>
          <w:bCs/>
          <w:sz w:val="24"/>
          <w:szCs w:val="24"/>
        </w:rPr>
      </w:pPr>
    </w:p>
    <w:p>
      <w:pPr>
        <w:pStyle w:val="BodyText"/>
        <w:spacing w:line="273" w:lineRule="auto" w:before="0"/>
        <w:ind w:right="3986" w:firstLine="422"/>
        <w:jc w:val="left"/>
      </w:pPr>
      <w:r>
        <w:rPr>
          <w:spacing w:val="-2"/>
        </w:rPr>
        <w:t>在本集团成为金融工具合同的一方时确认一项金融资产或金融负债。</w:t>
      </w:r>
      <w:r>
        <w:rPr>
          <w:w w:val="100"/>
        </w:rPr>
        <w:t> </w:t>
      </w:r>
      <w:r>
        <w:rPr>
          <w:rFonts w:ascii="宋体" w:hAnsi="宋体" w:cs="宋体" w:eastAsia="宋体" w:hint="default"/>
        </w:rPr>
        <w:t>1.</w:t>
      </w:r>
      <w:r>
        <w:rPr>
          <w:rFonts w:ascii="宋体" w:hAnsi="宋体" w:cs="宋体" w:eastAsia="宋体" w:hint="default"/>
          <w:spacing w:val="49"/>
        </w:rPr>
        <w:t> </w:t>
      </w:r>
      <w:r>
        <w:rPr/>
        <w:t>金融资产的分类、确认和计量</w:t>
      </w:r>
    </w:p>
    <w:p>
      <w:pPr>
        <w:pStyle w:val="BodyText"/>
        <w:spacing w:line="273" w:lineRule="auto"/>
        <w:ind w:right="1125" w:firstLine="422"/>
        <w:jc w:val="both"/>
      </w:pPr>
      <w:r>
        <w:rPr>
          <w:spacing w:val="-2"/>
        </w:rPr>
        <w:t>本集团根据管理金融资产的业务模式和金融资产的合同现金流量特征，将金融资产划分为：以摊余成</w:t>
      </w:r>
      <w:r>
        <w:rPr>
          <w:w w:val="100"/>
        </w:rPr>
        <w:t> </w:t>
      </w:r>
      <w:r>
        <w:rPr>
          <w:spacing w:val="-2"/>
        </w:rPr>
        <w:t>本计量的金融资产；以公允价值计量且其变动计入其他综合收益的金融资产；以公允价值计量且其变动计</w:t>
      </w:r>
      <w:r>
        <w:rPr>
          <w:spacing w:val="-33"/>
        </w:rPr>
        <w:t> </w:t>
      </w:r>
      <w:r>
        <w:rPr>
          <w:spacing w:val="-33"/>
        </w:rPr>
      </w:r>
      <w:r>
        <w:rPr/>
        <w:t>入当期损益的金融资产。</w:t>
      </w:r>
    </w:p>
    <w:p>
      <w:pPr>
        <w:pStyle w:val="BodyText"/>
        <w:spacing w:line="273" w:lineRule="auto"/>
        <w:ind w:right="1124" w:firstLine="422"/>
        <w:jc w:val="both"/>
      </w:pPr>
      <w:r>
        <w:rPr>
          <w:spacing w:val="-2"/>
        </w:rPr>
        <w:t>金融资产在初始确认时以公允价值计量。对于以公允价值计量且其变动计入当期损益的金融资产，相</w:t>
      </w:r>
      <w:r>
        <w:rPr>
          <w:w w:val="100"/>
        </w:rPr>
        <w:t> </w:t>
      </w:r>
      <w:r>
        <w:rPr>
          <w:spacing w:val="-2"/>
        </w:rPr>
        <w:t>关交易费用直接计入当期损益；对于其他类别的金融资产，相关交易费用计入初始确认金额。因销售产品</w:t>
      </w:r>
      <w:r>
        <w:rPr>
          <w:spacing w:val="-33"/>
        </w:rPr>
        <w:t> </w:t>
      </w:r>
      <w:r>
        <w:rPr>
          <w:spacing w:val="-33"/>
        </w:rPr>
      </w:r>
      <w:r>
        <w:rPr>
          <w:spacing w:val="-2"/>
        </w:rPr>
        <w:t>或提供劳务而产生的、未包含或不考虑重大融资成分的应收账款或应收票据，本集团按照预期有权收取的</w:t>
      </w:r>
      <w:r>
        <w:rPr>
          <w:spacing w:val="-33"/>
        </w:rPr>
        <w:t> </w:t>
      </w:r>
      <w:r>
        <w:rPr>
          <w:spacing w:val="-33"/>
        </w:rPr>
      </w:r>
      <w:r>
        <w:rPr/>
        <w:t>对价金额作为初始确认金额。</w:t>
      </w:r>
    </w:p>
    <w:p>
      <w:pPr>
        <w:pStyle w:val="BodyText"/>
        <w:spacing w:line="256" w:lineRule="auto"/>
        <w:ind w:left="575" w:right="1126" w:hanging="96"/>
        <w:jc w:val="both"/>
      </w:pPr>
      <w:r>
        <w:rPr/>
        <w:t>（</w:t>
      </w:r>
      <w:r>
        <w:rPr>
          <w:rFonts w:ascii="Times New Roman" w:hAnsi="Times New Roman" w:cs="Times New Roman" w:eastAsia="Times New Roman" w:hint="default"/>
        </w:rPr>
        <w:t>1</w:t>
      </w:r>
      <w:r>
        <w:rPr/>
        <w:t>）以摊余成本计量的金融资产</w:t>
      </w:r>
      <w:r>
        <w:rPr>
          <w:spacing w:val="-103"/>
        </w:rPr>
        <w:t> </w:t>
      </w:r>
      <w:r>
        <w:rPr>
          <w:spacing w:val="-103"/>
        </w:rPr>
      </w:r>
      <w:r>
        <w:rPr>
          <w:spacing w:val="-2"/>
        </w:rPr>
        <w:t>本集团管理以摊余成本计量的金融资产的业务模式为以收取合同现金流量为目标，且此类金融资产的</w:t>
      </w:r>
    </w:p>
    <w:p>
      <w:pPr>
        <w:pStyle w:val="BodyText"/>
        <w:spacing w:line="273" w:lineRule="auto" w:before="22"/>
        <w:ind w:right="1125"/>
        <w:jc w:val="both"/>
      </w:pPr>
      <w:r>
        <w:rPr>
          <w:spacing w:val="-2"/>
        </w:rPr>
        <w:t>合同现金流量特征与基本借贷安排相一致，即在特定日期产生的现金流量，仅为对本金和以未偿付本金金</w:t>
      </w:r>
      <w:r>
        <w:rPr>
          <w:spacing w:val="-33"/>
        </w:rPr>
        <w:t> </w:t>
      </w:r>
      <w:r>
        <w:rPr>
          <w:spacing w:val="-33"/>
        </w:rPr>
      </w:r>
      <w:r>
        <w:rPr>
          <w:spacing w:val="-2"/>
        </w:rPr>
        <w:t>额为基础的利息的支付。本集团对于此类金融资产，采用实际利率法，按照摊余成本进行后续计量，其摊</w:t>
      </w:r>
      <w:r>
        <w:rPr>
          <w:spacing w:val="-33"/>
        </w:rPr>
        <w:t> </w:t>
      </w:r>
      <w:r>
        <w:rPr>
          <w:spacing w:val="-33"/>
        </w:rPr>
      </w:r>
      <w:r>
        <w:rPr/>
        <w:t>销或减值产生的利得或损失，计入当期损益。</w:t>
      </w:r>
    </w:p>
    <w:p>
      <w:pPr>
        <w:pStyle w:val="BodyText"/>
        <w:spacing w:line="240" w:lineRule="auto"/>
        <w:ind w:left="479" w:right="0"/>
        <w:jc w:val="left"/>
      </w:pPr>
      <w:r>
        <w:rPr/>
        <w:t>（</w:t>
      </w:r>
      <w:r>
        <w:rPr>
          <w:rFonts w:ascii="Times New Roman" w:hAnsi="Times New Roman" w:cs="Times New Roman" w:eastAsia="Times New Roman" w:hint="default"/>
        </w:rPr>
        <w:t>2</w:t>
      </w:r>
      <w:r>
        <w:rPr/>
        <w:t>）以公允价值计量且其变动计入其他综合收益的金融资产</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BodyText"/>
        <w:spacing w:line="273" w:lineRule="auto" w:before="36"/>
        <w:ind w:right="1126" w:firstLine="422"/>
        <w:jc w:val="both"/>
      </w:pPr>
      <w:r>
        <w:rPr>
          <w:spacing w:val="-2"/>
        </w:rPr>
        <w:t>本集团管理此类金融资产的业务模式为既以收取合同现金流量为目标又以出售为目标，且此类金融资</w:t>
      </w:r>
      <w:r>
        <w:rPr>
          <w:w w:val="100"/>
        </w:rPr>
        <w:t> </w:t>
      </w:r>
      <w:r>
        <w:rPr>
          <w:spacing w:val="-2"/>
        </w:rPr>
        <w:t>产的合同现金流量特征与基本借贷安排相一致。本集团对此类金融资产按照公允价值计量且其变动计入其</w:t>
      </w:r>
      <w:r>
        <w:rPr>
          <w:spacing w:val="-33"/>
        </w:rPr>
        <w:t> </w:t>
      </w:r>
      <w:r>
        <w:rPr>
          <w:spacing w:val="-33"/>
        </w:rPr>
      </w:r>
      <w:r>
        <w:rPr/>
        <w:t>他综合收益，但减值损失或利得、汇兑损益和按照实际利率法计算的利息收入计入当期损益。</w:t>
      </w:r>
    </w:p>
    <w:p>
      <w:pPr>
        <w:pStyle w:val="BodyText"/>
        <w:spacing w:line="273" w:lineRule="auto" w:before="8"/>
        <w:ind w:right="1117" w:firstLine="422"/>
        <w:jc w:val="both"/>
      </w:pPr>
      <w:r>
        <w:rPr>
          <w:spacing w:val="-2"/>
        </w:rPr>
        <w:t>此外，本集团将部分非交易性权益工具投资指定为以公允价值计量且其变动计入其他综合收益的金融</w:t>
      </w:r>
      <w:r>
        <w:rPr>
          <w:w w:val="100"/>
        </w:rPr>
        <w:t> </w:t>
      </w:r>
      <w:r>
        <w:rPr>
          <w:spacing w:val="-2"/>
        </w:rPr>
        <w:t>资产。本集团将该类金融资产的相关股利收入计入当期损益，公允价值变动计入其他综合收益。当该金融</w:t>
      </w:r>
      <w:r>
        <w:rPr>
          <w:spacing w:val="-33"/>
        </w:rPr>
        <w:t> </w:t>
      </w:r>
      <w:r>
        <w:rPr>
          <w:spacing w:val="-33"/>
        </w:rPr>
      </w:r>
      <w:r>
        <w:rPr>
          <w:spacing w:val="-2"/>
        </w:rPr>
        <w:t>资产终止确认时，之前计入其他综合收益的累计利得或损失将从其他综合收益转入留存收益，不计入当期</w:t>
      </w:r>
      <w:r>
        <w:rPr>
          <w:spacing w:val="-33"/>
        </w:rPr>
        <w:t> </w:t>
      </w:r>
      <w:r>
        <w:rPr>
          <w:spacing w:val="-33"/>
        </w:rPr>
      </w:r>
      <w:r>
        <w:rPr/>
        <w:t>损益。</w:t>
      </w:r>
    </w:p>
    <w:p>
      <w:pPr>
        <w:pStyle w:val="BodyText"/>
        <w:spacing w:line="256" w:lineRule="auto"/>
        <w:ind w:left="575" w:right="0" w:hanging="168"/>
        <w:jc w:val="left"/>
      </w:pPr>
      <w:r>
        <w:rPr/>
        <w:t>（</w:t>
      </w:r>
      <w:r>
        <w:rPr>
          <w:rFonts w:ascii="Times New Roman" w:hAnsi="Times New Roman" w:cs="Times New Roman" w:eastAsia="Times New Roman" w:hint="default"/>
        </w:rPr>
        <w:t>3</w:t>
      </w:r>
      <w:r>
        <w:rPr/>
        <w:t>）以公允价值计量且其变动计入当期损益的金融资产</w:t>
      </w:r>
      <w:r>
        <w:rPr>
          <w:w w:val="100"/>
        </w:rPr>
        <w:t> </w:t>
      </w:r>
      <w:r>
        <w:rPr>
          <w:spacing w:val="2"/>
        </w:rPr>
        <w:t>本集团将上述以摊余成本计量的金融资产和以公允价值计量且其变动计入其他综合收益的金融资产</w:t>
      </w:r>
    </w:p>
    <w:p>
      <w:pPr>
        <w:pStyle w:val="BodyText"/>
        <w:spacing w:line="273" w:lineRule="auto" w:before="23"/>
        <w:ind w:right="1122"/>
        <w:jc w:val="both"/>
      </w:pPr>
      <w:r>
        <w:rPr>
          <w:spacing w:val="-2"/>
        </w:rPr>
        <w:t>之外的金融资产，分类为以公允价值计量且其变动计入当期损益的金融资产。此外，在初始确认时，本集</w:t>
      </w:r>
      <w:r>
        <w:rPr>
          <w:spacing w:val="-33"/>
        </w:rPr>
        <w:t> </w:t>
      </w:r>
      <w:r>
        <w:rPr>
          <w:spacing w:val="-33"/>
        </w:rPr>
      </w:r>
      <w:r>
        <w:rPr>
          <w:spacing w:val="-2"/>
        </w:rPr>
        <w:t>团为了消除或显著减少会计错配，将部分金融资产指定为以公允价值计量且其变动计入当期损益的金融资</w:t>
      </w:r>
      <w:r>
        <w:rPr>
          <w:spacing w:val="-30"/>
        </w:rPr>
        <w:t> </w:t>
      </w:r>
      <w:r>
        <w:rPr>
          <w:spacing w:val="-30"/>
        </w:rPr>
      </w:r>
      <w:r>
        <w:rPr/>
        <w:t>产。对于此类金融资产，本集团采用公允价值进行后续计量，公允价值变动计入当期损益。</w:t>
      </w:r>
    </w:p>
    <w:p>
      <w:pPr>
        <w:pStyle w:val="BodyText"/>
        <w:spacing w:line="256" w:lineRule="auto"/>
        <w:ind w:left="575" w:right="0" w:hanging="25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金融负债的分类、确认和计量</w:t>
      </w:r>
      <w:r>
        <w:rPr>
          <w:w w:val="100"/>
        </w:rPr>
        <w:t> </w:t>
      </w:r>
      <w:r>
        <w:rPr>
          <w:spacing w:val="-2"/>
        </w:rPr>
        <w:t>金融负债于初始确认时分类为以公允价值计量且其变动计入当期损益的金融负债和其他金融负债。对</w:t>
      </w:r>
    </w:p>
    <w:p>
      <w:pPr>
        <w:pStyle w:val="BodyText"/>
        <w:spacing w:line="273" w:lineRule="auto" w:before="23"/>
        <w:ind w:right="1125"/>
        <w:jc w:val="both"/>
      </w:pPr>
      <w:r>
        <w:rPr>
          <w:spacing w:val="-2"/>
        </w:rPr>
        <w:t>于以公允价值计量且其变动计入当期损益的金融负债，相关交易费用直接计入当期损益，其他金融负债的</w:t>
      </w:r>
      <w:r>
        <w:rPr>
          <w:spacing w:val="-33"/>
        </w:rPr>
        <w:t> </w:t>
      </w:r>
      <w:r>
        <w:rPr>
          <w:spacing w:val="-33"/>
        </w:rPr>
      </w:r>
      <w:r>
        <w:rPr/>
        <w:t>相关交易费用计入其初始确认金额。</w:t>
      </w:r>
    </w:p>
    <w:p>
      <w:pPr>
        <w:pStyle w:val="BodyText"/>
        <w:spacing w:line="256" w:lineRule="auto"/>
        <w:ind w:left="575" w:right="0" w:hanging="168"/>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）以公允价值计量且其变动计入当期损益的金融负债</w:t>
      </w:r>
      <w:r>
        <w:rPr>
          <w:w w:val="100"/>
        </w:rPr>
        <w:t> </w:t>
      </w:r>
      <w:r>
        <w:rPr>
          <w:spacing w:val="-4"/>
          <w:w w:val="100"/>
        </w:rPr>
        <w:t>以公允价值计量且其变动计入当期损益的金融负债，包括交易性金融负债</w:t>
      </w:r>
      <w:r>
        <w:rPr>
          <w:rFonts w:ascii="Times New Roman" w:hAnsi="Times New Roman" w:cs="Times New Roman" w:eastAsia="Times New Roman" w:hint="default"/>
          <w:spacing w:val="-4"/>
          <w:w w:val="100"/>
        </w:rPr>
        <w:t>(</w:t>
      </w:r>
      <w:r>
        <w:rPr>
          <w:spacing w:val="-4"/>
          <w:w w:val="100"/>
        </w:rPr>
        <w:t>含属于金融负债的衍生工具</w:t>
      </w:r>
      <w:r>
        <w:rPr>
          <w:rFonts w:ascii="Times New Roman" w:hAnsi="Times New Roman" w:cs="Times New Roman" w:eastAsia="Times New Roman" w:hint="default"/>
          <w:spacing w:val="-4"/>
          <w:w w:val="100"/>
        </w:rPr>
        <w:t>)</w:t>
      </w:r>
    </w:p>
    <w:p>
      <w:pPr>
        <w:pStyle w:val="BodyText"/>
        <w:spacing w:line="273" w:lineRule="auto" w:before="5"/>
        <w:ind w:left="575" w:right="0" w:hanging="423"/>
        <w:jc w:val="left"/>
      </w:pPr>
      <w:r>
        <w:rPr/>
        <w:t>和初始确认时指定为以公允价值计量且其变动计入当期损益的金融负债。</w:t>
      </w:r>
      <w:r>
        <w:rPr>
          <w:spacing w:val="-102"/>
        </w:rPr>
        <w:t> </w:t>
      </w:r>
      <w:r>
        <w:rPr>
          <w:spacing w:val="-102"/>
        </w:rPr>
      </w:r>
      <w:r>
        <w:rPr/>
        <w:t>交易性金融负债</w:t>
      </w:r>
      <w:r>
        <w:rPr>
          <w:rFonts w:ascii="Times New Roman" w:hAnsi="Times New Roman" w:cs="Times New Roman" w:eastAsia="Times New Roman" w:hint="default"/>
        </w:rPr>
        <w:t>(</w:t>
      </w:r>
      <w:r>
        <w:rPr/>
        <w:t>含属于金融负债的衍生工具</w:t>
      </w:r>
      <w:r>
        <w:rPr>
          <w:rFonts w:ascii="Times New Roman" w:hAnsi="Times New Roman" w:cs="Times New Roman" w:eastAsia="Times New Roman" w:hint="default"/>
        </w:rPr>
        <w:t>)</w:t>
      </w:r>
      <w:r>
        <w:rPr/>
        <w:t>，按照公允价值进行后续计量，除与套期会计有关外，</w:t>
      </w:r>
    </w:p>
    <w:p>
      <w:pPr>
        <w:pStyle w:val="BodyText"/>
        <w:spacing w:line="273" w:lineRule="auto" w:before="0"/>
        <w:ind w:left="575" w:right="0" w:hanging="423"/>
        <w:jc w:val="left"/>
      </w:pPr>
      <w:r>
        <w:rPr/>
        <w:t>公允价值变动计入当期损益。</w:t>
      </w:r>
      <w:r>
        <w:rPr>
          <w:spacing w:val="-100"/>
        </w:rPr>
        <w:t> </w:t>
      </w:r>
      <w:r>
        <w:rPr>
          <w:spacing w:val="-100"/>
        </w:rPr>
      </w:r>
      <w:r>
        <w:rPr>
          <w:spacing w:val="-2"/>
        </w:rPr>
        <w:t>被指定为以公允价值计量且其变动计入当期损益的金融负债，该负债由本集团自身信用风险变动引起</w:t>
      </w:r>
    </w:p>
    <w:p>
      <w:pPr>
        <w:pStyle w:val="BodyText"/>
        <w:spacing w:line="273" w:lineRule="auto"/>
        <w:ind w:right="1123"/>
        <w:jc w:val="both"/>
      </w:pPr>
      <w:r>
        <w:rPr>
          <w:spacing w:val="-2"/>
        </w:rPr>
        <w:t>的公允价值变动计入其他综合收益，且终止确认该负债时，计入其他综合收益的自身信用风险变动引起的</w:t>
      </w:r>
      <w:r>
        <w:rPr>
          <w:spacing w:val="-33"/>
        </w:rPr>
        <w:t> </w:t>
      </w:r>
      <w:r>
        <w:rPr>
          <w:spacing w:val="-33"/>
        </w:rPr>
      </w:r>
      <w:r>
        <w:rPr>
          <w:spacing w:val="-2"/>
        </w:rPr>
        <w:t>其公允价值累计变动额转入留存收益。其余公允价值变动计入当期损益。若按上述方式对该等金融负债的</w:t>
      </w:r>
      <w:r>
        <w:rPr>
          <w:spacing w:val="-33"/>
        </w:rPr>
        <w:t> </w:t>
      </w:r>
      <w:r>
        <w:rPr>
          <w:spacing w:val="-33"/>
        </w:rPr>
      </w:r>
      <w:r>
        <w:rPr>
          <w:spacing w:val="-2"/>
        </w:rPr>
        <w:t>自身信用风险变动的影响进行处理会造成或扩大损益中的会计错配的，本集团将该金融负债的全部利得或</w:t>
      </w:r>
      <w:r>
        <w:rPr>
          <w:spacing w:val="-30"/>
        </w:rPr>
        <w:t> </w:t>
      </w:r>
      <w:r>
        <w:rPr>
          <w:spacing w:val="-30"/>
        </w:rPr>
      </w:r>
      <w:r>
        <w:rPr/>
        <w:t>损失</w:t>
      </w:r>
      <w:r>
        <w:rPr>
          <w:rFonts w:ascii="Times New Roman" w:hAnsi="Times New Roman" w:cs="Times New Roman" w:eastAsia="Times New Roman" w:hint="default"/>
        </w:rPr>
        <w:t>(</w:t>
      </w:r>
      <w:r>
        <w:rPr/>
        <w:t>包括企业自身信用风险变动的影响金额</w:t>
      </w:r>
      <w:r>
        <w:rPr>
          <w:rFonts w:ascii="Times New Roman" w:hAnsi="Times New Roman" w:cs="Times New Roman" w:eastAsia="Times New Roman" w:hint="default"/>
        </w:rPr>
        <w:t>)</w:t>
      </w:r>
      <w:r>
        <w:rPr/>
        <w:t>计入当期损益。</w:t>
      </w:r>
    </w:p>
    <w:p>
      <w:pPr>
        <w:pStyle w:val="BodyText"/>
        <w:spacing w:line="256" w:lineRule="auto" w:before="0"/>
        <w:ind w:left="575" w:right="0" w:hanging="168"/>
        <w:jc w:val="left"/>
      </w:pPr>
      <w:r>
        <w:rPr/>
        <w:t>（</w:t>
      </w:r>
      <w:r>
        <w:rPr>
          <w:rFonts w:ascii="Times New Roman" w:hAnsi="Times New Roman" w:cs="Times New Roman" w:eastAsia="Times New Roman" w:hint="default"/>
        </w:rPr>
        <w:t>2</w:t>
      </w:r>
      <w:r>
        <w:rPr/>
        <w:t>）其他金融负债</w:t>
      </w:r>
      <w:r>
        <w:rPr>
          <w:w w:val="100"/>
        </w:rPr>
        <w:t> </w:t>
      </w:r>
      <w:r>
        <w:rPr>
          <w:spacing w:val="-2"/>
        </w:rPr>
        <w:t>除金融资产转移不符合终止确认条件或继续涉入被转移金融资产所形成的金融负债、财务担保合同外</w:t>
      </w:r>
    </w:p>
    <w:p>
      <w:pPr>
        <w:pStyle w:val="BodyText"/>
        <w:spacing w:line="273" w:lineRule="auto" w:before="22"/>
        <w:ind w:right="1125"/>
        <w:jc w:val="both"/>
      </w:pPr>
      <w:r>
        <w:rPr>
          <w:spacing w:val="-2"/>
        </w:rPr>
        <w:t>的其他金融负债分类为以摊余成本计量的金融负债，按摊余成本进行后续计量，终止确认或摊销产生的利</w:t>
      </w:r>
      <w:r>
        <w:rPr>
          <w:spacing w:val="-33"/>
        </w:rPr>
        <w:t> </w:t>
      </w:r>
      <w:r>
        <w:rPr>
          <w:spacing w:val="-33"/>
        </w:rPr>
      </w:r>
      <w:r>
        <w:rPr/>
        <w:t>得或损失计入当期损益。</w:t>
      </w:r>
    </w:p>
    <w:p>
      <w:pPr>
        <w:pStyle w:val="BodyText"/>
        <w:spacing w:line="240" w:lineRule="auto" w:before="8"/>
        <w:ind w:left="326"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t>金融资产转移的确认依据和计量方法</w:t>
      </w:r>
    </w:p>
    <w:p>
      <w:pPr>
        <w:pStyle w:val="BodyText"/>
        <w:spacing w:line="273" w:lineRule="auto" w:before="21"/>
        <w:ind w:right="1118" w:firstLine="422"/>
        <w:jc w:val="left"/>
      </w:pPr>
      <w:r>
        <w:rPr/>
        <w:t>满足下列条件之一的金融资产，予以终止确认：① 收取该金融资产现金流量的合同权利终止；②</w:t>
      </w:r>
      <w:r>
        <w:rPr>
          <w:spacing w:val="-39"/>
        </w:rPr>
        <w:t> </w:t>
      </w:r>
      <w:r>
        <w:rPr/>
        <w:t>该</w:t>
      </w:r>
      <w:r>
        <w:rPr>
          <w:w w:val="100"/>
        </w:rPr>
        <w:t> </w:t>
      </w:r>
      <w:r>
        <w:rPr>
          <w:spacing w:val="-2"/>
        </w:rPr>
        <w:t>金融资产已转移，且将金融资产所有权上几乎所有的风险和报酬转移给转入方；③该金融资产已转移，虽</w:t>
      </w:r>
      <w:r>
        <w:rPr>
          <w:spacing w:val="-31"/>
        </w:rPr>
        <w:t> </w:t>
      </w:r>
      <w:r>
        <w:rPr>
          <w:spacing w:val="-31"/>
        </w:rPr>
      </w:r>
      <w:r>
        <w:rPr/>
        <w:t>然企业既没有转移也没有保留金融资产所有权上几乎所有的风险和报酬，但是放弃了对该金融资产的控</w:t>
      </w:r>
      <w:r>
        <w:rPr>
          <w:w w:val="100"/>
        </w:rPr>
        <w:t> </w:t>
      </w:r>
      <w:r>
        <w:rPr/>
        <w:t>制。</w:t>
      </w:r>
    </w:p>
    <w:p>
      <w:pPr>
        <w:pStyle w:val="BodyText"/>
        <w:spacing w:line="273" w:lineRule="auto"/>
        <w:ind w:right="1125" w:firstLine="422"/>
        <w:jc w:val="both"/>
      </w:pPr>
      <w:r>
        <w:rPr>
          <w:spacing w:val="-2"/>
        </w:rPr>
        <w:t>若企业既没有转移也没有保留金融资产所有权上几乎所有的风险和报酬，且未放弃对该金融资产的控</w:t>
      </w:r>
      <w:r>
        <w:rPr>
          <w:w w:val="100"/>
        </w:rPr>
        <w:t> </w:t>
      </w:r>
      <w:r>
        <w:rPr>
          <w:spacing w:val="-2"/>
        </w:rPr>
        <w:t>制的，则按照继续涉入所转移金融资产的程度确认有关金融资产，并相应确认有关负债。继续涉入所转移</w:t>
      </w:r>
      <w:r>
        <w:rPr>
          <w:spacing w:val="-33"/>
        </w:rPr>
        <w:t> </w:t>
      </w:r>
      <w:r>
        <w:rPr>
          <w:spacing w:val="-33"/>
        </w:rPr>
      </w:r>
      <w:r>
        <w:rPr/>
        <w:t>金融资产的程度，是指该金融资产价值变动使企业面临的风险水平。</w:t>
      </w:r>
    </w:p>
    <w:p>
      <w:pPr>
        <w:pStyle w:val="BodyText"/>
        <w:spacing w:line="273" w:lineRule="auto"/>
        <w:ind w:right="1121" w:firstLine="422"/>
        <w:jc w:val="both"/>
      </w:pPr>
      <w:r>
        <w:rPr>
          <w:spacing w:val="-2"/>
        </w:rPr>
        <w:t>金融资产整体转移满足终止确认条件的，将所转移金融资产的账面价值及因转移而收到的对价与原计</w:t>
      </w:r>
      <w:r>
        <w:rPr>
          <w:w w:val="100"/>
        </w:rPr>
        <w:t> </w:t>
      </w:r>
      <w:r>
        <w:rPr/>
        <w:t>入其他综合收益的公允价值变动累计额之和的差额计入当期损益。</w:t>
      </w:r>
    </w:p>
    <w:p>
      <w:pPr>
        <w:pStyle w:val="BodyText"/>
        <w:spacing w:line="273" w:lineRule="auto"/>
        <w:ind w:right="1121" w:firstLine="422"/>
        <w:jc w:val="both"/>
      </w:pPr>
      <w:r>
        <w:rPr>
          <w:spacing w:val="-2"/>
        </w:rPr>
        <w:t>金融资产部分转移满足终止确认条件的，将所转移金融资产的账面价值在终止确认及未终止确认部分</w:t>
      </w:r>
      <w:r>
        <w:rPr>
          <w:w w:val="100"/>
        </w:rPr>
        <w:t> </w:t>
      </w:r>
      <w:r>
        <w:rPr>
          <w:spacing w:val="-2"/>
        </w:rPr>
        <w:t>之间按其相对的公允价值进行分摊，并将因转移而收到的对价与应分摊至终止确认部分的原计入其他综合</w:t>
      </w:r>
      <w:r>
        <w:rPr>
          <w:spacing w:val="-33"/>
        </w:rPr>
        <w:t> </w:t>
      </w:r>
      <w:r>
        <w:rPr>
          <w:spacing w:val="-33"/>
        </w:rPr>
      </w:r>
      <w:r>
        <w:rPr/>
        <w:t>收益的公允价值变动累计额之和与分摊的前述账面金额之差额计入当期损益。</w:t>
      </w:r>
    </w:p>
    <w:p>
      <w:pPr>
        <w:pStyle w:val="BodyText"/>
        <w:spacing w:line="240" w:lineRule="auto"/>
        <w:ind w:left="575" w:right="0"/>
        <w:jc w:val="left"/>
      </w:pPr>
      <w:r>
        <w:rPr/>
        <w:t>本集团对采用附追索权方式出售的金融资产，或将持有的金融资产背书转让，需确定该金融资产所有</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BodyText"/>
        <w:spacing w:line="273" w:lineRule="auto" w:before="36"/>
        <w:ind w:right="1103"/>
        <w:jc w:val="both"/>
      </w:pPr>
      <w:r>
        <w:rPr>
          <w:spacing w:val="-2"/>
        </w:rPr>
        <w:t>权上几乎所有的风险和报酬是否已经转移。已将该金融资产所有权上几乎所有的风险和报酬转移给转入方</w:t>
      </w:r>
      <w:r>
        <w:rPr>
          <w:spacing w:val="-33"/>
        </w:rPr>
        <w:t> </w:t>
      </w:r>
      <w:r>
        <w:rPr>
          <w:spacing w:val="-33"/>
        </w:rPr>
      </w:r>
      <w:r>
        <w:rPr>
          <w:spacing w:val="-2"/>
        </w:rPr>
        <w:t>的，终止确认该金融资产；保留了金融资产所有权上几乎所有的风险和报酬的，不终止确认该金融资产；</w:t>
      </w:r>
      <w:r>
        <w:rPr>
          <w:spacing w:val="-10"/>
        </w:rPr>
        <w:t> </w:t>
      </w:r>
      <w:r>
        <w:rPr>
          <w:spacing w:val="-10"/>
        </w:rPr>
      </w:r>
      <w:r>
        <w:rPr>
          <w:spacing w:val="-2"/>
        </w:rPr>
        <w:t>既没有转移也没有保留金融资产所有权上几乎所有的风险和报酬的，则继续判断企业是否对该资产保留了</w:t>
      </w:r>
      <w:r>
        <w:rPr>
          <w:spacing w:val="-33"/>
        </w:rPr>
        <w:t> </w:t>
      </w:r>
      <w:r>
        <w:rPr>
          <w:spacing w:val="-33"/>
        </w:rPr>
      </w:r>
      <w:r>
        <w:rPr/>
        <w:t>控制，并根据前面各段所述的原则进行会计处理。</w:t>
      </w:r>
    </w:p>
    <w:p>
      <w:pPr>
        <w:pStyle w:val="BodyText"/>
        <w:spacing w:line="256" w:lineRule="auto"/>
        <w:ind w:left="575" w:right="0" w:hanging="168"/>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3"/>
        </w:rPr>
        <w:t> </w:t>
      </w:r>
      <w:r>
        <w:rPr/>
        <w:t>金融负债的终止确认</w:t>
      </w:r>
      <w:r>
        <w:rPr>
          <w:w w:val="100"/>
        </w:rPr>
        <w:t> </w:t>
      </w:r>
      <w:r>
        <w:rPr>
          <w:spacing w:val="-4"/>
        </w:rPr>
        <w:t>金融负债</w:t>
      </w:r>
      <w:r>
        <w:rPr>
          <w:rFonts w:ascii="Times New Roman" w:hAnsi="Times New Roman" w:cs="Times New Roman" w:eastAsia="Times New Roman" w:hint="default"/>
          <w:spacing w:val="-4"/>
        </w:rPr>
        <w:t>(</w:t>
      </w:r>
      <w:r>
        <w:rPr>
          <w:spacing w:val="-4"/>
        </w:rPr>
        <w:t>或其一部分</w:t>
      </w:r>
      <w:r>
        <w:rPr>
          <w:rFonts w:ascii="Times New Roman" w:hAnsi="Times New Roman" w:cs="Times New Roman" w:eastAsia="Times New Roman" w:hint="default"/>
          <w:spacing w:val="-4"/>
        </w:rPr>
        <w:t>)</w:t>
      </w:r>
      <w:r>
        <w:rPr>
          <w:spacing w:val="-4"/>
        </w:rPr>
        <w:t>的现时义务已经解除的，本集团终止确认该金融负债</w:t>
      </w:r>
      <w:r>
        <w:rPr>
          <w:rFonts w:ascii="Times New Roman" w:hAnsi="Times New Roman" w:cs="Times New Roman" w:eastAsia="Times New Roman" w:hint="default"/>
          <w:spacing w:val="-4"/>
        </w:rPr>
        <w:t>(</w:t>
      </w:r>
      <w:r>
        <w:rPr>
          <w:spacing w:val="-4"/>
        </w:rPr>
        <w:t>或该部分金融负债</w:t>
      </w:r>
      <w:r>
        <w:rPr>
          <w:rFonts w:ascii="Times New Roman" w:hAnsi="Times New Roman" w:cs="Times New Roman" w:eastAsia="Times New Roman" w:hint="default"/>
          <w:spacing w:val="-4"/>
        </w:rPr>
        <w:t>)</w:t>
      </w:r>
      <w:r>
        <w:rPr>
          <w:spacing w:val="-4"/>
        </w:rPr>
        <w:t>。本集</w:t>
      </w:r>
    </w:p>
    <w:p>
      <w:pPr>
        <w:pStyle w:val="BodyText"/>
        <w:spacing w:line="256" w:lineRule="auto" w:before="5"/>
        <w:ind w:right="1127"/>
        <w:jc w:val="both"/>
      </w:pPr>
      <w:r>
        <w:rPr>
          <w:spacing w:val="-2"/>
        </w:rPr>
        <w:t>团</w:t>
      </w:r>
      <w:r>
        <w:rPr>
          <w:rFonts w:ascii="Times New Roman" w:hAnsi="Times New Roman" w:cs="Times New Roman" w:eastAsia="Times New Roman" w:hint="default"/>
          <w:spacing w:val="-2"/>
        </w:rPr>
        <w:t>(</w:t>
      </w:r>
      <w:r>
        <w:rPr>
          <w:spacing w:val="-2"/>
        </w:rPr>
        <w:t>借入方</w:t>
      </w:r>
      <w:r>
        <w:rPr>
          <w:rFonts w:ascii="Times New Roman" w:hAnsi="Times New Roman" w:cs="Times New Roman" w:eastAsia="Times New Roman" w:hint="default"/>
          <w:spacing w:val="-2"/>
        </w:rPr>
        <w:t>)</w:t>
      </w:r>
      <w:r>
        <w:rPr>
          <w:spacing w:val="-2"/>
        </w:rPr>
        <w:t>与借出方签订协议，以承担新金融负债的方式替换原金融负债，且新金融负债与原金融负债的</w:t>
      </w:r>
      <w:r>
        <w:rPr>
          <w:spacing w:val="-15"/>
        </w:rPr>
        <w:t> </w:t>
      </w:r>
      <w:r>
        <w:rPr>
          <w:spacing w:val="-15"/>
        </w:rPr>
      </w:r>
      <w:r>
        <w:rPr>
          <w:spacing w:val="-4"/>
        </w:rPr>
        <w:t>合同条款实质上不同的，终止确认原金融负债，同时确认一项新金融负债。本集团对原金融负债</w:t>
      </w:r>
      <w:r>
        <w:rPr>
          <w:rFonts w:ascii="Times New Roman" w:hAnsi="Times New Roman" w:cs="Times New Roman" w:eastAsia="Times New Roman" w:hint="default"/>
          <w:spacing w:val="-4"/>
        </w:rPr>
        <w:t>(</w:t>
      </w:r>
      <w:r>
        <w:rPr>
          <w:spacing w:val="-4"/>
        </w:rPr>
        <w:t>或其一部</w:t>
      </w:r>
      <w:r>
        <w:rPr>
          <w:spacing w:val="-10"/>
        </w:rPr>
        <w:t> </w:t>
      </w:r>
      <w:r>
        <w:rPr>
          <w:spacing w:val="-10"/>
        </w:rPr>
      </w:r>
      <w:r>
        <w:rPr/>
        <w:t>分</w:t>
      </w:r>
      <w:r>
        <w:rPr>
          <w:rFonts w:ascii="Times New Roman" w:hAnsi="Times New Roman" w:cs="Times New Roman" w:eastAsia="Times New Roman" w:hint="default"/>
        </w:rPr>
        <w:t>)</w:t>
      </w:r>
      <w:r>
        <w:rPr/>
        <w:t>的合同条款作出实质性修改的，终止确认原金融负债，同时按照修改后的条款确认一项新金融负债。</w:t>
      </w:r>
    </w:p>
    <w:p>
      <w:pPr>
        <w:pStyle w:val="BodyText"/>
        <w:spacing w:line="256" w:lineRule="auto" w:before="5"/>
        <w:ind w:right="0" w:firstLine="422"/>
        <w:jc w:val="left"/>
      </w:pPr>
      <w:r>
        <w:rPr>
          <w:spacing w:val="-2"/>
        </w:rPr>
        <w:t>金融负债</w:t>
      </w:r>
      <w:r>
        <w:rPr>
          <w:rFonts w:ascii="Times New Roman" w:hAnsi="Times New Roman" w:cs="Times New Roman" w:eastAsia="Times New Roman" w:hint="default"/>
          <w:spacing w:val="-2"/>
        </w:rPr>
        <w:t>(</w:t>
      </w:r>
      <w:r>
        <w:rPr>
          <w:spacing w:val="-2"/>
        </w:rPr>
        <w:t>或其一部分</w:t>
      </w:r>
      <w:r>
        <w:rPr>
          <w:rFonts w:ascii="Times New Roman" w:hAnsi="Times New Roman" w:cs="Times New Roman" w:eastAsia="Times New Roman" w:hint="default"/>
          <w:spacing w:val="-2"/>
        </w:rPr>
        <w:t>)</w:t>
      </w:r>
      <w:r>
        <w:rPr>
          <w:spacing w:val="-2"/>
        </w:rPr>
        <w:t>终止确认的，本集团将其账面价值与支付的对价</w:t>
      </w:r>
      <w:r>
        <w:rPr>
          <w:rFonts w:ascii="Times New Roman" w:hAnsi="Times New Roman" w:cs="Times New Roman" w:eastAsia="Times New Roman" w:hint="default"/>
          <w:spacing w:val="-2"/>
        </w:rPr>
        <w:t>(</w:t>
      </w:r>
      <w:r>
        <w:rPr>
          <w:spacing w:val="-2"/>
        </w:rPr>
        <w:t>包括转出的非现金资产或承担</w:t>
      </w:r>
      <w:r>
        <w:rPr>
          <w:w w:val="100"/>
        </w:rPr>
        <w:t> </w:t>
      </w:r>
      <w:r>
        <w:rPr/>
        <w:t>的负债</w:t>
      </w:r>
      <w:r>
        <w:rPr>
          <w:rFonts w:ascii="Times New Roman" w:hAnsi="Times New Roman" w:cs="Times New Roman" w:eastAsia="Times New Roman" w:hint="default"/>
        </w:rPr>
        <w:t>)</w:t>
      </w:r>
      <w:r>
        <w:rPr/>
        <w:t>之间的差额，计入当期损益。</w:t>
      </w:r>
    </w:p>
    <w:p>
      <w:pPr>
        <w:pStyle w:val="BodyText"/>
        <w:spacing w:line="256" w:lineRule="auto" w:before="5"/>
        <w:ind w:left="575" w:right="0" w:hanging="168"/>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33"/>
        </w:rPr>
        <w:t> </w:t>
      </w:r>
      <w:r>
        <w:rPr/>
        <w:t>金融资产和金融负债的抵销</w:t>
      </w:r>
      <w:r>
        <w:rPr>
          <w:w w:val="100"/>
        </w:rPr>
        <w:t> </w:t>
      </w:r>
      <w:r>
        <w:rPr>
          <w:spacing w:val="-2"/>
        </w:rPr>
        <w:t>当本集团具有抵销已确认金额的金融资产和金融负债的法定权利，且该种法定权利是当前可执行的，</w:t>
      </w:r>
    </w:p>
    <w:p>
      <w:pPr>
        <w:pStyle w:val="BodyText"/>
        <w:spacing w:line="273" w:lineRule="auto" w:before="22"/>
        <w:ind w:right="1025"/>
        <w:jc w:val="both"/>
      </w:pPr>
      <w:r>
        <w:rPr>
          <w:spacing w:val="-2"/>
        </w:rPr>
        <w:t>同时本集团计划以净额结算或同时变现该金融资产和清偿该金融负债时，金融资产和金融负债以相互抵销</w:t>
      </w:r>
      <w:r>
        <w:rPr>
          <w:spacing w:val="-33"/>
        </w:rPr>
        <w:t> </w:t>
      </w:r>
      <w:r>
        <w:rPr>
          <w:spacing w:val="-33"/>
        </w:rPr>
      </w:r>
      <w:r>
        <w:rPr>
          <w:spacing w:val="-4"/>
        </w:rPr>
        <w:t>后的净额在资产负债表内列示。除此以外，金融资产和金融负债在资产负债表内分别列示，不予相互抵销。</w:t>
      </w:r>
    </w:p>
    <w:p>
      <w:pPr>
        <w:pStyle w:val="BodyText"/>
        <w:spacing w:line="256" w:lineRule="auto"/>
        <w:ind w:left="575" w:right="0" w:hanging="168"/>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33"/>
        </w:rPr>
        <w:t> </w:t>
      </w:r>
      <w:r>
        <w:rPr/>
        <w:t>金融资产和金融负债的公允价值确定方法</w:t>
      </w:r>
      <w:r>
        <w:rPr>
          <w:w w:val="100"/>
        </w:rPr>
        <w:t> </w:t>
      </w:r>
      <w:r>
        <w:rPr>
          <w:spacing w:val="-2"/>
        </w:rPr>
        <w:t>公允价值，是指市场参与者在计量日发生的有序交易中，出售一项资产所能收到或者转移一项负债所</w:t>
      </w:r>
    </w:p>
    <w:p>
      <w:pPr>
        <w:pStyle w:val="BodyText"/>
        <w:spacing w:line="273" w:lineRule="auto" w:before="22"/>
        <w:ind w:right="1124"/>
        <w:jc w:val="both"/>
      </w:pPr>
      <w:r>
        <w:rPr>
          <w:spacing w:val="-2"/>
        </w:rPr>
        <w:t>需支付的价格。金融工具存在活跃市场的，本集团采用活跃市场中的报价确定其公允价值。活跃市场中的</w:t>
      </w:r>
      <w:r>
        <w:rPr>
          <w:spacing w:val="-33"/>
        </w:rPr>
        <w:t> </w:t>
      </w:r>
      <w:r>
        <w:rPr>
          <w:spacing w:val="-33"/>
        </w:rPr>
      </w:r>
      <w:r>
        <w:rPr>
          <w:spacing w:val="-2"/>
        </w:rPr>
        <w:t>报价是指易于定期从交易所、经纪商、行业协会、定价服务机构等获得的价格，且代表了在公平交易中实</w:t>
      </w:r>
      <w:r>
        <w:rPr>
          <w:spacing w:val="-33"/>
        </w:rPr>
        <w:t> </w:t>
      </w:r>
      <w:r>
        <w:rPr>
          <w:spacing w:val="-33"/>
        </w:rPr>
      </w:r>
      <w:r>
        <w:rPr>
          <w:spacing w:val="-2"/>
        </w:rPr>
        <w:t>际发生的市场交易的价格。金融工具不存在活跃市场的，本集团采用估值技术确定其公允价值。估值技术</w:t>
      </w:r>
      <w:r>
        <w:rPr>
          <w:spacing w:val="-33"/>
        </w:rPr>
        <w:t> </w:t>
      </w:r>
      <w:r>
        <w:rPr>
          <w:spacing w:val="-33"/>
        </w:rPr>
      </w:r>
      <w:r>
        <w:rPr>
          <w:spacing w:val="-2"/>
        </w:rPr>
        <w:t>包括参考熟悉情况并自愿交易的各方最近进行的市场交易中使用的价格、参照实质上相同的其他金融工具</w:t>
      </w:r>
      <w:r>
        <w:rPr>
          <w:spacing w:val="-33"/>
        </w:rPr>
        <w:t> </w:t>
      </w:r>
      <w:r>
        <w:rPr>
          <w:spacing w:val="-33"/>
        </w:rPr>
      </w:r>
      <w:r>
        <w:rPr>
          <w:spacing w:val="-2"/>
        </w:rPr>
        <w:t>当前的公允价值、现金流量折现法和期权定价模型等。在估值时，本集团采用在当前情况下适用并且有足</w:t>
      </w:r>
      <w:r>
        <w:rPr>
          <w:spacing w:val="-33"/>
        </w:rPr>
        <w:t> </w:t>
      </w:r>
      <w:r>
        <w:rPr>
          <w:spacing w:val="-33"/>
        </w:rPr>
      </w:r>
      <w:r>
        <w:rPr>
          <w:spacing w:val="-2"/>
        </w:rPr>
        <w:t>够可利用数据和其他信息支持的估值技术，选择与市场参与者在相关资产或负债的交易中所考虑的资产或</w:t>
      </w:r>
      <w:r>
        <w:rPr>
          <w:spacing w:val="-33"/>
        </w:rPr>
        <w:t> </w:t>
      </w:r>
      <w:r>
        <w:rPr>
          <w:spacing w:val="-33"/>
        </w:rPr>
      </w:r>
      <w:r>
        <w:rPr>
          <w:spacing w:val="-2"/>
        </w:rPr>
        <w:t>负债特征相一致的输入值，并尽可能优先使用相关可观察输入值。在相关可观察输入值无法取得或取得不</w:t>
      </w:r>
      <w:r>
        <w:rPr>
          <w:spacing w:val="-33"/>
        </w:rPr>
        <w:t> </w:t>
      </w:r>
      <w:r>
        <w:rPr>
          <w:spacing w:val="-33"/>
        </w:rPr>
      </w:r>
      <w:r>
        <w:rPr/>
        <w:t>切实可行的情况下，使用不可输入值。</w:t>
      </w:r>
    </w:p>
    <w:p>
      <w:pPr>
        <w:pStyle w:val="BodyText"/>
        <w:spacing w:line="256" w:lineRule="auto" w:before="8"/>
        <w:ind w:left="575" w:right="1127" w:hanging="168"/>
        <w:jc w:val="left"/>
      </w:pPr>
      <w:r>
        <w:rPr>
          <w:rFonts w:ascii="Times New Roman" w:hAnsi="Times New Roman" w:cs="Times New Roman" w:eastAsia="Times New Roman" w:hint="default"/>
        </w:rPr>
        <w:t>7.</w:t>
      </w:r>
      <w:r>
        <w:rPr>
          <w:rFonts w:ascii="Times New Roman" w:hAnsi="Times New Roman" w:cs="Times New Roman" w:eastAsia="Times New Roman" w:hint="default"/>
          <w:spacing w:val="33"/>
        </w:rPr>
        <w:t> </w:t>
      </w:r>
      <w:r>
        <w:rPr/>
        <w:t>权益工具</w:t>
      </w:r>
      <w:r>
        <w:rPr>
          <w:w w:val="100"/>
        </w:rPr>
        <w:t> </w:t>
      </w:r>
      <w:r>
        <w:rPr>
          <w:spacing w:val="-2"/>
        </w:rPr>
        <w:t>权益工具是指能证明拥有本集团在扣除所有负债后的资产中的剩余权益的合同。本集团发行</w:t>
      </w:r>
      <w:r>
        <w:rPr>
          <w:rFonts w:ascii="Times New Roman" w:hAnsi="Times New Roman" w:cs="Times New Roman" w:eastAsia="Times New Roman" w:hint="default"/>
          <w:spacing w:val="-2"/>
        </w:rPr>
        <w:t>(</w:t>
      </w:r>
      <w:r>
        <w:rPr>
          <w:spacing w:val="-2"/>
        </w:rPr>
        <w:t>含再融</w:t>
      </w:r>
    </w:p>
    <w:p>
      <w:pPr>
        <w:pStyle w:val="BodyText"/>
        <w:spacing w:line="256" w:lineRule="auto" w:before="5"/>
        <w:ind w:right="1126"/>
        <w:jc w:val="both"/>
      </w:pPr>
      <w:r>
        <w:rPr>
          <w:spacing w:val="-4"/>
        </w:rPr>
        <w:t>资</w:t>
      </w:r>
      <w:r>
        <w:rPr>
          <w:rFonts w:ascii="Times New Roman" w:hAnsi="Times New Roman" w:cs="Times New Roman" w:eastAsia="Times New Roman" w:hint="default"/>
          <w:spacing w:val="-4"/>
        </w:rPr>
        <w:t>)</w:t>
      </w:r>
      <w:r>
        <w:rPr>
          <w:spacing w:val="-4"/>
        </w:rPr>
        <w:t>、回购、出售或注销权益工具作为权益的变动处理，与权益性交易相关的交易费用从权益中扣减。本集</w:t>
      </w:r>
      <w:r>
        <w:rPr>
          <w:spacing w:val="-10"/>
        </w:rPr>
        <w:t> </w:t>
      </w:r>
      <w:r>
        <w:rPr>
          <w:spacing w:val="-10"/>
        </w:rPr>
      </w:r>
      <w:r>
        <w:rPr/>
        <w:t>团不确认权益工具的公允价值变动。</w:t>
      </w:r>
    </w:p>
    <w:p>
      <w:pPr>
        <w:pStyle w:val="BodyText"/>
        <w:spacing w:line="259" w:lineRule="auto" w:before="22"/>
        <w:ind w:right="1127" w:firstLine="422"/>
        <w:jc w:val="left"/>
      </w:pPr>
      <w:r>
        <w:rPr>
          <w:spacing w:val="-1"/>
        </w:rPr>
        <w:t>本集团权益工具在存续期间分派股利</w:t>
      </w:r>
      <w:r>
        <w:rPr>
          <w:rFonts w:ascii="Times New Roman" w:hAnsi="Times New Roman" w:cs="Times New Roman" w:eastAsia="Times New Roman" w:hint="default"/>
          <w:spacing w:val="-1"/>
        </w:rPr>
        <w:t>(</w:t>
      </w:r>
      <w:r>
        <w:rPr>
          <w:spacing w:val="-1"/>
        </w:rPr>
        <w:t>含分类为权益工具的工具所产生的</w:t>
      </w:r>
      <w:r>
        <w:rPr>
          <w:rFonts w:ascii="Times New Roman" w:hAnsi="Times New Roman" w:cs="Times New Roman" w:eastAsia="Times New Roman" w:hint="default"/>
          <w:spacing w:val="-1"/>
        </w:rPr>
        <w:t>“</w:t>
      </w:r>
      <w:r>
        <w:rPr>
          <w:spacing w:val="-1"/>
        </w:rPr>
        <w:t>利息</w:t>
      </w:r>
      <w:r>
        <w:rPr>
          <w:rFonts w:ascii="Times New Roman" w:hAnsi="Times New Roman" w:cs="Times New Roman" w:eastAsia="Times New Roman" w:hint="default"/>
          <w:spacing w:val="-1"/>
        </w:rPr>
        <w:t>”)</w:t>
      </w:r>
      <w:r>
        <w:rPr>
          <w:spacing w:val="-1"/>
        </w:rPr>
        <w:t>的，作为利润分配处</w:t>
      </w:r>
      <w:r>
        <w:rPr>
          <w:w w:val="100"/>
        </w:rPr>
        <w:t> </w:t>
      </w:r>
      <w:r>
        <w:rPr/>
        <w:t>理。</w:t>
      </w:r>
    </w:p>
    <w:p>
      <w:pPr>
        <w:pStyle w:val="BodyText"/>
        <w:spacing w:line="590" w:lineRule="atLeast" w:before="23"/>
        <w:ind w:left="575" w:right="0" w:hanging="423"/>
        <w:jc w:val="left"/>
      </w:pPr>
      <w:bookmarkStart w:name="11、 金融资产减值" w:id="182"/>
      <w:bookmarkEnd w:id="182"/>
      <w:r>
        <w:rPr/>
      </w:r>
      <w:r>
        <w:rPr>
          <w:rFonts w:ascii="Times New Roman" w:hAnsi="Times New Roman" w:cs="Times New Roman" w:eastAsia="Times New Roman" w:hint="default"/>
          <w:b/>
          <w:bCs/>
        </w:rPr>
        <w:t>11</w:t>
      </w:r>
      <w:r>
        <w:rPr>
          <w:rFonts w:ascii="宋体" w:hAnsi="宋体" w:cs="宋体" w:eastAsia="宋体" w:hint="default"/>
          <w:b/>
          <w:bCs/>
        </w:rPr>
        <w:t>、 金融资产减值</w:t>
      </w:r>
      <w:r>
        <w:rPr>
          <w:rFonts w:ascii="宋体" w:hAnsi="宋体" w:cs="宋体" w:eastAsia="宋体" w:hint="default"/>
          <w:b/>
          <w:bCs/>
          <w:spacing w:val="-103"/>
        </w:rPr>
        <w:t> </w:t>
      </w:r>
      <w:r>
        <w:rPr>
          <w:rFonts w:ascii="宋体" w:hAnsi="宋体" w:cs="宋体" w:eastAsia="宋体" w:hint="default"/>
          <w:b/>
          <w:bCs/>
          <w:spacing w:val="-103"/>
        </w:rPr>
      </w:r>
      <w:r>
        <w:rPr>
          <w:spacing w:val="-2"/>
        </w:rPr>
        <w:t>本集团需确认减值损失的金融资产系以摊余成本计量的金融资产、以公允价值计量且其变动计入其他</w:t>
      </w:r>
    </w:p>
    <w:p>
      <w:pPr>
        <w:pStyle w:val="BodyText"/>
        <w:spacing w:line="273" w:lineRule="auto" w:before="37"/>
        <w:ind w:right="1126"/>
        <w:jc w:val="both"/>
      </w:pPr>
      <w:r>
        <w:rPr>
          <w:spacing w:val="-2"/>
        </w:rPr>
        <w:t>综合收益的债务工具投资、租赁应收款，主要包括应收票据、应收账款、其他应收款、债权投资、其他债</w:t>
      </w:r>
      <w:r>
        <w:rPr>
          <w:spacing w:val="-33"/>
        </w:rPr>
        <w:t> </w:t>
      </w:r>
      <w:r>
        <w:rPr>
          <w:spacing w:val="-33"/>
        </w:rPr>
      </w:r>
      <w:r>
        <w:rPr>
          <w:spacing w:val="-2"/>
        </w:rPr>
        <w:t>权投资、长期应收款等。此外，对部分财务担保合同，也按照本部分所述会计政策计提减值准备和确认信</w:t>
      </w:r>
      <w:r>
        <w:rPr>
          <w:spacing w:val="-33"/>
        </w:rPr>
        <w:t> </w:t>
      </w:r>
      <w:r>
        <w:rPr>
          <w:spacing w:val="-33"/>
        </w:rPr>
      </w:r>
      <w:r>
        <w:rPr/>
        <w:t>用减值损失。</w:t>
      </w:r>
    </w:p>
    <w:p>
      <w:pPr>
        <w:pStyle w:val="BodyText"/>
        <w:spacing w:line="240" w:lineRule="auto"/>
        <w:ind w:right="0"/>
        <w:jc w:val="both"/>
      </w:pPr>
      <w:r>
        <w:rPr>
          <w:rFonts w:ascii="宋体" w:hAnsi="宋体" w:cs="宋体" w:eastAsia="宋体" w:hint="default"/>
        </w:rPr>
        <w:t>1.</w:t>
      </w:r>
      <w:r>
        <w:rPr>
          <w:rFonts w:ascii="宋体" w:hAnsi="宋体" w:cs="宋体" w:eastAsia="宋体" w:hint="default"/>
          <w:spacing w:val="50"/>
        </w:rPr>
        <w:t> </w:t>
      </w:r>
      <w:r>
        <w:rPr/>
        <w:t>减值准备的确认方法</w:t>
      </w:r>
    </w:p>
    <w:p>
      <w:pPr>
        <w:pStyle w:val="BodyText"/>
        <w:spacing w:line="256" w:lineRule="auto" w:before="37"/>
        <w:ind w:left="513" w:right="1122" w:firstLine="422"/>
        <w:jc w:val="both"/>
      </w:pPr>
      <w:r>
        <w:rPr>
          <w:spacing w:val="-2"/>
        </w:rPr>
        <w:t>本集团以预期信用损失为基础，对上述各项目按照其适用的预期信用损失计量方法</w:t>
      </w:r>
      <w:r>
        <w:rPr>
          <w:rFonts w:ascii="Times New Roman" w:hAnsi="Times New Roman" w:cs="Times New Roman" w:eastAsia="Times New Roman" w:hint="default"/>
          <w:spacing w:val="-2"/>
        </w:rPr>
        <w:t>(</w:t>
      </w:r>
      <w:r>
        <w:rPr>
          <w:spacing w:val="-2"/>
        </w:rPr>
        <w:t>一般方法或简</w:t>
      </w:r>
      <w:r>
        <w:rPr>
          <w:w w:val="100"/>
        </w:rPr>
        <w:t> </w:t>
      </w:r>
      <w:r>
        <w:rPr/>
        <w:t>化方法</w:t>
      </w:r>
      <w:r>
        <w:rPr>
          <w:rFonts w:ascii="Times New Roman" w:hAnsi="Times New Roman" w:cs="Times New Roman" w:eastAsia="Times New Roman" w:hint="default"/>
        </w:rPr>
        <w:t>)</w:t>
      </w:r>
      <w:r>
        <w:rPr/>
        <w:t>计提减值准备并确认信用减值损失。</w:t>
      </w:r>
    </w:p>
    <w:p>
      <w:pPr>
        <w:pStyle w:val="BodyText"/>
        <w:spacing w:line="273" w:lineRule="auto" w:before="5"/>
        <w:ind w:left="513" w:right="1120" w:firstLine="422"/>
        <w:jc w:val="both"/>
      </w:pPr>
      <w:r>
        <w:rPr/>
        <w:t>信用损失，是指本集团按照原实际利率折现的、根据合同应收的所有合同现金流量与预期收取的</w:t>
      </w:r>
      <w:r>
        <w:rPr>
          <w:w w:val="100"/>
        </w:rPr>
        <w:t> </w:t>
      </w:r>
      <w:r>
        <w:rPr>
          <w:spacing w:val="-1"/>
        </w:rPr>
        <w:t>所有现金流量之间的差额，即全部现金短缺的现值。其中，对于购买或源生的已发生信用减值的金融</w:t>
      </w:r>
      <w:r>
        <w:rPr>
          <w:spacing w:val="-24"/>
        </w:rPr>
        <w:t> </w:t>
      </w:r>
      <w:r>
        <w:rPr>
          <w:spacing w:val="-24"/>
        </w:rPr>
      </w:r>
      <w:r>
        <w:rPr/>
        <w:t>资产，本集团按照该金融资产经信用调整的实际利率折现。</w:t>
      </w:r>
    </w:p>
    <w:p>
      <w:pPr>
        <w:spacing w:after="0" w:line="273" w:lineRule="auto"/>
        <w:jc w:val="both"/>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BodyText"/>
        <w:spacing w:line="261" w:lineRule="auto" w:before="36"/>
        <w:ind w:left="513" w:right="1089" w:firstLine="422"/>
        <w:jc w:val="both"/>
      </w:pPr>
      <w:r>
        <w:rPr>
          <w:spacing w:val="-2"/>
        </w:rPr>
        <w:t>预期信用损失计量的一般方法是指，本集团在每个资产负债表日评估金融资产</w:t>
      </w:r>
      <w:r>
        <w:rPr>
          <w:rFonts w:ascii="Times New Roman" w:hAnsi="Times New Roman" w:cs="Times New Roman" w:eastAsia="Times New Roman" w:hint="default"/>
          <w:spacing w:val="-2"/>
        </w:rPr>
        <w:t>(</w:t>
      </w:r>
      <w:r>
        <w:rPr>
          <w:spacing w:val="-2"/>
        </w:rPr>
        <w:t>含其他适用项目，</w:t>
      </w:r>
      <w:r>
        <w:rPr>
          <w:w w:val="100"/>
        </w:rPr>
        <w:t> </w:t>
      </w:r>
      <w:r>
        <w:rPr>
          <w:spacing w:val="-2"/>
        </w:rPr>
        <w:t>下同</w:t>
      </w:r>
      <w:r>
        <w:rPr>
          <w:rFonts w:ascii="Times New Roman" w:hAnsi="Times New Roman" w:cs="Times New Roman" w:eastAsia="Times New Roman" w:hint="default"/>
          <w:spacing w:val="-2"/>
        </w:rPr>
        <w:t>)</w:t>
      </w:r>
      <w:r>
        <w:rPr>
          <w:spacing w:val="-2"/>
        </w:rPr>
        <w:t>的信用风险自初始确认后是否已经显著增加，如果信用风险自初始确认后已显著增加，本集团按</w:t>
      </w:r>
      <w:r>
        <w:rPr>
          <w:spacing w:val="-51"/>
        </w:rPr>
        <w:t> </w:t>
      </w:r>
      <w:r>
        <w:rPr>
          <w:spacing w:val="-51"/>
        </w:rPr>
      </w:r>
      <w:r>
        <w:rPr/>
        <w:t>照相当于整个存续期内预期信用损失的金额计量损失准备；如果信用风险自初始确认后未显著增加，</w:t>
      </w:r>
      <w:r>
        <w:rPr>
          <w:spacing w:val="-66"/>
        </w:rPr>
        <w:t> </w:t>
      </w:r>
      <w:r>
        <w:rPr>
          <w:spacing w:val="-66"/>
        </w:rPr>
      </w:r>
      <w:r>
        <w:rPr/>
        <w:t>本集团按照相当于未来</w:t>
      </w:r>
      <w:r>
        <w:rPr>
          <w:rFonts w:ascii="Times New Roman" w:hAnsi="Times New Roman" w:cs="Times New Roman" w:eastAsia="Times New Roman" w:hint="default"/>
        </w:rPr>
        <w:t>12</w:t>
      </w:r>
      <w:r>
        <w:rPr/>
        <w:t>个月内预期信用损失的金额计量损失准备。本集团在评估预期信用损失时，</w:t>
      </w:r>
      <w:r>
        <w:rPr>
          <w:spacing w:val="-68"/>
        </w:rPr>
        <w:t> </w:t>
      </w:r>
      <w:r>
        <w:rPr>
          <w:spacing w:val="-68"/>
        </w:rPr>
      </w:r>
      <w:r>
        <w:rPr/>
        <w:t>考虑所有合理且有依据的信息，包括前瞻性信息。</w:t>
      </w:r>
    </w:p>
    <w:p>
      <w:pPr>
        <w:pStyle w:val="BodyText"/>
        <w:spacing w:line="261" w:lineRule="auto" w:before="18"/>
        <w:ind w:left="513" w:right="1120" w:firstLine="422"/>
        <w:jc w:val="both"/>
      </w:pPr>
      <w:r>
        <w:rPr/>
        <w:t>对于在资产负债表日具有较低信用风险的金融工具，本集团假设其信用风险自初始确认后并未显</w:t>
      </w:r>
      <w:r>
        <w:rPr>
          <w:w w:val="100"/>
        </w:rPr>
        <w:t> </w:t>
      </w:r>
      <w:r>
        <w:rPr/>
        <w:t>著增加，选择按照未来</w:t>
      </w:r>
      <w:r>
        <w:rPr>
          <w:spacing w:val="-6"/>
        </w:rPr>
        <w:t> </w:t>
      </w:r>
      <w:r>
        <w:rPr>
          <w:rFonts w:ascii="Times New Roman" w:hAnsi="Times New Roman" w:cs="Times New Roman" w:eastAsia="Times New Roman" w:hint="default"/>
        </w:rPr>
        <w:t>12</w:t>
      </w:r>
      <w:r>
        <w:rPr>
          <w:rFonts w:ascii="Times New Roman" w:hAnsi="Times New Roman" w:cs="Times New Roman" w:eastAsia="Times New Roman" w:hint="default"/>
          <w:spacing w:val="40"/>
        </w:rPr>
        <w:t> </w:t>
      </w:r>
      <w:r>
        <w:rPr/>
        <w:t>个月内的预期信用损失计量损失准备</w:t>
      </w:r>
      <w:r>
        <w:rPr>
          <w:rFonts w:ascii="Times New Roman" w:hAnsi="Times New Roman" w:cs="Times New Roman" w:eastAsia="Times New Roman" w:hint="default"/>
        </w:rPr>
        <w:t>/</w:t>
      </w:r>
      <w:r>
        <w:rPr/>
        <w:t>不选择简化处理方法，依据其信用风</w:t>
      </w:r>
      <w:r>
        <w:rPr>
          <w:spacing w:val="-103"/>
        </w:rPr>
        <w:t> </w:t>
      </w:r>
      <w:r>
        <w:rPr>
          <w:spacing w:val="-103"/>
        </w:rPr>
      </w:r>
      <w:r>
        <w:rPr>
          <w:spacing w:val="-1"/>
        </w:rPr>
        <w:t>险自初始确认后是否已显著增加，而采用未来</w:t>
      </w:r>
      <w:r>
        <w:rPr>
          <w:rFonts w:ascii="Times New Roman" w:hAnsi="Times New Roman" w:cs="Times New Roman" w:eastAsia="Times New Roman" w:hint="default"/>
          <w:spacing w:val="-1"/>
        </w:rPr>
        <w:t>12</w:t>
      </w:r>
      <w:r>
        <w:rPr>
          <w:spacing w:val="-1"/>
        </w:rPr>
        <w:t>月内或者整个存续期内预期信用损失金额为基础计量</w:t>
      </w:r>
      <w:r>
        <w:rPr>
          <w:spacing w:val="-21"/>
        </w:rPr>
        <w:t> </w:t>
      </w:r>
      <w:r>
        <w:rPr>
          <w:spacing w:val="-21"/>
        </w:rPr>
      </w:r>
      <w:r>
        <w:rPr/>
        <w:t>损失准备。</w:t>
      </w:r>
    </w:p>
    <w:p>
      <w:pPr>
        <w:pStyle w:val="BodyText"/>
        <w:spacing w:line="273" w:lineRule="auto" w:before="18"/>
        <w:ind w:left="936" w:right="0" w:hanging="783"/>
        <w:jc w:val="left"/>
      </w:pPr>
      <w:r>
        <w:rPr>
          <w:rFonts w:ascii="宋体" w:hAnsi="宋体" w:cs="宋体" w:eastAsia="宋体" w:hint="default"/>
        </w:rPr>
        <w:t>1.</w:t>
      </w:r>
      <w:r>
        <w:rPr>
          <w:rFonts w:ascii="宋体" w:hAnsi="宋体" w:cs="宋体" w:eastAsia="宋体" w:hint="default"/>
          <w:spacing w:val="43"/>
        </w:rPr>
        <w:t> </w:t>
      </w:r>
      <w:r>
        <w:rPr/>
        <w:t>信用风险自初始确认后是否显著增加的判断标准</w:t>
      </w:r>
      <w:r>
        <w:rPr>
          <w:spacing w:val="-99"/>
        </w:rPr>
        <w:t> </w:t>
      </w:r>
      <w:r>
        <w:rPr>
          <w:spacing w:val="-99"/>
        </w:rPr>
      </w:r>
      <w:r>
        <w:rPr/>
        <w:t>如果某项金融资产在资产负债表日确定的预计存续期内的违约概率显著高于在初始确认时确定的</w:t>
      </w:r>
    </w:p>
    <w:p>
      <w:pPr>
        <w:pStyle w:val="BodyText"/>
        <w:spacing w:line="264" w:lineRule="auto"/>
        <w:ind w:left="513" w:right="1130"/>
        <w:jc w:val="both"/>
      </w:pPr>
      <w:r>
        <w:rPr>
          <w:spacing w:val="-1"/>
        </w:rPr>
        <w:t>预计存续期内的违约概率，则表明该项金融资产的信用风险显著增加。除特殊情况外，本集团采用未</w:t>
      </w:r>
      <w:r>
        <w:rPr>
          <w:spacing w:val="-24"/>
        </w:rPr>
        <w:t> </w:t>
      </w:r>
      <w:r>
        <w:rPr>
          <w:spacing w:val="-24"/>
        </w:rPr>
      </w:r>
      <w:r>
        <w:rPr>
          <w:spacing w:val="-1"/>
        </w:rPr>
        <w:t>来</w:t>
      </w:r>
      <w:r>
        <w:rPr>
          <w:rFonts w:ascii="Times New Roman" w:hAnsi="Times New Roman" w:cs="Times New Roman" w:eastAsia="Times New Roman" w:hint="default"/>
          <w:spacing w:val="-1"/>
        </w:rPr>
        <w:t>12</w:t>
      </w:r>
      <w:r>
        <w:rPr>
          <w:spacing w:val="-1"/>
        </w:rPr>
        <w:t>个月内发生的违约风险的变化作为整个存续期内发生违约风险变化的合理估计，来确定自初始确</w:t>
      </w:r>
      <w:r>
        <w:rPr>
          <w:spacing w:val="-23"/>
        </w:rPr>
        <w:t> </w:t>
      </w:r>
      <w:r>
        <w:rPr>
          <w:spacing w:val="-23"/>
        </w:rPr>
      </w:r>
      <w:r>
        <w:rPr/>
        <w:t>认后信用风险是否显著增加。</w:t>
      </w:r>
    </w:p>
    <w:p>
      <w:pPr>
        <w:pStyle w:val="BodyText"/>
        <w:spacing w:line="273" w:lineRule="auto" w:before="16"/>
        <w:ind w:left="936" w:right="0" w:hanging="783"/>
        <w:jc w:val="left"/>
      </w:pPr>
      <w:r>
        <w:rPr>
          <w:rFonts w:ascii="宋体" w:hAnsi="宋体" w:cs="宋体" w:eastAsia="宋体" w:hint="default"/>
        </w:rPr>
        <w:t>1.</w:t>
      </w:r>
      <w:r>
        <w:rPr>
          <w:rFonts w:ascii="宋体" w:hAnsi="宋体" w:cs="宋体" w:eastAsia="宋体" w:hint="default"/>
          <w:spacing w:val="43"/>
        </w:rPr>
        <w:t> </w:t>
      </w:r>
      <w:r>
        <w:rPr/>
        <w:t>以组合为基础评估预期信用风险的组合方法</w:t>
      </w:r>
      <w:r>
        <w:rPr>
          <w:spacing w:val="-102"/>
        </w:rPr>
        <w:t> </w:t>
      </w:r>
      <w:r>
        <w:rPr>
          <w:spacing w:val="-102"/>
        </w:rPr>
      </w:r>
      <w:r>
        <w:rPr/>
        <w:t>本集团对信用风险显著不同的金融资产单项评价信用风险，如：应收关联方款项；与对方存在争</w:t>
      </w:r>
    </w:p>
    <w:p>
      <w:pPr>
        <w:pStyle w:val="BodyText"/>
        <w:spacing w:line="273" w:lineRule="auto"/>
        <w:ind w:left="936" w:right="0" w:hanging="423"/>
        <w:jc w:val="left"/>
      </w:pPr>
      <w:r>
        <w:rPr>
          <w:spacing w:val="-2"/>
        </w:rPr>
        <w:t>议或涉及诉讼、仲裁的应收款项；已有明显迹象表明债务人很可能无法履行还款义务的应收款项等。</w:t>
      </w:r>
      <w:r>
        <w:rPr>
          <w:spacing w:val="-15"/>
        </w:rPr>
        <w:t> </w:t>
      </w:r>
      <w:r>
        <w:rPr>
          <w:spacing w:val="-15"/>
        </w:rPr>
      </w:r>
      <w:r>
        <w:rPr>
          <w:spacing w:val="-2"/>
        </w:rPr>
        <w:t>除了单项评估信用风险的金融资产外，本集团基于共同风险特征将金融资产划分为不同的组别，</w:t>
      </w:r>
    </w:p>
    <w:p>
      <w:pPr>
        <w:pStyle w:val="BodyText"/>
        <w:spacing w:line="273" w:lineRule="auto"/>
        <w:ind w:right="7309" w:firstLine="360"/>
        <w:jc w:val="left"/>
      </w:pPr>
      <w:r>
        <w:rPr>
          <w:spacing w:val="-2"/>
        </w:rPr>
        <w:t>在组合的基础上评估信用风险。</w:t>
      </w:r>
      <w:r>
        <w:rPr>
          <w:w w:val="100"/>
        </w:rPr>
        <w:t> </w:t>
      </w:r>
      <w:r>
        <w:rPr>
          <w:rFonts w:ascii="宋体" w:hAnsi="宋体" w:cs="宋体" w:eastAsia="宋体" w:hint="default"/>
        </w:rPr>
        <w:t>1.</w:t>
      </w:r>
      <w:r>
        <w:rPr>
          <w:rFonts w:ascii="宋体" w:hAnsi="宋体" w:cs="宋体" w:eastAsia="宋体" w:hint="default"/>
          <w:spacing w:val="49"/>
        </w:rPr>
        <w:t> </w:t>
      </w:r>
      <w:r>
        <w:rPr/>
        <w:t>金融资产减值的会计处理方法</w:t>
      </w:r>
    </w:p>
    <w:p>
      <w:pPr>
        <w:pStyle w:val="BodyText"/>
        <w:spacing w:line="273" w:lineRule="auto"/>
        <w:ind w:left="513" w:right="1164" w:firstLine="422"/>
        <w:jc w:val="both"/>
      </w:pPr>
      <w:r>
        <w:rPr>
          <w:spacing w:val="-2"/>
        </w:rPr>
        <w:t>期末，本集团计算各类金融资产的预计信用损失，如果该预计信用损失大于其当前减值准备的账</w:t>
      </w:r>
      <w:r>
        <w:rPr>
          <w:w w:val="100"/>
        </w:rPr>
        <w:t> </w:t>
      </w:r>
      <w:r>
        <w:rPr>
          <w:spacing w:val="-2"/>
        </w:rPr>
        <w:t>面金额，将其差额确认为减值损失；如果小于当前减值准备的账面金额，则将差额确认为减值利得。</w:t>
      </w:r>
    </w:p>
    <w:p>
      <w:pPr>
        <w:pStyle w:val="BodyText"/>
        <w:spacing w:line="240" w:lineRule="auto"/>
        <w:ind w:right="0"/>
        <w:jc w:val="left"/>
      </w:pPr>
      <w:r>
        <w:rPr>
          <w:rFonts w:ascii="宋体" w:hAnsi="宋体" w:cs="宋体" w:eastAsia="宋体" w:hint="default"/>
        </w:rPr>
        <w:t>1.</w:t>
      </w:r>
      <w:r>
        <w:rPr>
          <w:rFonts w:ascii="宋体" w:hAnsi="宋体" w:cs="宋体" w:eastAsia="宋体" w:hint="default"/>
          <w:spacing w:val="47"/>
        </w:rPr>
        <w:t> </w:t>
      </w:r>
      <w:r>
        <w:rPr/>
        <w:t>各类金融资产信用损失的确定方法</w:t>
      </w:r>
    </w:p>
    <w:p>
      <w:pPr>
        <w:pStyle w:val="BodyText"/>
        <w:spacing w:line="256" w:lineRule="auto" w:before="37"/>
        <w:ind w:left="575" w:right="1126" w:hanging="82"/>
        <w:jc w:val="both"/>
      </w:pPr>
      <w:r>
        <w:rPr/>
        <w:t>（</w:t>
      </w:r>
      <w:r>
        <w:rPr>
          <w:rFonts w:ascii="Times New Roman" w:hAnsi="Times New Roman" w:cs="Times New Roman" w:eastAsia="Times New Roman" w:hint="default"/>
        </w:rPr>
        <w:t>1</w:t>
      </w:r>
      <w:r>
        <w:rPr/>
        <w:t>）应收票据</w:t>
      </w:r>
      <w:r>
        <w:rPr>
          <w:w w:val="100"/>
        </w:rPr>
        <w:t> </w:t>
      </w:r>
      <w:r>
        <w:rPr>
          <w:spacing w:val="-2"/>
        </w:rPr>
        <w:t>本集团对于应收票据按照相当于整个存续期内的预期信用损失金额计量损失准备。基于应收票据的信</w:t>
      </w:r>
    </w:p>
    <w:p>
      <w:pPr>
        <w:pStyle w:val="BodyText"/>
        <w:spacing w:line="240" w:lineRule="auto" w:before="23"/>
        <w:ind w:right="0"/>
        <w:jc w:val="left"/>
      </w:pPr>
      <w:r>
        <w:rPr/>
        <w:t>用风险特征，将其划分为不同组合：</w:t>
      </w:r>
    </w:p>
    <w:p>
      <w:pPr>
        <w:spacing w:line="240" w:lineRule="auto" w:before="13"/>
        <w:rPr>
          <w:rFonts w:ascii="宋体" w:hAnsi="宋体" w:cs="宋体" w:eastAsia="宋体" w:hint="default"/>
          <w:sz w:val="3"/>
          <w:szCs w:val="3"/>
        </w:rPr>
      </w:pPr>
    </w:p>
    <w:tbl>
      <w:tblPr>
        <w:tblW w:w="0" w:type="auto"/>
        <w:jc w:val="left"/>
        <w:tblInd w:w="143" w:type="dxa"/>
        <w:tblLayout w:type="fixed"/>
        <w:tblCellMar>
          <w:top w:w="0" w:type="dxa"/>
          <w:left w:w="0" w:type="dxa"/>
          <w:bottom w:w="0" w:type="dxa"/>
          <w:right w:w="0" w:type="dxa"/>
        </w:tblCellMar>
        <w:tblLook w:val="01E0"/>
      </w:tblPr>
      <w:tblGrid>
        <w:gridCol w:w="1786"/>
        <w:gridCol w:w="7349"/>
      </w:tblGrid>
      <w:tr>
        <w:trPr>
          <w:trHeight w:val="353" w:hRule="exact"/>
        </w:trPr>
        <w:tc>
          <w:tcPr>
            <w:tcW w:w="1786"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590"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70"/>
                <w:sz w:val="21"/>
                <w:szCs w:val="21"/>
              </w:rPr>
              <w:t> </w:t>
            </w:r>
            <w:r>
              <w:rPr>
                <w:rFonts w:ascii="宋体" w:hAnsi="宋体" w:cs="宋体" w:eastAsia="宋体" w:hint="default"/>
                <w:sz w:val="21"/>
                <w:szCs w:val="21"/>
              </w:rPr>
              <w:t>目</w:t>
            </w:r>
          </w:p>
        </w:tc>
        <w:tc>
          <w:tcPr>
            <w:tcW w:w="7349" w:type="dxa"/>
            <w:tcBorders>
              <w:top w:val="single" w:sz="6" w:space="0" w:color="000000"/>
              <w:left w:val="single" w:sz="6" w:space="0" w:color="000000"/>
              <w:bottom w:val="single" w:sz="12" w:space="0" w:color="000000"/>
              <w:right w:val="nil" w:sz="6" w:space="0" w:color="auto"/>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355" w:hRule="exact"/>
        </w:trPr>
        <w:tc>
          <w:tcPr>
            <w:tcW w:w="1786"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7349"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承兑人为信用风险较小的银行</w:t>
            </w:r>
          </w:p>
        </w:tc>
      </w:tr>
      <w:tr>
        <w:trPr>
          <w:trHeight w:val="350" w:hRule="exact"/>
        </w:trPr>
        <w:tc>
          <w:tcPr>
            <w:tcW w:w="178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7349" w:type="dxa"/>
            <w:tcBorders>
              <w:top w:val="single" w:sz="12" w:space="0" w:color="000000"/>
              <w:left w:val="single" w:sz="6" w:space="0" w:color="000000"/>
              <w:bottom w:val="single" w:sz="12" w:space="0" w:color="000000"/>
              <w:right w:val="nil" w:sz="6" w:space="0" w:color="auto"/>
            </w:tcBorders>
          </w:tcPr>
          <w:p>
            <w:pPr>
              <w:pStyle w:val="TableParagraph"/>
              <w:spacing w:line="276" w:lineRule="exact"/>
              <w:ind w:left="4" w:right="0"/>
              <w:jc w:val="left"/>
              <w:rPr>
                <w:rFonts w:ascii="宋体" w:hAnsi="宋体" w:cs="宋体" w:eastAsia="宋体" w:hint="default"/>
                <w:sz w:val="21"/>
                <w:szCs w:val="21"/>
              </w:rPr>
            </w:pPr>
            <w:r>
              <w:rPr>
                <w:rFonts w:ascii="宋体" w:hAnsi="宋体" w:cs="宋体" w:eastAsia="宋体" w:hint="default"/>
                <w:sz w:val="21"/>
                <w:szCs w:val="21"/>
              </w:rPr>
              <w:t>与</w:t>
            </w:r>
            <w:r>
              <w:rPr>
                <w:rFonts w:ascii="Times New Roman" w:hAnsi="Times New Roman" w:cs="Times New Roman" w:eastAsia="Times New Roman" w:hint="default"/>
                <w:sz w:val="21"/>
                <w:szCs w:val="21"/>
              </w:rPr>
              <w:t>“</w:t>
            </w:r>
            <w:r>
              <w:rPr>
                <w:rFonts w:ascii="宋体" w:hAnsi="宋体" w:cs="宋体" w:eastAsia="宋体" w:hint="default"/>
                <w:sz w:val="21"/>
                <w:szCs w:val="21"/>
              </w:rPr>
              <w:t>应收账款</w:t>
            </w:r>
            <w:r>
              <w:rPr>
                <w:rFonts w:ascii="Times New Roman" w:hAnsi="Times New Roman" w:cs="Times New Roman" w:eastAsia="Times New Roman" w:hint="default"/>
                <w:sz w:val="21"/>
                <w:szCs w:val="21"/>
              </w:rPr>
              <w:t>”</w:t>
            </w:r>
            <w:r>
              <w:rPr>
                <w:rFonts w:ascii="宋体" w:hAnsi="宋体" w:cs="宋体" w:eastAsia="宋体" w:hint="default"/>
                <w:sz w:val="21"/>
                <w:szCs w:val="21"/>
              </w:rPr>
              <w:t>组合划分相同</w:t>
            </w:r>
          </w:p>
        </w:tc>
      </w:tr>
    </w:tbl>
    <w:p>
      <w:pPr>
        <w:pStyle w:val="BodyText"/>
        <w:spacing w:line="276" w:lineRule="exact" w:before="0"/>
        <w:ind w:left="494" w:right="0"/>
        <w:jc w:val="left"/>
      </w:pPr>
      <w:r>
        <w:rPr/>
        <w:t>（</w:t>
      </w:r>
      <w:r>
        <w:rPr>
          <w:rFonts w:ascii="Times New Roman" w:hAnsi="Times New Roman" w:cs="Times New Roman" w:eastAsia="Times New Roman" w:hint="default"/>
        </w:rPr>
        <w:t>2</w:t>
      </w:r>
      <w:r>
        <w:rPr/>
        <w:t>）应收账款</w:t>
      </w:r>
    </w:p>
    <w:p>
      <w:pPr>
        <w:pStyle w:val="BodyText"/>
        <w:spacing w:line="273" w:lineRule="auto" w:before="22"/>
        <w:ind w:right="1121" w:firstLine="422"/>
        <w:jc w:val="both"/>
      </w:pPr>
      <w:r>
        <w:rPr>
          <w:spacing w:val="-2"/>
        </w:rPr>
        <w:t>对于不含重大融资成分的应收账款，本集团按照相当于整个存续期内的预期信用损失金额计量损失准</w:t>
      </w:r>
      <w:r>
        <w:rPr>
          <w:w w:val="100"/>
        </w:rPr>
        <w:t> </w:t>
      </w:r>
      <w:r>
        <w:rPr/>
        <w:t>备。</w:t>
      </w:r>
    </w:p>
    <w:p>
      <w:pPr>
        <w:pStyle w:val="BodyText"/>
        <w:spacing w:line="273" w:lineRule="auto"/>
        <w:ind w:right="1121" w:firstLine="422"/>
        <w:jc w:val="both"/>
      </w:pPr>
      <w:r>
        <w:rPr>
          <w:spacing w:val="-2"/>
        </w:rPr>
        <w:t>对于包含重大融资成分的应收账款和租赁应收款，本集团选择始终按照相当于存续期内预期信用损失</w:t>
      </w:r>
      <w:r>
        <w:rPr>
          <w:w w:val="100"/>
        </w:rPr>
        <w:t> </w:t>
      </w:r>
      <w:r>
        <w:rPr>
          <w:spacing w:val="-2"/>
        </w:rPr>
        <w:t>的金额计量损失准备。不选择简化处理方法，依据其信用风险自初始确认后是否已经显著增加，而采用未</w:t>
      </w:r>
      <w:r>
        <w:rPr>
          <w:spacing w:val="-33"/>
        </w:rPr>
        <w:t> </w:t>
      </w:r>
      <w:r>
        <w:rPr>
          <w:spacing w:val="-33"/>
        </w:rPr>
      </w:r>
      <w:r>
        <w:rPr/>
        <w:t>来</w:t>
      </w:r>
      <w:r>
        <w:rPr>
          <w:rFonts w:ascii="Times New Roman" w:hAnsi="Times New Roman" w:cs="Times New Roman" w:eastAsia="Times New Roman" w:hint="default"/>
        </w:rPr>
        <w:t>12</w:t>
      </w:r>
      <w:r>
        <w:rPr/>
        <w:t>个月内或者整个存续期内预期信用损失的金额计量损失准备。</w:t>
      </w:r>
    </w:p>
    <w:p>
      <w:pPr>
        <w:pStyle w:val="BodyText"/>
        <w:spacing w:line="264" w:lineRule="exact" w:before="0"/>
        <w:ind w:left="575" w:right="0"/>
        <w:jc w:val="left"/>
      </w:pPr>
      <w:r>
        <w:rPr/>
        <w:t>除了单项评估信用风险的应收账款外，基于其信用风险特征，将其划分为不同组合：</w:t>
      </w:r>
    </w:p>
    <w:p>
      <w:pPr>
        <w:spacing w:line="240" w:lineRule="auto" w:before="13"/>
        <w:rPr>
          <w:rFonts w:ascii="宋体" w:hAnsi="宋体" w:cs="宋体" w:eastAsia="宋体" w:hint="default"/>
          <w:sz w:val="3"/>
          <w:szCs w:val="3"/>
        </w:rPr>
      </w:pPr>
    </w:p>
    <w:tbl>
      <w:tblPr>
        <w:tblW w:w="0" w:type="auto"/>
        <w:jc w:val="left"/>
        <w:tblInd w:w="143" w:type="dxa"/>
        <w:tblLayout w:type="fixed"/>
        <w:tblCellMar>
          <w:top w:w="0" w:type="dxa"/>
          <w:left w:w="0" w:type="dxa"/>
          <w:bottom w:w="0" w:type="dxa"/>
          <w:right w:w="0" w:type="dxa"/>
        </w:tblCellMar>
        <w:tblLook w:val="01E0"/>
      </w:tblPr>
      <w:tblGrid>
        <w:gridCol w:w="1484"/>
        <w:gridCol w:w="7652"/>
      </w:tblGrid>
      <w:tr>
        <w:trPr>
          <w:trHeight w:val="353" w:hRule="exact"/>
        </w:trPr>
        <w:tc>
          <w:tcPr>
            <w:tcW w:w="1484"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436"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70"/>
                <w:sz w:val="21"/>
                <w:szCs w:val="21"/>
              </w:rPr>
              <w:t> </w:t>
            </w:r>
            <w:r>
              <w:rPr>
                <w:rFonts w:ascii="宋体" w:hAnsi="宋体" w:cs="宋体" w:eastAsia="宋体" w:hint="default"/>
                <w:sz w:val="21"/>
                <w:szCs w:val="21"/>
              </w:rPr>
              <w:t>目</w:t>
            </w:r>
          </w:p>
        </w:tc>
        <w:tc>
          <w:tcPr>
            <w:tcW w:w="7652" w:type="dxa"/>
            <w:tcBorders>
              <w:top w:val="single" w:sz="6" w:space="0" w:color="000000"/>
              <w:left w:val="single" w:sz="6" w:space="0" w:color="000000"/>
              <w:bottom w:val="single" w:sz="12" w:space="0" w:color="000000"/>
              <w:right w:val="nil" w:sz="6" w:space="0" w:color="auto"/>
            </w:tcBorders>
          </w:tcPr>
          <w:p>
            <w:pPr>
              <w:pStyle w:val="TableParagraph"/>
              <w:spacing w:line="270" w:lineRule="exact"/>
              <w:ind w:left="427"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355" w:hRule="exact"/>
        </w:trPr>
        <w:tc>
          <w:tcPr>
            <w:tcW w:w="1484"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7652"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本组合以应收款项的账龄作为信用风险特征。</w:t>
            </w:r>
          </w:p>
        </w:tc>
      </w:tr>
    </w:tbl>
    <w:p>
      <w:pPr>
        <w:pStyle w:val="BodyText"/>
        <w:spacing w:line="276" w:lineRule="exact" w:before="0"/>
        <w:ind w:left="407" w:right="0"/>
        <w:jc w:val="left"/>
      </w:pPr>
      <w:r>
        <w:rPr/>
        <w:t>（</w:t>
      </w:r>
      <w:r>
        <w:rPr>
          <w:rFonts w:ascii="Times New Roman" w:hAnsi="Times New Roman" w:cs="Times New Roman" w:eastAsia="Times New Roman" w:hint="default"/>
        </w:rPr>
        <w:t>3</w:t>
      </w:r>
      <w:r>
        <w:rPr/>
        <w:t>）其他应收款</w:t>
      </w:r>
    </w:p>
    <w:p>
      <w:pPr>
        <w:pStyle w:val="BodyText"/>
        <w:spacing w:line="266" w:lineRule="auto" w:before="21"/>
        <w:ind w:right="1122" w:firstLine="422"/>
        <w:jc w:val="both"/>
      </w:pPr>
      <w:r>
        <w:rPr>
          <w:spacing w:val="-2"/>
        </w:rPr>
        <w:t>本集团依据其他应收款信用风险自初始确认后是否已经显著增加，采用相当于未来</w:t>
      </w:r>
      <w:r>
        <w:rPr>
          <w:rFonts w:ascii="Times New Roman" w:hAnsi="Times New Roman" w:cs="Times New Roman" w:eastAsia="Times New Roman" w:hint="default"/>
          <w:spacing w:val="-2"/>
        </w:rPr>
        <w:t>12</w:t>
      </w:r>
      <w:r>
        <w:rPr>
          <w:spacing w:val="-2"/>
        </w:rPr>
        <w:t>个月内、或整个</w:t>
      </w:r>
      <w:r>
        <w:rPr>
          <w:w w:val="100"/>
        </w:rPr>
        <w:t> </w:t>
      </w:r>
      <w:r>
        <w:rPr>
          <w:spacing w:val="-2"/>
        </w:rPr>
        <w:t>存续期的预期信用损失的金额计量减值损失。除了单项评估信用风险的其他应收款外，基于其信用风险特</w:t>
      </w:r>
      <w:r>
        <w:rPr>
          <w:spacing w:val="-33"/>
        </w:rPr>
        <w:t> </w:t>
      </w:r>
      <w:r>
        <w:rPr>
          <w:spacing w:val="-33"/>
        </w:rPr>
      </w:r>
      <w:r>
        <w:rPr/>
        <w:t>征，将其划分为不同组合：</w:t>
      </w:r>
    </w:p>
    <w:p>
      <w:pPr>
        <w:spacing w:line="240" w:lineRule="auto" w:before="3"/>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1897"/>
        <w:gridCol w:w="7239"/>
      </w:tblGrid>
      <w:tr>
        <w:trPr>
          <w:trHeight w:val="358" w:hRule="exact"/>
        </w:trPr>
        <w:tc>
          <w:tcPr>
            <w:tcW w:w="1897" w:type="dxa"/>
            <w:tcBorders>
              <w:top w:val="single" w:sz="6" w:space="0" w:color="000000"/>
              <w:left w:val="single" w:sz="6" w:space="0" w:color="000000"/>
              <w:bottom w:val="single" w:sz="12" w:space="0" w:color="000000"/>
              <w:right w:val="single" w:sz="6" w:space="0" w:color="000000"/>
            </w:tcBorders>
          </w:tcPr>
          <w:p>
            <w:pPr>
              <w:pStyle w:val="TableParagraph"/>
              <w:spacing w:line="269" w:lineRule="exact"/>
              <w:ind w:left="9"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70"/>
                <w:sz w:val="21"/>
                <w:szCs w:val="21"/>
              </w:rPr>
              <w:t> </w:t>
            </w:r>
            <w:r>
              <w:rPr>
                <w:rFonts w:ascii="宋体" w:hAnsi="宋体" w:cs="宋体" w:eastAsia="宋体" w:hint="default"/>
                <w:sz w:val="21"/>
                <w:szCs w:val="21"/>
              </w:rPr>
              <w:t>目</w:t>
            </w:r>
          </w:p>
        </w:tc>
        <w:tc>
          <w:tcPr>
            <w:tcW w:w="7239" w:type="dxa"/>
            <w:tcBorders>
              <w:top w:val="single" w:sz="6" w:space="0" w:color="000000"/>
              <w:left w:val="single" w:sz="6" w:space="0" w:color="000000"/>
              <w:bottom w:val="single" w:sz="12" w:space="0" w:color="000000"/>
              <w:right w:val="nil" w:sz="6" w:space="0" w:color="auto"/>
            </w:tcBorders>
          </w:tcPr>
          <w:p>
            <w:pPr>
              <w:pStyle w:val="TableParagraph"/>
              <w:spacing w:line="269" w:lineRule="exact"/>
              <w:ind w:left="432"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r>
    </w:tbl>
    <w:p>
      <w:pPr>
        <w:spacing w:after="0" w:line="269" w:lineRule="exact"/>
        <w:jc w:val="left"/>
        <w:rPr>
          <w:rFonts w:ascii="宋体" w:hAnsi="宋体" w:cs="宋体" w:eastAsia="宋体" w:hint="default"/>
          <w:sz w:val="21"/>
          <w:szCs w:val="21"/>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1897"/>
        <w:gridCol w:w="7239"/>
      </w:tblGrid>
      <w:tr>
        <w:trPr>
          <w:trHeight w:val="353" w:hRule="exact"/>
        </w:trPr>
        <w:tc>
          <w:tcPr>
            <w:tcW w:w="1897"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保证金及押金</w:t>
            </w:r>
          </w:p>
        </w:tc>
        <w:tc>
          <w:tcPr>
            <w:tcW w:w="7239" w:type="dxa"/>
            <w:tcBorders>
              <w:top w:val="single" w:sz="6" w:space="0" w:color="000000"/>
              <w:left w:val="single" w:sz="6" w:space="0" w:color="000000"/>
              <w:bottom w:val="single" w:sz="12" w:space="0" w:color="000000"/>
              <w:right w:val="nil" w:sz="6" w:space="0" w:color="auto"/>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本组合为日常经常活动中应收取的各类押金、代垫款、质保金等应收款项。</w:t>
            </w:r>
          </w:p>
        </w:tc>
      </w:tr>
      <w:tr>
        <w:trPr>
          <w:trHeight w:val="355" w:hRule="exact"/>
        </w:trPr>
        <w:tc>
          <w:tcPr>
            <w:tcW w:w="1897"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本集团子公司</w:t>
            </w:r>
          </w:p>
        </w:tc>
        <w:tc>
          <w:tcPr>
            <w:tcW w:w="7239"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本集团合并范围内的各级子公司</w:t>
            </w:r>
          </w:p>
        </w:tc>
      </w:tr>
      <w:tr>
        <w:trPr>
          <w:trHeight w:val="350" w:hRule="exact"/>
        </w:trPr>
        <w:tc>
          <w:tcPr>
            <w:tcW w:w="1897"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7239"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9" w:right="0"/>
              <w:jc w:val="left"/>
              <w:rPr>
                <w:rFonts w:ascii="宋体" w:hAnsi="宋体" w:cs="宋体" w:eastAsia="宋体" w:hint="default"/>
                <w:sz w:val="21"/>
                <w:szCs w:val="21"/>
              </w:rPr>
            </w:pPr>
            <w:r>
              <w:rPr>
                <w:rFonts w:ascii="宋体" w:hAnsi="宋体" w:cs="宋体" w:eastAsia="宋体" w:hint="default"/>
                <w:sz w:val="21"/>
                <w:szCs w:val="21"/>
              </w:rPr>
              <w:t>除上述组合以外以其他应收款的账龄作为信用风险特征。</w:t>
            </w:r>
          </w:p>
        </w:tc>
      </w:tr>
    </w:tbl>
    <w:p>
      <w:pPr>
        <w:pStyle w:val="BodyText"/>
        <w:spacing w:line="276" w:lineRule="exact" w:before="0"/>
        <w:ind w:left="479" w:right="0"/>
        <w:jc w:val="left"/>
      </w:pPr>
      <w:r>
        <w:rPr/>
        <w:t>（</w:t>
      </w:r>
      <w:r>
        <w:rPr>
          <w:rFonts w:ascii="Times New Roman" w:hAnsi="Times New Roman" w:cs="Times New Roman" w:eastAsia="Times New Roman" w:hint="default"/>
        </w:rPr>
        <w:t>4</w:t>
      </w:r>
      <w:r>
        <w:rPr/>
        <w:t>）债权投资</w:t>
      </w:r>
    </w:p>
    <w:p>
      <w:pPr>
        <w:pStyle w:val="BodyText"/>
        <w:spacing w:line="273" w:lineRule="auto" w:before="21"/>
        <w:ind w:right="0" w:firstLine="422"/>
        <w:jc w:val="left"/>
      </w:pPr>
      <w:r>
        <w:rPr>
          <w:spacing w:val="-2"/>
        </w:rPr>
        <w:t>债权投资主要核算以摊余成本计量的债券投资等。本集团依据其信用风险自初始确认后是否已经显著</w:t>
      </w:r>
      <w:r>
        <w:rPr>
          <w:w w:val="100"/>
        </w:rPr>
        <w:t> </w:t>
      </w:r>
      <w:r>
        <w:rPr/>
        <w:t>增加，采用相当于未来</w:t>
      </w:r>
      <w:r>
        <w:rPr>
          <w:rFonts w:ascii="Times New Roman" w:hAnsi="Times New Roman" w:cs="Times New Roman" w:eastAsia="Times New Roman" w:hint="default"/>
        </w:rPr>
        <w:t>12</w:t>
      </w:r>
      <w:r>
        <w:rPr/>
        <w:t>个月内、或整个存续期的预期信用损失的金额计量减值损失。</w:t>
      </w:r>
    </w:p>
    <w:p>
      <w:pPr>
        <w:pStyle w:val="BodyText"/>
        <w:spacing w:line="256" w:lineRule="auto" w:before="0"/>
        <w:ind w:left="575" w:right="0" w:hanging="168"/>
        <w:jc w:val="left"/>
      </w:pPr>
      <w:r>
        <w:rPr/>
        <w:t>（</w:t>
      </w:r>
      <w:r>
        <w:rPr>
          <w:rFonts w:ascii="Times New Roman" w:hAnsi="Times New Roman" w:cs="Times New Roman" w:eastAsia="Times New Roman" w:hint="default"/>
        </w:rPr>
        <w:t>5</w:t>
      </w:r>
      <w:r>
        <w:rPr/>
        <w:t>）其他债权投资</w:t>
      </w:r>
      <w:r>
        <w:rPr>
          <w:w w:val="100"/>
        </w:rPr>
        <w:t> </w:t>
      </w:r>
      <w:r>
        <w:rPr>
          <w:spacing w:val="-2"/>
        </w:rPr>
        <w:t>其他债权投资主要核算以公允价值计量且其变动计入其他综合收益的债券投资等。本集团依据其信用</w:t>
      </w:r>
    </w:p>
    <w:p>
      <w:pPr>
        <w:pStyle w:val="BodyText"/>
        <w:spacing w:line="256" w:lineRule="auto" w:before="23"/>
        <w:ind w:right="0"/>
        <w:jc w:val="left"/>
      </w:pPr>
      <w:r>
        <w:rPr>
          <w:spacing w:val="-2"/>
        </w:rPr>
        <w:t>风险自初始确认后是否已经显著增加，采用相当于未来</w:t>
      </w:r>
      <w:r>
        <w:rPr>
          <w:rFonts w:ascii="Times New Roman" w:hAnsi="Times New Roman" w:cs="Times New Roman" w:eastAsia="Times New Roman" w:hint="default"/>
          <w:spacing w:val="-2"/>
        </w:rPr>
        <w:t>12</w:t>
      </w:r>
      <w:r>
        <w:rPr>
          <w:spacing w:val="-2"/>
        </w:rPr>
        <w:t>个月内、或整个存续期的预期信用损失的金额计</w:t>
      </w:r>
      <w:r>
        <w:rPr>
          <w:spacing w:val="-29"/>
        </w:rPr>
        <w:t> </w:t>
      </w:r>
      <w:r>
        <w:rPr>
          <w:spacing w:val="-29"/>
        </w:rPr>
      </w:r>
      <w:r>
        <w:rPr/>
        <w:t>量减值损失。</w:t>
      </w:r>
    </w:p>
    <w:p>
      <w:pPr>
        <w:pStyle w:val="BodyText"/>
        <w:spacing w:line="610" w:lineRule="atLeast" w:before="5"/>
        <w:ind w:left="575" w:right="0" w:hanging="423"/>
        <w:jc w:val="left"/>
      </w:pPr>
      <w:bookmarkStart w:name="12、应收款项融资" w:id="183"/>
      <w:bookmarkEnd w:id="183"/>
      <w:r>
        <w:rPr/>
      </w:r>
      <w:r>
        <w:rPr>
          <w:rFonts w:ascii="Times New Roman" w:hAnsi="Times New Roman" w:cs="Times New Roman" w:eastAsia="Times New Roman" w:hint="default"/>
          <w:b/>
          <w:bCs/>
        </w:rPr>
        <w:t>12</w:t>
      </w:r>
      <w:r>
        <w:rPr>
          <w:rFonts w:ascii="宋体" w:hAnsi="宋体" w:cs="宋体" w:eastAsia="宋体" w:hint="default"/>
          <w:b/>
          <w:bCs/>
        </w:rPr>
        <w:t>、应收款项融资</w:t>
      </w:r>
      <w:r>
        <w:rPr>
          <w:rFonts w:ascii="宋体" w:hAnsi="宋体" w:cs="宋体" w:eastAsia="宋体" w:hint="default"/>
          <w:b/>
          <w:bCs/>
          <w:spacing w:val="-102"/>
        </w:rPr>
        <w:t> </w:t>
      </w:r>
      <w:r>
        <w:rPr>
          <w:spacing w:val="-4"/>
          <w:w w:val="100"/>
        </w:rPr>
        <w:t>分类为以公允价值计量且其变动计入其他综合收益的应收票据和应收账款，自取得起期限在一年内</w:t>
      </w:r>
      <w:r>
        <w:rPr>
          <w:rFonts w:ascii="Times New Roman" w:hAnsi="Times New Roman" w:cs="Times New Roman" w:eastAsia="Times New Roman" w:hint="default"/>
          <w:spacing w:val="-4"/>
          <w:w w:val="100"/>
        </w:rPr>
        <w:t>(</w:t>
      </w:r>
      <w:r>
        <w:rPr>
          <w:spacing w:val="-4"/>
          <w:w w:val="100"/>
        </w:rPr>
        <w:t>含</w:t>
      </w:r>
    </w:p>
    <w:p>
      <w:pPr>
        <w:pStyle w:val="BodyText"/>
        <w:spacing w:line="256" w:lineRule="auto" w:before="22"/>
        <w:ind w:right="0"/>
        <w:jc w:val="left"/>
      </w:pPr>
      <w:r>
        <w:rPr>
          <w:spacing w:val="-4"/>
        </w:rPr>
        <w:t>一年</w:t>
      </w:r>
      <w:r>
        <w:rPr>
          <w:rFonts w:ascii="Times New Roman" w:hAnsi="Times New Roman" w:cs="Times New Roman" w:eastAsia="Times New Roman" w:hint="default"/>
          <w:spacing w:val="-4"/>
        </w:rPr>
        <w:t>)</w:t>
      </w:r>
      <w:r>
        <w:rPr>
          <w:spacing w:val="-4"/>
        </w:rPr>
        <w:t>的部分，列示为应收款项融资；自取得起期限在一年以上的，列示为其他债权投资。其相关会计政策</w:t>
      </w:r>
      <w:r>
        <w:rPr>
          <w:spacing w:val="-10"/>
        </w:rPr>
        <w:t> </w:t>
      </w:r>
      <w:r>
        <w:rPr>
          <w:spacing w:val="-10"/>
        </w:rPr>
      </w:r>
      <w:r>
        <w:rPr/>
        <w:t>参见本附注五、</w:t>
      </w:r>
      <w:r>
        <w:rPr>
          <w:rFonts w:ascii="Times New Roman" w:hAnsi="Times New Roman" w:cs="Times New Roman" w:eastAsia="Times New Roman" w:hint="default"/>
        </w:rPr>
        <w:t>10</w:t>
      </w:r>
      <w:r>
        <w:rPr/>
        <w:t>金融工具</w:t>
      </w:r>
      <w:r>
        <w:rPr>
          <w:rFonts w:ascii="Times New Roman" w:hAnsi="Times New Roman" w:cs="Times New Roman" w:eastAsia="Times New Roman" w:hint="default"/>
        </w:rPr>
        <w:t>”</w:t>
      </w:r>
      <w:r>
        <w:rPr/>
        <w:t>及附注五、</w:t>
      </w:r>
      <w:r>
        <w:rPr>
          <w:rFonts w:ascii="Times New Roman" w:hAnsi="Times New Roman" w:cs="Times New Roman" w:eastAsia="Times New Roman" w:hint="default"/>
        </w:rPr>
        <w:t>11“</w:t>
      </w:r>
      <w:r>
        <w:rPr/>
        <w:t>金融资产减值</w:t>
      </w:r>
      <w:r>
        <w:rPr>
          <w:rFonts w:ascii="Times New Roman" w:hAnsi="Times New Roman" w:cs="Times New Roman" w:eastAsia="Times New Roman" w:hint="default"/>
        </w:rPr>
        <w:t>”</w:t>
      </w:r>
      <w:r>
        <w:rPr/>
        <w:t>。</w:t>
      </w:r>
    </w:p>
    <w:p>
      <w:pPr>
        <w:spacing w:line="240" w:lineRule="auto" w:before="12"/>
        <w:rPr>
          <w:rFonts w:ascii="宋体" w:hAnsi="宋体" w:cs="宋体" w:eastAsia="宋体" w:hint="default"/>
          <w:sz w:val="22"/>
          <w:szCs w:val="22"/>
        </w:rPr>
      </w:pPr>
    </w:p>
    <w:p>
      <w:pPr>
        <w:spacing w:line="610" w:lineRule="atLeast" w:before="0"/>
        <w:ind w:left="575" w:right="0" w:hanging="423"/>
        <w:jc w:val="left"/>
        <w:rPr>
          <w:rFonts w:ascii="宋体" w:hAnsi="宋体" w:cs="宋体" w:eastAsia="宋体" w:hint="default"/>
          <w:sz w:val="21"/>
          <w:szCs w:val="21"/>
        </w:rPr>
      </w:pPr>
      <w:bookmarkStart w:name="13、 持有待售资产和处置组" w:id="184"/>
      <w:bookmarkEnd w:id="184"/>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 持有待售资产和处置组</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2"/>
          <w:sz w:val="21"/>
          <w:szCs w:val="21"/>
        </w:rPr>
        <w:t>本集团若主要通过出售</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包括具有商业实质的非货币性资产交换，下同</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而非持续使用一项非流动资产</w:t>
      </w:r>
    </w:p>
    <w:p>
      <w:pPr>
        <w:pStyle w:val="BodyText"/>
        <w:spacing w:line="268" w:lineRule="auto" w:before="21"/>
        <w:ind w:right="0"/>
        <w:jc w:val="left"/>
      </w:pPr>
      <w:r>
        <w:rPr/>
        <w:t>或处置组收回其账面价值的，则将其划分为持有待售类别。具体标准为同时满足以下条件：某项非流动资</w:t>
      </w:r>
      <w:r>
        <w:rPr>
          <w:w w:val="100"/>
        </w:rPr>
        <w:t> </w:t>
      </w:r>
      <w:r>
        <w:rPr/>
        <w:t>产或处置组根据类似交易中出售此类资产或处置组的惯例，在当前状况下即可立即出售；本集团已经就出</w:t>
      </w:r>
      <w:r>
        <w:rPr>
          <w:w w:val="100"/>
        </w:rPr>
        <w:t> </w:t>
      </w:r>
      <w:r>
        <w:rPr/>
        <w:t>售计划作出决议且获得确定的购买承诺；预计出售将在一年内完成。其中，处置组是指在一项交易中作为</w:t>
      </w:r>
      <w:r>
        <w:rPr>
          <w:w w:val="100"/>
        </w:rPr>
        <w:t> </w:t>
      </w:r>
      <w:r>
        <w:rPr/>
        <w:t>整体通过出售或其他方式一并处置的一组资产，以及在该交易中转让的与这些资产直接相关的负债。处置</w:t>
      </w:r>
      <w:r>
        <w:rPr>
          <w:w w:val="100"/>
        </w:rPr>
        <w:t> </w:t>
      </w:r>
      <w:r>
        <w:rPr>
          <w:spacing w:val="-2"/>
        </w:rPr>
        <w:t>组所属的资产组或资产组组合按照《企业会计准则第</w:t>
      </w:r>
      <w:r>
        <w:rPr>
          <w:rFonts w:ascii="Times New Roman" w:hAnsi="Times New Roman" w:cs="Times New Roman" w:eastAsia="Times New Roman" w:hint="default"/>
          <w:spacing w:val="-2"/>
        </w:rPr>
        <w:t>8</w:t>
      </w:r>
      <w:r>
        <w:rPr>
          <w:spacing w:val="-2"/>
        </w:rPr>
        <w:t>号</w:t>
      </w:r>
      <w:r>
        <w:rPr>
          <w:rFonts w:ascii="Times New Roman" w:hAnsi="Times New Roman" w:cs="Times New Roman" w:eastAsia="Times New Roman" w:hint="default"/>
          <w:spacing w:val="-2"/>
        </w:rPr>
        <w:t>——</w:t>
      </w:r>
      <w:r>
        <w:rPr>
          <w:spacing w:val="-2"/>
        </w:rPr>
        <w:t>资产减值》分摊了企业合并中取得的商誉的，</w:t>
      </w:r>
      <w:r>
        <w:rPr>
          <w:spacing w:val="-29"/>
        </w:rPr>
        <w:t> </w:t>
      </w:r>
      <w:r>
        <w:rPr>
          <w:spacing w:val="-29"/>
        </w:rPr>
      </w:r>
      <w:r>
        <w:rPr/>
        <w:t>该处置组应当包含分摊至处置组的商誉。</w:t>
      </w:r>
    </w:p>
    <w:p>
      <w:pPr>
        <w:pStyle w:val="BodyText"/>
        <w:spacing w:line="268" w:lineRule="auto" w:before="12"/>
        <w:ind w:right="0" w:firstLine="422"/>
        <w:jc w:val="left"/>
      </w:pPr>
      <w:r>
        <w:rPr>
          <w:spacing w:val="-2"/>
        </w:rPr>
        <w:t>本集团初始计量或在资产负债表日重新计量划分为持有待售的非流动资产和处置组时，其账面价值高</w:t>
      </w:r>
      <w:r>
        <w:rPr>
          <w:w w:val="100"/>
        </w:rPr>
        <w:t> </w:t>
      </w:r>
      <w:r>
        <w:rPr>
          <w:spacing w:val="-2"/>
        </w:rPr>
        <w:t>于公允价值减去出售费用后的净额的，将账面价值减记至公允价值减去出售费用后的净额，减记的金额确</w:t>
      </w:r>
      <w:r>
        <w:rPr>
          <w:spacing w:val="-33"/>
        </w:rPr>
        <w:t> </w:t>
      </w:r>
      <w:r>
        <w:rPr>
          <w:spacing w:val="-33"/>
        </w:rPr>
      </w:r>
      <w:r>
        <w:rPr>
          <w:spacing w:val="-2"/>
        </w:rPr>
        <w:t>认为资产减值损失，计入当期损益，同时计提持有待售资产减值准备。对于处置组，所确认的资产减值损</w:t>
      </w:r>
      <w:r>
        <w:rPr>
          <w:spacing w:val="-33"/>
        </w:rPr>
        <w:t> </w:t>
      </w:r>
      <w:r>
        <w:rPr>
          <w:spacing w:val="-33"/>
        </w:rPr>
      </w:r>
      <w:r>
        <w:rPr>
          <w:spacing w:val="-2"/>
        </w:rPr>
        <w:t>失先抵减处置组中商誉的账面价值，再按比例抵减该处置组内适用《企业会计准则第</w:t>
      </w:r>
      <w:r>
        <w:rPr>
          <w:rFonts w:ascii="Times New Roman" w:hAnsi="Times New Roman" w:cs="Times New Roman" w:eastAsia="Times New Roman" w:hint="default"/>
          <w:spacing w:val="-2"/>
        </w:rPr>
        <w:t>42</w:t>
      </w:r>
      <w:r>
        <w:rPr>
          <w:spacing w:val="-2"/>
        </w:rPr>
        <w:t>号</w:t>
      </w:r>
      <w:r>
        <w:rPr>
          <w:rFonts w:ascii="Times New Roman" w:hAnsi="Times New Roman" w:cs="Times New Roman" w:eastAsia="Times New Roman" w:hint="default"/>
          <w:spacing w:val="-2"/>
        </w:rPr>
        <w:t>——</w:t>
      </w:r>
      <w:r>
        <w:rPr>
          <w:spacing w:val="-2"/>
        </w:rPr>
        <w:t>持有待售的</w:t>
      </w:r>
      <w:r>
        <w:rPr>
          <w:spacing w:val="-28"/>
        </w:rPr>
        <w:t> </w:t>
      </w:r>
      <w:r>
        <w:rPr>
          <w:spacing w:val="-28"/>
        </w:rPr>
      </w:r>
      <w:r>
        <w:rPr/>
        <w:t>非流动资产、处置组和终止经营》</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持有待售准则</w:t>
      </w:r>
      <w:r>
        <w:rPr>
          <w:rFonts w:ascii="Times New Roman" w:hAnsi="Times New Roman" w:cs="Times New Roman" w:eastAsia="Times New Roman" w:hint="default"/>
        </w:rPr>
        <w:t>”)</w:t>
      </w:r>
      <w:r>
        <w:rPr/>
        <w:t>的计量规定的各项非流动资产的账面价值。</w:t>
      </w:r>
      <w:r>
        <w:rPr>
          <w:w w:val="100"/>
        </w:rPr>
        <w:t> </w:t>
      </w:r>
      <w:r>
        <w:rPr>
          <w:spacing w:val="-2"/>
        </w:rPr>
        <w:t>后续资产负债表日持有待售的处置组公允价值减去出售费用后的净额增加的，以前减记的金额应当予以恢</w:t>
      </w:r>
      <w:r>
        <w:rPr>
          <w:spacing w:val="-33"/>
        </w:rPr>
        <w:t> </w:t>
      </w:r>
      <w:r>
        <w:rPr>
          <w:spacing w:val="-33"/>
        </w:rPr>
      </w:r>
      <w:r>
        <w:rPr/>
        <w:t>复，并在划分为持有待售类别后适用持有待售准则计量规定的非流动资产确认的资产减值损失金额内转</w:t>
      </w:r>
      <w:r>
        <w:rPr>
          <w:w w:val="100"/>
        </w:rPr>
        <w:t> </w:t>
      </w:r>
      <w:r>
        <w:rPr>
          <w:spacing w:val="-2"/>
        </w:rPr>
        <w:t>回，转回金额计入当期损益，并根据处置组中除商誉外适用持有待售准则计量规定的各项非流动资产账面</w:t>
      </w:r>
      <w:r>
        <w:rPr>
          <w:spacing w:val="-31"/>
        </w:rPr>
        <w:t> </w:t>
      </w:r>
      <w:r>
        <w:rPr>
          <w:spacing w:val="-31"/>
        </w:rPr>
      </w:r>
      <w:r>
        <w:rPr>
          <w:spacing w:val="-2"/>
        </w:rPr>
        <w:t>价值所占比重按比例增加其账面价值；已抵减的商誉账面价值，以及适用持有待售准则计量规定的非流动</w:t>
      </w:r>
      <w:r>
        <w:rPr>
          <w:spacing w:val="-33"/>
        </w:rPr>
        <w:t> </w:t>
      </w:r>
      <w:r>
        <w:rPr>
          <w:spacing w:val="-33"/>
        </w:rPr>
      </w:r>
      <w:r>
        <w:rPr/>
        <w:t>资产在划分为持有待售类别前确认的资产减值损失不得转回。</w:t>
      </w:r>
    </w:p>
    <w:p>
      <w:pPr>
        <w:pStyle w:val="BodyText"/>
        <w:spacing w:line="273" w:lineRule="auto" w:before="12"/>
        <w:ind w:right="0" w:firstLine="422"/>
        <w:jc w:val="left"/>
      </w:pPr>
      <w:r>
        <w:rPr>
          <w:spacing w:val="-2"/>
        </w:rPr>
        <w:t>持有待售的非流动资产或处置组中的非流动资产不计提折旧或摊销，持有待售的处置组中负债的利息</w:t>
      </w:r>
      <w:r>
        <w:rPr>
          <w:w w:val="100"/>
        </w:rPr>
        <w:t> </w:t>
      </w:r>
      <w:r>
        <w:rPr/>
        <w:t>和其他费用继续予以确认。</w:t>
      </w:r>
    </w:p>
    <w:p>
      <w:pPr>
        <w:pStyle w:val="BodyText"/>
        <w:spacing w:line="261" w:lineRule="auto"/>
        <w:ind w:right="1126" w:firstLine="422"/>
        <w:jc w:val="both"/>
      </w:pPr>
      <w:r>
        <w:rPr>
          <w:spacing w:val="-2"/>
        </w:rPr>
        <w:t>非流动资产或处置组不再满足持有待售类别的划分条件时，本集团不再将其继续划分为持有待售类别</w:t>
      </w:r>
      <w:r>
        <w:rPr>
          <w:w w:val="100"/>
        </w:rPr>
        <w:t> </w:t>
      </w:r>
      <w:r>
        <w:rPr>
          <w:spacing w:val="-3"/>
        </w:rPr>
        <w:t>或将非流动资产从持有待售的处置组中移除，并按照以下两者孰低计量：</w:t>
      </w:r>
      <w:r>
        <w:rPr>
          <w:rFonts w:ascii="Times New Roman" w:hAnsi="Times New Roman" w:cs="Times New Roman" w:eastAsia="Times New Roman" w:hint="default"/>
          <w:spacing w:val="-3"/>
        </w:rPr>
        <w:t>(1)</w:t>
      </w:r>
      <w:r>
        <w:rPr>
          <w:spacing w:val="-3"/>
        </w:rPr>
        <w:t>划分为持有待售类别前的账面</w:t>
      </w:r>
      <w:r>
        <w:rPr>
          <w:spacing w:val="-19"/>
        </w:rPr>
        <w:t> </w:t>
      </w:r>
      <w:r>
        <w:rPr>
          <w:spacing w:val="-19"/>
        </w:rPr>
      </w:r>
      <w:r>
        <w:rPr>
          <w:spacing w:val="-3"/>
        </w:rPr>
        <w:t>价值，按照假定不划分为持有待售类别情况下本应确认的折旧、摊销或减值等进行调整后的金额；</w:t>
      </w:r>
      <w:r>
        <w:rPr>
          <w:rFonts w:ascii="Times New Roman" w:hAnsi="Times New Roman" w:cs="Times New Roman" w:eastAsia="Times New Roman" w:hint="default"/>
          <w:spacing w:val="-3"/>
        </w:rPr>
        <w:t>(2)</w:t>
      </w:r>
      <w:r>
        <w:rPr>
          <w:spacing w:val="-3"/>
        </w:rPr>
        <w:t>可收</w:t>
      </w:r>
      <w:r>
        <w:rPr>
          <w:spacing w:val="-25"/>
        </w:rPr>
        <w:t> </w:t>
      </w:r>
      <w:r>
        <w:rPr/>
        <w:t>回金额。</w:t>
      </w:r>
    </w:p>
    <w:p>
      <w:pPr>
        <w:spacing w:after="0" w:line="261" w:lineRule="auto"/>
        <w:jc w:val="both"/>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4"/>
        <w:spacing w:line="240" w:lineRule="auto" w:before="36"/>
        <w:ind w:right="0"/>
        <w:jc w:val="both"/>
        <w:rPr>
          <w:b w:val="0"/>
          <w:bCs w:val="0"/>
        </w:rPr>
      </w:pPr>
      <w:bookmarkStart w:name="14、长期股权投资" w:id="185"/>
      <w:bookmarkEnd w:id="185"/>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5"/>
        <w:rPr>
          <w:rFonts w:ascii="宋体" w:hAnsi="宋体" w:cs="宋体" w:eastAsia="宋体" w:hint="default"/>
          <w:b/>
          <w:bCs/>
          <w:sz w:val="24"/>
          <w:szCs w:val="24"/>
        </w:rPr>
      </w:pPr>
    </w:p>
    <w:p>
      <w:pPr>
        <w:pStyle w:val="BodyText"/>
        <w:spacing w:line="273" w:lineRule="auto" w:before="0"/>
        <w:ind w:right="0" w:firstLine="340"/>
        <w:jc w:val="left"/>
      </w:pPr>
      <w:r>
        <w:rPr>
          <w:spacing w:val="-3"/>
        </w:rPr>
        <w:t>本部分所指的长期股权投资是指本集团对被投资单位具有控制、共同控制或重大影响的长期股权投资。</w:t>
      </w:r>
      <w:r>
        <w:rPr>
          <w:w w:val="100"/>
        </w:rPr>
        <w:t> </w:t>
      </w:r>
      <w:r>
        <w:rPr/>
        <w:t>本集团对被投资单位不具有控制、共同控制或重大影响的长期股权投资，作为以公允价值计量且其变动计</w:t>
      </w:r>
      <w:r>
        <w:rPr>
          <w:w w:val="100"/>
        </w:rPr>
        <w:t> </w:t>
      </w:r>
      <w:r>
        <w:rPr/>
        <w:t>入当期损益的金融资产核算，其中如果属于非交易性的，本集团在初始确认时可选择将其指定为以公允价</w:t>
      </w:r>
      <w:r>
        <w:rPr>
          <w:w w:val="100"/>
        </w:rPr>
        <w:t> </w:t>
      </w:r>
      <w:r>
        <w:rPr/>
        <w:t>值计量且其变动计入其他综合收益的金融资产核算，其会计政策详见附注五、</w:t>
      </w:r>
      <w:r>
        <w:rPr>
          <w:rFonts w:ascii="Times New Roman" w:hAnsi="Times New Roman" w:cs="Times New Roman" w:eastAsia="Times New Roman" w:hint="default"/>
        </w:rPr>
        <w:t>10“</w:t>
      </w:r>
      <w:r>
        <w:rPr/>
        <w:t>金融工具</w:t>
      </w:r>
      <w:r>
        <w:rPr>
          <w:rFonts w:ascii="Times New Roman" w:hAnsi="Times New Roman" w:cs="Times New Roman" w:eastAsia="Times New Roman" w:hint="default"/>
        </w:rPr>
        <w:t>”</w:t>
      </w:r>
      <w:r>
        <w:rPr/>
        <w:t>。</w:t>
      </w:r>
    </w:p>
    <w:p>
      <w:pPr>
        <w:pStyle w:val="BodyText"/>
        <w:spacing w:line="273" w:lineRule="auto" w:before="0"/>
        <w:ind w:right="1125" w:firstLine="340"/>
        <w:jc w:val="both"/>
      </w:pPr>
      <w:r>
        <w:rPr>
          <w:spacing w:val="-2"/>
        </w:rPr>
        <w:t>共同控制，是指本集团按照相关约定对某项安排所共有的控制，并且该安排的相关活动必须经过分享</w:t>
      </w:r>
      <w:r>
        <w:rPr>
          <w:w w:val="100"/>
        </w:rPr>
        <w:t> </w:t>
      </w:r>
      <w:r>
        <w:rPr>
          <w:spacing w:val="-2"/>
        </w:rPr>
        <w:t>控制权的参与方一致同意后才能决策。重大影响，是指本集团对被投资单位的财务和经营政策有参与决策</w:t>
      </w:r>
      <w:r>
        <w:rPr>
          <w:spacing w:val="-33"/>
        </w:rPr>
        <w:t> </w:t>
      </w:r>
      <w:r>
        <w:rPr>
          <w:spacing w:val="-33"/>
        </w:rPr>
      </w:r>
      <w:r>
        <w:rPr/>
        <w:t>的权力，但并不能够控制或者与其他方一起共同控制这些政策的制定。</w:t>
      </w:r>
    </w:p>
    <w:p>
      <w:pPr>
        <w:pStyle w:val="BodyText"/>
        <w:tabs>
          <w:tab w:pos="979" w:val="left" w:leader="none"/>
        </w:tabs>
        <w:spacing w:line="256" w:lineRule="auto" w:before="8"/>
        <w:ind w:left="494" w:right="1218"/>
        <w:jc w:val="left"/>
      </w:pPr>
      <w:r>
        <w:rPr>
          <w:rFonts w:ascii="Times New Roman" w:hAnsi="Times New Roman" w:cs="Times New Roman" w:eastAsia="Times New Roman" w:hint="default"/>
        </w:rPr>
        <w:t>1.</w:t>
        <w:tab/>
      </w:r>
      <w:r>
        <w:rPr/>
        <w:t>投资成本的确定</w:t>
      </w:r>
      <w:r>
        <w:rPr>
          <w:spacing w:val="-97"/>
        </w:rPr>
        <w:t> </w:t>
      </w:r>
      <w:r>
        <w:rPr>
          <w:spacing w:val="-2"/>
        </w:rPr>
        <w:t>对于同一控制下的企业合并取得的长期股权投资，在合并日按照被合并方所有者权益在最终控制方合</w:t>
      </w:r>
    </w:p>
    <w:p>
      <w:pPr>
        <w:pStyle w:val="BodyText"/>
        <w:spacing w:line="268" w:lineRule="auto" w:before="22"/>
        <w:ind w:right="1123"/>
        <w:jc w:val="both"/>
      </w:pPr>
      <w:r>
        <w:rPr>
          <w:spacing w:val="-2"/>
        </w:rPr>
        <w:t>并财务报表中的账面价值的份额作为长期股权投资的初始投资成本。长期股权投资初始投资成本与支付的</w:t>
      </w:r>
      <w:r>
        <w:rPr>
          <w:spacing w:val="-33"/>
        </w:rPr>
        <w:t> </w:t>
      </w:r>
      <w:r>
        <w:rPr>
          <w:spacing w:val="-33"/>
        </w:rPr>
      </w:r>
      <w:r>
        <w:rPr>
          <w:spacing w:val="-2"/>
        </w:rPr>
        <w:t>现金、转让的非现金资产以及所承担债务账面价值之间的差额，调整资本公积；资本公积不足冲减的，调</w:t>
      </w:r>
      <w:r>
        <w:rPr>
          <w:spacing w:val="-31"/>
        </w:rPr>
        <w:t> </w:t>
      </w:r>
      <w:r>
        <w:rPr>
          <w:spacing w:val="-31"/>
        </w:rPr>
      </w:r>
      <w:r>
        <w:rPr>
          <w:spacing w:val="-2"/>
        </w:rPr>
        <w:t>整留存收益。以发行权益性证券作为合并对价的，在合并日按照被合并方所有者权益在最终控制方合并财</w:t>
      </w:r>
      <w:r>
        <w:rPr>
          <w:spacing w:val="-33"/>
        </w:rPr>
        <w:t> </w:t>
      </w:r>
      <w:r>
        <w:rPr>
          <w:spacing w:val="-33"/>
        </w:rPr>
      </w:r>
      <w:r>
        <w:rPr>
          <w:spacing w:val="-2"/>
        </w:rPr>
        <w:t>务报表中的账面价值的份额作为长期股权投资的初始投资成本，按照发行股份的面值总额作为股本，长期</w:t>
      </w:r>
      <w:r>
        <w:rPr>
          <w:spacing w:val="-33"/>
        </w:rPr>
        <w:t> </w:t>
      </w:r>
      <w:r>
        <w:rPr>
          <w:spacing w:val="-33"/>
        </w:rPr>
      </w:r>
      <w:r>
        <w:rPr>
          <w:spacing w:val="-2"/>
        </w:rPr>
        <w:t>股权投资初始投资成本与所发行股份面值总额之间的差额，调整资本公积；资本公积不足冲减的，调整留</w:t>
      </w:r>
      <w:r>
        <w:rPr>
          <w:spacing w:val="-33"/>
        </w:rPr>
        <w:t> </w:t>
      </w:r>
      <w:r>
        <w:rPr>
          <w:spacing w:val="-33"/>
        </w:rPr>
      </w:r>
      <w:r>
        <w:rPr>
          <w:spacing w:val="-2"/>
        </w:rPr>
        <w:t>存收益。通过多次交易分步取得同一控制下被合并方的股权，最终形成同一控制下企业合并的，应分别是</w:t>
      </w:r>
      <w:r>
        <w:rPr>
          <w:spacing w:val="-33"/>
        </w:rPr>
        <w:t> </w:t>
      </w:r>
      <w:r>
        <w:rPr>
          <w:spacing w:val="-33"/>
        </w:rPr>
      </w:r>
      <w:r>
        <w:rPr>
          <w:spacing w:val="-2"/>
        </w:rPr>
        <w:t>否属于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进行处理：属于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的，将各项交易作为一项取得控制权的交易进行会计处</w:t>
      </w:r>
      <w:r>
        <w:rPr>
          <w:spacing w:val="-10"/>
        </w:rPr>
        <w:t> </w:t>
      </w:r>
      <w:r>
        <w:rPr>
          <w:spacing w:val="-10"/>
        </w:rPr>
      </w:r>
      <w:r>
        <w:rPr>
          <w:spacing w:val="-2"/>
        </w:rPr>
        <w:t>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的，在合并日按照应享有被合并方所有者权益在最终控制方合并财务报表中的账</w:t>
      </w:r>
      <w:r>
        <w:rPr>
          <w:spacing w:val="-12"/>
        </w:rPr>
        <w:t> </w:t>
      </w:r>
      <w:r>
        <w:rPr>
          <w:spacing w:val="-12"/>
        </w:rPr>
      </w:r>
      <w:r>
        <w:rPr>
          <w:spacing w:val="-2"/>
        </w:rPr>
        <w:t>面价值的份额作为长期股权投资的初始投资成本，长期股权投资初始投资成本与达到合并前的长期股权投</w:t>
      </w:r>
      <w:r>
        <w:rPr>
          <w:spacing w:val="-33"/>
        </w:rPr>
        <w:t> </w:t>
      </w:r>
      <w:r>
        <w:rPr>
          <w:spacing w:val="-33"/>
        </w:rPr>
      </w:r>
      <w:r>
        <w:rPr>
          <w:spacing w:val="-2"/>
        </w:rPr>
        <w:t>资账面价值加上合并日进一步取得股份新支付对价的账面价值之和的差额，调整资本公积；资本公积不足</w:t>
      </w:r>
      <w:r>
        <w:rPr>
          <w:spacing w:val="-33"/>
        </w:rPr>
        <w:t> </w:t>
      </w:r>
      <w:r>
        <w:rPr>
          <w:spacing w:val="-33"/>
        </w:rPr>
      </w:r>
      <w:r>
        <w:rPr>
          <w:spacing w:val="-2"/>
        </w:rPr>
        <w:t>冲减的，调整留存收益。合并日之前持有的股权投资因采用权益法核算或作为以公允价值计量且其变动计</w:t>
      </w:r>
      <w:r>
        <w:rPr>
          <w:spacing w:val="-33"/>
        </w:rPr>
        <w:t> </w:t>
      </w:r>
      <w:r>
        <w:rPr>
          <w:spacing w:val="-33"/>
        </w:rPr>
      </w:r>
      <w:r>
        <w:rPr/>
        <w:t>入其他综合收益的金融资产而确认的其他综合收益，暂不进行会计处理。</w:t>
      </w:r>
    </w:p>
    <w:p>
      <w:pPr>
        <w:pStyle w:val="BodyText"/>
        <w:spacing w:line="264" w:lineRule="auto" w:before="12"/>
        <w:ind w:right="0" w:firstLine="340"/>
        <w:jc w:val="left"/>
      </w:pPr>
      <w:r>
        <w:rPr>
          <w:spacing w:val="-2"/>
        </w:rPr>
        <w:t>对于非同一控制下的企业合并取得的长期股权投资，在购买日按照合并成本作为长期股权投资的初始</w:t>
      </w:r>
      <w:r>
        <w:rPr>
          <w:w w:val="100"/>
        </w:rPr>
        <w:t> </w:t>
      </w:r>
      <w:r>
        <w:rPr>
          <w:spacing w:val="-2"/>
        </w:rPr>
        <w:t>投资成本，合并成本包括购买方付出的资产、发生或承担的负债、发行的权益性证券的公允价值之和。通</w:t>
      </w:r>
      <w:r>
        <w:rPr>
          <w:spacing w:val="-33"/>
        </w:rPr>
        <w:t> </w:t>
      </w:r>
      <w:r>
        <w:rPr>
          <w:spacing w:val="-33"/>
        </w:rPr>
      </w:r>
      <w:r>
        <w:rPr/>
        <w:t>过多次交易分步取得被购买方的股权，最终形成非同一控制下的企业合并的，应分别是否属于</w:t>
      </w:r>
      <w:r>
        <w:rPr>
          <w:rFonts w:ascii="Times New Roman" w:hAnsi="Times New Roman" w:cs="Times New Roman" w:eastAsia="Times New Roman" w:hint="default"/>
        </w:rPr>
        <w:t>“</w:t>
      </w:r>
      <w:r>
        <w:rPr/>
        <w:t>一揽子交</w:t>
      </w:r>
      <w:r>
        <w:rPr>
          <w:spacing w:val="-100"/>
        </w:rPr>
        <w:t> </w:t>
      </w:r>
      <w:r>
        <w:rPr>
          <w:spacing w:val="-100"/>
        </w:rPr>
      </w:r>
      <w:r>
        <w:rPr>
          <w:spacing w:val="-1"/>
        </w:rPr>
        <w:t>易</w:t>
      </w:r>
      <w:r>
        <w:rPr>
          <w:rFonts w:ascii="Times New Roman" w:hAnsi="Times New Roman" w:cs="Times New Roman" w:eastAsia="Times New Roman" w:hint="default"/>
          <w:spacing w:val="-1"/>
        </w:rPr>
        <w:t>”</w:t>
      </w:r>
      <w:r>
        <w:rPr>
          <w:spacing w:val="-1"/>
        </w:rPr>
        <w:t>进行处理：属于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的，将各项交易作为一项取得控制权的交易进行会计处理。不属于</w:t>
      </w:r>
      <w:r>
        <w:rPr>
          <w:rFonts w:ascii="Times New Roman" w:hAnsi="Times New Roman" w:cs="Times New Roman" w:eastAsia="Times New Roman" w:hint="default"/>
          <w:spacing w:val="-1"/>
        </w:rPr>
        <w:t>“</w:t>
      </w:r>
      <w:r>
        <w:rPr>
          <w:spacing w:val="-1"/>
        </w:rPr>
        <w:t>一揽</w:t>
      </w:r>
      <w:r>
        <w:rPr>
          <w:spacing w:val="-51"/>
        </w:rPr>
        <w:t> </w:t>
      </w:r>
      <w:r>
        <w:rPr/>
        <w:t>子交易</w:t>
      </w:r>
      <w:r>
        <w:rPr>
          <w:rFonts w:ascii="Times New Roman" w:hAnsi="Times New Roman" w:cs="Times New Roman" w:eastAsia="Times New Roman" w:hint="default"/>
        </w:rPr>
        <w:t>”</w:t>
      </w:r>
      <w:r>
        <w:rPr/>
        <w:t>的，按照原持有被购买方的股权投资账面价值加上新增投资成本之和，作为改按成本法核算的长</w:t>
      </w:r>
      <w:r>
        <w:rPr>
          <w:w w:val="100"/>
        </w:rPr>
        <w:t> </w:t>
      </w:r>
      <w:r>
        <w:rPr/>
        <w:t>期股权投资的初始投资成本。原持有的股权采用权益法核算的，相关其他综合收益暂不进行会计处理。</w:t>
      </w:r>
    </w:p>
    <w:p>
      <w:pPr>
        <w:pStyle w:val="BodyText"/>
        <w:spacing w:line="273" w:lineRule="auto" w:before="16"/>
        <w:ind w:right="0" w:firstLine="340"/>
        <w:jc w:val="left"/>
      </w:pPr>
      <w:r>
        <w:rPr>
          <w:spacing w:val="-2"/>
        </w:rPr>
        <w:t>合并方或购买方为企业合并发生的审计、法律服务、评估咨询等中介费用以及其他相关管理费用，于</w:t>
      </w:r>
      <w:r>
        <w:rPr>
          <w:w w:val="100"/>
        </w:rPr>
        <w:t> </w:t>
      </w:r>
      <w:r>
        <w:rPr/>
        <w:t>发生时计入当期损益。</w:t>
      </w:r>
    </w:p>
    <w:p>
      <w:pPr>
        <w:pStyle w:val="BodyText"/>
        <w:tabs>
          <w:tab w:pos="979" w:val="left" w:leader="none"/>
        </w:tabs>
        <w:spacing w:line="256" w:lineRule="auto"/>
        <w:ind w:left="494" w:right="1018"/>
        <w:jc w:val="left"/>
      </w:pPr>
      <w:r>
        <w:rPr>
          <w:rFonts w:ascii="Times New Roman" w:hAnsi="Times New Roman" w:cs="Times New Roman" w:eastAsia="Times New Roman" w:hint="default"/>
        </w:rPr>
        <w:t>2.</w:t>
        <w:tab/>
      </w:r>
      <w:r>
        <w:rPr/>
        <w:t>后续计量及损益确认方法</w:t>
      </w:r>
      <w:r>
        <w:rPr>
          <w:spacing w:val="-97"/>
        </w:rPr>
        <w:t> </w:t>
      </w:r>
      <w:r>
        <w:rPr>
          <w:spacing w:val="-97"/>
        </w:rPr>
      </w:r>
      <w:r>
        <w:rPr>
          <w:spacing w:val="-6"/>
          <w:w w:val="100"/>
        </w:rPr>
        <w:t>对被投资单位具有共同控制</w:t>
      </w:r>
      <w:r>
        <w:rPr>
          <w:rFonts w:ascii="Times New Roman" w:hAnsi="Times New Roman" w:cs="Times New Roman" w:eastAsia="Times New Roman" w:hint="default"/>
          <w:spacing w:val="-6"/>
          <w:w w:val="100"/>
        </w:rPr>
        <w:t>(</w:t>
      </w:r>
      <w:r>
        <w:rPr>
          <w:spacing w:val="-6"/>
          <w:w w:val="100"/>
        </w:rPr>
        <w:t>构成共同经营者除外</w:t>
      </w:r>
      <w:r>
        <w:rPr>
          <w:rFonts w:ascii="Times New Roman" w:hAnsi="Times New Roman" w:cs="Times New Roman" w:eastAsia="Times New Roman" w:hint="default"/>
          <w:spacing w:val="-6"/>
          <w:w w:val="100"/>
        </w:rPr>
        <w:t>)</w:t>
      </w:r>
      <w:r>
        <w:rPr>
          <w:spacing w:val="-6"/>
          <w:w w:val="100"/>
        </w:rPr>
        <w:t>或重大影响的长期股权投资，采用权益法核算。此外，</w:t>
      </w:r>
    </w:p>
    <w:p>
      <w:pPr>
        <w:pStyle w:val="BodyText"/>
        <w:spacing w:line="240" w:lineRule="auto" w:before="5"/>
        <w:ind w:right="0"/>
        <w:jc w:val="both"/>
      </w:pPr>
      <w:r>
        <w:rPr/>
        <w:t>公司财务报表采用成本法核算能够对被投资单位实施控制的长期股权投资。</w:t>
      </w:r>
    </w:p>
    <w:p>
      <w:pPr>
        <w:pStyle w:val="BodyText"/>
        <w:spacing w:line="256" w:lineRule="auto" w:before="37"/>
        <w:ind w:left="494" w:right="0"/>
        <w:jc w:val="left"/>
      </w:pPr>
      <w:r>
        <w:rPr/>
        <w:t>（</w:t>
      </w:r>
      <w:r>
        <w:rPr>
          <w:rFonts w:ascii="Times New Roman" w:hAnsi="Times New Roman" w:cs="Times New Roman" w:eastAsia="Times New Roman" w:hint="default"/>
        </w:rPr>
        <w:t>1</w:t>
      </w:r>
      <w:r>
        <w:rPr/>
        <w:t>）</w:t>
      </w:r>
      <w:r>
        <w:rPr>
          <w:spacing w:val="-23"/>
        </w:rPr>
        <w:t> </w:t>
      </w:r>
      <w:r>
        <w:rPr/>
        <w:t>成本法核算的长期股权投资</w:t>
      </w:r>
      <w:r>
        <w:rPr>
          <w:spacing w:val="-103"/>
        </w:rPr>
        <w:t> </w:t>
      </w:r>
      <w:r>
        <w:rPr>
          <w:spacing w:val="-103"/>
        </w:rPr>
      </w:r>
      <w:r>
        <w:rPr>
          <w:spacing w:val="-2"/>
        </w:rPr>
        <w:t>采用成本法核算时，长期股权投资按初始投资成本计价，追加或收回投资调整长期股权投资的成本。</w:t>
      </w:r>
    </w:p>
    <w:p>
      <w:pPr>
        <w:pStyle w:val="BodyText"/>
        <w:spacing w:line="273" w:lineRule="auto" w:before="23"/>
        <w:ind w:right="1122"/>
        <w:jc w:val="both"/>
      </w:pPr>
      <w:r>
        <w:rPr>
          <w:spacing w:val="-2"/>
        </w:rPr>
        <w:t>除取得投资时实际支付的价款或者对价中包含的已宣告但尚未发放的现金股利或者利润外，当期投资收益</w:t>
      </w:r>
      <w:r>
        <w:rPr>
          <w:spacing w:val="-30"/>
        </w:rPr>
        <w:t> </w:t>
      </w:r>
      <w:r>
        <w:rPr>
          <w:spacing w:val="-30"/>
        </w:rPr>
      </w:r>
      <w:r>
        <w:rPr/>
        <w:t>按照享有被投资单位宣告发放的现金股利或利润确认。</w:t>
      </w:r>
    </w:p>
    <w:p>
      <w:pPr>
        <w:pStyle w:val="BodyText"/>
        <w:spacing w:line="256" w:lineRule="auto"/>
        <w:ind w:left="494" w:right="0"/>
        <w:jc w:val="left"/>
      </w:pPr>
      <w:r>
        <w:rPr/>
        <w:t>（</w:t>
      </w:r>
      <w:r>
        <w:rPr>
          <w:rFonts w:ascii="Times New Roman" w:hAnsi="Times New Roman" w:cs="Times New Roman" w:eastAsia="Times New Roman" w:hint="default"/>
        </w:rPr>
        <w:t>2</w:t>
      </w:r>
      <w:r>
        <w:rPr/>
        <w:t>）</w:t>
      </w:r>
      <w:r>
        <w:rPr>
          <w:spacing w:val="-23"/>
        </w:rPr>
        <w:t> </w:t>
      </w:r>
      <w:r>
        <w:rPr/>
        <w:t>权益法核算的长期股权投资</w:t>
      </w:r>
      <w:r>
        <w:rPr>
          <w:spacing w:val="-103"/>
        </w:rPr>
        <w:t> </w:t>
      </w:r>
      <w:r>
        <w:rPr>
          <w:spacing w:val="-103"/>
        </w:rPr>
      </w:r>
      <w:r>
        <w:rPr>
          <w:spacing w:val="-2"/>
        </w:rPr>
        <w:t>采用权益法核算时，长期股权投资的初始投资成本大于投资时应享有被投资单位可辨认净资产公允价</w:t>
      </w:r>
    </w:p>
    <w:p>
      <w:pPr>
        <w:pStyle w:val="BodyText"/>
        <w:spacing w:line="273" w:lineRule="auto" w:before="22"/>
        <w:ind w:right="1125"/>
        <w:jc w:val="both"/>
      </w:pPr>
      <w:r>
        <w:rPr>
          <w:spacing w:val="-2"/>
        </w:rPr>
        <w:t>值份额的，不调整长期股权投资的初始投资成本；初始投资成本小于投资时应享有被投资单位可辨认净资</w:t>
      </w:r>
      <w:r>
        <w:rPr>
          <w:spacing w:val="-33"/>
        </w:rPr>
        <w:t> </w:t>
      </w:r>
      <w:r>
        <w:rPr>
          <w:spacing w:val="-33"/>
        </w:rPr>
      </w:r>
      <w:r>
        <w:rPr/>
        <w:t>产公允价值份额的，其差额计入当期损益，同时调整长期股权投资的成本。</w:t>
      </w:r>
    </w:p>
    <w:p>
      <w:pPr>
        <w:pStyle w:val="BodyText"/>
        <w:spacing w:line="273" w:lineRule="auto"/>
        <w:ind w:right="0" w:firstLine="340"/>
        <w:jc w:val="left"/>
      </w:pPr>
      <w:r>
        <w:rPr>
          <w:spacing w:val="-2"/>
        </w:rPr>
        <w:t>采用权益法核算时，按照应享有或应分担的被投资单位实现的净损益和其他综合收益的份额，分别确</w:t>
      </w:r>
      <w:r>
        <w:rPr>
          <w:w w:val="100"/>
        </w:rPr>
        <w:t> </w:t>
      </w:r>
      <w:r>
        <w:rPr>
          <w:spacing w:val="-2"/>
        </w:rPr>
        <w:t>认投资收益和其他综合收益，同时调整长期股权投资的账面价值；按照被投资单位宣告分派的利润或现金</w:t>
      </w:r>
    </w:p>
    <w:p>
      <w:pPr>
        <w:spacing w:after="0" w:line="273"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BodyText"/>
        <w:spacing w:line="271" w:lineRule="auto" w:before="36"/>
        <w:ind w:right="1122"/>
        <w:jc w:val="both"/>
      </w:pPr>
      <w:r>
        <w:rPr>
          <w:spacing w:val="-2"/>
        </w:rPr>
        <w:t>股利计算应享有的部分，相应减少长期股权投资的账面价值；对于被投资单位除净损益、其他综合收益和</w:t>
      </w:r>
      <w:r>
        <w:rPr>
          <w:spacing w:val="-33"/>
        </w:rPr>
        <w:t> </w:t>
      </w:r>
      <w:r>
        <w:rPr>
          <w:spacing w:val="-33"/>
        </w:rPr>
      </w:r>
      <w:r>
        <w:rPr>
          <w:spacing w:val="-2"/>
        </w:rPr>
        <w:t>利润分配以外所有者权益的其他变动，调整长期股权投资的账面价值并计入资本公积。在确认应享有被投</w:t>
      </w:r>
      <w:r>
        <w:rPr>
          <w:spacing w:val="-33"/>
        </w:rPr>
        <w:t> </w:t>
      </w:r>
      <w:r>
        <w:rPr>
          <w:spacing w:val="-33"/>
        </w:rPr>
      </w:r>
      <w:r>
        <w:rPr>
          <w:spacing w:val="-2"/>
        </w:rPr>
        <w:t>资单位净损益的份额时，以取得投资时被投资单位各项可辨认资产等的公允价值为基础，对被投资单位的</w:t>
      </w:r>
      <w:r>
        <w:rPr>
          <w:spacing w:val="-33"/>
        </w:rPr>
        <w:t> </w:t>
      </w:r>
      <w:r>
        <w:rPr>
          <w:spacing w:val="-33"/>
        </w:rPr>
      </w:r>
      <w:r>
        <w:rPr>
          <w:spacing w:val="-2"/>
        </w:rPr>
        <w:t>净利润进行调整后确认。被投资单位采用的会计政策及会计期间与本集团不一致的，按照本集团的会计政</w:t>
      </w:r>
      <w:r>
        <w:rPr>
          <w:spacing w:val="-33"/>
        </w:rPr>
        <w:t> </w:t>
      </w:r>
      <w:r>
        <w:rPr>
          <w:spacing w:val="-33"/>
        </w:rPr>
      </w:r>
      <w:r>
        <w:rPr>
          <w:spacing w:val="-2"/>
        </w:rPr>
        <w:t>策及会计期间对被投资单位的财务报表进行调整，并据以确认投资收益和其他综合收益。对于本集团与联</w:t>
      </w:r>
      <w:r>
        <w:rPr>
          <w:spacing w:val="-33"/>
        </w:rPr>
        <w:t> </w:t>
      </w:r>
      <w:r>
        <w:rPr>
          <w:spacing w:val="-33"/>
        </w:rPr>
      </w:r>
      <w:r>
        <w:rPr>
          <w:spacing w:val="-2"/>
        </w:rPr>
        <w:t>营企业及合营企业之间发生的交易，投出或出售的资产不构成业务的，未实现内部交易损益按照享有的比</w:t>
      </w:r>
      <w:r>
        <w:rPr>
          <w:spacing w:val="-33"/>
        </w:rPr>
        <w:t> </w:t>
      </w:r>
      <w:r>
        <w:rPr>
          <w:spacing w:val="-33"/>
        </w:rPr>
      </w:r>
      <w:r>
        <w:rPr>
          <w:spacing w:val="-2"/>
        </w:rPr>
        <w:t>例计算归属于本集团的部分予以抵销，在此基础上确认投资损益。但本集团与被投资单位发生的未实现内</w:t>
      </w:r>
      <w:r>
        <w:rPr>
          <w:spacing w:val="-33"/>
        </w:rPr>
        <w:t> </w:t>
      </w:r>
      <w:r>
        <w:rPr>
          <w:spacing w:val="-33"/>
        </w:rPr>
      </w:r>
      <w:r>
        <w:rPr>
          <w:spacing w:val="-2"/>
        </w:rPr>
        <w:t>部交易损失，属于所转让资产减值损失的，不予以抵销。本集团向合营企业或联营企业投出的资产构成业</w:t>
      </w:r>
      <w:r>
        <w:rPr>
          <w:spacing w:val="-33"/>
        </w:rPr>
        <w:t> </w:t>
      </w:r>
      <w:r>
        <w:rPr>
          <w:spacing w:val="-33"/>
        </w:rPr>
      </w:r>
      <w:r>
        <w:rPr>
          <w:spacing w:val="-2"/>
        </w:rPr>
        <w:t>务的，投资方因此取得长期股权投资但未取得控制权的，以投出业务的公允价值作为新增长期股权投资的</w:t>
      </w:r>
      <w:r>
        <w:rPr>
          <w:spacing w:val="-33"/>
        </w:rPr>
        <w:t> </w:t>
      </w:r>
      <w:r>
        <w:rPr>
          <w:spacing w:val="-33"/>
        </w:rPr>
      </w:r>
      <w:r>
        <w:rPr>
          <w:spacing w:val="-2"/>
        </w:rPr>
        <w:t>初始投资成本，初始投资成本与投出业务的账面价值之差，全额计入当期损益。本集团向合营企业或联营</w:t>
      </w:r>
      <w:r>
        <w:rPr>
          <w:spacing w:val="-33"/>
        </w:rPr>
        <w:t> </w:t>
      </w:r>
      <w:r>
        <w:rPr>
          <w:spacing w:val="-33"/>
        </w:rPr>
      </w:r>
      <w:r>
        <w:rPr>
          <w:spacing w:val="-2"/>
        </w:rPr>
        <w:t>企业出售的资产构成业务的，取得的对价与业务的账面价值之差，全额计入当期损益。本集团自联营企业</w:t>
      </w:r>
      <w:r>
        <w:rPr>
          <w:spacing w:val="-30"/>
        </w:rPr>
        <w:t> </w:t>
      </w:r>
      <w:r>
        <w:rPr>
          <w:spacing w:val="-30"/>
        </w:rPr>
      </w:r>
      <w:r>
        <w:rPr>
          <w:spacing w:val="-2"/>
        </w:rPr>
        <w:t>及合营企业购入的资产构成业务的，按《企业会计准则第</w:t>
      </w:r>
      <w:r>
        <w:rPr>
          <w:rFonts w:ascii="Times New Roman" w:hAnsi="Times New Roman" w:cs="Times New Roman" w:eastAsia="Times New Roman" w:hint="default"/>
          <w:spacing w:val="-2"/>
        </w:rPr>
        <w:t>20</w:t>
      </w:r>
      <w:r>
        <w:rPr>
          <w:spacing w:val="-2"/>
        </w:rPr>
        <w:t>号</w:t>
      </w:r>
      <w:r>
        <w:rPr>
          <w:rFonts w:ascii="Times New Roman" w:hAnsi="Times New Roman" w:cs="Times New Roman" w:eastAsia="Times New Roman" w:hint="default"/>
          <w:spacing w:val="-2"/>
        </w:rPr>
        <w:t>——</w:t>
      </w:r>
      <w:r>
        <w:rPr>
          <w:spacing w:val="-2"/>
        </w:rPr>
        <w:t>企业合并》的规定进行会计处理，全额</w:t>
      </w:r>
      <w:r>
        <w:rPr>
          <w:spacing w:val="-29"/>
        </w:rPr>
        <w:t> </w:t>
      </w:r>
      <w:r>
        <w:rPr>
          <w:spacing w:val="-29"/>
        </w:rPr>
      </w:r>
      <w:r>
        <w:rPr/>
        <w:t>确认与交易相关的利得或损失。</w:t>
      </w:r>
    </w:p>
    <w:p>
      <w:pPr>
        <w:pStyle w:val="BodyText"/>
        <w:spacing w:line="273" w:lineRule="auto" w:before="10"/>
        <w:ind w:right="1125" w:firstLine="422"/>
        <w:jc w:val="both"/>
      </w:pPr>
      <w:r>
        <w:rPr>
          <w:spacing w:val="-2"/>
        </w:rPr>
        <w:t>在确认应分担被投资单位发生的净亏损时，以长期股权投资的账面价值和其他实质上构成对被投资单</w:t>
      </w:r>
      <w:r>
        <w:rPr>
          <w:w w:val="100"/>
        </w:rPr>
        <w:t> </w:t>
      </w:r>
      <w:r>
        <w:rPr>
          <w:spacing w:val="-2"/>
        </w:rPr>
        <w:t>位净投资的长期权益减记至零为限。此外，如本集团对被投资单位负有承担额外损失的义务，则按预计承</w:t>
      </w:r>
      <w:r>
        <w:rPr>
          <w:spacing w:val="-33"/>
        </w:rPr>
        <w:t> </w:t>
      </w:r>
      <w:r>
        <w:rPr>
          <w:spacing w:val="-33"/>
        </w:rPr>
      </w:r>
      <w:r>
        <w:rPr>
          <w:spacing w:val="-2"/>
        </w:rPr>
        <w:t>担的义务确认预计负债，计入当期投资损失。被投资单位以后期间实现净利润的，本集团在收益分享额弥</w:t>
      </w:r>
      <w:r>
        <w:rPr>
          <w:spacing w:val="-33"/>
        </w:rPr>
        <w:t> </w:t>
      </w:r>
      <w:r>
        <w:rPr>
          <w:spacing w:val="-33"/>
        </w:rPr>
      </w:r>
      <w:r>
        <w:rPr/>
        <w:t>补未确认的亏损分担额后，恢复确认收益分享额。</w:t>
      </w:r>
    </w:p>
    <w:p>
      <w:pPr>
        <w:pStyle w:val="BodyText"/>
        <w:spacing w:line="256" w:lineRule="auto"/>
        <w:ind w:left="494" w:right="0" w:hanging="87"/>
        <w:jc w:val="left"/>
      </w:pPr>
      <w:r>
        <w:rPr/>
        <w:t>（</w:t>
      </w:r>
      <w:r>
        <w:rPr>
          <w:rFonts w:ascii="Times New Roman" w:hAnsi="Times New Roman" w:cs="Times New Roman" w:eastAsia="Times New Roman" w:hint="default"/>
        </w:rPr>
        <w:t>3</w:t>
      </w:r>
      <w:r>
        <w:rPr/>
        <w:t>）</w:t>
      </w:r>
      <w:r>
        <w:rPr>
          <w:spacing w:val="-23"/>
        </w:rPr>
        <w:t> </w:t>
      </w:r>
      <w:r>
        <w:rPr/>
        <w:t>收购少数股权</w:t>
      </w:r>
      <w:r>
        <w:rPr>
          <w:spacing w:val="-100"/>
        </w:rPr>
        <w:t> </w:t>
      </w:r>
      <w:r>
        <w:rPr>
          <w:spacing w:val="-100"/>
        </w:rPr>
      </w:r>
      <w:r>
        <w:rPr>
          <w:spacing w:val="-2"/>
        </w:rPr>
        <w:t>在编制合并财务报表时，因购买少数股权新增的长期股权投资与按照新增持股比例计算应享有子公司</w:t>
      </w:r>
    </w:p>
    <w:p>
      <w:pPr>
        <w:pStyle w:val="BodyText"/>
        <w:spacing w:line="256" w:lineRule="auto" w:before="23"/>
        <w:ind w:right="1178"/>
        <w:jc w:val="both"/>
      </w:pPr>
      <w:r>
        <w:rPr>
          <w:spacing w:val="-2"/>
        </w:rPr>
        <w:t>自购买日</w:t>
      </w:r>
      <w:r>
        <w:rPr>
          <w:rFonts w:ascii="Times New Roman" w:hAnsi="Times New Roman" w:cs="Times New Roman" w:eastAsia="Times New Roman" w:hint="default"/>
          <w:spacing w:val="-2"/>
        </w:rPr>
        <w:t>(</w:t>
      </w:r>
      <w:r>
        <w:rPr>
          <w:spacing w:val="-2"/>
        </w:rPr>
        <w:t>或合并日</w:t>
      </w:r>
      <w:r>
        <w:rPr>
          <w:rFonts w:ascii="Times New Roman" w:hAnsi="Times New Roman" w:cs="Times New Roman" w:eastAsia="Times New Roman" w:hint="default"/>
          <w:spacing w:val="-2"/>
        </w:rPr>
        <w:t>)</w:t>
      </w:r>
      <w:r>
        <w:rPr>
          <w:spacing w:val="-2"/>
        </w:rPr>
        <w:t>开始持续计算的净资产份额之间的差额，调整资本公积，资本公积不足冲减的，调整</w:t>
      </w:r>
      <w:r>
        <w:rPr>
          <w:spacing w:val="-15"/>
        </w:rPr>
        <w:t> </w:t>
      </w:r>
      <w:r>
        <w:rPr>
          <w:spacing w:val="-15"/>
        </w:rPr>
      </w:r>
      <w:r>
        <w:rPr/>
        <w:t>留存收益。</w:t>
      </w:r>
    </w:p>
    <w:p>
      <w:pPr>
        <w:pStyle w:val="BodyText"/>
        <w:spacing w:line="256" w:lineRule="auto" w:before="22"/>
        <w:ind w:left="575" w:right="0" w:hanging="168"/>
        <w:jc w:val="left"/>
      </w:pPr>
      <w:r>
        <w:rPr/>
        <w:t>（</w:t>
      </w:r>
      <w:r>
        <w:rPr>
          <w:rFonts w:ascii="Times New Roman" w:hAnsi="Times New Roman" w:cs="Times New Roman" w:eastAsia="Times New Roman" w:hint="default"/>
        </w:rPr>
        <w:t>4</w:t>
      </w:r>
      <w:r>
        <w:rPr/>
        <w:t>）</w:t>
      </w:r>
      <w:r>
        <w:rPr>
          <w:spacing w:val="-23"/>
        </w:rPr>
        <w:t> </w:t>
      </w:r>
      <w:r>
        <w:rPr/>
        <w:t>处置长期股权投资</w:t>
      </w:r>
      <w:r>
        <w:rPr>
          <w:spacing w:val="-103"/>
        </w:rPr>
        <w:t> </w:t>
      </w:r>
      <w:r>
        <w:rPr>
          <w:spacing w:val="-103"/>
        </w:rPr>
      </w:r>
      <w:r>
        <w:rPr>
          <w:spacing w:val="-2"/>
        </w:rPr>
        <w:t>在合并财务报表中，母公司在不丧失控制权的情况下部分处置对子公司的长期股权投资，处置价款与</w:t>
      </w:r>
    </w:p>
    <w:p>
      <w:pPr>
        <w:pStyle w:val="BodyText"/>
        <w:spacing w:line="273" w:lineRule="auto" w:before="22"/>
        <w:ind w:right="1126"/>
        <w:jc w:val="both"/>
      </w:pPr>
      <w:r>
        <w:rPr>
          <w:spacing w:val="-2"/>
        </w:rPr>
        <w:t>处置长期股权投资相对应享有子公司净资产的差额计入股东权益；母公司部分处置对子公司的长期股权投</w:t>
      </w:r>
      <w:r>
        <w:rPr>
          <w:spacing w:val="-33"/>
        </w:rPr>
        <w:t> </w:t>
      </w:r>
      <w:r>
        <w:rPr>
          <w:spacing w:val="-33"/>
        </w:rPr>
      </w:r>
      <w:r>
        <w:rPr/>
        <w:t>资导致丧失对子公司控制权的，按本附注五、</w:t>
      </w:r>
      <w:r>
        <w:rPr>
          <w:rFonts w:ascii="Times New Roman" w:hAnsi="Times New Roman" w:cs="Times New Roman" w:eastAsia="Times New Roman" w:hint="default"/>
        </w:rPr>
        <w:t>6“</w:t>
      </w:r>
      <w:r>
        <w:rPr/>
        <w:t>合并财务报表编制的方法</w:t>
      </w:r>
      <w:r>
        <w:rPr>
          <w:rFonts w:ascii="Times New Roman" w:hAnsi="Times New Roman" w:cs="Times New Roman" w:eastAsia="Times New Roman" w:hint="default"/>
        </w:rPr>
        <w:t>”</w:t>
      </w:r>
      <w:r>
        <w:rPr/>
        <w:t>中所述的相关会计政策处理。</w:t>
      </w:r>
    </w:p>
    <w:p>
      <w:pPr>
        <w:pStyle w:val="BodyText"/>
        <w:spacing w:line="273" w:lineRule="auto" w:before="0"/>
        <w:ind w:right="1125" w:firstLine="422"/>
        <w:jc w:val="both"/>
      </w:pPr>
      <w:r>
        <w:rPr>
          <w:spacing w:val="-2"/>
        </w:rPr>
        <w:t>其他情形下的长期股权投资处置，对于处置的股权，其账面价值与实际取得价款的差额，计入当期损</w:t>
      </w:r>
      <w:r>
        <w:rPr>
          <w:w w:val="100"/>
        </w:rPr>
        <w:t> </w:t>
      </w:r>
      <w:r>
        <w:rPr/>
        <w:t>益。</w:t>
      </w:r>
    </w:p>
    <w:p>
      <w:pPr>
        <w:pStyle w:val="BodyText"/>
        <w:spacing w:line="273" w:lineRule="auto"/>
        <w:ind w:right="0" w:firstLine="422"/>
        <w:jc w:val="left"/>
      </w:pPr>
      <w:r>
        <w:rPr>
          <w:spacing w:val="-2"/>
        </w:rPr>
        <w:t>采用权益法核算的长期股权投资，处置后的剩余股权仍采用权益法核算的，在处置时将原计入股东权</w:t>
      </w:r>
      <w:r>
        <w:rPr>
          <w:w w:val="100"/>
        </w:rPr>
        <w:t> </w:t>
      </w:r>
      <w:r>
        <w:rPr/>
        <w:t>益的其他综合收益部分按相应的比例采用与被投资单位直接处置相关资产或负债相同的基础进行会计处</w:t>
      </w:r>
      <w:r>
        <w:rPr>
          <w:w w:val="100"/>
        </w:rPr>
        <w:t> </w:t>
      </w:r>
      <w:r>
        <w:rPr>
          <w:spacing w:val="-2"/>
        </w:rPr>
        <w:t>理。因被投资方除净损益、其他综合收益和利润分配以外的其他所有者权益变动而确认的所有者权益，按</w:t>
      </w:r>
      <w:r>
        <w:rPr>
          <w:spacing w:val="-33"/>
        </w:rPr>
        <w:t> </w:t>
      </w:r>
      <w:r>
        <w:rPr>
          <w:spacing w:val="-33"/>
        </w:rPr>
      </w:r>
      <w:r>
        <w:rPr/>
        <w:t>比例结转入当期损益。</w:t>
      </w:r>
    </w:p>
    <w:p>
      <w:pPr>
        <w:pStyle w:val="BodyText"/>
        <w:spacing w:line="273" w:lineRule="auto"/>
        <w:ind w:right="1123" w:firstLine="422"/>
        <w:jc w:val="both"/>
      </w:pPr>
      <w:r>
        <w:rPr>
          <w:spacing w:val="-2"/>
        </w:rPr>
        <w:t>采用成本法核算的长期股权投资，处置后剩余股权仍采用成本法核算的，其在取得对被投资单位的控</w:t>
      </w:r>
      <w:r>
        <w:rPr>
          <w:w w:val="100"/>
        </w:rPr>
        <w:t> </w:t>
      </w:r>
      <w:r>
        <w:rPr>
          <w:spacing w:val="-2"/>
        </w:rPr>
        <w:t>制之前因采用权益法核算或金融工具确认和计量准则核算而确认的其他综合收益，采用与被投资单位直接</w:t>
      </w:r>
      <w:r>
        <w:rPr>
          <w:spacing w:val="-31"/>
        </w:rPr>
        <w:t> </w:t>
      </w:r>
      <w:r>
        <w:rPr>
          <w:spacing w:val="-31"/>
        </w:rPr>
      </w:r>
      <w:r>
        <w:rPr>
          <w:spacing w:val="-2"/>
        </w:rPr>
        <w:t>处置相关资产或负债相同的基础进行会计处理，并按比例结转当期损益；因采用权益法核算而确认的被投</w:t>
      </w:r>
      <w:r>
        <w:rPr>
          <w:spacing w:val="-33"/>
        </w:rPr>
        <w:t> </w:t>
      </w:r>
      <w:r>
        <w:rPr>
          <w:spacing w:val="-33"/>
        </w:rPr>
      </w:r>
      <w:r>
        <w:rPr/>
        <w:t>资单位净资产中除净损益、其他综合收益和利润分配以外的其他所有者权益变动按比例结转当期损益。</w:t>
      </w:r>
    </w:p>
    <w:p>
      <w:pPr>
        <w:pStyle w:val="BodyText"/>
        <w:spacing w:line="273" w:lineRule="auto"/>
        <w:ind w:right="1123" w:firstLine="422"/>
        <w:jc w:val="both"/>
      </w:pPr>
      <w:r>
        <w:rPr>
          <w:spacing w:val="-2"/>
        </w:rPr>
        <w:t>本集团因处置部分股权投资丧失了对被投资单位的控制的，在编制个别财务报表时，处置后的剩余股</w:t>
      </w:r>
      <w:r>
        <w:rPr>
          <w:w w:val="100"/>
        </w:rPr>
        <w:t> </w:t>
      </w:r>
      <w:r>
        <w:rPr>
          <w:spacing w:val="-2"/>
        </w:rPr>
        <w:t>权能够对被投资单位实施共同控制或施加重大影响的，改按权益法核算，并对该剩余股权视同自取得时即</w:t>
      </w:r>
      <w:r>
        <w:rPr>
          <w:spacing w:val="-33"/>
        </w:rPr>
        <w:t> </w:t>
      </w:r>
      <w:r>
        <w:rPr>
          <w:spacing w:val="-33"/>
        </w:rPr>
      </w:r>
      <w:r>
        <w:rPr>
          <w:spacing w:val="-2"/>
        </w:rPr>
        <w:t>采用权益法核算进行调整；处置后的剩余股权不能对被投资单位实施共同控制或施加重大影响的，改按金</w:t>
      </w:r>
      <w:r>
        <w:rPr>
          <w:spacing w:val="-33"/>
        </w:rPr>
        <w:t> </w:t>
      </w:r>
      <w:r>
        <w:rPr>
          <w:spacing w:val="-33"/>
        </w:rPr>
      </w:r>
      <w:r>
        <w:rPr>
          <w:spacing w:val="-2"/>
        </w:rPr>
        <w:t>融工具确认和计量准则的有关规定进行会计处理，其在丧失控制之日的公允价值与账面价值之间的差额计</w:t>
      </w:r>
      <w:r>
        <w:rPr>
          <w:spacing w:val="-33"/>
        </w:rPr>
        <w:t> </w:t>
      </w:r>
      <w:r>
        <w:rPr>
          <w:spacing w:val="-33"/>
        </w:rPr>
      </w:r>
      <w:r>
        <w:rPr>
          <w:spacing w:val="-2"/>
        </w:rPr>
        <w:t>入当期损益。对于本集团取得对被投资单位的控制之前，因采用权益法核算或金融工具确认和计量准则核</w:t>
      </w:r>
      <w:r>
        <w:rPr>
          <w:spacing w:val="-33"/>
        </w:rPr>
        <w:t> </w:t>
      </w:r>
      <w:r>
        <w:rPr>
          <w:spacing w:val="-33"/>
        </w:rPr>
      </w:r>
      <w:r>
        <w:rPr>
          <w:spacing w:val="-2"/>
        </w:rPr>
        <w:t>算而确认的其他综合收益，在丧失对被投资单位控制时采用与被投资单位直接处置相关资产或负债相同的</w:t>
      </w:r>
      <w:r>
        <w:rPr>
          <w:spacing w:val="-33"/>
        </w:rPr>
        <w:t> </w:t>
      </w:r>
      <w:r>
        <w:rPr>
          <w:spacing w:val="-33"/>
        </w:rPr>
      </w:r>
      <w:r>
        <w:rPr>
          <w:spacing w:val="-2"/>
        </w:rPr>
        <w:t>基础进行会计处理，因采用权益法核算而确认的被投资单位净资产中除净损益、其他综合收益和利润分配</w:t>
      </w:r>
      <w:r>
        <w:rPr>
          <w:spacing w:val="-33"/>
        </w:rPr>
        <w:t> </w:t>
      </w:r>
      <w:r>
        <w:rPr>
          <w:spacing w:val="-33"/>
        </w:rPr>
      </w:r>
      <w:r>
        <w:rPr>
          <w:spacing w:val="-2"/>
        </w:rPr>
        <w:t>以外的其他所有者权益变动在丧失对被投资单位控制时结转入当期损益。其中，处置后的剩余股权采用权</w:t>
      </w:r>
      <w:r>
        <w:rPr>
          <w:spacing w:val="-33"/>
        </w:rPr>
        <w:t> </w:t>
      </w:r>
      <w:r>
        <w:rPr>
          <w:spacing w:val="-33"/>
        </w:rPr>
      </w:r>
      <w:r>
        <w:rPr>
          <w:spacing w:val="-2"/>
        </w:rPr>
        <w:t>益法核算的，其他综合收益和其他所有者权益按比例结转；处置后的剩余股权改按金融工具确认和计量准</w:t>
      </w:r>
    </w:p>
    <w:p>
      <w:pPr>
        <w:spacing w:after="0" w:line="273" w:lineRule="auto"/>
        <w:jc w:val="both"/>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BodyText"/>
        <w:spacing w:line="273" w:lineRule="auto" w:before="36"/>
        <w:ind w:left="575" w:right="0" w:hanging="423"/>
        <w:jc w:val="left"/>
      </w:pPr>
      <w:r>
        <w:rPr/>
        <w:t>则进行会计处理的，其他综合收益和其他所有者权益全部结转。</w:t>
      </w:r>
      <w:r>
        <w:rPr>
          <w:spacing w:val="-102"/>
        </w:rPr>
        <w:t> </w:t>
      </w:r>
      <w:r>
        <w:rPr>
          <w:spacing w:val="-102"/>
        </w:rPr>
      </w:r>
      <w:r>
        <w:rPr>
          <w:spacing w:val="-2"/>
        </w:rPr>
        <w:t>本集团因处置部分股权投资丧失了对被投资单位的共同控制或重大影响的，处置后的剩余股权改按金</w:t>
      </w:r>
    </w:p>
    <w:p>
      <w:pPr>
        <w:pStyle w:val="BodyText"/>
        <w:spacing w:line="273" w:lineRule="auto"/>
        <w:ind w:right="0"/>
        <w:jc w:val="left"/>
      </w:pPr>
      <w:r>
        <w:rPr>
          <w:spacing w:val="-2"/>
        </w:rPr>
        <w:t>融工具确认和计量准则核算，其在丧失共同控制或重大影响之日的公允价值与账面价值之间的差额计入当</w:t>
      </w:r>
      <w:r>
        <w:rPr>
          <w:spacing w:val="-33"/>
        </w:rPr>
        <w:t> </w:t>
      </w:r>
      <w:r>
        <w:rPr>
          <w:spacing w:val="-33"/>
        </w:rPr>
      </w:r>
      <w:r>
        <w:rPr>
          <w:spacing w:val="-2"/>
        </w:rPr>
        <w:t>期损益。原股权投资因采用权益法核算而确认的其他综合收益，在终止采用权益法核算时采用与被投资单</w:t>
      </w:r>
      <w:r>
        <w:rPr>
          <w:spacing w:val="-33"/>
        </w:rPr>
        <w:t> </w:t>
      </w:r>
      <w:r>
        <w:rPr>
          <w:spacing w:val="-33"/>
        </w:rPr>
      </w:r>
      <w:r>
        <w:rPr>
          <w:spacing w:val="-2"/>
        </w:rPr>
        <w:t>位直接处置相关资产或负债相同的基础进行会计处理，因被投资方除净损益、其他综合收益和利润分配以</w:t>
      </w:r>
      <w:r>
        <w:rPr>
          <w:spacing w:val="-33"/>
        </w:rPr>
        <w:t> </w:t>
      </w:r>
      <w:r>
        <w:rPr>
          <w:spacing w:val="-33"/>
        </w:rPr>
      </w:r>
      <w:r>
        <w:rPr/>
        <w:t>外的其他所有者权益变动而确认的所有者权益，在终止采用权益法时全部转入当期投资收益。</w:t>
      </w:r>
      <w:r>
        <w:rPr>
          <w:w w:val="100"/>
        </w:rPr>
        <w:t> </w:t>
      </w:r>
      <w:r>
        <w:rPr>
          <w:spacing w:val="-2"/>
        </w:rPr>
        <w:t>本集团通过多次交易分步处置对子公司股权投资直至丧失控制权，如果上述交易属于一揽子交易的，将各</w:t>
      </w:r>
      <w:r>
        <w:rPr>
          <w:spacing w:val="-33"/>
        </w:rPr>
        <w:t> </w:t>
      </w:r>
      <w:r>
        <w:rPr>
          <w:spacing w:val="-33"/>
        </w:rPr>
      </w:r>
      <w:r>
        <w:rPr>
          <w:spacing w:val="-2"/>
        </w:rPr>
        <w:t>项交易作为一项处置子公司股权投资并丧失控制权的交易进行会计处理，在丧失控制权之前每一次处置价</w:t>
      </w:r>
      <w:r>
        <w:rPr>
          <w:spacing w:val="-33"/>
        </w:rPr>
        <w:t> </w:t>
      </w:r>
      <w:r>
        <w:rPr>
          <w:spacing w:val="-33"/>
        </w:rPr>
      </w:r>
      <w:r>
        <w:rPr>
          <w:spacing w:val="-2"/>
        </w:rPr>
        <w:t>款与所处置的股权对应的长期股权投资账面价值之间的差额，先确认为其他综合收益，到丧失控制权时再</w:t>
      </w:r>
      <w:r>
        <w:rPr>
          <w:spacing w:val="-33"/>
        </w:rPr>
        <w:t> </w:t>
      </w:r>
      <w:r>
        <w:rPr>
          <w:spacing w:val="-33"/>
        </w:rPr>
      </w:r>
      <w:r>
        <w:rPr/>
        <w:t>一并转入丧失控制权的当期损益。</w:t>
      </w:r>
    </w:p>
    <w:p>
      <w:pPr>
        <w:spacing w:line="240" w:lineRule="auto" w:before="9"/>
        <w:rPr>
          <w:rFonts w:ascii="宋体" w:hAnsi="宋体" w:cs="宋体" w:eastAsia="宋体" w:hint="default"/>
          <w:sz w:val="23"/>
          <w:szCs w:val="23"/>
        </w:rPr>
      </w:pPr>
    </w:p>
    <w:p>
      <w:pPr>
        <w:pStyle w:val="Heading4"/>
        <w:spacing w:line="240" w:lineRule="auto"/>
        <w:ind w:right="0"/>
        <w:jc w:val="left"/>
        <w:rPr>
          <w:b w:val="0"/>
          <w:bCs w:val="0"/>
        </w:rPr>
      </w:pPr>
      <w:bookmarkStart w:name="15、固定资产" w:id="186"/>
      <w:bookmarkEnd w:id="186"/>
      <w:r>
        <w:rPr>
          <w:b w:val="0"/>
          <w:bCs w:val="0"/>
        </w:rPr>
      </w:r>
      <w:r>
        <w:rPr>
          <w:rFonts w:ascii="Times New Roman" w:hAnsi="Times New Roman" w:cs="Times New Roman" w:eastAsia="Times New Roman" w:hint="default"/>
        </w:rPr>
        <w:t>15</w:t>
      </w:r>
      <w:r>
        <w:rPr/>
        <w:t>、固定资产</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1）确认条件" w:id="187"/>
      <w:bookmarkEnd w:id="187"/>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10"/>
        <w:rPr>
          <w:rFonts w:ascii="宋体" w:hAnsi="宋体" w:cs="宋体" w:eastAsia="宋体" w:hint="default"/>
          <w:b/>
          <w:bCs/>
          <w:sz w:val="26"/>
          <w:szCs w:val="26"/>
        </w:rPr>
      </w:pPr>
    </w:p>
    <w:p>
      <w:pPr>
        <w:spacing w:line="312" w:lineRule="auto" w:before="0"/>
        <w:ind w:left="153" w:right="1122" w:firstLine="0"/>
        <w:jc w:val="both"/>
        <w:rPr>
          <w:rFonts w:ascii="宋体" w:hAnsi="宋体" w:cs="宋体" w:eastAsia="宋体" w:hint="default"/>
          <w:sz w:val="18"/>
          <w:szCs w:val="18"/>
        </w:rPr>
      </w:pPr>
      <w:r>
        <w:rPr>
          <w:rFonts w:ascii="宋体" w:hAnsi="宋体" w:cs="宋体" w:eastAsia="宋体" w:hint="default"/>
          <w:spacing w:val="-4"/>
          <w:sz w:val="18"/>
          <w:szCs w:val="18"/>
        </w:rPr>
        <w:t>本集团固定资产是指为生产商品、提供劳务、出租或经营管理而持有的使用寿命超过一个会计年度的有形资产。</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固定资产</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4"/>
          <w:sz w:val="18"/>
          <w:szCs w:val="18"/>
        </w:rPr>
        <w:t>在同时满足下列条件时，按照成本进行初始计量：①与该固定资产有关的经济利益很可能流入企业；②该固定资产的成本能</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够可靠地计量。</w:t>
      </w:r>
    </w:p>
    <w:p>
      <w:pPr>
        <w:spacing w:line="240" w:lineRule="auto" w:before="2"/>
        <w:rPr>
          <w:rFonts w:ascii="宋体" w:hAnsi="宋体" w:cs="宋体" w:eastAsia="宋体" w:hint="default"/>
          <w:sz w:val="22"/>
          <w:szCs w:val="22"/>
        </w:rPr>
      </w:pPr>
    </w:p>
    <w:p>
      <w:pPr>
        <w:pStyle w:val="Heading4"/>
        <w:spacing w:line="240" w:lineRule="auto"/>
        <w:ind w:right="0"/>
        <w:jc w:val="left"/>
        <w:rPr>
          <w:b w:val="0"/>
          <w:bCs w:val="0"/>
        </w:rPr>
      </w:pPr>
      <w:bookmarkStart w:name="（2）折旧方法" w:id="188"/>
      <w:bookmarkEnd w:id="188"/>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12.13</w:t>
            </w:r>
            <w:r>
              <w:rPr>
                <w:rFonts w:ascii="宋体" w:hAnsi="宋体" w:cs="宋体" w:eastAsia="宋体" w:hint="default"/>
                <w:sz w:val="18"/>
                <w:szCs w:val="18"/>
              </w:rPr>
              <w:t>、</w:t>
            </w:r>
            <w:r>
              <w:rPr>
                <w:rFonts w:ascii="Times New Roman" w:hAnsi="Times New Roman" w:cs="Times New Roman" w:eastAsia="Times New Roman" w:hint="default"/>
                <w:sz w:val="18"/>
                <w:szCs w:val="18"/>
              </w:rPr>
              <w:t>11.25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19.4</w:t>
            </w:r>
            <w:r>
              <w:rPr>
                <w:rFonts w:ascii="宋体" w:hAnsi="宋体" w:cs="宋体" w:eastAsia="宋体" w:hint="default"/>
                <w:sz w:val="18"/>
                <w:szCs w:val="18"/>
              </w:rPr>
              <w:t>、</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r>
              <w:rPr>
                <w:rFonts w:ascii="Times New Roman" w:hAnsi="Times New Roman" w:cs="Times New Roman" w:eastAsia="Times New Roman" w:hint="default"/>
                <w:sz w:val="18"/>
                <w:szCs w:val="18"/>
              </w:rPr>
              <w:t>11.25</w:t>
            </w:r>
          </w:p>
        </w:tc>
      </w:tr>
      <w:tr>
        <w:trPr>
          <w:trHeight w:val="399"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31.67</w:t>
            </w:r>
            <w:r>
              <w:rPr>
                <w:rFonts w:ascii="宋体" w:hAnsi="宋体" w:cs="宋体" w:eastAsia="宋体" w:hint="default"/>
                <w:sz w:val="18"/>
                <w:szCs w:val="18"/>
              </w:rPr>
              <w:t>、</w:t>
            </w:r>
            <w:r>
              <w:rPr>
                <w:rFonts w:ascii="Times New Roman" w:hAnsi="Times New Roman" w:cs="Times New Roman" w:eastAsia="Times New Roman" w:hint="default"/>
                <w:sz w:val="18"/>
                <w:szCs w:val="18"/>
              </w:rPr>
              <w:t>18</w:t>
            </w:r>
          </w:p>
        </w:tc>
      </w:tr>
    </w:tbl>
    <w:p>
      <w:pPr>
        <w:pStyle w:val="BodyText"/>
        <w:spacing w:line="260" w:lineRule="exact" w:before="0"/>
        <w:ind w:right="0" w:firstLine="422"/>
        <w:jc w:val="left"/>
      </w:pPr>
      <w:r>
        <w:rPr/>
        <w:t>本集团在每个会计年度终了，对固定资产的使用寿命、预计净残值和折旧方法进行复核。使用寿命与</w:t>
      </w:r>
    </w:p>
    <w:p>
      <w:pPr>
        <w:pStyle w:val="BodyText"/>
        <w:spacing w:line="273" w:lineRule="auto" w:before="37"/>
        <w:ind w:right="0"/>
        <w:jc w:val="left"/>
      </w:pPr>
      <w:r>
        <w:rPr/>
        <w:t>原先估计数有差异的，调整固定资产使用寿命；预计净残值预计数与原先估计数有差异的，调整预计净残</w:t>
      </w:r>
      <w:r>
        <w:rPr>
          <w:w w:val="100"/>
        </w:rPr>
        <w:t> </w:t>
      </w:r>
      <w:r>
        <w:rPr>
          <w:spacing w:val="-4"/>
        </w:rPr>
        <w:t>值；与固定资产有关的经济利益预期实现方式有重大改变的，改变固定资产折旧方法。固定资产使用寿命、</w:t>
      </w:r>
      <w:r>
        <w:rPr>
          <w:spacing w:val="-47"/>
        </w:rPr>
        <w:t> </w:t>
      </w:r>
      <w:r>
        <w:rPr>
          <w:spacing w:val="-47"/>
        </w:rPr>
      </w:r>
      <w:r>
        <w:rPr/>
        <w:t>预计净残值和折旧方法的改变作为会计估计变更。</w:t>
      </w:r>
    </w:p>
    <w:p>
      <w:pPr>
        <w:spacing w:line="240" w:lineRule="auto" w:before="9"/>
        <w:rPr>
          <w:rFonts w:ascii="宋体" w:hAnsi="宋体" w:cs="宋体" w:eastAsia="宋体" w:hint="default"/>
          <w:sz w:val="24"/>
          <w:szCs w:val="24"/>
        </w:rPr>
      </w:pPr>
    </w:p>
    <w:p>
      <w:pPr>
        <w:pStyle w:val="BodyText"/>
        <w:spacing w:line="590" w:lineRule="atLeast" w:before="0"/>
        <w:ind w:left="575" w:right="1127" w:hanging="423"/>
        <w:jc w:val="left"/>
      </w:pPr>
      <w:bookmarkStart w:name="（3） 其他说明" w:id="189"/>
      <w:bookmarkEnd w:id="189"/>
      <w:r>
        <w:rPr/>
      </w: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其他说明</w:t>
      </w:r>
      <w:r>
        <w:rPr>
          <w:rFonts w:ascii="宋体" w:hAnsi="宋体" w:cs="宋体" w:eastAsia="宋体" w:hint="default"/>
          <w:b/>
          <w:bCs/>
          <w:w w:val="100"/>
        </w:rPr>
        <w:t> </w:t>
      </w:r>
      <w:r>
        <w:rPr>
          <w:spacing w:val="-2"/>
        </w:rPr>
        <w:t>与固定资产有关的后续支出，如果与该固定资产有关的经济利益很可能流入且其成本能可靠地计量，</w:t>
      </w:r>
    </w:p>
    <w:p>
      <w:pPr>
        <w:pStyle w:val="BodyText"/>
        <w:spacing w:line="273" w:lineRule="auto" w:before="37"/>
        <w:ind w:right="1127"/>
        <w:jc w:val="left"/>
      </w:pPr>
      <w:r>
        <w:rPr>
          <w:spacing w:val="-2"/>
        </w:rPr>
        <w:t>则计入固定资产成本，并终止确认被替换部分的账面价值。除此以外的其他后续支出，在发生时计入当期</w:t>
      </w:r>
      <w:r>
        <w:rPr>
          <w:spacing w:val="-33"/>
        </w:rPr>
        <w:t> </w:t>
      </w:r>
      <w:r>
        <w:rPr>
          <w:spacing w:val="-33"/>
        </w:rPr>
      </w:r>
      <w:r>
        <w:rPr/>
        <w:t>损益。</w:t>
      </w:r>
    </w:p>
    <w:p>
      <w:pPr>
        <w:pStyle w:val="BodyText"/>
        <w:spacing w:line="273" w:lineRule="auto"/>
        <w:ind w:left="575" w:right="0"/>
        <w:jc w:val="left"/>
      </w:pPr>
      <w:r>
        <w:rPr/>
        <w:t>固定资产出售、转让、报废或毁损的处置收入扣除其账面价值和相关税费后的差额计入当期损益。</w:t>
      </w:r>
      <w:r>
        <w:rPr>
          <w:w w:val="100"/>
        </w:rPr>
        <w:t> </w:t>
      </w:r>
      <w:r>
        <w:rPr>
          <w:spacing w:val="-2"/>
        </w:rPr>
        <w:t>本集团至少于年度终了对固定资产的使用寿命、预计净残值和折旧方法进行复核，如发生改变则作为</w:t>
      </w:r>
    </w:p>
    <w:p>
      <w:pPr>
        <w:pStyle w:val="BodyText"/>
        <w:spacing w:line="240" w:lineRule="auto"/>
        <w:ind w:right="0"/>
        <w:jc w:val="left"/>
      </w:pPr>
      <w:r>
        <w:rPr/>
        <w:t>会计估计变更处理。</w:t>
      </w:r>
    </w:p>
    <w:p>
      <w:pPr>
        <w:spacing w:after="0" w:line="240" w:lineRule="auto"/>
        <w:jc w:val="left"/>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4"/>
        <w:spacing w:line="240" w:lineRule="auto" w:before="36"/>
        <w:ind w:right="0"/>
        <w:jc w:val="left"/>
        <w:rPr>
          <w:b w:val="0"/>
          <w:bCs w:val="0"/>
        </w:rPr>
      </w:pPr>
      <w:bookmarkStart w:name="16、借款费用" w:id="190"/>
      <w:bookmarkEnd w:id="190"/>
      <w:r>
        <w:rPr>
          <w:b w:val="0"/>
          <w:bCs w:val="0"/>
        </w:rPr>
      </w:r>
      <w:r>
        <w:rPr>
          <w:rFonts w:ascii="Times New Roman" w:hAnsi="Times New Roman" w:cs="Times New Roman" w:eastAsia="Times New Roman" w:hint="default"/>
        </w:rPr>
        <w:t>16</w:t>
      </w:r>
      <w:r>
        <w:rPr/>
        <w:t>、借款费用</w:t>
      </w:r>
      <w:r>
        <w:rPr>
          <w:b w:val="0"/>
          <w:bCs w:val="0"/>
        </w:rPr>
      </w:r>
    </w:p>
    <w:p>
      <w:pPr>
        <w:spacing w:line="240" w:lineRule="auto" w:before="5"/>
        <w:rPr>
          <w:rFonts w:ascii="宋体" w:hAnsi="宋体" w:cs="宋体" w:eastAsia="宋体" w:hint="default"/>
          <w:b/>
          <w:bCs/>
          <w:sz w:val="24"/>
          <w:szCs w:val="24"/>
        </w:rPr>
      </w:pPr>
    </w:p>
    <w:p>
      <w:pPr>
        <w:pStyle w:val="BodyText"/>
        <w:spacing w:line="273" w:lineRule="auto" w:before="0"/>
        <w:ind w:right="1125" w:firstLine="422"/>
        <w:jc w:val="both"/>
      </w:pPr>
      <w:r>
        <w:rPr>
          <w:spacing w:val="-2"/>
        </w:rPr>
        <w:t>借款费用包括借款利息、折价或溢价的摊销、辅助费用以及因外币借款而发生的汇兑差额等。可直接</w:t>
      </w:r>
      <w:r>
        <w:rPr>
          <w:w w:val="100"/>
        </w:rPr>
        <w:t> </w:t>
      </w:r>
      <w:r>
        <w:rPr>
          <w:spacing w:val="-2"/>
        </w:rPr>
        <w:t>归属于符合资本化条件的资产的购建或者生产的借款费用，在资产支出已经发生、借款费用已经发生、为</w:t>
      </w:r>
      <w:r>
        <w:rPr>
          <w:spacing w:val="-33"/>
        </w:rPr>
        <w:t> </w:t>
      </w:r>
      <w:r>
        <w:rPr>
          <w:spacing w:val="-33"/>
        </w:rPr>
      </w:r>
      <w:r>
        <w:rPr>
          <w:spacing w:val="-2"/>
        </w:rPr>
        <w:t>使资产达到预定可使用或可销售状态所必要的购建或生产活动已经开始时，开始资本化；构建或者生产的</w:t>
      </w:r>
      <w:r>
        <w:rPr>
          <w:spacing w:val="-33"/>
        </w:rPr>
        <w:t> </w:t>
      </w:r>
      <w:r>
        <w:rPr>
          <w:spacing w:val="-33"/>
        </w:rPr>
      </w:r>
      <w:r>
        <w:rPr>
          <w:spacing w:val="-2"/>
        </w:rPr>
        <w:t>符合资本化条件的资产达到预定可使用状态或者可销售状态时，停止资本化。其余借款费用在发生当期确</w:t>
      </w:r>
      <w:r>
        <w:rPr>
          <w:spacing w:val="-33"/>
        </w:rPr>
        <w:t> </w:t>
      </w:r>
      <w:r>
        <w:rPr>
          <w:spacing w:val="-33"/>
        </w:rPr>
      </w:r>
      <w:r>
        <w:rPr/>
        <w:t>认为费用。</w:t>
      </w:r>
    </w:p>
    <w:p>
      <w:pPr>
        <w:pStyle w:val="BodyText"/>
        <w:spacing w:line="273" w:lineRule="auto"/>
        <w:ind w:right="1119" w:firstLine="422"/>
        <w:jc w:val="both"/>
      </w:pPr>
      <w:r>
        <w:rPr>
          <w:spacing w:val="-2"/>
        </w:rPr>
        <w:t>专门借款当期实际发生的利息费用，减去尚未动用的借款资金存入银行取得的利息收入或进行暂时性</w:t>
      </w:r>
      <w:r>
        <w:rPr>
          <w:w w:val="100"/>
        </w:rPr>
        <w:t> </w:t>
      </w:r>
      <w:r>
        <w:rPr>
          <w:spacing w:val="-2"/>
        </w:rPr>
        <w:t>投资取得的投资收益后的金额予以资本化；一般借款根据累计资产支出超过专门借款部分的资产支出加权</w:t>
      </w:r>
      <w:r>
        <w:rPr>
          <w:spacing w:val="-33"/>
        </w:rPr>
        <w:t> </w:t>
      </w:r>
      <w:r>
        <w:rPr>
          <w:spacing w:val="-33"/>
        </w:rPr>
      </w:r>
      <w:r>
        <w:rPr>
          <w:spacing w:val="-2"/>
        </w:rPr>
        <w:t>平均数乘以所占用一般借款的资本化率，确定资本化金额。资本化率根据一般借款的加权平均利率计算确</w:t>
      </w:r>
      <w:r>
        <w:rPr>
          <w:spacing w:val="-33"/>
        </w:rPr>
        <w:t> </w:t>
      </w:r>
      <w:r>
        <w:rPr>
          <w:spacing w:val="-33"/>
        </w:rPr>
      </w:r>
      <w:r>
        <w:rPr/>
        <w:t>定。</w:t>
      </w:r>
    </w:p>
    <w:p>
      <w:pPr>
        <w:pStyle w:val="BodyText"/>
        <w:spacing w:line="273" w:lineRule="auto"/>
        <w:ind w:left="575" w:right="0"/>
        <w:jc w:val="left"/>
      </w:pPr>
      <w:r>
        <w:rPr>
          <w:spacing w:val="-2"/>
        </w:rPr>
        <w:t>资本化期间内，外币专门借款的汇兑差额全部予以资本化；外币一般借款的汇兑差额计入当期损益。</w:t>
      </w:r>
      <w:r>
        <w:rPr>
          <w:spacing w:val="-15"/>
        </w:rPr>
        <w:t> </w:t>
      </w:r>
      <w:r>
        <w:rPr>
          <w:spacing w:val="-15"/>
        </w:rPr>
      </w:r>
      <w:r>
        <w:rPr/>
        <w:t>符合资本化条件的资产指需要经过相当长时间的购建或者生产活动才能达到预定可使用或可销售状</w:t>
      </w:r>
    </w:p>
    <w:p>
      <w:pPr>
        <w:pStyle w:val="BodyText"/>
        <w:spacing w:line="273" w:lineRule="auto"/>
        <w:ind w:left="575" w:right="0" w:hanging="423"/>
        <w:jc w:val="left"/>
      </w:pPr>
      <w:r>
        <w:rPr/>
        <w:t>态的固定资产、投资性房地产和存货等资产。</w:t>
      </w:r>
      <w:r>
        <w:rPr>
          <w:spacing w:val="-101"/>
        </w:rPr>
        <w:t> </w:t>
      </w:r>
      <w:r>
        <w:rPr>
          <w:spacing w:val="-101"/>
        </w:rPr>
      </w:r>
      <w:r>
        <w:rPr/>
        <w:t>如果符合资本化条件的资产在购建或生产过程中发生非正常中断、并且中断时间连续超过</w:t>
      </w:r>
      <w:r>
        <w:rPr>
          <w:rFonts w:ascii="Times New Roman" w:hAnsi="Times New Roman" w:cs="Times New Roman" w:eastAsia="Times New Roman" w:hint="default"/>
        </w:rPr>
        <w:t>3</w:t>
      </w:r>
      <w:r>
        <w:rPr/>
        <w:t>个月的，</w:t>
      </w:r>
    </w:p>
    <w:p>
      <w:pPr>
        <w:pStyle w:val="BodyText"/>
        <w:spacing w:line="264" w:lineRule="exact" w:before="0"/>
        <w:ind w:right="0"/>
        <w:jc w:val="left"/>
      </w:pPr>
      <w:r>
        <w:rPr/>
        <w:t>暂停借款费用的资本化，直至资产的购建或生产活动重新开始。</w:t>
      </w:r>
    </w:p>
    <w:p>
      <w:pPr>
        <w:spacing w:line="240" w:lineRule="auto" w:before="12"/>
        <w:rPr>
          <w:rFonts w:ascii="宋体" w:hAnsi="宋体" w:cs="宋体" w:eastAsia="宋体" w:hint="default"/>
          <w:sz w:val="25"/>
          <w:szCs w:val="25"/>
        </w:rPr>
      </w:pPr>
    </w:p>
    <w:p>
      <w:pPr>
        <w:pStyle w:val="Heading4"/>
        <w:spacing w:line="240" w:lineRule="auto"/>
        <w:ind w:right="0"/>
        <w:jc w:val="left"/>
        <w:rPr>
          <w:b w:val="0"/>
          <w:bCs w:val="0"/>
        </w:rPr>
      </w:pPr>
      <w:bookmarkStart w:name="17、无形资产" w:id="191"/>
      <w:bookmarkEnd w:id="191"/>
      <w:r>
        <w:rPr>
          <w:b w:val="0"/>
          <w:bCs w:val="0"/>
        </w:rPr>
      </w:r>
      <w:r>
        <w:rPr>
          <w:rFonts w:ascii="Times New Roman" w:hAnsi="Times New Roman" w:cs="Times New Roman" w:eastAsia="Times New Roman" w:hint="default"/>
        </w:rPr>
        <w:t>17</w:t>
      </w:r>
      <w:r>
        <w:rPr/>
        <w:t>、无形资产</w:t>
      </w:r>
      <w:r>
        <w:rPr>
          <w:b w:val="0"/>
          <w:bCs w:val="0"/>
        </w:rPr>
      </w:r>
    </w:p>
    <w:p>
      <w:pPr>
        <w:spacing w:line="600" w:lineRule="atLeast" w:before="9"/>
        <w:ind w:left="575" w:right="0" w:hanging="423"/>
        <w:jc w:val="left"/>
        <w:rPr>
          <w:rFonts w:ascii="宋体" w:hAnsi="宋体" w:cs="宋体" w:eastAsia="宋体" w:hint="default"/>
          <w:sz w:val="21"/>
          <w:szCs w:val="21"/>
        </w:rPr>
      </w:pPr>
      <w:bookmarkStart w:name="（1）计价方法、使用寿命、减值测试" w:id="192"/>
      <w:bookmarkEnd w:id="19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b/>
          <w:bCs/>
          <w:w w:val="100"/>
          <w:sz w:val="21"/>
          <w:szCs w:val="21"/>
        </w:rPr>
        <w:t> </w:t>
      </w:r>
      <w:r>
        <w:rPr>
          <w:rFonts w:ascii="宋体" w:hAnsi="宋体" w:cs="宋体" w:eastAsia="宋体" w:hint="default"/>
          <w:spacing w:val="-2"/>
          <w:sz w:val="21"/>
          <w:szCs w:val="21"/>
        </w:rPr>
        <w:t>本集团无形资产是指本集团所拥有或者控制的没有实物形态的可辨认非货币性资产。</w:t>
      </w:r>
    </w:p>
    <w:p>
      <w:pPr>
        <w:pStyle w:val="BodyText"/>
        <w:spacing w:line="259" w:lineRule="auto" w:before="37"/>
        <w:ind w:left="575" w:right="5136"/>
        <w:jc w:val="left"/>
      </w:pPr>
      <w:r>
        <w:rPr>
          <w:rFonts w:ascii="Times New Roman" w:hAnsi="Times New Roman" w:cs="Times New Roman" w:eastAsia="Times New Roman" w:hint="default"/>
        </w:rPr>
        <w:t>1.</w:t>
      </w:r>
      <w:r>
        <w:rPr/>
        <w:t>无形资产的确认</w:t>
      </w:r>
      <w:r>
        <w:rPr>
          <w:spacing w:val="-101"/>
        </w:rPr>
        <w:t> </w:t>
      </w:r>
      <w:r>
        <w:rPr>
          <w:spacing w:val="-101"/>
        </w:rPr>
      </w:r>
      <w:r>
        <w:rPr>
          <w:spacing w:val="-2"/>
        </w:rPr>
        <w:t>本集团在同时满足下列条件时，予以确认无形资产：</w:t>
      </w:r>
      <w:r>
        <w:rPr>
          <w:spacing w:val="-57"/>
        </w:rPr>
        <w:t> </w:t>
      </w:r>
      <w:r>
        <w:rPr>
          <w:spacing w:val="-57"/>
        </w:rPr>
      </w:r>
      <w:r>
        <w:rPr>
          <w:rFonts w:ascii="Times New Roman" w:hAnsi="Times New Roman" w:cs="Times New Roman" w:eastAsia="Times New Roman" w:hint="default"/>
        </w:rPr>
        <w:t>(1)</w:t>
      </w:r>
      <w:r>
        <w:rPr/>
        <w:t>与该无形资产有关的经济利益很可能流入企业；</w:t>
      </w:r>
      <w:r>
        <w:rPr>
          <w:spacing w:val="-102"/>
        </w:rPr>
        <w:t> </w:t>
      </w:r>
      <w:r>
        <w:rPr>
          <w:spacing w:val="-102"/>
        </w:rPr>
      </w:r>
      <w:r>
        <w:rPr>
          <w:rFonts w:ascii="Times New Roman" w:hAnsi="Times New Roman" w:cs="Times New Roman" w:eastAsia="Times New Roman" w:hint="default"/>
        </w:rPr>
        <w:t>(2)</w:t>
      </w:r>
      <w:r>
        <w:rPr/>
        <w:t>该无形资产的成本能够可靠地计量。</w:t>
      </w:r>
      <w:r>
        <w:rPr>
          <w:spacing w:val="-103"/>
        </w:rPr>
        <w:t> </w:t>
      </w:r>
      <w:r>
        <w:rPr>
          <w:spacing w:val="-103"/>
        </w:rPr>
      </w:r>
      <w:r>
        <w:rPr>
          <w:rFonts w:ascii="Times New Roman" w:hAnsi="Times New Roman" w:cs="Times New Roman" w:eastAsia="Times New Roman" w:hint="default"/>
        </w:rPr>
        <w:t>2.</w:t>
      </w:r>
      <w:r>
        <w:rPr/>
        <w:t>无形资产的计量</w:t>
      </w:r>
      <w:r>
        <w:rPr>
          <w:spacing w:val="-101"/>
        </w:rPr>
        <w:t> </w:t>
      </w:r>
      <w:r>
        <w:rPr>
          <w:spacing w:val="-101"/>
        </w:rPr>
      </w:r>
      <w:r>
        <w:rPr>
          <w:rFonts w:ascii="Times New Roman" w:hAnsi="Times New Roman" w:cs="Times New Roman" w:eastAsia="Times New Roman" w:hint="default"/>
        </w:rPr>
        <w:t>(1)</w:t>
      </w:r>
      <w:r>
        <w:rPr/>
        <w:t>本集团无形资产按照成本进行初始计量。</w:t>
      </w:r>
      <w:r>
        <w:rPr>
          <w:w w:val="100"/>
        </w:rPr>
        <w:t> </w:t>
      </w:r>
      <w:r>
        <w:rPr>
          <w:rFonts w:ascii="Times New Roman" w:hAnsi="Times New Roman" w:cs="Times New Roman" w:eastAsia="Times New Roman" w:hint="default"/>
        </w:rPr>
        <w:t>(2)</w:t>
      </w:r>
      <w:r>
        <w:rPr/>
        <w:t>无形资产的后续计量</w:t>
      </w:r>
    </w:p>
    <w:p>
      <w:pPr>
        <w:pStyle w:val="BodyText"/>
        <w:spacing w:line="273" w:lineRule="auto" w:before="2"/>
        <w:ind w:right="0" w:firstLine="422"/>
        <w:jc w:val="left"/>
      </w:pPr>
      <w:r>
        <w:rPr>
          <w:spacing w:val="-2"/>
        </w:rPr>
        <w:t>①对于使用寿命有限的无形资产在取得时判定其使用寿命并在以后期间在使用寿命内采用直线法摊</w:t>
      </w:r>
      <w:r>
        <w:rPr>
          <w:w w:val="100"/>
        </w:rPr>
        <w:t> </w:t>
      </w:r>
      <w:r>
        <w:rPr/>
        <w:t>销，摊销金额按受益项目计入相关成本、费用核算。使用寿命不确定的无形资产不摊销。</w:t>
      </w:r>
    </w:p>
    <w:p>
      <w:pPr>
        <w:pStyle w:val="BodyText"/>
        <w:spacing w:line="273" w:lineRule="auto"/>
        <w:ind w:right="1106" w:firstLine="422"/>
        <w:jc w:val="both"/>
      </w:pPr>
      <w:r>
        <w:rPr>
          <w:spacing w:val="-2"/>
        </w:rPr>
        <w:t>期末，对使用寿命有限的无形资产的使用寿命和摊销方法进行复核，如发生变更则作为会计估计变更</w:t>
      </w:r>
      <w:r>
        <w:rPr>
          <w:w w:val="100"/>
        </w:rPr>
        <w:t> </w:t>
      </w:r>
      <w:r>
        <w:rPr>
          <w:spacing w:val="-2"/>
        </w:rPr>
        <w:t>处理。此外，还对使用寿命不确定的无形资产的使用寿命进行复核，如果有证据表明该无形资产为企业带</w:t>
      </w:r>
      <w:r>
        <w:rPr>
          <w:spacing w:val="-33"/>
        </w:rPr>
        <w:t> </w:t>
      </w:r>
      <w:r>
        <w:rPr>
          <w:spacing w:val="-33"/>
        </w:rPr>
      </w:r>
      <w:r>
        <w:rPr>
          <w:spacing w:val="-2"/>
        </w:rPr>
        <w:t>来经济利益的期限是可预见的，则估计其使用寿命并按照使用寿命有限的无形资产的摊销政策进行摊销。</w:t>
      </w:r>
    </w:p>
    <w:tbl>
      <w:tblPr>
        <w:tblW w:w="0" w:type="auto"/>
        <w:jc w:val="left"/>
        <w:tblInd w:w="254" w:type="dxa"/>
        <w:tblLayout w:type="fixed"/>
        <w:tblCellMar>
          <w:top w:w="0" w:type="dxa"/>
          <w:left w:w="0" w:type="dxa"/>
          <w:bottom w:w="0" w:type="dxa"/>
          <w:right w:w="0" w:type="dxa"/>
        </w:tblCellMar>
        <w:tblLook w:val="01E0"/>
      </w:tblPr>
      <w:tblGrid>
        <w:gridCol w:w="4452"/>
        <w:gridCol w:w="4463"/>
      </w:tblGrid>
      <w:tr>
        <w:trPr>
          <w:trHeight w:val="353" w:hRule="exact"/>
        </w:trPr>
        <w:tc>
          <w:tcPr>
            <w:tcW w:w="4452"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463" w:type="dxa"/>
            <w:tcBorders>
              <w:top w:val="single" w:sz="6" w:space="0" w:color="000000"/>
              <w:left w:val="single" w:sz="6" w:space="0" w:color="000000"/>
              <w:bottom w:val="single" w:sz="12" w:space="0" w:color="000000"/>
              <w:right w:val="nil" w:sz="6" w:space="0" w:color="auto"/>
            </w:tcBorders>
          </w:tcPr>
          <w:p>
            <w:pPr>
              <w:pStyle w:val="TableParagraph"/>
              <w:spacing w:line="285" w:lineRule="exact"/>
              <w:ind w:left="3"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摊销年限</w:t>
            </w:r>
            <w:r>
              <w:rPr>
                <w:rFonts w:ascii="Times New Roman" w:hAnsi="Times New Roman" w:cs="Times New Roman" w:eastAsia="Times New Roman" w:hint="default"/>
                <w:sz w:val="21"/>
                <w:szCs w:val="21"/>
              </w:rPr>
              <w:t>(</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p>
        </w:tc>
      </w:tr>
      <w:tr>
        <w:trPr>
          <w:trHeight w:val="351" w:hRule="exact"/>
        </w:trPr>
        <w:tc>
          <w:tcPr>
            <w:tcW w:w="445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管理系统软件</w:t>
            </w:r>
          </w:p>
        </w:tc>
        <w:tc>
          <w:tcPr>
            <w:tcW w:w="446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2-10</w:t>
            </w:r>
          </w:p>
        </w:tc>
      </w:tr>
      <w:tr>
        <w:trPr>
          <w:trHeight w:val="355" w:hRule="exact"/>
        </w:trPr>
        <w:tc>
          <w:tcPr>
            <w:tcW w:w="4452"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商标使用权</w:t>
            </w:r>
          </w:p>
        </w:tc>
        <w:tc>
          <w:tcPr>
            <w:tcW w:w="446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sz w:val="21"/>
              </w:rPr>
              <w:t>8-20</w:t>
            </w:r>
          </w:p>
        </w:tc>
      </w:tr>
    </w:tbl>
    <w:p>
      <w:pPr>
        <w:pStyle w:val="BodyText"/>
        <w:spacing w:line="240" w:lineRule="auto"/>
        <w:ind w:left="575" w:right="0"/>
        <w:jc w:val="left"/>
      </w:pPr>
      <w:r>
        <w:rPr/>
        <w:t>②无形资产的减值，按照本集团制定的</w:t>
      </w:r>
      <w:r>
        <w:rPr>
          <w:rFonts w:ascii="Times New Roman" w:hAnsi="Times New Roman" w:cs="Times New Roman" w:eastAsia="Times New Roman" w:hint="default"/>
        </w:rPr>
        <w:t>“</w:t>
      </w:r>
      <w:r>
        <w:rPr/>
        <w:t>资产减值</w:t>
      </w:r>
      <w:r>
        <w:rPr>
          <w:rFonts w:ascii="Times New Roman" w:hAnsi="Times New Roman" w:cs="Times New Roman" w:eastAsia="Times New Roman" w:hint="default"/>
        </w:rPr>
        <w:t>”</w:t>
      </w:r>
      <w:r>
        <w:rPr/>
        <w:t>会计政策执行。</w:t>
      </w:r>
    </w:p>
    <w:p>
      <w:pPr>
        <w:spacing w:line="590" w:lineRule="atLeast" w:before="24"/>
        <w:ind w:left="575" w:right="0" w:hanging="423"/>
        <w:jc w:val="left"/>
        <w:rPr>
          <w:rFonts w:ascii="宋体" w:hAnsi="宋体" w:cs="宋体" w:eastAsia="宋体" w:hint="default"/>
          <w:sz w:val="21"/>
          <w:szCs w:val="21"/>
        </w:rPr>
      </w:pPr>
      <w:bookmarkStart w:name="（2）内部研究开发支出会计政策" w:id="193"/>
      <w:bookmarkEnd w:id="19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b/>
          <w:bCs/>
          <w:spacing w:val="-101"/>
          <w:sz w:val="21"/>
          <w:szCs w:val="21"/>
        </w:rPr>
        <w:t> </w:t>
      </w:r>
      <w:r>
        <w:rPr>
          <w:rFonts w:ascii="宋体" w:hAnsi="宋体" w:cs="宋体" w:eastAsia="宋体" w:hint="default"/>
          <w:spacing w:val="-2"/>
          <w:sz w:val="21"/>
          <w:szCs w:val="21"/>
        </w:rPr>
        <w:t>本集团内部研究开发项目支出根据其性质以及研发活动最终形成无形资产是否具有较大不确定性，被</w:t>
      </w:r>
    </w:p>
    <w:p>
      <w:pPr>
        <w:pStyle w:val="BodyText"/>
        <w:spacing w:line="273" w:lineRule="auto" w:before="37"/>
        <w:ind w:right="0"/>
        <w:jc w:val="left"/>
      </w:pPr>
      <w:r>
        <w:rPr>
          <w:spacing w:val="-2"/>
        </w:rPr>
        <w:t>分为研究阶段支出和开发阶段支出。内部研究开发项目研究阶段的支出，于发生时计入当期损益。内部研</w:t>
      </w:r>
      <w:r>
        <w:rPr>
          <w:spacing w:val="-33"/>
        </w:rPr>
        <w:t> </w:t>
      </w:r>
      <w:r>
        <w:rPr>
          <w:spacing w:val="-33"/>
        </w:rPr>
      </w:r>
      <w:r>
        <w:rPr>
          <w:spacing w:val="-3"/>
        </w:rPr>
        <w:t>究开发项目开发阶段的支出，同时满足下列条件的，确认为无形资产：</w:t>
      </w:r>
      <w:r>
        <w:rPr>
          <w:rFonts w:ascii="Times New Roman" w:hAnsi="Times New Roman" w:cs="Times New Roman" w:eastAsia="Times New Roman" w:hint="default"/>
          <w:spacing w:val="-3"/>
        </w:rPr>
        <w:t>(1)</w:t>
      </w:r>
      <w:r>
        <w:rPr>
          <w:spacing w:val="-3"/>
        </w:rPr>
        <w:t>完成该无形资产以使其能够使用</w:t>
      </w:r>
    </w:p>
    <w:p>
      <w:pPr>
        <w:spacing w:after="0" w:line="273"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BodyText"/>
        <w:spacing w:line="261" w:lineRule="auto" w:before="36"/>
        <w:ind w:right="1122"/>
        <w:jc w:val="both"/>
      </w:pPr>
      <w:r>
        <w:rPr>
          <w:spacing w:val="-3"/>
        </w:rPr>
        <w:t>或出售在技术上具有可行性；</w:t>
      </w:r>
      <w:r>
        <w:rPr>
          <w:rFonts w:ascii="Times New Roman" w:hAnsi="Times New Roman" w:cs="Times New Roman" w:eastAsia="Times New Roman" w:hint="default"/>
          <w:spacing w:val="-3"/>
        </w:rPr>
        <w:t>(2)</w:t>
      </w:r>
      <w:r>
        <w:rPr>
          <w:spacing w:val="-3"/>
        </w:rPr>
        <w:t>具有完成该无形资产并使用或出售的意图；</w:t>
      </w:r>
      <w:r>
        <w:rPr>
          <w:rFonts w:ascii="Times New Roman" w:hAnsi="Times New Roman" w:cs="Times New Roman" w:eastAsia="Times New Roman" w:hint="default"/>
          <w:spacing w:val="-3"/>
        </w:rPr>
        <w:t>(3)</w:t>
      </w:r>
      <w:r>
        <w:rPr>
          <w:spacing w:val="-3"/>
        </w:rPr>
        <w:t>无形资产产生经济利益的方</w:t>
      </w:r>
      <w:r>
        <w:rPr>
          <w:spacing w:val="-44"/>
        </w:rPr>
        <w:t> </w:t>
      </w:r>
      <w:r>
        <w:rPr>
          <w:spacing w:val="-44"/>
        </w:rPr>
      </w:r>
      <w:r>
        <w:rPr>
          <w:spacing w:val="-2"/>
        </w:rPr>
        <w:t>式，包括能够证明运用该无形资产生产的产品存在市场或无形资产自身存在市场，无形资产将在内部使用</w:t>
      </w:r>
      <w:r>
        <w:rPr>
          <w:spacing w:val="-30"/>
        </w:rPr>
        <w:t> </w:t>
      </w:r>
      <w:r>
        <w:rPr>
          <w:spacing w:val="-30"/>
        </w:rPr>
      </w:r>
      <w:r>
        <w:rPr>
          <w:spacing w:val="-3"/>
        </w:rPr>
        <w:t>的，能证明其有用性；</w:t>
      </w:r>
      <w:r>
        <w:rPr>
          <w:rFonts w:ascii="Times New Roman" w:hAnsi="Times New Roman" w:cs="Times New Roman" w:eastAsia="Times New Roman" w:hint="default"/>
          <w:spacing w:val="-3"/>
        </w:rPr>
        <w:t>(4)</w:t>
      </w:r>
      <w:r>
        <w:rPr>
          <w:spacing w:val="-3"/>
        </w:rPr>
        <w:t>有足够的技术、财务资源和其他资源支持，以完成该无形资产的开发，并有能力</w:t>
      </w:r>
      <w:r>
        <w:rPr>
          <w:spacing w:val="-22"/>
        </w:rPr>
        <w:t> </w:t>
      </w:r>
      <w:r>
        <w:rPr>
          <w:spacing w:val="-22"/>
        </w:rPr>
      </w:r>
      <w:r>
        <w:rPr/>
        <w:t>使用或出售该无形资产；</w:t>
      </w:r>
      <w:r>
        <w:rPr>
          <w:rFonts w:ascii="Times New Roman" w:hAnsi="Times New Roman" w:cs="Times New Roman" w:eastAsia="Times New Roman" w:hint="default"/>
        </w:rPr>
        <w:t>(5)</w:t>
      </w:r>
      <w:r>
        <w:rPr/>
        <w:t>归属于该无形资产开发阶段的支出能够可靠地计量。</w:t>
      </w:r>
    </w:p>
    <w:p>
      <w:pPr>
        <w:pStyle w:val="BodyText"/>
        <w:spacing w:line="273" w:lineRule="auto" w:before="0"/>
        <w:ind w:left="575" w:right="0"/>
        <w:jc w:val="left"/>
      </w:pPr>
      <w:r>
        <w:rPr/>
        <w:t>本集团划分内部研究开发项目研究阶段支出和开发阶段支出的具体标准：</w:t>
      </w:r>
      <w:r>
        <w:rPr>
          <w:spacing w:val="-102"/>
        </w:rPr>
        <w:t> </w:t>
      </w:r>
      <w:r>
        <w:rPr>
          <w:spacing w:val="-102"/>
        </w:rPr>
      </w:r>
      <w:r>
        <w:rPr/>
        <w:t>研究阶段：为获取并理解新的科学或技术知识等而进行的独创性的有计划调查、研究活动的阶段。</w:t>
      </w:r>
      <w:r>
        <w:rPr>
          <w:w w:val="100"/>
        </w:rPr>
        <w:t> </w:t>
      </w:r>
      <w:r>
        <w:rPr>
          <w:spacing w:val="-2"/>
        </w:rPr>
        <w:t>开发阶段：在进行商业性生产或使用前，将研究成果或其他知识应用于某项计划或设计，以生产出新</w:t>
      </w:r>
    </w:p>
    <w:p>
      <w:pPr>
        <w:pStyle w:val="BodyText"/>
        <w:spacing w:line="273" w:lineRule="auto"/>
        <w:ind w:left="575" w:right="0" w:hanging="423"/>
        <w:jc w:val="left"/>
      </w:pPr>
      <w:r>
        <w:rPr/>
        <w:t>的或具有实质性改进的材料、装置、产品等活动的阶段。</w:t>
      </w:r>
      <w:r>
        <w:rPr>
          <w:w w:val="100"/>
        </w:rPr>
        <w:t> </w:t>
      </w:r>
      <w:r>
        <w:rPr>
          <w:spacing w:val="-2"/>
        </w:rPr>
        <w:t>不满足上述条件的开发阶段的支出，于发生时计入当期损益。以前期间已计入损益的开发支出不在以</w:t>
      </w:r>
    </w:p>
    <w:p>
      <w:pPr>
        <w:pStyle w:val="BodyText"/>
        <w:spacing w:line="273" w:lineRule="auto" w:before="8"/>
        <w:ind w:right="0"/>
        <w:jc w:val="left"/>
      </w:pPr>
      <w:r>
        <w:rPr>
          <w:spacing w:val="-2"/>
        </w:rPr>
        <w:t>后期间重新确认为资产。已资本化的开发阶段的支出在资产负债表上列示为开发支出，自该项目达到预定</w:t>
      </w:r>
      <w:r>
        <w:rPr>
          <w:spacing w:val="-33"/>
        </w:rPr>
        <w:t> </w:t>
      </w:r>
      <w:r>
        <w:rPr>
          <w:spacing w:val="-33"/>
        </w:rPr>
      </w:r>
      <w:r>
        <w:rPr/>
        <w:t>用途之日起转为无形资产。</w:t>
      </w:r>
    </w:p>
    <w:p>
      <w:pPr>
        <w:pStyle w:val="BodyText"/>
        <w:spacing w:line="590" w:lineRule="atLeast" w:before="11"/>
        <w:ind w:left="575" w:right="0" w:hanging="423"/>
        <w:jc w:val="left"/>
      </w:pPr>
      <w:bookmarkStart w:name="18、长期资产减值" w:id="194"/>
      <w:bookmarkEnd w:id="194"/>
      <w:r>
        <w:rPr/>
      </w:r>
      <w:r>
        <w:rPr>
          <w:rFonts w:ascii="Times New Roman" w:hAnsi="Times New Roman" w:cs="Times New Roman" w:eastAsia="Times New Roman" w:hint="default"/>
          <w:b/>
          <w:bCs/>
        </w:rPr>
        <w:t>18</w:t>
      </w:r>
      <w:r>
        <w:rPr>
          <w:rFonts w:ascii="宋体" w:hAnsi="宋体" w:cs="宋体" w:eastAsia="宋体" w:hint="default"/>
          <w:b/>
          <w:bCs/>
        </w:rPr>
        <w:t>、长期资产减值</w:t>
      </w:r>
      <w:r>
        <w:rPr>
          <w:rFonts w:ascii="宋体" w:hAnsi="宋体" w:cs="宋体" w:eastAsia="宋体" w:hint="default"/>
          <w:b/>
          <w:bCs/>
          <w:spacing w:val="-102"/>
        </w:rPr>
        <w:t> </w:t>
      </w:r>
      <w:r>
        <w:rPr>
          <w:spacing w:val="-2"/>
        </w:rPr>
        <w:t>对于固定资产、在建工程、使用寿命有限的无形资产、以成本模式计量的投资性房地产及对子公司、</w:t>
      </w:r>
    </w:p>
    <w:p>
      <w:pPr>
        <w:pStyle w:val="BodyText"/>
        <w:spacing w:line="273" w:lineRule="auto" w:before="37"/>
        <w:ind w:right="0"/>
        <w:jc w:val="left"/>
      </w:pPr>
      <w:r>
        <w:rPr>
          <w:spacing w:val="-4"/>
        </w:rPr>
        <w:t>合营企业、联营企业的长期股权投资等非流动非金融资产，本集团于资产负债表日判断是否存在减值迹象。</w:t>
      </w:r>
      <w:r>
        <w:rPr>
          <w:spacing w:val="-42"/>
        </w:rPr>
        <w:t> </w:t>
      </w:r>
      <w:r>
        <w:rPr>
          <w:spacing w:val="-42"/>
        </w:rPr>
      </w:r>
      <w:r>
        <w:rPr/>
        <w:t>如存在减值迹象的，则估计其可收回金额，进行减值测试。商誉、使用寿命不确定的无形资产和尚未达到</w:t>
      </w:r>
      <w:r>
        <w:rPr>
          <w:w w:val="100"/>
        </w:rPr>
        <w:t> </w:t>
      </w:r>
      <w:r>
        <w:rPr/>
        <w:t>可使用状态的无形资产，无论是否存在减值迹象，每年均进行减值测试。</w:t>
      </w:r>
    </w:p>
    <w:p>
      <w:pPr>
        <w:pStyle w:val="BodyText"/>
        <w:spacing w:line="273" w:lineRule="auto"/>
        <w:ind w:right="1106" w:firstLine="422"/>
        <w:jc w:val="both"/>
      </w:pPr>
      <w:r>
        <w:rPr>
          <w:spacing w:val="-2"/>
        </w:rPr>
        <w:t>减值测试结果表明资产的可收回金额低于其账面价值的，按其差额计提减值准备并计入减值损失。可</w:t>
      </w:r>
      <w:r>
        <w:rPr>
          <w:w w:val="100"/>
        </w:rPr>
        <w:t> </w:t>
      </w:r>
      <w:r>
        <w:rPr>
          <w:spacing w:val="-2"/>
        </w:rPr>
        <w:t>收回金额为资产的公允价值减去处置费用后的净额与资产预计未来现金流量的现值两者之间的较高者。资</w:t>
      </w:r>
      <w:r>
        <w:rPr>
          <w:spacing w:val="-33"/>
        </w:rPr>
        <w:t> </w:t>
      </w:r>
      <w:r>
        <w:rPr>
          <w:spacing w:val="-33"/>
        </w:rPr>
      </w:r>
      <w:r>
        <w:rPr>
          <w:spacing w:val="-2"/>
        </w:rPr>
        <w:t>产的公允价值根据公平交易中销售协议价格确定；不存在销售协议但存在资产活跃市场的，公允价值按照</w:t>
      </w:r>
      <w:r>
        <w:rPr>
          <w:spacing w:val="-33"/>
        </w:rPr>
        <w:t> </w:t>
      </w:r>
      <w:r>
        <w:rPr>
          <w:spacing w:val="-33"/>
        </w:rPr>
      </w:r>
      <w:r>
        <w:rPr>
          <w:spacing w:val="-2"/>
        </w:rPr>
        <w:t>该资产的买方出价确定；不存在销售协议和资产活跃市场的，则以可获取的最佳信息为基础估计资产的公</w:t>
      </w:r>
      <w:r>
        <w:rPr>
          <w:spacing w:val="-33"/>
        </w:rPr>
        <w:t> </w:t>
      </w:r>
      <w:r>
        <w:rPr>
          <w:spacing w:val="-33"/>
        </w:rPr>
      </w:r>
      <w:r>
        <w:rPr>
          <w:spacing w:val="-2"/>
        </w:rPr>
        <w:t>允价值。处置费用包括与资产处置有关的法律费用、相关税费、搬运费以及为使资产达到可销售状态所发</w:t>
      </w:r>
      <w:r>
        <w:rPr>
          <w:spacing w:val="-33"/>
        </w:rPr>
        <w:t> </w:t>
      </w:r>
      <w:r>
        <w:rPr>
          <w:spacing w:val="-33"/>
        </w:rPr>
      </w:r>
      <w:r>
        <w:rPr>
          <w:spacing w:val="-2"/>
        </w:rPr>
        <w:t>生的直接费用。资产预计未来现金流量的现值，按照资产在持续使用过程中和最终处置时所产生的预计未</w:t>
      </w:r>
      <w:r>
        <w:rPr>
          <w:spacing w:val="-31"/>
        </w:rPr>
        <w:t> </w:t>
      </w:r>
      <w:r>
        <w:rPr>
          <w:spacing w:val="-31"/>
        </w:rPr>
      </w:r>
      <w:r>
        <w:rPr>
          <w:spacing w:val="-2"/>
        </w:rPr>
        <w:t>来现金流量，选择恰当的折现率对其进行折现后的金额加以确定。资产减值准备按单项资产为基础计算并</w:t>
      </w:r>
      <w:r>
        <w:rPr>
          <w:spacing w:val="-33"/>
        </w:rPr>
        <w:t> </w:t>
      </w:r>
      <w:r>
        <w:rPr>
          <w:spacing w:val="-33"/>
        </w:rPr>
      </w:r>
      <w:r>
        <w:rPr>
          <w:spacing w:val="-2"/>
        </w:rPr>
        <w:t>确认，如果难以对单项资产的可收回金额进行估计的，以该资产所属的资产组确定资产组的可收回金额。</w:t>
      </w:r>
      <w:r>
        <w:rPr>
          <w:spacing w:val="-13"/>
        </w:rPr>
        <w:t> </w:t>
      </w:r>
      <w:r>
        <w:rPr>
          <w:spacing w:val="-13"/>
        </w:rPr>
      </w:r>
      <w:r>
        <w:rPr/>
        <w:t>资产组是能够独立产生现金流入的最小资产组合。</w:t>
      </w:r>
    </w:p>
    <w:p>
      <w:pPr>
        <w:pStyle w:val="BodyText"/>
        <w:spacing w:line="273" w:lineRule="auto"/>
        <w:ind w:right="1121" w:firstLine="422"/>
        <w:jc w:val="both"/>
      </w:pPr>
      <w:r>
        <w:rPr>
          <w:spacing w:val="-2"/>
        </w:rPr>
        <w:t>在财务报表中单独列示的商誉，在进行减值测试时，将商誉的账面价值分摊至预期从企业合并的协同</w:t>
      </w:r>
      <w:r>
        <w:rPr>
          <w:w w:val="100"/>
        </w:rPr>
        <w:t> </w:t>
      </w:r>
      <w:r>
        <w:rPr>
          <w:spacing w:val="-2"/>
        </w:rPr>
        <w:t>效应中受益的资产组或资产组组合。测试结果表明包含分摊的商誉的资产组或资产组组合的可收回金额低</w:t>
      </w:r>
      <w:r>
        <w:rPr>
          <w:spacing w:val="-33"/>
        </w:rPr>
        <w:t> </w:t>
      </w:r>
      <w:r>
        <w:rPr>
          <w:spacing w:val="-33"/>
        </w:rPr>
      </w:r>
      <w:r>
        <w:rPr>
          <w:spacing w:val="-2"/>
        </w:rPr>
        <w:t>于其账面价值的，确认相应的减值损失。减值损失金额先抵减分摊至该资产组或资产组组合的商誉的账面</w:t>
      </w:r>
      <w:r>
        <w:rPr>
          <w:spacing w:val="-31"/>
        </w:rPr>
        <w:t> </w:t>
      </w:r>
      <w:r>
        <w:rPr>
          <w:spacing w:val="-31"/>
        </w:rPr>
      </w:r>
      <w:r>
        <w:rPr>
          <w:spacing w:val="-2"/>
        </w:rPr>
        <w:t>价值，再根据资产组或资产组组合中除商誉以外的其他各项资产的账面价值所占比重，按比例抵减其他各</w:t>
      </w:r>
      <w:r>
        <w:rPr>
          <w:spacing w:val="-33"/>
        </w:rPr>
        <w:t> </w:t>
      </w:r>
      <w:r>
        <w:rPr>
          <w:spacing w:val="-33"/>
        </w:rPr>
      </w:r>
      <w:r>
        <w:rPr/>
        <w:t>项资产的账面价值。</w:t>
      </w:r>
    </w:p>
    <w:p>
      <w:pPr>
        <w:pStyle w:val="BodyText"/>
        <w:spacing w:line="240" w:lineRule="auto"/>
        <w:ind w:left="575" w:right="0"/>
        <w:jc w:val="left"/>
      </w:pPr>
      <w:r>
        <w:rPr/>
        <w:t>上述资产减值损失一经确认，以后期间不予转回价值得以恢复的部分。</w:t>
      </w:r>
    </w:p>
    <w:p>
      <w:pPr>
        <w:pStyle w:val="BodyText"/>
        <w:spacing w:line="600" w:lineRule="atLeast" w:before="30"/>
        <w:ind w:left="575" w:right="1127" w:hanging="423"/>
        <w:jc w:val="left"/>
      </w:pPr>
      <w:bookmarkStart w:name="19、长期待摊费用" w:id="195"/>
      <w:bookmarkEnd w:id="195"/>
      <w:r>
        <w:rPr/>
      </w:r>
      <w:r>
        <w:rPr>
          <w:rFonts w:ascii="Times New Roman" w:hAnsi="Times New Roman" w:cs="Times New Roman" w:eastAsia="Times New Roman" w:hint="default"/>
          <w:b/>
          <w:bCs/>
        </w:rPr>
        <w:t>19</w:t>
      </w:r>
      <w:r>
        <w:rPr>
          <w:rFonts w:ascii="宋体" w:hAnsi="宋体" w:cs="宋体" w:eastAsia="宋体" w:hint="default"/>
          <w:b/>
          <w:bCs/>
        </w:rPr>
        <w:t>、长期待摊费用</w:t>
      </w:r>
      <w:r>
        <w:rPr>
          <w:rFonts w:ascii="宋体" w:hAnsi="宋体" w:cs="宋体" w:eastAsia="宋体" w:hint="default"/>
          <w:b/>
          <w:bCs/>
          <w:spacing w:val="-102"/>
        </w:rPr>
        <w:t> </w:t>
      </w:r>
      <w:r>
        <w:rPr>
          <w:spacing w:val="-2"/>
        </w:rPr>
        <w:t>本集团将已经发生的但应由本期和以后各期负担的摊销期限在一年以上的经营租赁方式租入的固定</w:t>
      </w:r>
    </w:p>
    <w:p>
      <w:pPr>
        <w:pStyle w:val="BodyText"/>
        <w:spacing w:line="240" w:lineRule="auto" w:before="37"/>
        <w:ind w:right="0"/>
        <w:jc w:val="left"/>
      </w:pPr>
      <w:r>
        <w:rPr/>
        <w:t>资产改良支出等各项费用确认为长期待摊费用，并按项目受益期采用直线法平均摊销。</w:t>
      </w:r>
    </w:p>
    <w:p>
      <w:pPr>
        <w:spacing w:line="240" w:lineRule="auto" w:before="12"/>
        <w:rPr>
          <w:rFonts w:ascii="宋体" w:hAnsi="宋体" w:cs="宋体" w:eastAsia="宋体" w:hint="default"/>
          <w:sz w:val="25"/>
          <w:szCs w:val="25"/>
        </w:rPr>
      </w:pPr>
    </w:p>
    <w:p>
      <w:pPr>
        <w:pStyle w:val="Heading4"/>
        <w:spacing w:line="240" w:lineRule="auto"/>
        <w:ind w:right="0"/>
        <w:jc w:val="left"/>
        <w:rPr>
          <w:b w:val="0"/>
          <w:bCs w:val="0"/>
        </w:rPr>
      </w:pPr>
      <w:bookmarkStart w:name="20、 商誉" w:id="196"/>
      <w:bookmarkEnd w:id="196"/>
      <w:r>
        <w:rPr>
          <w:b w:val="0"/>
          <w:bCs w:val="0"/>
        </w:rPr>
      </w:r>
      <w:r>
        <w:rPr>
          <w:rFonts w:ascii="Times New Roman" w:hAnsi="Times New Roman" w:cs="Times New Roman" w:eastAsia="Times New Roman" w:hint="default"/>
        </w:rPr>
        <w:t>20</w:t>
      </w:r>
      <w:r>
        <w:rPr/>
        <w:t>、</w:t>
      </w:r>
      <w:r>
        <w:rPr>
          <w:spacing w:val="1"/>
        </w:rPr>
        <w:t> </w:t>
      </w:r>
      <w:r>
        <w:rPr/>
        <w:t>商誉</w:t>
      </w:r>
      <w:r>
        <w:rPr>
          <w:b w:val="0"/>
          <w:bCs w:val="0"/>
        </w:rPr>
      </w:r>
    </w:p>
    <w:p>
      <w:pPr>
        <w:spacing w:line="240" w:lineRule="auto" w:before="5"/>
        <w:rPr>
          <w:rFonts w:ascii="宋体" w:hAnsi="宋体" w:cs="宋体" w:eastAsia="宋体" w:hint="default"/>
          <w:b/>
          <w:bCs/>
          <w:sz w:val="24"/>
          <w:szCs w:val="24"/>
        </w:rPr>
      </w:pPr>
    </w:p>
    <w:p>
      <w:pPr>
        <w:pStyle w:val="BodyText"/>
        <w:spacing w:line="273" w:lineRule="auto" w:before="0"/>
        <w:ind w:right="1121" w:firstLine="422"/>
        <w:jc w:val="both"/>
      </w:pPr>
      <w:r>
        <w:rPr>
          <w:spacing w:val="-2"/>
        </w:rPr>
        <w:t>因非同一控制下企业合并形成的商誉，其初始成本是合并成本大于合并中取得的被购买方可辨认净资</w:t>
      </w:r>
      <w:r>
        <w:rPr>
          <w:w w:val="100"/>
        </w:rPr>
        <w:t> </w:t>
      </w:r>
      <w:r>
        <w:rPr/>
        <w:t>产公允价值份额的差额。</w:t>
      </w:r>
    </w:p>
    <w:p>
      <w:pPr>
        <w:pStyle w:val="BodyText"/>
        <w:spacing w:line="273" w:lineRule="auto"/>
        <w:ind w:left="575" w:right="0"/>
        <w:jc w:val="left"/>
      </w:pPr>
      <w:r>
        <w:rPr>
          <w:spacing w:val="-2"/>
        </w:rPr>
        <w:t>商誉在其相关资产组或资产组组合处置时予以转出，计入当期损益。</w:t>
      </w:r>
      <w:r>
        <w:rPr>
          <w:spacing w:val="-44"/>
        </w:rPr>
        <w:t> </w:t>
      </w:r>
      <w:r>
        <w:rPr>
          <w:spacing w:val="-44"/>
        </w:rPr>
      </w:r>
      <w:r>
        <w:rPr/>
        <w:t>本集团对商誉不摊销，商誉至少在每年年度终了进行减值测试。</w:t>
      </w:r>
    </w:p>
    <w:p>
      <w:pPr>
        <w:spacing w:after="0" w:line="273"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BodyText"/>
        <w:spacing w:line="273" w:lineRule="auto" w:before="36"/>
        <w:ind w:right="1125" w:firstLine="422"/>
        <w:jc w:val="both"/>
      </w:pPr>
      <w:r>
        <w:rPr>
          <w:spacing w:val="-2"/>
        </w:rPr>
        <w:t>本集团进行商誉减值测试，对于因企业合并形成的商誉的账面价值，自购买日起按照合理的方法分摊</w:t>
      </w:r>
      <w:r>
        <w:rPr>
          <w:w w:val="100"/>
        </w:rPr>
        <w:t> </w:t>
      </w:r>
      <w:r>
        <w:rPr>
          <w:spacing w:val="-2"/>
        </w:rPr>
        <w:t>至相关的资产组；难以分摊至相关的资产组的，将其分摊至相关的资产组组合。在将商誉的账面价值分摊</w:t>
      </w:r>
      <w:r>
        <w:rPr>
          <w:spacing w:val="-33"/>
        </w:rPr>
        <w:t> </w:t>
      </w:r>
      <w:r>
        <w:rPr>
          <w:spacing w:val="-33"/>
        </w:rPr>
      </w:r>
      <w:r>
        <w:rPr>
          <w:spacing w:val="-2"/>
        </w:rPr>
        <w:t>至相关的资产组或者资产组组合时，按照各资产组或者资产组组合的公允价值占相关资产组或者资产组组</w:t>
      </w:r>
      <w:r>
        <w:rPr>
          <w:spacing w:val="-33"/>
        </w:rPr>
        <w:t> </w:t>
      </w:r>
      <w:r>
        <w:rPr>
          <w:spacing w:val="-33"/>
        </w:rPr>
      </w:r>
      <w:r>
        <w:rPr>
          <w:spacing w:val="-2"/>
        </w:rPr>
        <w:t>合公允价值总额的比例进行分摊。公允价值难以可靠计量的，按照各资产组或者资产组组合的账面价值占</w:t>
      </w:r>
      <w:r>
        <w:rPr>
          <w:spacing w:val="-33"/>
        </w:rPr>
        <w:t> </w:t>
      </w:r>
      <w:r>
        <w:rPr>
          <w:spacing w:val="-33"/>
        </w:rPr>
      </w:r>
      <w:r>
        <w:rPr/>
        <w:t>相关资产组或者资产组组合账面价值总额的比例进行分摊。</w:t>
      </w:r>
    </w:p>
    <w:p>
      <w:pPr>
        <w:pStyle w:val="BodyText"/>
        <w:spacing w:line="268" w:lineRule="auto"/>
        <w:ind w:right="1125" w:firstLine="422"/>
        <w:jc w:val="both"/>
      </w:pPr>
      <w:r>
        <w:rPr>
          <w:spacing w:val="-2"/>
        </w:rPr>
        <w:t>在对包含商誉的相关资产组或者资产组组合进行减值测试时，如与商誉相关的资产组或者资产组组合</w:t>
      </w:r>
      <w:r>
        <w:rPr>
          <w:w w:val="100"/>
        </w:rPr>
        <w:t> </w:t>
      </w:r>
      <w:r>
        <w:rPr>
          <w:spacing w:val="-2"/>
        </w:rPr>
        <w:t>存在减值迹象的，先对不包含商誉的资产组或者资产组组合进行减值测试，计算可收回金额，并与相关账</w:t>
      </w:r>
      <w:r>
        <w:rPr>
          <w:spacing w:val="-33"/>
        </w:rPr>
        <w:t> </w:t>
      </w:r>
      <w:r>
        <w:rPr>
          <w:spacing w:val="-33"/>
        </w:rPr>
      </w:r>
      <w:r>
        <w:rPr>
          <w:spacing w:val="-2"/>
        </w:rPr>
        <w:t>面价值相比较，确认相应的减值损失。再对包含商誉的资产组或者资产组组合进行减值测试，比较这些相</w:t>
      </w:r>
      <w:r>
        <w:rPr>
          <w:spacing w:val="-33"/>
        </w:rPr>
        <w:t> </w:t>
      </w:r>
      <w:r>
        <w:rPr>
          <w:spacing w:val="-33"/>
        </w:rPr>
      </w:r>
      <w:r>
        <w:rPr/>
        <w:t>关资产组或者资产组组合的账面价值</w:t>
      </w:r>
      <w:r>
        <w:rPr>
          <w:rFonts w:ascii="Times New Roman" w:hAnsi="Times New Roman" w:cs="Times New Roman" w:eastAsia="Times New Roman" w:hint="default"/>
        </w:rPr>
        <w:t>(</w:t>
      </w:r>
      <w:r>
        <w:rPr/>
        <w:t>包括所分摊的商誉的账面价值部分</w:t>
      </w:r>
      <w:r>
        <w:rPr>
          <w:rFonts w:ascii="Times New Roman" w:hAnsi="Times New Roman" w:cs="Times New Roman" w:eastAsia="Times New Roman" w:hint="default"/>
        </w:rPr>
        <w:t>)</w:t>
      </w:r>
      <w:r>
        <w:rPr/>
        <w:t>与其可收回金额，如相关资产组</w:t>
      </w:r>
      <w:r>
        <w:rPr>
          <w:spacing w:val="-58"/>
        </w:rPr>
        <w:t> </w:t>
      </w:r>
      <w:r>
        <w:rPr>
          <w:spacing w:val="-58"/>
        </w:rPr>
      </w:r>
      <w:r>
        <w:rPr/>
        <w:t>或者资产组组合的可收回金额低于其账面价值的，确认商誉的减值损失。</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bookmarkStart w:name="21、职工薪酬" w:id="197"/>
      <w:bookmarkEnd w:id="197"/>
      <w:r>
        <w:rPr>
          <w:b w:val="0"/>
          <w:bCs w:val="0"/>
        </w:rPr>
      </w:r>
      <w:r>
        <w:rPr>
          <w:rFonts w:ascii="Times New Roman" w:hAnsi="Times New Roman" w:cs="Times New Roman" w:eastAsia="Times New Roman" w:hint="default"/>
        </w:rPr>
        <w:t>21</w:t>
      </w:r>
      <w:r>
        <w:rPr/>
        <w:t>、职工薪酬</w:t>
      </w:r>
      <w:r>
        <w:rPr>
          <w:b w:val="0"/>
          <w:bCs w:val="0"/>
        </w:rPr>
      </w:r>
    </w:p>
    <w:p>
      <w:pPr>
        <w:spacing w:line="600" w:lineRule="atLeast" w:before="9"/>
        <w:ind w:left="575" w:right="0" w:hanging="423"/>
        <w:jc w:val="left"/>
        <w:rPr>
          <w:rFonts w:ascii="宋体" w:hAnsi="宋体" w:cs="宋体" w:eastAsia="宋体" w:hint="default"/>
          <w:sz w:val="21"/>
          <w:szCs w:val="21"/>
        </w:rPr>
      </w:pPr>
      <w:bookmarkStart w:name="（1）短期薪酬的会计处理方法" w:id="198"/>
      <w:bookmarkEnd w:id="1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spacing w:val="-102"/>
          <w:sz w:val="21"/>
          <w:szCs w:val="21"/>
        </w:rPr>
        <w:t> </w:t>
      </w:r>
      <w:r>
        <w:rPr>
          <w:rFonts w:ascii="宋体" w:hAnsi="宋体" w:cs="宋体" w:eastAsia="宋体" w:hint="default"/>
          <w:spacing w:val="-2"/>
          <w:sz w:val="21"/>
          <w:szCs w:val="21"/>
        </w:rPr>
        <w:t>本集团在职工为其提供服务的会计期间，将实际发生的短期薪酬确认为负债，并计入当期损益，其他</w:t>
      </w:r>
    </w:p>
    <w:p>
      <w:pPr>
        <w:pStyle w:val="BodyText"/>
        <w:spacing w:line="240" w:lineRule="auto" w:before="37"/>
        <w:ind w:right="0"/>
        <w:jc w:val="left"/>
      </w:pPr>
      <w:r>
        <w:rPr/>
        <w:t>会计准则要求或允许计入资产成本的除外。</w:t>
      </w:r>
    </w:p>
    <w:p>
      <w:pPr>
        <w:spacing w:line="590" w:lineRule="atLeast" w:before="40"/>
        <w:ind w:left="575" w:right="0" w:hanging="423"/>
        <w:jc w:val="left"/>
        <w:rPr>
          <w:rFonts w:ascii="宋体" w:hAnsi="宋体" w:cs="宋体" w:eastAsia="宋体" w:hint="default"/>
          <w:sz w:val="21"/>
          <w:szCs w:val="21"/>
        </w:rPr>
      </w:pPr>
      <w:bookmarkStart w:name="（2）离职后福利的会计处理方法" w:id="199"/>
      <w:bookmarkEnd w:id="19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spacing w:val="-101"/>
          <w:sz w:val="21"/>
          <w:szCs w:val="21"/>
        </w:rPr>
        <w:t> </w:t>
      </w:r>
      <w:r>
        <w:rPr>
          <w:rFonts w:ascii="宋体" w:hAnsi="宋体" w:cs="宋体" w:eastAsia="宋体" w:hint="default"/>
          <w:spacing w:val="-2"/>
          <w:sz w:val="21"/>
          <w:szCs w:val="21"/>
        </w:rPr>
        <w:t>本集团将离职后福利计划分类为设定提存计划和设定受益计划。离职后福利计划，是指本集团与职工</w:t>
      </w:r>
    </w:p>
    <w:p>
      <w:pPr>
        <w:pStyle w:val="BodyText"/>
        <w:spacing w:line="273" w:lineRule="auto" w:before="37"/>
        <w:ind w:right="1125"/>
        <w:jc w:val="both"/>
      </w:pPr>
      <w:r>
        <w:rPr>
          <w:spacing w:val="-2"/>
        </w:rPr>
        <w:t>就离职后福利达成的协议，或者本集团为向职工提供离职后福利制定的规章或办法等。其中，设定提存计</w:t>
      </w:r>
      <w:r>
        <w:rPr>
          <w:spacing w:val="-33"/>
        </w:rPr>
        <w:t> </w:t>
      </w:r>
      <w:r>
        <w:rPr>
          <w:spacing w:val="-33"/>
        </w:rPr>
      </w:r>
      <w:r>
        <w:rPr>
          <w:spacing w:val="-2"/>
        </w:rPr>
        <w:t>划，是指向独立的基金缴存固定费用后，本集团不再承担进一步支付义务的离职后福利计划；设定受益计</w:t>
      </w:r>
      <w:r>
        <w:rPr>
          <w:spacing w:val="-33"/>
        </w:rPr>
        <w:t> </w:t>
      </w:r>
      <w:r>
        <w:rPr>
          <w:spacing w:val="-33"/>
        </w:rPr>
      </w:r>
      <w:r>
        <w:rPr/>
        <w:t>划，是指除设定提存计划以外的离职后福利计划。</w:t>
      </w:r>
    </w:p>
    <w:p>
      <w:pPr>
        <w:pStyle w:val="BodyText"/>
        <w:spacing w:line="256" w:lineRule="auto"/>
        <w:ind w:left="575" w:right="0"/>
        <w:jc w:val="left"/>
      </w:pPr>
      <w:r>
        <w:rPr>
          <w:rFonts w:ascii="Times New Roman" w:hAnsi="Times New Roman" w:cs="Times New Roman" w:eastAsia="Times New Roman" w:hint="default"/>
        </w:rPr>
        <w:t>A</w:t>
      </w:r>
      <w:r>
        <w:rPr/>
        <w:t>、设定提存计划</w:t>
      </w:r>
      <w:r>
        <w:rPr>
          <w:spacing w:val="-100"/>
        </w:rPr>
        <w:t> </w:t>
      </w:r>
      <w:r>
        <w:rPr>
          <w:spacing w:val="-2"/>
        </w:rPr>
        <w:t>本集团在职工为其提供服务的会计期间，将根据设定提存计划计算的应缴存金额确认为负债，并计入</w:t>
      </w:r>
    </w:p>
    <w:p>
      <w:pPr>
        <w:pStyle w:val="BodyText"/>
        <w:spacing w:line="240" w:lineRule="auto" w:before="22"/>
        <w:ind w:right="0"/>
        <w:jc w:val="left"/>
      </w:pPr>
      <w:r>
        <w:rPr/>
        <w:t>当期损益或相关资产成本。</w:t>
      </w:r>
    </w:p>
    <w:p>
      <w:pPr>
        <w:pStyle w:val="BodyText"/>
        <w:spacing w:line="256" w:lineRule="auto" w:before="37"/>
        <w:ind w:left="575" w:right="2115"/>
        <w:jc w:val="left"/>
      </w:pPr>
      <w:r>
        <w:rPr>
          <w:rFonts w:ascii="Times New Roman" w:hAnsi="Times New Roman" w:cs="Times New Roman" w:eastAsia="Times New Roman" w:hint="default"/>
        </w:rPr>
        <w:t>B</w:t>
      </w:r>
      <w:r>
        <w:rPr/>
        <w:t>、设定受益计划</w:t>
      </w:r>
      <w:r>
        <w:rPr>
          <w:spacing w:val="-103"/>
        </w:rPr>
        <w:t> </w:t>
      </w:r>
      <w:r>
        <w:rPr>
          <w:spacing w:val="-103"/>
        </w:rPr>
      </w:r>
      <w:r>
        <w:rPr>
          <w:spacing w:val="-2"/>
        </w:rPr>
        <w:t>本集团尚未运作设定受益计划或符合设定受益计划条件的其他长期职工福利。</w:t>
      </w:r>
    </w:p>
    <w:p>
      <w:pPr>
        <w:spacing w:line="600" w:lineRule="atLeast" w:before="16"/>
        <w:ind w:left="575" w:right="0" w:hanging="423"/>
        <w:jc w:val="left"/>
        <w:rPr>
          <w:rFonts w:ascii="宋体" w:hAnsi="宋体" w:cs="宋体" w:eastAsia="宋体" w:hint="default"/>
          <w:sz w:val="21"/>
          <w:szCs w:val="21"/>
        </w:rPr>
      </w:pPr>
      <w:bookmarkStart w:name="（3）辞退福利的会计处理方法" w:id="200"/>
      <w:bookmarkEnd w:id="20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spacing w:val="-102"/>
          <w:sz w:val="21"/>
          <w:szCs w:val="21"/>
        </w:rPr>
        <w:t> </w:t>
      </w:r>
      <w:r>
        <w:rPr>
          <w:rFonts w:ascii="宋体" w:hAnsi="宋体" w:cs="宋体" w:eastAsia="宋体" w:hint="default"/>
          <w:spacing w:val="-2"/>
          <w:sz w:val="21"/>
          <w:szCs w:val="21"/>
        </w:rPr>
        <w:t>本集团向职工提供辞退福利的，在下列两者孰早日确认辞退福利产生的职工薪酬负债，并计入当期损</w:t>
      </w:r>
    </w:p>
    <w:p>
      <w:pPr>
        <w:pStyle w:val="BodyText"/>
        <w:spacing w:line="273" w:lineRule="auto" w:before="37"/>
        <w:ind w:right="1125"/>
        <w:jc w:val="both"/>
      </w:pPr>
      <w:r>
        <w:rPr>
          <w:spacing w:val="-2"/>
        </w:rPr>
        <w:t>益：本集团不能单方面撤回因解除劳动关系计划或裁减建议所提供的辞退福利时；本集团确认与涉及支付</w:t>
      </w:r>
      <w:r>
        <w:rPr>
          <w:spacing w:val="-33"/>
        </w:rPr>
        <w:t> </w:t>
      </w:r>
      <w:r>
        <w:rPr>
          <w:spacing w:val="-33"/>
        </w:rPr>
      </w:r>
      <w:r>
        <w:rPr/>
        <w:t>辞退福利的重组相关的成本或费用时。</w:t>
      </w:r>
    </w:p>
    <w:p>
      <w:pPr>
        <w:spacing w:line="240" w:lineRule="auto" w:before="9"/>
        <w:rPr>
          <w:rFonts w:ascii="宋体" w:hAnsi="宋体" w:cs="宋体" w:eastAsia="宋体" w:hint="default"/>
          <w:sz w:val="24"/>
          <w:szCs w:val="24"/>
        </w:rPr>
      </w:pPr>
    </w:p>
    <w:p>
      <w:pPr>
        <w:spacing w:line="590" w:lineRule="atLeast" w:before="0"/>
        <w:ind w:left="575" w:right="0" w:hanging="423"/>
        <w:jc w:val="left"/>
        <w:rPr>
          <w:rFonts w:ascii="宋体" w:hAnsi="宋体" w:cs="宋体" w:eastAsia="宋体" w:hint="default"/>
          <w:sz w:val="21"/>
          <w:szCs w:val="21"/>
        </w:rPr>
      </w:pPr>
      <w:bookmarkStart w:name="（4）其他长期职工福利的会计处理方法" w:id="201"/>
      <w:bookmarkEnd w:id="20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本集团向职工提供的其他长期职工福利，符合设定提存计划条件的，按照上述设定提存计划的会计政</w:t>
      </w:r>
    </w:p>
    <w:p>
      <w:pPr>
        <w:pStyle w:val="BodyText"/>
        <w:spacing w:line="273" w:lineRule="auto" w:before="37"/>
        <w:ind w:right="1125"/>
        <w:jc w:val="both"/>
      </w:pPr>
      <w:r>
        <w:rPr>
          <w:spacing w:val="-2"/>
        </w:rPr>
        <w:t>策进行处理；除此以外的，按照上述设定受益计划的会计政策确认和计量其他长期职工福利净负债或净资</w:t>
      </w:r>
      <w:r>
        <w:rPr>
          <w:spacing w:val="-33"/>
        </w:rPr>
        <w:t> </w:t>
      </w:r>
      <w:r>
        <w:rPr>
          <w:spacing w:val="-33"/>
        </w:rPr>
      </w:r>
      <w:r>
        <w:rPr/>
        <w:t>产。</w:t>
      </w:r>
    </w:p>
    <w:p>
      <w:pPr>
        <w:spacing w:after="0" w:line="273" w:lineRule="auto"/>
        <w:jc w:val="both"/>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4"/>
        <w:spacing w:line="240" w:lineRule="auto" w:before="36"/>
        <w:ind w:right="0"/>
        <w:jc w:val="left"/>
        <w:rPr>
          <w:b w:val="0"/>
          <w:bCs w:val="0"/>
        </w:rPr>
      </w:pPr>
      <w:bookmarkStart w:name="22、预计负债" w:id="202"/>
      <w:bookmarkEnd w:id="202"/>
      <w:r>
        <w:rPr>
          <w:b w:val="0"/>
          <w:bCs w:val="0"/>
        </w:rPr>
      </w:r>
      <w:r>
        <w:rPr>
          <w:rFonts w:ascii="Times New Roman" w:hAnsi="Times New Roman" w:cs="Times New Roman" w:eastAsia="Times New Roman" w:hint="default"/>
        </w:rPr>
        <w:t>22</w:t>
      </w:r>
      <w:r>
        <w:rPr/>
        <w:t>、预计负债</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0"/>
        <w:ind w:left="575" w:right="0"/>
        <w:jc w:val="left"/>
      </w:pPr>
      <w:r>
        <w:rPr/>
        <w:t>当与或有事项相关的义务同时符合以下条件，确认为预计负债：</w:t>
      </w:r>
      <w:r>
        <w:rPr>
          <w:rFonts w:ascii="Times New Roman" w:hAnsi="Times New Roman" w:cs="Times New Roman" w:eastAsia="Times New Roman" w:hint="default"/>
        </w:rPr>
        <w:t>(1)</w:t>
      </w:r>
      <w:r>
        <w:rPr/>
        <w:t>该义务是本集团承担的现时义务；</w:t>
      </w:r>
    </w:p>
    <w:p>
      <w:pPr>
        <w:pStyle w:val="BodyText"/>
        <w:spacing w:line="256" w:lineRule="auto" w:before="22"/>
        <w:ind w:left="575" w:right="0" w:hanging="423"/>
        <w:jc w:val="left"/>
      </w:pPr>
      <w:r>
        <w:rPr>
          <w:rFonts w:ascii="Times New Roman" w:hAnsi="Times New Roman" w:cs="Times New Roman" w:eastAsia="Times New Roman" w:hint="default"/>
        </w:rPr>
        <w:t>(2)</w:t>
      </w:r>
      <w:r>
        <w:rPr/>
        <w:t>履行该义务很可能导致经济利益流出；</w:t>
      </w:r>
      <w:r>
        <w:rPr>
          <w:rFonts w:ascii="Times New Roman" w:hAnsi="Times New Roman" w:cs="Times New Roman" w:eastAsia="Times New Roman" w:hint="default"/>
        </w:rPr>
        <w:t>(3)</w:t>
      </w:r>
      <w:r>
        <w:rPr/>
        <w:t>该义务的金额能够可靠地计量。</w:t>
      </w:r>
      <w:r>
        <w:rPr>
          <w:w w:val="100"/>
        </w:rPr>
        <w:t> </w:t>
      </w:r>
      <w:r>
        <w:rPr>
          <w:spacing w:val="-2"/>
        </w:rPr>
        <w:t>在资产负债表日，考虑与或有事项有关的风险、不确定性和货币时间价值等因素，按照履行相关现时</w:t>
      </w:r>
    </w:p>
    <w:p>
      <w:pPr>
        <w:pStyle w:val="BodyText"/>
        <w:spacing w:line="273" w:lineRule="auto" w:before="22"/>
        <w:ind w:left="575" w:right="0" w:hanging="423"/>
        <w:jc w:val="left"/>
      </w:pPr>
      <w:r>
        <w:rPr/>
        <w:t>义务所需支出的最佳估计数对预计负债进行计量。</w:t>
      </w:r>
      <w:r>
        <w:rPr>
          <w:w w:val="100"/>
        </w:rPr>
        <w:t> </w:t>
      </w:r>
      <w:r>
        <w:rPr>
          <w:spacing w:val="-2"/>
        </w:rPr>
        <w:t>如果清偿预计负债所需支出全部或部分预期由第三方补偿的，补偿金额在基本确定能够收到时，作为</w:t>
      </w:r>
    </w:p>
    <w:p>
      <w:pPr>
        <w:pStyle w:val="BodyText"/>
        <w:spacing w:line="240" w:lineRule="auto"/>
        <w:ind w:right="0"/>
        <w:jc w:val="left"/>
      </w:pPr>
      <w:r>
        <w:rPr/>
        <w:t>资产单独确认，且确认的补偿金额不超过预计负债的账面价值。</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bookmarkStart w:name="23、收入" w:id="203"/>
      <w:bookmarkEnd w:id="203"/>
      <w:r>
        <w:rPr>
          <w:b w:val="0"/>
          <w:bCs w:val="0"/>
        </w:rPr>
      </w:r>
      <w:r>
        <w:rPr>
          <w:rFonts w:ascii="Times New Roman" w:hAnsi="Times New Roman" w:cs="Times New Roman" w:eastAsia="Times New Roman" w:hint="default"/>
        </w:rPr>
        <w:t>23</w:t>
      </w:r>
      <w:r>
        <w:rPr/>
        <w:t>、收入</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pStyle w:val="BodyText"/>
        <w:spacing w:line="273" w:lineRule="auto" w:before="75"/>
        <w:ind w:right="1126" w:firstLine="422"/>
        <w:jc w:val="both"/>
      </w:pPr>
      <w:r>
        <w:rPr>
          <w:spacing w:val="-2"/>
        </w:rPr>
        <w:t>收入的金额按照本集团在日常经营活动中销售商品和提供劳务时，已收或应收合同或协议价款的公允</w:t>
      </w:r>
      <w:r>
        <w:rPr>
          <w:w w:val="100"/>
        </w:rPr>
        <w:t> </w:t>
      </w:r>
      <w:r>
        <w:rPr/>
        <w:t>价值确定。收入按扣除销售折让及销售退回的净额列示。</w:t>
      </w:r>
    </w:p>
    <w:p>
      <w:pPr>
        <w:pStyle w:val="BodyText"/>
        <w:spacing w:line="256" w:lineRule="auto"/>
        <w:ind w:left="575" w:right="0"/>
        <w:jc w:val="left"/>
      </w:pPr>
      <w:r>
        <w:rPr>
          <w:rFonts w:ascii="Times New Roman" w:hAnsi="Times New Roman" w:cs="Times New Roman" w:eastAsia="Times New Roman" w:hint="default"/>
        </w:rPr>
        <w:t>1.</w:t>
      </w:r>
      <w:r>
        <w:rPr/>
        <w:t>商品销售收入</w:t>
      </w:r>
      <w:r>
        <w:rPr>
          <w:spacing w:val="-102"/>
        </w:rPr>
        <w:t> </w:t>
      </w:r>
      <w:r>
        <w:rPr>
          <w:spacing w:val="-102"/>
        </w:rPr>
      </w:r>
      <w:r>
        <w:rPr>
          <w:spacing w:val="-2"/>
        </w:rPr>
        <w:t>在已将商品所有权上的主要风险和报酬转移给买方，既没有保留通常与所有权相联系的继续管理权，</w:t>
      </w:r>
    </w:p>
    <w:p>
      <w:pPr>
        <w:pStyle w:val="BodyText"/>
        <w:spacing w:line="273" w:lineRule="auto" w:before="22"/>
        <w:ind w:right="0"/>
        <w:jc w:val="left"/>
      </w:pPr>
      <w:r>
        <w:rPr/>
        <w:t>也没有对已售商品实施有效控制，收入的金额能够可靠地计量，相关的经济利益很可能流入企业，相关的</w:t>
      </w:r>
      <w:r>
        <w:rPr>
          <w:w w:val="100"/>
        </w:rPr>
        <w:t> </w:t>
      </w:r>
      <w:r>
        <w:rPr>
          <w:spacing w:val="-4"/>
        </w:rPr>
        <w:t>已发生或将发生的成本能够可靠地计量时，确认商品销售收入的实现。本集团销售商品收入具体时点如下：</w:t>
      </w:r>
    </w:p>
    <w:p>
      <w:pPr>
        <w:pStyle w:val="BodyText"/>
        <w:spacing w:line="256" w:lineRule="auto" w:before="8"/>
        <w:ind w:left="575" w:right="0"/>
        <w:jc w:val="left"/>
      </w:pPr>
      <w:r>
        <w:rPr>
          <w:rFonts w:ascii="Times New Roman" w:hAnsi="Times New Roman" w:cs="Times New Roman" w:eastAsia="Times New Roman" w:hint="default"/>
        </w:rPr>
        <w:t>2.</w:t>
      </w:r>
      <w:r>
        <w:rPr/>
        <w:t>提供劳务收入</w:t>
      </w:r>
      <w:r>
        <w:rPr>
          <w:spacing w:val="-102"/>
        </w:rPr>
        <w:t> </w:t>
      </w:r>
      <w:r>
        <w:rPr>
          <w:spacing w:val="-102"/>
        </w:rPr>
      </w:r>
      <w:r>
        <w:rPr>
          <w:spacing w:val="-2"/>
        </w:rPr>
        <w:t>在提供劳务交易的结果能够可靠估计的情况下，于资产负债表日按照完工百分比法确认提供的劳务收</w:t>
      </w:r>
    </w:p>
    <w:p>
      <w:pPr>
        <w:pStyle w:val="BodyText"/>
        <w:spacing w:line="273" w:lineRule="auto" w:before="22"/>
        <w:ind w:left="575" w:right="0" w:hanging="423"/>
        <w:jc w:val="left"/>
      </w:pPr>
      <w:r>
        <w:rPr/>
        <w:t>入。劳务交易的完工进度按已经提供的劳务占应提供劳务总量的比例确定。</w:t>
      </w:r>
      <w:r>
        <w:rPr>
          <w:w w:val="100"/>
        </w:rPr>
        <w:t> </w:t>
      </w:r>
      <w:r>
        <w:rPr>
          <w:spacing w:val="-2"/>
        </w:rPr>
        <w:t>提供劳务交易的结果能够可靠估计是指同时满足：①收入的金额能够可靠地计量；②相关的经济利益</w:t>
      </w:r>
    </w:p>
    <w:p>
      <w:pPr>
        <w:pStyle w:val="BodyText"/>
        <w:spacing w:line="273" w:lineRule="auto"/>
        <w:ind w:left="0" w:right="1106"/>
        <w:jc w:val="right"/>
      </w:pPr>
      <w:r>
        <w:rPr>
          <w:spacing w:val="-2"/>
        </w:rPr>
        <w:t>很可能流入企业；③交易的完工程度能够可靠地确定；④交易中已发生和将发生的成本能够可靠地计量。</w:t>
      </w:r>
      <w:r>
        <w:rPr>
          <w:spacing w:val="-24"/>
        </w:rPr>
        <w:t> </w:t>
      </w:r>
      <w:r>
        <w:rPr>
          <w:spacing w:val="-24"/>
        </w:rPr>
      </w:r>
      <w:r>
        <w:rPr>
          <w:spacing w:val="-2"/>
        </w:rPr>
        <w:t>如果提供劳务交易的结果不能够可靠估计，则按已经发生并预计能够得到补偿的劳务成本金额确认提</w:t>
      </w:r>
      <w:r>
        <w:rPr>
          <w:w w:val="100"/>
        </w:rPr>
        <w:t> </w:t>
      </w:r>
      <w:r>
        <w:rPr>
          <w:spacing w:val="-2"/>
        </w:rPr>
        <w:t>供的劳务收入，并将已发生的劳务成本作为当期费用。已经发生的劳务成本如预计不能得到补偿的，则不</w:t>
      </w:r>
    </w:p>
    <w:p>
      <w:pPr>
        <w:pStyle w:val="BodyText"/>
        <w:spacing w:line="240" w:lineRule="auto"/>
        <w:ind w:right="0"/>
        <w:jc w:val="left"/>
      </w:pPr>
      <w:r>
        <w:rPr/>
        <w:t>确认收入。</w:t>
      </w:r>
    </w:p>
    <w:p>
      <w:pPr>
        <w:pStyle w:val="BodyText"/>
        <w:spacing w:line="273" w:lineRule="auto" w:before="37"/>
        <w:ind w:right="1125" w:firstLine="422"/>
        <w:jc w:val="both"/>
      </w:pPr>
      <w:r>
        <w:rPr>
          <w:spacing w:val="-2"/>
        </w:rPr>
        <w:t>公司的劳务收入主要设计费收入，由于公司目前设计工作时间周期短，收入确认时点为按照合同的约</w:t>
      </w:r>
      <w:r>
        <w:rPr>
          <w:w w:val="100"/>
        </w:rPr>
        <w:t> </w:t>
      </w:r>
      <w:r>
        <w:rPr/>
        <w:t>定提供设计方案，该方案经买方验收并收到价款或取得收取款项的证据时。</w:t>
      </w:r>
    </w:p>
    <w:p>
      <w:pPr>
        <w:pStyle w:val="BodyText"/>
        <w:spacing w:line="259" w:lineRule="auto"/>
        <w:ind w:left="575" w:right="0"/>
        <w:jc w:val="left"/>
      </w:pPr>
      <w:r>
        <w:rPr>
          <w:rFonts w:ascii="Times New Roman" w:hAnsi="Times New Roman" w:cs="Times New Roman" w:eastAsia="Times New Roman" w:hint="default"/>
        </w:rPr>
        <w:t>3.</w:t>
      </w:r>
      <w:r>
        <w:rPr/>
        <w:t>让渡资产使用权及其增值服务收入</w:t>
      </w:r>
      <w:r>
        <w:rPr>
          <w:spacing w:val="-102"/>
        </w:rPr>
        <w:t> </w:t>
      </w:r>
      <w:r>
        <w:rPr>
          <w:spacing w:val="-102"/>
        </w:rPr>
      </w:r>
      <w:r>
        <w:rPr>
          <w:spacing w:val="-2"/>
        </w:rPr>
        <w:t>在让渡资产使用权及增值服务收入的金额能够可靠计量，相关的经济利益很可能流入企业时，确认让</w:t>
      </w:r>
    </w:p>
    <w:p>
      <w:pPr>
        <w:pStyle w:val="BodyText"/>
        <w:spacing w:line="273" w:lineRule="auto" w:before="20"/>
        <w:ind w:right="1106"/>
        <w:jc w:val="both"/>
      </w:pPr>
      <w:r>
        <w:rPr>
          <w:spacing w:val="-2"/>
        </w:rPr>
        <w:t>渡资产使用权及增值服务收入的实现。让渡资产使用权及增值服务收入按照有关合同或协议约定的收费时</w:t>
      </w:r>
      <w:r>
        <w:rPr>
          <w:spacing w:val="-33"/>
        </w:rPr>
        <w:t> </w:t>
      </w:r>
      <w:r>
        <w:rPr>
          <w:spacing w:val="-33"/>
        </w:rPr>
      </w:r>
      <w:r>
        <w:rPr>
          <w:spacing w:val="-2"/>
        </w:rPr>
        <w:t>间和方法计算确定。如果合同或协议规定一次性收取使用费，且不提供后续服务的，视同销售该项资产一</w:t>
      </w:r>
      <w:r>
        <w:rPr>
          <w:spacing w:val="-33"/>
        </w:rPr>
        <w:t> </w:t>
      </w:r>
      <w:r>
        <w:rPr>
          <w:spacing w:val="-33"/>
        </w:rPr>
      </w:r>
      <w:r>
        <w:rPr>
          <w:spacing w:val="-2"/>
        </w:rPr>
        <w:t>次性确认收入；按时间比例为基础确定的让渡资产使用权及增值服务收入在协议有效期内按直线法确认。</w:t>
      </w:r>
      <w:r>
        <w:rPr>
          <w:spacing w:val="-13"/>
        </w:rPr>
        <w:t> </w:t>
      </w:r>
      <w:r>
        <w:rPr>
          <w:spacing w:val="-13"/>
        </w:rPr>
      </w:r>
      <w:r>
        <w:rPr>
          <w:spacing w:val="-2"/>
        </w:rPr>
        <w:t>如果有关合同或协议包含若干可单独分辨的组成部分，则先将合同或协议总金额按某种合理的方法分配至</w:t>
      </w:r>
      <w:r>
        <w:rPr>
          <w:spacing w:val="-33"/>
        </w:rPr>
        <w:t> </w:t>
      </w:r>
      <w:r>
        <w:rPr>
          <w:spacing w:val="-33"/>
        </w:rPr>
      </w:r>
      <w:r>
        <w:rPr/>
        <w:t>每个组成部分。当每个组成部分满足上述收入确认条件时，确认其对应的收入金额。</w:t>
      </w:r>
    </w:p>
    <w:p>
      <w:pPr>
        <w:spacing w:line="240" w:lineRule="auto" w:before="9"/>
        <w:rPr>
          <w:rFonts w:ascii="宋体" w:hAnsi="宋体" w:cs="宋体" w:eastAsia="宋体" w:hint="default"/>
          <w:sz w:val="23"/>
          <w:szCs w:val="23"/>
        </w:rPr>
      </w:pPr>
    </w:p>
    <w:p>
      <w:pPr>
        <w:pStyle w:val="Heading4"/>
        <w:spacing w:line="240" w:lineRule="auto"/>
        <w:ind w:right="0"/>
        <w:jc w:val="left"/>
        <w:rPr>
          <w:b w:val="0"/>
          <w:bCs w:val="0"/>
        </w:rPr>
      </w:pPr>
      <w:bookmarkStart w:name="24、政府补助" w:id="204"/>
      <w:bookmarkEnd w:id="204"/>
      <w:r>
        <w:rPr>
          <w:b w:val="0"/>
          <w:bCs w:val="0"/>
        </w:rPr>
      </w:r>
      <w:r>
        <w:rPr>
          <w:rFonts w:ascii="Times New Roman" w:hAnsi="Times New Roman" w:cs="Times New Roman" w:eastAsia="Times New Roman" w:hint="default"/>
        </w:rPr>
        <w:t>24</w:t>
      </w:r>
      <w:r>
        <w:rPr/>
        <w:t>、政府补助</w:t>
      </w:r>
      <w:r>
        <w:rPr>
          <w:b w:val="0"/>
          <w:bCs w:val="0"/>
        </w:rPr>
      </w:r>
    </w:p>
    <w:p>
      <w:pPr>
        <w:spacing w:line="240" w:lineRule="auto" w:before="5"/>
        <w:rPr>
          <w:rFonts w:ascii="宋体" w:hAnsi="宋体" w:cs="宋体" w:eastAsia="宋体" w:hint="default"/>
          <w:b/>
          <w:bCs/>
          <w:sz w:val="24"/>
          <w:szCs w:val="24"/>
        </w:rPr>
      </w:pPr>
    </w:p>
    <w:p>
      <w:pPr>
        <w:pStyle w:val="BodyText"/>
        <w:spacing w:line="273" w:lineRule="auto" w:before="0"/>
        <w:ind w:right="1122" w:firstLine="422"/>
        <w:jc w:val="both"/>
      </w:pPr>
      <w:r>
        <w:rPr>
          <w:spacing w:val="-2"/>
        </w:rPr>
        <w:t>本集团的政府补助分为与资产相关的政府补助和与收益相关的政府补助。与资产相关的政府补助，是</w:t>
      </w:r>
      <w:r>
        <w:rPr>
          <w:w w:val="100"/>
        </w:rPr>
        <w:t> </w:t>
      </w:r>
      <w:r>
        <w:rPr>
          <w:spacing w:val="-2"/>
        </w:rPr>
        <w:t>指本集团取得的、用于购建或以其他方式形成长期资产的政府补助。与收益相关的政府补助，是指除与资</w:t>
      </w:r>
      <w:r>
        <w:rPr>
          <w:spacing w:val="-30"/>
        </w:rPr>
        <w:t> </w:t>
      </w:r>
      <w:r>
        <w:rPr>
          <w:spacing w:val="-30"/>
        </w:rPr>
      </w:r>
      <w:r>
        <w:rPr>
          <w:spacing w:val="-2"/>
        </w:rPr>
        <w:t>产相关的政府补助之外的政府补助。如果政府补助文件未明确确定补助对象，以取得该补助必须具备的基</w:t>
      </w:r>
      <w:r>
        <w:rPr>
          <w:spacing w:val="-33"/>
        </w:rPr>
        <w:t> </w:t>
      </w:r>
      <w:r>
        <w:rPr>
          <w:spacing w:val="-33"/>
        </w:rPr>
      </w:r>
      <w:r>
        <w:rPr>
          <w:spacing w:val="-2"/>
        </w:rPr>
        <w:t>本条件为基础进行判断，以购建或其他方式形成长期资产为基本条件的作为与资产相关的政府补助，除此</w:t>
      </w:r>
      <w:r>
        <w:rPr>
          <w:spacing w:val="-33"/>
        </w:rPr>
        <w:t> </w:t>
      </w:r>
      <w:r>
        <w:rPr>
          <w:spacing w:val="-33"/>
        </w:rPr>
      </w:r>
      <w:r>
        <w:rPr/>
        <w:t>之外的划分为与收益相关的政府补助。</w:t>
      </w:r>
    </w:p>
    <w:p>
      <w:pPr>
        <w:spacing w:after="0" w:line="273" w:lineRule="auto"/>
        <w:jc w:val="both"/>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BodyText"/>
        <w:spacing w:line="256" w:lineRule="auto" w:before="36"/>
        <w:ind w:left="575" w:right="6287"/>
        <w:jc w:val="left"/>
      </w:pPr>
      <w:r>
        <w:rPr>
          <w:rFonts w:ascii="Times New Roman" w:hAnsi="Times New Roman" w:cs="Times New Roman" w:eastAsia="Times New Roman" w:hint="default"/>
        </w:rPr>
        <w:t>(1)</w:t>
      </w:r>
      <w:r>
        <w:rPr/>
        <w:t>政府补助的确认</w:t>
      </w:r>
      <w:r>
        <w:rPr>
          <w:w w:val="100"/>
        </w:rPr>
        <w:t> </w:t>
      </w:r>
      <w:r>
        <w:rPr>
          <w:spacing w:val="-2"/>
        </w:rPr>
        <w:t>政府补助同时满足下列条件时，予以确认：</w:t>
      </w:r>
    </w:p>
    <w:p>
      <w:pPr>
        <w:pStyle w:val="BodyText"/>
        <w:spacing w:line="240" w:lineRule="auto" w:before="22"/>
        <w:ind w:left="575" w:right="0"/>
        <w:jc w:val="left"/>
      </w:pPr>
      <w:r>
        <w:rPr/>
        <w:t>①能够满足政府补助所附条件；</w:t>
      </w:r>
    </w:p>
    <w:p>
      <w:pPr>
        <w:pStyle w:val="BodyText"/>
        <w:spacing w:line="240" w:lineRule="auto" w:before="37"/>
        <w:ind w:left="575" w:right="0"/>
        <w:jc w:val="left"/>
      </w:pPr>
      <w:r>
        <w:rPr/>
        <w:t>②能够收到政府补助。</w:t>
      </w:r>
    </w:p>
    <w:p>
      <w:pPr>
        <w:pStyle w:val="BodyText"/>
        <w:spacing w:line="240" w:lineRule="auto" w:before="37"/>
        <w:ind w:left="575" w:right="0"/>
        <w:jc w:val="left"/>
      </w:pPr>
      <w:r>
        <w:rPr>
          <w:rFonts w:ascii="Times New Roman" w:hAnsi="Times New Roman" w:cs="Times New Roman" w:eastAsia="Times New Roman" w:hint="default"/>
        </w:rPr>
        <w:t>(2)</w:t>
      </w:r>
      <w:r>
        <w:rPr/>
        <w:t>政府补助的计量：</w:t>
      </w:r>
    </w:p>
    <w:p>
      <w:pPr>
        <w:pStyle w:val="BodyText"/>
        <w:spacing w:line="273" w:lineRule="auto" w:before="21"/>
        <w:ind w:right="1212" w:firstLine="422"/>
        <w:jc w:val="left"/>
      </w:pPr>
      <w:r>
        <w:rPr/>
        <w:t>①</w:t>
      </w:r>
      <w:r>
        <w:rPr>
          <w:spacing w:val="-18"/>
        </w:rPr>
        <w:t> </w:t>
      </w:r>
      <w:r>
        <w:rPr/>
        <w:t>政府补助为货币性资产的，按照收到或应收的金额计量。政府补助为非货币性资产的，按照公允</w:t>
      </w:r>
      <w:r>
        <w:rPr>
          <w:w w:val="100"/>
        </w:rPr>
        <w:t> </w:t>
      </w:r>
      <w:r>
        <w:rPr/>
        <w:t>价值计量；公允价值不能可靠取得的，按照名义金额计量。</w:t>
      </w:r>
    </w:p>
    <w:p>
      <w:pPr>
        <w:pStyle w:val="BodyText"/>
        <w:spacing w:line="273" w:lineRule="auto"/>
        <w:ind w:right="0" w:firstLine="422"/>
        <w:jc w:val="left"/>
      </w:pPr>
      <w:r>
        <w:rPr/>
        <w:t>②</w:t>
      </w:r>
      <w:r>
        <w:rPr>
          <w:spacing w:val="-19"/>
        </w:rPr>
        <w:t> </w:t>
      </w:r>
      <w:r>
        <w:rPr/>
        <w:t>与资产相关的政府补助，取得时确认为递延收益，自相关资产达到预定可使用状态时，在该资产</w:t>
      </w:r>
      <w:r>
        <w:rPr>
          <w:w w:val="100"/>
        </w:rPr>
        <w:t> </w:t>
      </w:r>
      <w:r>
        <w:rPr>
          <w:spacing w:val="-2"/>
        </w:rPr>
        <w:t>使用寿命内按照合理、系统的方法分期计入损益。相关资产在使用寿命结束前被出售、转让、报废或发生</w:t>
      </w:r>
      <w:r>
        <w:rPr>
          <w:spacing w:val="-33"/>
        </w:rPr>
        <w:t> </w:t>
      </w:r>
      <w:r>
        <w:rPr>
          <w:spacing w:val="-33"/>
        </w:rPr>
      </w:r>
      <w:r>
        <w:rPr/>
        <w:t>毁损的，将尚未分配的相关递延收益余额转入资产处置当期的损益。</w:t>
      </w:r>
    </w:p>
    <w:p>
      <w:pPr>
        <w:pStyle w:val="BodyText"/>
        <w:spacing w:line="273" w:lineRule="auto"/>
        <w:ind w:right="1120" w:firstLine="422"/>
        <w:jc w:val="both"/>
      </w:pPr>
      <w:r>
        <w:rPr>
          <w:spacing w:val="-2"/>
        </w:rPr>
        <w:t>与收益相关的政府补助，用于补偿以后期间的相关成本费用或损失的，取得时确认为递延收益，在确</w:t>
      </w:r>
      <w:r>
        <w:rPr>
          <w:w w:val="100"/>
        </w:rPr>
        <w:t> </w:t>
      </w:r>
      <w:r>
        <w:rPr>
          <w:spacing w:val="-2"/>
        </w:rPr>
        <w:t>认相关成本费用或损失的期间计入当期损益；用于补偿已发生的相关成本费用或损失的，取得时直接计入</w:t>
      </w:r>
      <w:r>
        <w:rPr>
          <w:spacing w:val="-33"/>
        </w:rPr>
        <w:t> </w:t>
      </w:r>
      <w:r>
        <w:rPr>
          <w:spacing w:val="-33"/>
        </w:rPr>
      </w:r>
      <w:r>
        <w:rPr/>
        <w:t>当期损益。</w:t>
      </w:r>
    </w:p>
    <w:p>
      <w:pPr>
        <w:pStyle w:val="BodyText"/>
        <w:spacing w:line="240" w:lineRule="auto"/>
        <w:ind w:left="575" w:right="0"/>
        <w:jc w:val="left"/>
      </w:pPr>
      <w:r>
        <w:rPr/>
        <w:t>与日常活动相关的政府补助，计入其他收益；与日常活动无关的政府补助，计入营业外收支。</w:t>
      </w:r>
    </w:p>
    <w:p>
      <w:pPr>
        <w:pStyle w:val="BodyText"/>
        <w:spacing w:line="240" w:lineRule="auto" w:before="37"/>
        <w:ind w:left="575" w:right="0"/>
        <w:jc w:val="left"/>
      </w:pPr>
      <w:r>
        <w:rPr/>
        <w:t>③</w:t>
      </w:r>
      <w:r>
        <w:rPr>
          <w:spacing w:val="-19"/>
        </w:rPr>
        <w:t> </w:t>
      </w:r>
      <w:r>
        <w:rPr/>
        <w:t>取得政策性优惠贷款贴息，区分以下两种取得方式进行会计处理：</w:t>
      </w:r>
    </w:p>
    <w:p>
      <w:pPr>
        <w:pStyle w:val="BodyText"/>
        <w:spacing w:line="264" w:lineRule="auto" w:before="37"/>
        <w:ind w:right="1126" w:firstLine="422"/>
        <w:jc w:val="both"/>
      </w:pPr>
      <w:r>
        <w:rPr>
          <w:rFonts w:ascii="Times New Roman" w:hAnsi="Times New Roman" w:cs="Times New Roman" w:eastAsia="Times New Roman" w:hint="default"/>
          <w:spacing w:val="-2"/>
        </w:rPr>
        <w:t>A</w:t>
      </w:r>
      <w:r>
        <w:rPr>
          <w:spacing w:val="-2"/>
        </w:rPr>
        <w:t>、财政将贴息资金拨付给贷款银行，由贷款银行以政策性优惠利率向本集团提供贷款的，以借款的</w:t>
      </w:r>
      <w:r>
        <w:rPr>
          <w:w w:val="100"/>
        </w:rPr>
        <w:t> </w:t>
      </w:r>
      <w:r>
        <w:rPr>
          <w:spacing w:val="-2"/>
        </w:rPr>
        <w:t>公允价值作为借款的入账价值并按照实际利率法计算借款费用，实际收到的金额与借款公允价值之间的差</w:t>
      </w:r>
      <w:r>
        <w:rPr>
          <w:spacing w:val="-33"/>
        </w:rPr>
        <w:t> </w:t>
      </w:r>
      <w:r>
        <w:rPr>
          <w:spacing w:val="-33"/>
        </w:rPr>
      </w:r>
      <w:r>
        <w:rPr/>
        <w:t>额确认为递延收益。递延收益在借款存续期内采用实际利率法摊销，冲减相关借款费用。</w:t>
      </w:r>
    </w:p>
    <w:p>
      <w:pPr>
        <w:pStyle w:val="BodyText"/>
        <w:spacing w:line="240" w:lineRule="auto" w:before="16"/>
        <w:ind w:left="575" w:right="0"/>
        <w:jc w:val="left"/>
      </w:pPr>
      <w:r>
        <w:rPr>
          <w:rFonts w:ascii="Times New Roman" w:hAnsi="Times New Roman" w:cs="Times New Roman" w:eastAsia="Times New Roman" w:hint="default"/>
        </w:rPr>
        <w:t>B</w:t>
      </w:r>
      <w:r>
        <w:rPr/>
        <w:t>、财政将贴息资金直接拨付给本集团的，将对应的贴息冲减相关借款费用。</w:t>
      </w:r>
    </w:p>
    <w:p>
      <w:pPr>
        <w:pStyle w:val="BodyText"/>
        <w:spacing w:line="264" w:lineRule="auto" w:before="21"/>
        <w:ind w:left="575" w:right="0"/>
        <w:jc w:val="left"/>
      </w:pPr>
      <w:r>
        <w:rPr/>
        <w:t>④</w:t>
      </w:r>
      <w:r>
        <w:rPr>
          <w:spacing w:val="-20"/>
        </w:rPr>
        <w:t> </w:t>
      </w:r>
      <w:r>
        <w:rPr/>
        <w:t>已确认的政府补助需要返还的，分别下列情况处理：</w:t>
      </w:r>
      <w:r>
        <w:rPr>
          <w:w w:val="100"/>
        </w:rPr>
        <w:t> </w:t>
      </w:r>
      <w:r>
        <w:rPr>
          <w:rFonts w:ascii="Times New Roman" w:hAnsi="Times New Roman" w:cs="Times New Roman" w:eastAsia="Times New Roman" w:hint="default"/>
          <w:spacing w:val="-1"/>
        </w:rPr>
        <w:t>A</w:t>
      </w:r>
      <w:r>
        <w:rPr>
          <w:spacing w:val="-1"/>
        </w:rPr>
        <w:t>、存在相关递延收益的，冲减相关递延收益账面余额，超出部分计入当期损益。</w:t>
      </w:r>
      <w:r>
        <w:rPr>
          <w:spacing w:val="-63"/>
        </w:rPr>
        <w:t> </w:t>
      </w:r>
      <w:r>
        <w:rPr>
          <w:spacing w:val="-63"/>
        </w:rPr>
      </w:r>
      <w:r>
        <w:rPr>
          <w:rFonts w:ascii="Times New Roman" w:hAnsi="Times New Roman" w:cs="Times New Roman" w:eastAsia="Times New Roman" w:hint="default"/>
        </w:rPr>
        <w:t>B</w:t>
      </w:r>
      <w:r>
        <w:rPr/>
        <w:t>、属于其他情况的，直接计入当期损益。</w:t>
      </w:r>
    </w:p>
    <w:p>
      <w:pPr>
        <w:spacing w:line="240" w:lineRule="auto" w:before="13"/>
        <w:rPr>
          <w:rFonts w:ascii="宋体" w:hAnsi="宋体" w:cs="宋体" w:eastAsia="宋体" w:hint="default"/>
          <w:sz w:val="22"/>
          <w:szCs w:val="22"/>
        </w:rPr>
      </w:pPr>
    </w:p>
    <w:p>
      <w:pPr>
        <w:pStyle w:val="Heading4"/>
        <w:spacing w:line="240" w:lineRule="auto"/>
        <w:ind w:right="0"/>
        <w:jc w:val="left"/>
        <w:rPr>
          <w:b w:val="0"/>
          <w:bCs w:val="0"/>
        </w:rPr>
      </w:pPr>
      <w:bookmarkStart w:name="25、递延所得税资产/递延所得税负债" w:id="205"/>
      <w:bookmarkEnd w:id="205"/>
      <w:r>
        <w:rPr>
          <w:b w:val="0"/>
          <w:bCs w:val="0"/>
        </w:rPr>
      </w:r>
      <w:r>
        <w:rPr>
          <w:rFonts w:ascii="Times New Roman" w:hAnsi="Times New Roman" w:cs="Times New Roman" w:eastAsia="Times New Roman" w:hint="default"/>
        </w:rPr>
        <w:t>25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0"/>
        <w:ind w:right="0"/>
        <w:jc w:val="left"/>
      </w:pPr>
      <w:r>
        <w:rPr>
          <w:rFonts w:ascii="宋体" w:hAnsi="宋体" w:cs="宋体" w:eastAsia="宋体" w:hint="default"/>
        </w:rPr>
        <w:t>1.</w:t>
      </w:r>
      <w:r>
        <w:rPr>
          <w:rFonts w:ascii="宋体" w:hAnsi="宋体" w:cs="宋体" w:eastAsia="宋体" w:hint="default"/>
          <w:spacing w:val="50"/>
        </w:rPr>
        <w:t> </w:t>
      </w:r>
      <w:r>
        <w:rPr/>
        <w:t>当期所得税</w:t>
      </w:r>
    </w:p>
    <w:p>
      <w:pPr>
        <w:spacing w:line="240" w:lineRule="auto" w:before="12"/>
        <w:rPr>
          <w:rFonts w:ascii="宋体" w:hAnsi="宋体" w:cs="宋体" w:eastAsia="宋体" w:hint="default"/>
          <w:sz w:val="14"/>
          <w:szCs w:val="14"/>
        </w:rPr>
      </w:pPr>
    </w:p>
    <w:p>
      <w:pPr>
        <w:pStyle w:val="BodyText"/>
        <w:spacing w:line="256" w:lineRule="auto" w:before="0"/>
        <w:ind w:left="513" w:right="1123" w:firstLine="422"/>
        <w:jc w:val="both"/>
      </w:pPr>
      <w:r>
        <w:rPr>
          <w:spacing w:val="-4"/>
        </w:rPr>
        <w:t>资产负债表日，对于当期和以前期间形成的当期所得税负债</w:t>
      </w:r>
      <w:r>
        <w:rPr>
          <w:rFonts w:ascii="Times New Roman" w:hAnsi="Times New Roman" w:cs="Times New Roman" w:eastAsia="Times New Roman" w:hint="default"/>
          <w:spacing w:val="-4"/>
        </w:rPr>
        <w:t>(</w:t>
      </w:r>
      <w:r>
        <w:rPr>
          <w:spacing w:val="-4"/>
        </w:rPr>
        <w:t>或资产</w:t>
      </w:r>
      <w:r>
        <w:rPr>
          <w:rFonts w:ascii="Times New Roman" w:hAnsi="Times New Roman" w:cs="Times New Roman" w:eastAsia="Times New Roman" w:hint="default"/>
          <w:spacing w:val="-4"/>
        </w:rPr>
        <w:t>)</w:t>
      </w:r>
      <w:r>
        <w:rPr>
          <w:spacing w:val="-4"/>
        </w:rPr>
        <w:t>，以按照税法规定计算的预期</w:t>
      </w:r>
      <w:r>
        <w:rPr>
          <w:w w:val="100"/>
        </w:rPr>
        <w:t> </w:t>
      </w:r>
      <w:r>
        <w:rPr>
          <w:spacing w:val="-4"/>
          <w:w w:val="100"/>
        </w:rPr>
        <w:t>应交纳</w:t>
      </w:r>
      <w:r>
        <w:rPr>
          <w:rFonts w:ascii="Times New Roman" w:hAnsi="Times New Roman" w:cs="Times New Roman" w:eastAsia="Times New Roman" w:hint="default"/>
          <w:spacing w:val="-4"/>
          <w:w w:val="100"/>
        </w:rPr>
        <w:t>(</w:t>
      </w:r>
      <w:r>
        <w:rPr>
          <w:spacing w:val="-4"/>
          <w:w w:val="100"/>
        </w:rPr>
        <w:t>或返还</w:t>
      </w:r>
      <w:r>
        <w:rPr>
          <w:rFonts w:ascii="Times New Roman" w:hAnsi="Times New Roman" w:cs="Times New Roman" w:eastAsia="Times New Roman" w:hint="default"/>
          <w:spacing w:val="-4"/>
          <w:w w:val="100"/>
        </w:rPr>
        <w:t>)</w:t>
      </w:r>
      <w:r>
        <w:rPr>
          <w:spacing w:val="-4"/>
          <w:w w:val="100"/>
        </w:rPr>
        <w:t>的所得税金额计量。计算当期所得税费用所依据的应纳税所得额系根据有关税法规定对</w:t>
      </w:r>
      <w:r>
        <w:rPr>
          <w:spacing w:val="-76"/>
          <w:w w:val="100"/>
        </w:rPr>
        <w:t> </w:t>
      </w:r>
      <w:r>
        <w:rPr>
          <w:spacing w:val="-76"/>
          <w:w w:val="100"/>
        </w:rPr>
      </w:r>
      <w:r>
        <w:rPr/>
        <w:t>本报告期税前会计利润作相应调整后计算得出。</w:t>
      </w:r>
    </w:p>
    <w:p>
      <w:pPr>
        <w:pStyle w:val="BodyText"/>
        <w:spacing w:line="470" w:lineRule="exact" w:before="46"/>
        <w:ind w:left="936" w:right="0" w:hanging="783"/>
        <w:jc w:val="left"/>
      </w:pPr>
      <w:r>
        <w:rPr>
          <w:rFonts w:ascii="宋体" w:hAnsi="宋体" w:cs="宋体" w:eastAsia="宋体" w:hint="default"/>
        </w:rPr>
        <w:t>1.</w:t>
      </w:r>
      <w:r>
        <w:rPr>
          <w:rFonts w:ascii="宋体" w:hAnsi="宋体" w:cs="宋体" w:eastAsia="宋体" w:hint="default"/>
          <w:spacing w:val="43"/>
        </w:rPr>
        <w:t> </w:t>
      </w:r>
      <w:r>
        <w:rPr/>
        <w:t>递延所得税资产及递延所得税负债</w:t>
      </w:r>
      <w:r>
        <w:rPr>
          <w:spacing w:val="-101"/>
        </w:rPr>
        <w:t> </w:t>
      </w:r>
      <w:r>
        <w:rPr>
          <w:spacing w:val="-101"/>
        </w:rPr>
      </w:r>
      <w:r>
        <w:rPr>
          <w:spacing w:val="-2"/>
        </w:rPr>
        <w:t>某些资产、负债项目的账面价值与其计税基础之间的差额，以及未作为资产和负债确认但按照税</w:t>
      </w:r>
    </w:p>
    <w:p>
      <w:pPr>
        <w:pStyle w:val="BodyText"/>
        <w:spacing w:line="248" w:lineRule="exact" w:before="0"/>
        <w:ind w:left="513" w:right="0"/>
        <w:jc w:val="left"/>
      </w:pPr>
      <w:r>
        <w:rPr/>
        <w:t>法规定可以确定其计税基础的项目的账面价值与计税基础之间的差额产生的暂时性差异，采用资产负</w:t>
      </w:r>
    </w:p>
    <w:p>
      <w:pPr>
        <w:pStyle w:val="BodyText"/>
        <w:spacing w:line="273" w:lineRule="auto" w:before="37"/>
        <w:ind w:left="936" w:right="0" w:hanging="423"/>
        <w:jc w:val="left"/>
      </w:pPr>
      <w:r>
        <w:rPr/>
        <w:t>债表债务法确认递延所得税资产及递延所得税负债。</w:t>
      </w:r>
      <w:r>
        <w:rPr>
          <w:spacing w:val="-103"/>
        </w:rPr>
        <w:t> </w:t>
      </w:r>
      <w:r>
        <w:rPr>
          <w:spacing w:val="-103"/>
        </w:rPr>
      </w:r>
      <w:r>
        <w:rPr>
          <w:spacing w:val="-2"/>
        </w:rPr>
        <w:t>与商誉的初始确认有关，以及与既不是企业合并、发生时也不影响会计利润和应纳税所得额</w:t>
      </w:r>
      <w:r>
        <w:rPr>
          <w:rFonts w:ascii="Times New Roman" w:hAnsi="Times New Roman" w:cs="Times New Roman" w:eastAsia="Times New Roman" w:hint="default"/>
          <w:spacing w:val="-2"/>
        </w:rPr>
        <w:t>(</w:t>
      </w:r>
      <w:r>
        <w:rPr>
          <w:spacing w:val="-2"/>
        </w:rPr>
        <w:t>或可</w:t>
      </w:r>
    </w:p>
    <w:p>
      <w:pPr>
        <w:pStyle w:val="BodyText"/>
        <w:spacing w:line="266" w:lineRule="auto" w:before="0"/>
        <w:ind w:left="513" w:right="1125"/>
        <w:jc w:val="both"/>
      </w:pPr>
      <w:r>
        <w:rPr>
          <w:spacing w:val="-2"/>
        </w:rPr>
        <w:t>抵扣亏损</w:t>
      </w:r>
      <w:r>
        <w:rPr>
          <w:rFonts w:ascii="Times New Roman" w:hAnsi="Times New Roman" w:cs="Times New Roman" w:eastAsia="Times New Roman" w:hint="default"/>
          <w:spacing w:val="-2"/>
        </w:rPr>
        <w:t>)</w:t>
      </w:r>
      <w:r>
        <w:rPr>
          <w:spacing w:val="-2"/>
        </w:rPr>
        <w:t>的交易中产生的资产或负债的初始确认有关的应纳税暂时性差异，不予确认有关的递延所得</w:t>
      </w:r>
      <w:r>
        <w:rPr>
          <w:spacing w:val="-45"/>
        </w:rPr>
        <w:t> </w:t>
      </w:r>
      <w:r>
        <w:rPr>
          <w:spacing w:val="-45"/>
        </w:rPr>
      </w:r>
      <w:r>
        <w:rPr>
          <w:spacing w:val="-2"/>
        </w:rPr>
        <w:t>税负债。此外，对与子公司、联营企业及合营企业投资相关的应纳税暂时性差异，如果本集团能够控</w:t>
      </w:r>
      <w:r>
        <w:rPr>
          <w:spacing w:val="-15"/>
        </w:rPr>
        <w:t> </w:t>
      </w:r>
      <w:r>
        <w:rPr>
          <w:spacing w:val="-15"/>
        </w:rPr>
      </w:r>
      <w:r>
        <w:rPr>
          <w:spacing w:val="-2"/>
        </w:rPr>
        <w:t>制暂时性差异转回的时间，而且该暂时性差异在可预见的未来很可能不会转回，也不予确认有关的递</w:t>
      </w:r>
      <w:r>
        <w:rPr>
          <w:spacing w:val="-15"/>
        </w:rPr>
        <w:t> </w:t>
      </w:r>
      <w:r>
        <w:rPr>
          <w:spacing w:val="-15"/>
        </w:rPr>
      </w:r>
      <w:r>
        <w:rPr/>
        <w:t>延所得税负债。除上述例外情况，本集团确认其他所有应纳税暂时性差异产生的递延所得税负债。</w:t>
      </w:r>
    </w:p>
    <w:p>
      <w:pPr>
        <w:pStyle w:val="BodyText"/>
        <w:spacing w:line="268" w:lineRule="auto" w:before="14"/>
        <w:ind w:left="513" w:right="0" w:firstLine="422"/>
        <w:jc w:val="left"/>
      </w:pPr>
      <w:r>
        <w:rPr>
          <w:spacing w:val="-4"/>
          <w:w w:val="100"/>
        </w:rPr>
        <w:t>与既不是企业合并、发生时也不影响会计利润和应纳税所得额</w:t>
      </w:r>
      <w:r>
        <w:rPr>
          <w:rFonts w:ascii="Times New Roman" w:hAnsi="Times New Roman" w:cs="Times New Roman" w:eastAsia="Times New Roman" w:hint="default"/>
          <w:spacing w:val="-4"/>
          <w:w w:val="100"/>
        </w:rPr>
        <w:t>(</w:t>
      </w:r>
      <w:r>
        <w:rPr>
          <w:spacing w:val="-4"/>
          <w:w w:val="100"/>
        </w:rPr>
        <w:t>或可抵扣亏损</w:t>
      </w:r>
      <w:r>
        <w:rPr>
          <w:rFonts w:ascii="Times New Roman" w:hAnsi="Times New Roman" w:cs="Times New Roman" w:eastAsia="Times New Roman" w:hint="default"/>
          <w:spacing w:val="-4"/>
          <w:w w:val="100"/>
        </w:rPr>
        <w:t>)</w:t>
      </w:r>
      <w:r>
        <w:rPr>
          <w:spacing w:val="-4"/>
          <w:w w:val="100"/>
        </w:rPr>
        <w:t>的交易中产生的资产</w:t>
      </w:r>
      <w:r>
        <w:rPr>
          <w:w w:val="100"/>
        </w:rPr>
        <w:t> </w:t>
      </w:r>
      <w:r>
        <w:rPr/>
        <w:t>或负债的初始确认有关的可抵扣暂时性差异，不予确认有关的递延所得税资产。此外，对与子公司、</w:t>
      </w:r>
      <w:r>
        <w:rPr>
          <w:spacing w:val="-103"/>
        </w:rPr>
        <w:t> </w:t>
      </w:r>
      <w:r>
        <w:rPr>
          <w:spacing w:val="-103"/>
        </w:rPr>
      </w:r>
      <w:r>
        <w:rPr>
          <w:spacing w:val="-3"/>
        </w:rPr>
        <w:t>联营企业及合营企业投资相关的可抵扣暂时性差异，如果暂时性差异在可预见的未来不是很可能转回，</w:t>
      </w:r>
      <w:r>
        <w:rPr>
          <w:spacing w:val="-38"/>
        </w:rPr>
        <w:t> </w:t>
      </w:r>
      <w:r>
        <w:rPr>
          <w:spacing w:val="-38"/>
        </w:rPr>
      </w:r>
      <w:r>
        <w:rPr/>
        <w:t>或者未来不是很可能获得用来抵扣可抵扣暂时性差异的应纳税所得额，不予确认有关的递延所得税资</w:t>
      </w:r>
      <w:r>
        <w:rPr>
          <w:spacing w:val="-103"/>
        </w:rPr>
        <w:t> </w:t>
      </w:r>
      <w:r>
        <w:rPr>
          <w:spacing w:val="-103"/>
        </w:rPr>
      </w:r>
      <w:r>
        <w:rPr/>
        <w:t>产。除上述例外情况，本集团以很可能取得用来抵扣可抵扣暂时性差异的应纳税所得额为限，确认其</w:t>
      </w:r>
    </w:p>
    <w:p>
      <w:pPr>
        <w:spacing w:after="0" w:line="268"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BodyText"/>
        <w:spacing w:line="273" w:lineRule="auto" w:before="36"/>
        <w:ind w:left="936" w:right="0" w:hanging="423"/>
        <w:jc w:val="left"/>
      </w:pPr>
      <w:r>
        <w:rPr/>
        <w:t>他可抵扣暂时性差异产生的递延所得税资产。</w:t>
      </w:r>
      <w:r>
        <w:rPr>
          <w:spacing w:val="-101"/>
        </w:rPr>
        <w:t> </w:t>
      </w:r>
      <w:r>
        <w:rPr>
          <w:spacing w:val="-101"/>
        </w:rPr>
      </w:r>
      <w:r>
        <w:rPr>
          <w:spacing w:val="-2"/>
        </w:rPr>
        <w:t>对于能够结转以后年度的可抵扣亏损和税款抵减，以很可能获得用来抵扣可抵扣亏损和税款抵减</w:t>
      </w:r>
    </w:p>
    <w:p>
      <w:pPr>
        <w:pStyle w:val="BodyText"/>
        <w:spacing w:line="273" w:lineRule="auto"/>
        <w:ind w:left="936" w:right="0" w:hanging="423"/>
        <w:jc w:val="left"/>
      </w:pPr>
      <w:r>
        <w:rPr/>
        <w:t>的未来应纳税所得额为限，确认相应的递延所得税资产。</w:t>
      </w:r>
      <w:r>
        <w:rPr>
          <w:w w:val="100"/>
        </w:rPr>
        <w:t> </w:t>
      </w:r>
      <w:r>
        <w:rPr>
          <w:spacing w:val="-2"/>
        </w:rPr>
        <w:t>资产负债表日，对于递延所得税资产和递延所得税负债，根据税法规定，按照预期收回相关资产</w:t>
      </w:r>
    </w:p>
    <w:p>
      <w:pPr>
        <w:pStyle w:val="BodyText"/>
        <w:spacing w:line="273" w:lineRule="auto"/>
        <w:ind w:left="936" w:right="0" w:hanging="423"/>
        <w:jc w:val="left"/>
      </w:pPr>
      <w:r>
        <w:rPr/>
        <w:t>或清偿相关负债期间的适用税率计量。</w:t>
      </w:r>
      <w:r>
        <w:rPr>
          <w:spacing w:val="-100"/>
        </w:rPr>
        <w:t> </w:t>
      </w:r>
      <w:r>
        <w:rPr>
          <w:spacing w:val="-100"/>
        </w:rPr>
      </w:r>
      <w:r>
        <w:rPr>
          <w:spacing w:val="-2"/>
        </w:rPr>
        <w:t>于资产负债表日，对递延所得税资产的账面价值进行复核，如果未来很可能无法获得足够的应纳</w:t>
      </w:r>
    </w:p>
    <w:p>
      <w:pPr>
        <w:pStyle w:val="BodyText"/>
        <w:spacing w:line="273" w:lineRule="auto"/>
        <w:ind w:left="513" w:right="1164"/>
        <w:jc w:val="both"/>
      </w:pPr>
      <w:r>
        <w:rPr>
          <w:spacing w:val="-2"/>
        </w:rPr>
        <w:t>税所得额用以抵扣递延所得税资产的利益，则减记递延所得税资产的账面价值。在很可能获得足够的</w:t>
      </w:r>
      <w:r>
        <w:rPr>
          <w:spacing w:val="-15"/>
        </w:rPr>
        <w:t> </w:t>
      </w:r>
      <w:r>
        <w:rPr>
          <w:spacing w:val="-15"/>
        </w:rPr>
      </w:r>
      <w:r>
        <w:rPr/>
        <w:t>应纳税所得额时，减记的金额予以转回。</w:t>
      </w:r>
    </w:p>
    <w:p>
      <w:pPr>
        <w:pStyle w:val="BodyText"/>
        <w:spacing w:line="240" w:lineRule="auto" w:before="161"/>
        <w:ind w:right="0"/>
        <w:jc w:val="left"/>
      </w:pPr>
      <w:r>
        <w:rPr>
          <w:rFonts w:ascii="宋体" w:hAnsi="宋体" w:cs="宋体" w:eastAsia="宋体" w:hint="default"/>
        </w:rPr>
        <w:t>1.</w:t>
      </w:r>
      <w:r>
        <w:rPr>
          <w:rFonts w:ascii="宋体" w:hAnsi="宋体" w:cs="宋体" w:eastAsia="宋体" w:hint="default"/>
          <w:spacing w:val="50"/>
        </w:rPr>
        <w:t> </w:t>
      </w:r>
      <w:r>
        <w:rPr/>
        <w:t>所得税费用</w:t>
      </w:r>
    </w:p>
    <w:p>
      <w:pPr>
        <w:spacing w:line="240" w:lineRule="auto" w:before="12"/>
        <w:rPr>
          <w:rFonts w:ascii="宋体" w:hAnsi="宋体" w:cs="宋体" w:eastAsia="宋体" w:hint="default"/>
          <w:sz w:val="14"/>
          <w:szCs w:val="14"/>
        </w:rPr>
      </w:pPr>
    </w:p>
    <w:p>
      <w:pPr>
        <w:pStyle w:val="BodyText"/>
        <w:spacing w:line="273" w:lineRule="auto" w:before="0"/>
        <w:ind w:left="936" w:right="0"/>
        <w:jc w:val="left"/>
      </w:pPr>
      <w:r>
        <w:rPr/>
        <w:t>所得税费用包括当期所得税和递延所得税。</w:t>
      </w:r>
      <w:r>
        <w:rPr>
          <w:spacing w:val="-103"/>
        </w:rPr>
        <w:t> </w:t>
      </w:r>
      <w:r>
        <w:rPr>
          <w:spacing w:val="-103"/>
        </w:rPr>
      </w:r>
      <w:r>
        <w:rPr>
          <w:spacing w:val="-2"/>
        </w:rPr>
        <w:t>除确认为其他综合收益或直接计入股东权益的交易和事项相关的当期所得税和递延所得税计入其</w:t>
      </w:r>
    </w:p>
    <w:p>
      <w:pPr>
        <w:pStyle w:val="BodyText"/>
        <w:spacing w:line="273" w:lineRule="auto"/>
        <w:ind w:left="513" w:right="1164"/>
        <w:jc w:val="both"/>
      </w:pPr>
      <w:r>
        <w:rPr>
          <w:spacing w:val="-2"/>
        </w:rPr>
        <w:t>他综合收益或股东权益，以及企业合并产生的递延所得税调整商誉的账面价值外，其余当期所得税和</w:t>
      </w:r>
      <w:r>
        <w:rPr>
          <w:spacing w:val="-15"/>
        </w:rPr>
        <w:t> </w:t>
      </w:r>
      <w:r>
        <w:rPr>
          <w:spacing w:val="-15"/>
        </w:rPr>
      </w:r>
      <w:r>
        <w:rPr/>
        <w:t>递延所得税费用或收益计入当期损益。</w:t>
      </w:r>
    </w:p>
    <w:p>
      <w:pPr>
        <w:pStyle w:val="BodyText"/>
        <w:spacing w:line="470" w:lineRule="exact" w:before="31"/>
        <w:ind w:left="575" w:right="1127" w:hanging="423"/>
        <w:jc w:val="left"/>
      </w:pPr>
      <w:r>
        <w:rPr>
          <w:rFonts w:ascii="宋体" w:hAnsi="宋体" w:cs="宋体" w:eastAsia="宋体" w:hint="default"/>
        </w:rPr>
        <w:t>1.</w:t>
      </w:r>
      <w:r>
        <w:rPr>
          <w:rFonts w:ascii="宋体" w:hAnsi="宋体" w:cs="宋体" w:eastAsia="宋体" w:hint="default"/>
          <w:spacing w:val="43"/>
        </w:rPr>
        <w:t> </w:t>
      </w:r>
      <w:r>
        <w:rPr/>
        <w:t>所得税的抵销</w:t>
      </w:r>
      <w:r>
        <w:rPr>
          <w:spacing w:val="-102"/>
        </w:rPr>
        <w:t> </w:t>
      </w:r>
      <w:r>
        <w:rPr>
          <w:spacing w:val="-102"/>
        </w:rPr>
      </w:r>
      <w:r>
        <w:rPr>
          <w:spacing w:val="-2"/>
        </w:rPr>
        <w:t>当拥有以净额结算的法定权利，且意图以净额结算或取得资产、清偿负债同时进行时，本集团当期所</w:t>
      </w:r>
    </w:p>
    <w:p>
      <w:pPr>
        <w:pStyle w:val="BodyText"/>
        <w:spacing w:line="248" w:lineRule="exact" w:before="0"/>
        <w:ind w:right="0"/>
        <w:jc w:val="left"/>
      </w:pPr>
      <w:r>
        <w:rPr/>
        <w:t>得税资产及当期所得税负债以抵销后的净额列报。</w:t>
      </w:r>
    </w:p>
    <w:p>
      <w:pPr>
        <w:pStyle w:val="BodyText"/>
        <w:spacing w:line="273" w:lineRule="auto" w:before="37"/>
        <w:ind w:right="1123" w:firstLine="422"/>
        <w:jc w:val="both"/>
      </w:pPr>
      <w:r>
        <w:rPr>
          <w:spacing w:val="-2"/>
        </w:rPr>
        <w:t>当拥有以净额结算当期所得税资产及当期所得税负债的法定权利，且递延所得税资产及递延所得税负</w:t>
      </w:r>
      <w:r>
        <w:rPr>
          <w:w w:val="100"/>
        </w:rPr>
        <w:t> </w:t>
      </w:r>
      <w:r>
        <w:rPr>
          <w:spacing w:val="-2"/>
        </w:rPr>
        <w:t>债是与同一税收征管部门对同一纳税主体征收的所得税相关或者是对不同的纳税主体相关，但在未来每一</w:t>
      </w:r>
      <w:r>
        <w:rPr>
          <w:spacing w:val="-31"/>
        </w:rPr>
        <w:t> </w:t>
      </w:r>
      <w:r>
        <w:rPr>
          <w:spacing w:val="-31"/>
        </w:rPr>
      </w:r>
      <w:r>
        <w:rPr>
          <w:spacing w:val="-2"/>
        </w:rPr>
        <w:t>具有重要性的递延所得税资产及负债转回的期间内，涉及的纳税主体意图以净额结算当期所得税资产和负</w:t>
      </w:r>
      <w:r>
        <w:rPr>
          <w:spacing w:val="-33"/>
        </w:rPr>
        <w:t> </w:t>
      </w:r>
      <w:r>
        <w:rPr>
          <w:spacing w:val="-33"/>
        </w:rPr>
      </w:r>
      <w:r>
        <w:rPr/>
        <w:t>债或是同时取得资产、清偿负债时，本集团递延所得税资产及递延所得税负债以抵销后的净额列报。</w:t>
      </w:r>
    </w:p>
    <w:p>
      <w:pPr>
        <w:spacing w:line="240" w:lineRule="auto" w:before="9"/>
        <w:rPr>
          <w:rFonts w:ascii="宋体" w:hAnsi="宋体" w:cs="宋体" w:eastAsia="宋体" w:hint="default"/>
          <w:sz w:val="23"/>
          <w:szCs w:val="23"/>
        </w:rPr>
      </w:pPr>
    </w:p>
    <w:p>
      <w:pPr>
        <w:pStyle w:val="Heading4"/>
        <w:spacing w:line="240" w:lineRule="auto"/>
        <w:ind w:right="0"/>
        <w:jc w:val="left"/>
        <w:rPr>
          <w:b w:val="0"/>
          <w:bCs w:val="0"/>
        </w:rPr>
      </w:pPr>
      <w:bookmarkStart w:name="26、租赁" w:id="206"/>
      <w:bookmarkEnd w:id="206"/>
      <w:r>
        <w:rPr>
          <w:b w:val="0"/>
          <w:bCs w:val="0"/>
        </w:rPr>
      </w:r>
      <w:r>
        <w:rPr>
          <w:rFonts w:ascii="Times New Roman" w:hAnsi="Times New Roman" w:cs="Times New Roman" w:eastAsia="Times New Roman" w:hint="default"/>
        </w:rPr>
        <w:t>26</w:t>
      </w:r>
      <w:r>
        <w:rPr/>
        <w:t>、租赁</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1）经营租赁的会计处理方法" w:id="207"/>
      <w:bookmarkEnd w:id="207"/>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pStyle w:val="BodyText"/>
        <w:spacing w:line="470" w:lineRule="atLeast" w:before="128"/>
        <w:ind w:left="936" w:right="0" w:hanging="783"/>
        <w:jc w:val="left"/>
      </w:pPr>
      <w:r>
        <w:rPr>
          <w:rFonts w:ascii="宋体" w:hAnsi="宋体" w:cs="宋体" w:eastAsia="宋体" w:hint="default"/>
        </w:rPr>
        <w:t>1.</w:t>
      </w:r>
      <w:r>
        <w:rPr>
          <w:rFonts w:ascii="宋体" w:hAnsi="宋体" w:cs="宋体" w:eastAsia="宋体" w:hint="default"/>
          <w:spacing w:val="43"/>
        </w:rPr>
        <w:t> </w:t>
      </w:r>
      <w:r>
        <w:rPr/>
        <w:t>本集团作为承租人记录经营租赁业务</w:t>
      </w:r>
      <w:r>
        <w:rPr>
          <w:spacing w:val="-100"/>
        </w:rPr>
        <w:t> </w:t>
      </w:r>
      <w:r>
        <w:rPr>
          <w:spacing w:val="-100"/>
        </w:rPr>
      </w:r>
      <w:r>
        <w:rPr>
          <w:spacing w:val="-2"/>
        </w:rPr>
        <w:t>经营租赁的租金支出在租赁期内的各个期间按直线法计入相关资产成本或当期损益。初始直接费</w:t>
      </w:r>
    </w:p>
    <w:p>
      <w:pPr>
        <w:pStyle w:val="BodyText"/>
        <w:spacing w:line="408" w:lineRule="auto" w:before="37"/>
        <w:ind w:right="5136" w:firstLine="360"/>
        <w:jc w:val="left"/>
      </w:pPr>
      <w:r>
        <w:rPr>
          <w:spacing w:val="-2"/>
        </w:rPr>
        <w:t>用计入当期损益。或有租金于实际发生时计入当期损益。</w:t>
      </w:r>
      <w:r>
        <w:rPr>
          <w:w w:val="100"/>
        </w:rPr>
        <w:t> </w:t>
      </w:r>
      <w:r>
        <w:rPr>
          <w:rFonts w:ascii="宋体" w:hAnsi="宋体" w:cs="宋体" w:eastAsia="宋体" w:hint="default"/>
        </w:rPr>
        <w:t>1.</w:t>
      </w:r>
      <w:r>
        <w:rPr>
          <w:rFonts w:ascii="宋体" w:hAnsi="宋体" w:cs="宋体" w:eastAsia="宋体" w:hint="default"/>
          <w:spacing w:val="48"/>
        </w:rPr>
        <w:t> </w:t>
      </w:r>
      <w:r>
        <w:rPr/>
        <w:t>本集团作为出租人记录经营租赁业务</w:t>
      </w:r>
    </w:p>
    <w:p>
      <w:pPr>
        <w:pStyle w:val="BodyText"/>
        <w:spacing w:line="273" w:lineRule="auto" w:before="48"/>
        <w:ind w:right="1123" w:firstLine="422"/>
        <w:jc w:val="both"/>
      </w:pPr>
      <w:r>
        <w:rPr>
          <w:spacing w:val="-2"/>
        </w:rPr>
        <w:t>经营租赁的租金收入在租赁期内的各个期间按直线法确认为当期损益。对金额较大的初始直接费用于</w:t>
      </w:r>
      <w:r>
        <w:rPr>
          <w:w w:val="100"/>
        </w:rPr>
        <w:t> </w:t>
      </w:r>
      <w:r>
        <w:rPr>
          <w:spacing w:val="-2"/>
        </w:rPr>
        <w:t>发生时予以资本化，在整个租赁期间内按照与确认租金收入相同的基础分期计入当期损益；其他金额较小</w:t>
      </w:r>
      <w:r>
        <w:rPr>
          <w:spacing w:val="-33"/>
        </w:rPr>
        <w:t> </w:t>
      </w:r>
      <w:r>
        <w:rPr>
          <w:spacing w:val="-33"/>
        </w:rPr>
      </w:r>
      <w:r>
        <w:rPr/>
        <w:t>的初始直接费用于发生时计入当期损益。或有租金于实际发生时计入当期损益。</w:t>
      </w:r>
    </w:p>
    <w:p>
      <w:pPr>
        <w:spacing w:line="240" w:lineRule="auto" w:before="10"/>
        <w:rPr>
          <w:rFonts w:ascii="宋体" w:hAnsi="宋体" w:cs="宋体" w:eastAsia="宋体" w:hint="default"/>
          <w:sz w:val="23"/>
          <w:szCs w:val="23"/>
        </w:rPr>
      </w:pPr>
    </w:p>
    <w:p>
      <w:pPr>
        <w:pStyle w:val="Heading4"/>
        <w:spacing w:line="240" w:lineRule="auto"/>
        <w:ind w:right="0"/>
        <w:jc w:val="left"/>
        <w:rPr>
          <w:b w:val="0"/>
          <w:bCs w:val="0"/>
        </w:rPr>
      </w:pPr>
      <w:bookmarkStart w:name="（2）融资租赁的会计处理方法" w:id="208"/>
      <w:bookmarkEnd w:id="208"/>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pStyle w:val="BodyText"/>
        <w:spacing w:line="460" w:lineRule="atLeast" w:before="133"/>
        <w:ind w:left="936" w:right="0" w:hanging="783"/>
        <w:jc w:val="left"/>
      </w:pPr>
      <w:r>
        <w:rPr>
          <w:rFonts w:ascii="宋体" w:hAnsi="宋体" w:cs="宋体" w:eastAsia="宋体" w:hint="default"/>
        </w:rPr>
        <w:t>1.</w:t>
      </w:r>
      <w:r>
        <w:rPr>
          <w:rFonts w:ascii="宋体" w:hAnsi="宋体" w:cs="宋体" w:eastAsia="宋体" w:hint="default"/>
          <w:spacing w:val="43"/>
        </w:rPr>
        <w:t> </w:t>
      </w:r>
      <w:r>
        <w:rPr/>
        <w:t>本集团作为承租人记录融资租赁业务</w:t>
      </w:r>
      <w:r>
        <w:rPr>
          <w:spacing w:val="-100"/>
        </w:rPr>
        <w:t> </w:t>
      </w:r>
      <w:r>
        <w:rPr>
          <w:spacing w:val="-100"/>
        </w:rPr>
      </w:r>
      <w:r>
        <w:rPr>
          <w:spacing w:val="-2"/>
        </w:rPr>
        <w:t>于租赁期开始日，将租赁开始日租赁资产的公允价值与最低租赁付款额现值两者中较低者作为租</w:t>
      </w:r>
    </w:p>
    <w:p>
      <w:pPr>
        <w:pStyle w:val="BodyText"/>
        <w:spacing w:line="273" w:lineRule="auto" w:before="37"/>
        <w:ind w:left="513" w:right="1161"/>
        <w:jc w:val="both"/>
      </w:pPr>
      <w:r>
        <w:rPr>
          <w:spacing w:val="-2"/>
        </w:rPr>
        <w:t>入资产的入账价值，将最低租赁付款额作为长期应付款的入账价值，其差额作为未确认融资费用。此</w:t>
      </w:r>
      <w:r>
        <w:rPr>
          <w:spacing w:val="-15"/>
        </w:rPr>
        <w:t> </w:t>
      </w:r>
      <w:r>
        <w:rPr>
          <w:spacing w:val="-15"/>
        </w:rPr>
      </w:r>
      <w:r>
        <w:rPr>
          <w:spacing w:val="-2"/>
        </w:rPr>
        <w:t>外，在租赁谈判和签订租赁合同过程中发生的，可归属于租赁项目的初始直接费用也计入租入资产价</w:t>
      </w:r>
      <w:r>
        <w:rPr>
          <w:spacing w:val="-13"/>
        </w:rPr>
        <w:t> </w:t>
      </w:r>
      <w:r>
        <w:rPr>
          <w:spacing w:val="-13"/>
        </w:rPr>
      </w:r>
      <w:r>
        <w:rPr/>
        <w:t>值。最低租赁付款额扣除未确认融资费用后的余额分别长期负债和一年内到期的长期负债列示。</w:t>
      </w:r>
    </w:p>
    <w:p>
      <w:pPr>
        <w:spacing w:after="0" w:line="273" w:lineRule="auto"/>
        <w:jc w:val="both"/>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BodyText"/>
        <w:spacing w:line="273" w:lineRule="auto" w:before="36"/>
        <w:ind w:left="513" w:right="1127" w:firstLine="422"/>
        <w:jc w:val="left"/>
      </w:pPr>
      <w:r>
        <w:rPr>
          <w:spacing w:val="-2"/>
        </w:rPr>
        <w:t>未确认融资费用在租赁期内采用实际利率法计算确认当期的融资费用。或有租金于实际发生时计</w:t>
      </w:r>
      <w:r>
        <w:rPr>
          <w:w w:val="100"/>
        </w:rPr>
        <w:t> </w:t>
      </w:r>
      <w:r>
        <w:rPr/>
        <w:t>入当期损益。</w:t>
      </w:r>
    </w:p>
    <w:p>
      <w:pPr>
        <w:pStyle w:val="BodyText"/>
        <w:spacing w:line="470" w:lineRule="exact" w:before="30"/>
        <w:ind w:left="575" w:right="0" w:hanging="423"/>
        <w:jc w:val="left"/>
      </w:pPr>
      <w:r>
        <w:rPr>
          <w:rFonts w:ascii="宋体" w:hAnsi="宋体" w:cs="宋体" w:eastAsia="宋体" w:hint="default"/>
        </w:rPr>
        <w:t>1.</w:t>
      </w:r>
      <w:r>
        <w:rPr>
          <w:rFonts w:ascii="宋体" w:hAnsi="宋体" w:cs="宋体" w:eastAsia="宋体" w:hint="default"/>
          <w:spacing w:val="43"/>
        </w:rPr>
        <w:t> </w:t>
      </w:r>
      <w:r>
        <w:rPr/>
        <w:t>本集团作为出租人记录融资租赁业务</w:t>
      </w:r>
      <w:r>
        <w:rPr>
          <w:spacing w:val="-100"/>
        </w:rPr>
        <w:t> </w:t>
      </w:r>
      <w:r>
        <w:rPr>
          <w:spacing w:val="-100"/>
        </w:rPr>
      </w:r>
      <w:r>
        <w:rPr>
          <w:spacing w:val="-2"/>
        </w:rPr>
        <w:t>于租赁期开始日，将租赁开始日最低租赁收款额与初始直接费用之和作为应收融资租赁款的入账价</w:t>
      </w:r>
    </w:p>
    <w:p>
      <w:pPr>
        <w:pStyle w:val="BodyText"/>
        <w:spacing w:line="248" w:lineRule="exact" w:before="0"/>
        <w:ind w:right="0"/>
        <w:jc w:val="left"/>
      </w:pPr>
      <w:r>
        <w:rPr/>
        <w:t>值，同时记录未担保余值；将最低租赁收款额、初始直接费用及未担保余值之和与其现值之和的差额确认</w:t>
      </w:r>
    </w:p>
    <w:p>
      <w:pPr>
        <w:pStyle w:val="BodyText"/>
        <w:spacing w:line="273" w:lineRule="auto" w:before="37"/>
        <w:ind w:right="1127"/>
        <w:jc w:val="left"/>
      </w:pPr>
      <w:r>
        <w:rPr>
          <w:spacing w:val="-2"/>
        </w:rPr>
        <w:t>为未实现融资收益。应收融资租赁款扣除未实现融资收益后的余额分别长期债权和一年内到期的长期债权</w:t>
      </w:r>
      <w:r>
        <w:rPr>
          <w:spacing w:val="-30"/>
        </w:rPr>
        <w:t> </w:t>
      </w:r>
      <w:r>
        <w:rPr>
          <w:spacing w:val="-30"/>
        </w:rPr>
      </w:r>
      <w:r>
        <w:rPr/>
        <w:t>列示。</w:t>
      </w:r>
    </w:p>
    <w:p>
      <w:pPr>
        <w:pStyle w:val="BodyText"/>
        <w:spacing w:line="273" w:lineRule="auto"/>
        <w:ind w:right="1126" w:firstLine="422"/>
        <w:jc w:val="both"/>
      </w:pPr>
      <w:r>
        <w:rPr>
          <w:spacing w:val="-2"/>
        </w:rPr>
        <w:t>未实现融资收益在租赁期内采用实际利率法计算确认当期的融资收入。或有租金于实际发生时计入当</w:t>
      </w:r>
      <w:r>
        <w:rPr>
          <w:w w:val="100"/>
        </w:rPr>
        <w:t> </w:t>
      </w:r>
      <w:r>
        <w:rPr/>
        <w:t>期损益。</w:t>
      </w:r>
    </w:p>
    <w:p>
      <w:pPr>
        <w:spacing w:line="240" w:lineRule="auto" w:before="9"/>
        <w:rPr>
          <w:rFonts w:ascii="宋体" w:hAnsi="宋体" w:cs="宋体" w:eastAsia="宋体" w:hint="default"/>
          <w:sz w:val="23"/>
          <w:szCs w:val="23"/>
        </w:rPr>
      </w:pPr>
    </w:p>
    <w:p>
      <w:pPr>
        <w:pStyle w:val="Heading4"/>
        <w:spacing w:line="240" w:lineRule="auto"/>
        <w:ind w:right="0"/>
        <w:jc w:val="left"/>
        <w:rPr>
          <w:b w:val="0"/>
          <w:bCs w:val="0"/>
        </w:rPr>
      </w:pPr>
      <w:bookmarkStart w:name="27、 终止经营" w:id="209"/>
      <w:bookmarkEnd w:id="209"/>
      <w:r>
        <w:rPr>
          <w:b w:val="0"/>
          <w:bCs w:val="0"/>
        </w:rPr>
      </w:r>
      <w:r>
        <w:rPr>
          <w:rFonts w:ascii="Times New Roman" w:hAnsi="Times New Roman" w:cs="Times New Roman" w:eastAsia="Times New Roman" w:hint="default"/>
        </w:rPr>
        <w:t>27</w:t>
      </w:r>
      <w:r>
        <w:rPr/>
        <w:t>、</w:t>
      </w:r>
      <w:r>
        <w:rPr>
          <w:spacing w:val="2"/>
        </w:rPr>
        <w:t> </w:t>
      </w:r>
      <w:r>
        <w:rPr/>
        <w:t>终止经营</w:t>
      </w:r>
      <w:r>
        <w:rPr>
          <w:b w:val="0"/>
          <w:bCs w:val="0"/>
        </w:rPr>
      </w:r>
    </w:p>
    <w:p>
      <w:pPr>
        <w:spacing w:line="240" w:lineRule="auto" w:before="5"/>
        <w:rPr>
          <w:rFonts w:ascii="宋体" w:hAnsi="宋体" w:cs="宋体" w:eastAsia="宋体" w:hint="default"/>
          <w:b/>
          <w:bCs/>
          <w:sz w:val="24"/>
          <w:szCs w:val="24"/>
        </w:rPr>
      </w:pPr>
    </w:p>
    <w:p>
      <w:pPr>
        <w:pStyle w:val="BodyText"/>
        <w:spacing w:line="273" w:lineRule="auto" w:before="0"/>
        <w:ind w:right="1121" w:firstLine="422"/>
        <w:jc w:val="both"/>
      </w:pPr>
      <w:r>
        <w:rPr>
          <w:spacing w:val="-2"/>
        </w:rPr>
        <w:t>终止经营，是指满足下列条件之一的、能够单独区分且已被本集团处置或划分为持有待售类别的组成</w:t>
      </w:r>
      <w:r>
        <w:rPr>
          <w:w w:val="100"/>
        </w:rPr>
        <w:t> </w:t>
      </w:r>
      <w:r>
        <w:rPr>
          <w:spacing w:val="-2"/>
        </w:rPr>
        <w:t>部分：①该组成部分代表一项独立的主要业务或一个单独的主要经营地区；②该组成部分是拟对一项独立</w:t>
      </w:r>
      <w:r>
        <w:rPr>
          <w:spacing w:val="-33"/>
        </w:rPr>
        <w:t> </w:t>
      </w:r>
      <w:r>
        <w:rPr>
          <w:spacing w:val="-33"/>
        </w:rPr>
      </w:r>
      <w:r>
        <w:rPr>
          <w:spacing w:val="-2"/>
        </w:rPr>
        <w:t>的主要业务或一个单独的主要经营地区进行处置的一项相关联计划的一部分；③该组成部分是专为了转售</w:t>
      </w:r>
      <w:r>
        <w:rPr>
          <w:spacing w:val="-33"/>
        </w:rPr>
        <w:t> </w:t>
      </w:r>
      <w:r>
        <w:rPr>
          <w:spacing w:val="-33"/>
        </w:rPr>
      </w:r>
      <w:r>
        <w:rPr/>
        <w:t>而取得的子公司。</w:t>
      </w:r>
    </w:p>
    <w:p>
      <w:pPr>
        <w:pStyle w:val="BodyText"/>
        <w:spacing w:line="240" w:lineRule="auto"/>
        <w:ind w:left="575" w:right="0"/>
        <w:jc w:val="left"/>
      </w:pPr>
      <w:r>
        <w:rPr/>
        <w:t>终止经营的会计处理方法参见本附注五、</w:t>
      </w:r>
      <w:r>
        <w:rPr>
          <w:rFonts w:ascii="Times New Roman" w:hAnsi="Times New Roman" w:cs="Times New Roman" w:eastAsia="Times New Roman" w:hint="default"/>
        </w:rPr>
        <w:t>13“</w:t>
      </w:r>
      <w:r>
        <w:rPr/>
        <w:t>持有待售资产和处置组</w:t>
      </w:r>
      <w:r>
        <w:rPr>
          <w:rFonts w:ascii="Times New Roman" w:hAnsi="Times New Roman" w:cs="Times New Roman" w:eastAsia="Times New Roman" w:hint="default"/>
        </w:rPr>
        <w:t>”</w:t>
      </w:r>
      <w:r>
        <w:rPr/>
        <w:t>相关描述。</w:t>
      </w:r>
    </w:p>
    <w:p>
      <w:pPr>
        <w:spacing w:line="240" w:lineRule="auto" w:before="10"/>
        <w:rPr>
          <w:rFonts w:ascii="宋体" w:hAnsi="宋体" w:cs="宋体" w:eastAsia="宋体" w:hint="default"/>
          <w:sz w:val="24"/>
          <w:szCs w:val="24"/>
        </w:rPr>
      </w:pPr>
    </w:p>
    <w:p>
      <w:pPr>
        <w:pStyle w:val="Heading4"/>
        <w:spacing w:line="240" w:lineRule="auto"/>
        <w:ind w:right="0"/>
        <w:jc w:val="left"/>
        <w:rPr>
          <w:b w:val="0"/>
          <w:bCs w:val="0"/>
        </w:rPr>
      </w:pPr>
      <w:bookmarkStart w:name="28、重要会计政策和会计估计变更" w:id="210"/>
      <w:bookmarkEnd w:id="210"/>
      <w:r>
        <w:rPr>
          <w:b w:val="0"/>
          <w:bCs w:val="0"/>
        </w:rPr>
      </w:r>
      <w:r>
        <w:rPr>
          <w:rFonts w:ascii="Times New Roman" w:hAnsi="Times New Roman" w:cs="Times New Roman" w:eastAsia="Times New Roman" w:hint="default"/>
        </w:rPr>
        <w:t>28</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重要会计政策变更" w:id="211"/>
      <w:bookmarkEnd w:id="211"/>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399"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8" w:right="0"/>
              <w:jc w:val="left"/>
              <w:rPr>
                <w:rFonts w:ascii="宋体" w:hAnsi="宋体" w:cs="宋体" w:eastAsia="宋体" w:hint="default"/>
                <w:sz w:val="18"/>
                <w:szCs w:val="18"/>
              </w:rPr>
            </w:pPr>
            <w:r>
              <w:rPr>
                <w:rFonts w:ascii="宋体" w:hAnsi="宋体" w:cs="宋体" w:eastAsia="宋体" w:hint="default"/>
                <w:spacing w:val="-3"/>
                <w:sz w:val="18"/>
                <w:szCs w:val="18"/>
              </w:rPr>
              <w:t>会计政策变更的内容和原因</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5"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会计政策变更</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90"/>
              <w:jc w:val="left"/>
              <w:rPr>
                <w:rFonts w:ascii="宋体" w:hAnsi="宋体" w:cs="宋体" w:eastAsia="宋体" w:hint="default"/>
                <w:sz w:val="18"/>
                <w:szCs w:val="18"/>
              </w:rPr>
            </w:pPr>
            <w:r>
              <w:rPr>
                <w:rFonts w:ascii="宋体" w:hAnsi="宋体" w:cs="宋体" w:eastAsia="宋体" w:hint="default"/>
                <w:spacing w:val="-3"/>
                <w:sz w:val="18"/>
                <w:szCs w:val="18"/>
              </w:rPr>
              <w:t>经第九届董事会第四次会议、第九届董</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事会第七次会议通过决议</w:t>
            </w:r>
          </w:p>
        </w:tc>
        <w:tc>
          <w:tcPr>
            <w:tcW w:w="31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6" w:lineRule="exact" w:before="0"/>
        <w:ind w:left="662" w:right="0"/>
        <w:jc w:val="left"/>
      </w:pPr>
      <w:r>
        <w:rPr/>
        <w:t>（</w:t>
      </w:r>
      <w:r>
        <w:rPr>
          <w:rFonts w:ascii="Times New Roman" w:hAnsi="Times New Roman" w:cs="Times New Roman" w:eastAsia="Times New Roman" w:hint="default"/>
        </w:rPr>
        <w:t>1</w:t>
      </w:r>
      <w:r>
        <w:rPr/>
        <w:t>）</w:t>
      </w:r>
      <w:r>
        <w:rPr>
          <w:spacing w:val="-15"/>
        </w:rPr>
        <w:t> </w:t>
      </w:r>
      <w:r>
        <w:rPr/>
        <w:t>执行新金融工具准则导致的会计政策变更</w:t>
      </w:r>
    </w:p>
    <w:p>
      <w:pPr>
        <w:pStyle w:val="BodyText"/>
        <w:spacing w:line="256" w:lineRule="auto" w:before="21"/>
        <w:ind w:right="1122" w:firstLine="422"/>
        <w:jc w:val="both"/>
      </w:pPr>
      <w:r>
        <w:rPr>
          <w:spacing w:val="-4"/>
        </w:rPr>
        <w:t>财政部于</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31</w:t>
      </w:r>
      <w:r>
        <w:rPr>
          <w:spacing w:val="-4"/>
        </w:rPr>
        <w:t>日分别发布了《企业会计准则第</w:t>
      </w:r>
      <w:r>
        <w:rPr>
          <w:rFonts w:ascii="Times New Roman" w:hAnsi="Times New Roman" w:cs="Times New Roman" w:eastAsia="Times New Roman" w:hint="default"/>
          <w:spacing w:val="-4"/>
        </w:rPr>
        <w:t>22</w:t>
      </w:r>
      <w:r>
        <w:rPr>
          <w:spacing w:val="-4"/>
        </w:rPr>
        <w:t>号</w:t>
      </w:r>
      <w:r>
        <w:rPr>
          <w:rFonts w:ascii="Times New Roman" w:hAnsi="Times New Roman" w:cs="Times New Roman" w:eastAsia="Times New Roman" w:hint="default"/>
          <w:spacing w:val="-4"/>
        </w:rPr>
        <w:t>——</w:t>
      </w:r>
      <w:r>
        <w:rPr>
          <w:spacing w:val="-4"/>
        </w:rPr>
        <w:t>金融工具确认和计量</w:t>
      </w:r>
      <w:r>
        <w:rPr>
          <w:rFonts w:ascii="Times New Roman" w:hAnsi="Times New Roman" w:cs="Times New Roman" w:eastAsia="Times New Roman" w:hint="default"/>
          <w:spacing w:val="-4"/>
        </w:rPr>
        <w:t>(2017</w:t>
      </w:r>
      <w:r>
        <w:rPr>
          <w:spacing w:val="-4"/>
        </w:rPr>
        <w:t>年修订</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财</w:t>
      </w:r>
      <w:r>
        <w:rPr>
          <w:w w:val="100"/>
        </w:rPr>
        <w:t> </w:t>
      </w:r>
      <w:r>
        <w:rPr/>
        <w:t>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、《企业会计准则第</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金融资产转移</w:t>
      </w:r>
      <w:r>
        <w:rPr>
          <w:rFonts w:ascii="Times New Roman" w:hAnsi="Times New Roman" w:cs="Times New Roman" w:eastAsia="Times New Roman" w:hint="default"/>
        </w:rPr>
        <w:t>(2017</w:t>
      </w:r>
      <w:r>
        <w:rPr/>
        <w:t>年修订</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、《企业会</w:t>
      </w:r>
      <w:r>
        <w:rPr>
          <w:spacing w:val="-55"/>
        </w:rPr>
        <w:t> </w:t>
      </w:r>
      <w:r>
        <w:rPr>
          <w:spacing w:val="-1"/>
        </w:rPr>
        <w:t>计准则第</w:t>
      </w:r>
      <w:r>
        <w:rPr>
          <w:rFonts w:ascii="Times New Roman" w:hAnsi="Times New Roman" w:cs="Times New Roman" w:eastAsia="Times New Roman" w:hint="default"/>
          <w:spacing w:val="-1"/>
        </w:rPr>
        <w:t>24</w:t>
      </w:r>
      <w:r>
        <w:rPr>
          <w:spacing w:val="-1"/>
        </w:rPr>
        <w:t>号</w:t>
      </w:r>
      <w:r>
        <w:rPr>
          <w:rFonts w:ascii="Times New Roman" w:hAnsi="Times New Roman" w:cs="Times New Roman" w:eastAsia="Times New Roman" w:hint="default"/>
          <w:spacing w:val="-1"/>
        </w:rPr>
        <w:t>——</w:t>
      </w:r>
      <w:r>
        <w:rPr>
          <w:spacing w:val="-1"/>
        </w:rPr>
        <w:t>套期会计</w:t>
      </w:r>
      <w:r>
        <w:rPr>
          <w:rFonts w:ascii="Times New Roman" w:hAnsi="Times New Roman" w:cs="Times New Roman" w:eastAsia="Times New Roman" w:hint="default"/>
          <w:spacing w:val="-1"/>
        </w:rPr>
        <w:t>(2017</w:t>
      </w:r>
      <w:r>
        <w:rPr>
          <w:spacing w:val="-1"/>
        </w:rPr>
        <w:t>年修订</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财会〔</w:t>
      </w:r>
      <w:r>
        <w:rPr>
          <w:rFonts w:ascii="Times New Roman" w:hAnsi="Times New Roman" w:cs="Times New Roman" w:eastAsia="Times New Roman" w:hint="default"/>
          <w:spacing w:val="-1"/>
        </w:rPr>
        <w:t>2017</w:t>
      </w:r>
      <w:r>
        <w:rPr>
          <w:spacing w:val="-1"/>
        </w:rPr>
        <w:t>〕</w:t>
      </w:r>
      <w:r>
        <w:rPr>
          <w:rFonts w:ascii="Times New Roman" w:hAnsi="Times New Roman" w:cs="Times New Roman" w:eastAsia="Times New Roman" w:hint="default"/>
          <w:spacing w:val="-1"/>
        </w:rPr>
        <w:t>9</w:t>
      </w:r>
      <w:r>
        <w:rPr>
          <w:spacing w:val="-1"/>
        </w:rPr>
        <w:t>号</w:t>
      </w:r>
      <w:r>
        <w:rPr>
          <w:rFonts w:ascii="Times New Roman" w:hAnsi="Times New Roman" w:cs="Times New Roman" w:eastAsia="Times New Roman" w:hint="default"/>
          <w:spacing w:val="-1"/>
        </w:rPr>
        <w:t>)</w:t>
      </w:r>
      <w:r>
        <w:rPr>
          <w:spacing w:val="-1"/>
        </w:rPr>
        <w:t>，于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w:t>
      </w:r>
      <w:r>
        <w:rPr>
          <w:spacing w:val="-1"/>
        </w:rPr>
        <w:t>日发布了《企业会计准则第</w:t>
      </w:r>
      <w:r>
        <w:rPr>
          <w:spacing w:val="-40"/>
        </w:rPr>
        <w:t> </w:t>
      </w:r>
      <w:r>
        <w:rPr>
          <w:spacing w:val="-40"/>
        </w:rPr>
      </w:r>
      <w:r>
        <w:rPr>
          <w:rFonts w:ascii="Times New Roman" w:hAnsi="Times New Roman" w:cs="Times New Roman" w:eastAsia="Times New Roman" w:hint="default"/>
          <w:spacing w:val="-1"/>
        </w:rPr>
        <w:t>37</w:t>
      </w:r>
      <w:r>
        <w:rPr>
          <w:spacing w:val="-1"/>
        </w:rPr>
        <w:t>号</w:t>
      </w:r>
      <w:r>
        <w:rPr>
          <w:rFonts w:ascii="Times New Roman" w:hAnsi="Times New Roman" w:cs="Times New Roman" w:eastAsia="Times New Roman" w:hint="default"/>
          <w:spacing w:val="-1"/>
        </w:rPr>
        <w:t>——</w:t>
      </w:r>
      <w:r>
        <w:rPr>
          <w:spacing w:val="-1"/>
        </w:rPr>
        <w:t>金融工具列报</w:t>
      </w:r>
      <w:r>
        <w:rPr>
          <w:rFonts w:ascii="Times New Roman" w:hAnsi="Times New Roman" w:cs="Times New Roman" w:eastAsia="Times New Roman" w:hint="default"/>
          <w:spacing w:val="-1"/>
        </w:rPr>
        <w:t>(2017</w:t>
      </w:r>
      <w:r>
        <w:rPr>
          <w:spacing w:val="-1"/>
        </w:rPr>
        <w:t>年修订</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财会〔</w:t>
      </w:r>
      <w:r>
        <w:rPr>
          <w:rFonts w:ascii="Times New Roman" w:hAnsi="Times New Roman" w:cs="Times New Roman" w:eastAsia="Times New Roman" w:hint="default"/>
          <w:spacing w:val="-1"/>
        </w:rPr>
        <w:t>2017</w:t>
      </w:r>
      <w:r>
        <w:rPr>
          <w:spacing w:val="-1"/>
        </w:rPr>
        <w:t>〕</w:t>
      </w:r>
      <w:r>
        <w:rPr>
          <w:rFonts w:ascii="Times New Roman" w:hAnsi="Times New Roman" w:cs="Times New Roman" w:eastAsia="Times New Roman" w:hint="default"/>
          <w:spacing w:val="-1"/>
        </w:rPr>
        <w:t>14</w:t>
      </w:r>
      <w:r>
        <w:rPr>
          <w:spacing w:val="-1"/>
        </w:rPr>
        <w:t>号</w:t>
      </w:r>
      <w:r>
        <w:rPr>
          <w:rFonts w:ascii="Times New Roman" w:hAnsi="Times New Roman" w:cs="Times New Roman" w:eastAsia="Times New Roman" w:hint="default"/>
          <w:spacing w:val="-1"/>
        </w:rPr>
        <w:t>)(</w:t>
      </w:r>
      <w:r>
        <w:rPr>
          <w:spacing w:val="-1"/>
        </w:rPr>
        <w:t>上述准则统称</w:t>
      </w:r>
      <w:r>
        <w:rPr>
          <w:rFonts w:ascii="Times New Roman" w:hAnsi="Times New Roman" w:cs="Times New Roman" w:eastAsia="Times New Roman" w:hint="default"/>
          <w:spacing w:val="-1"/>
        </w:rPr>
        <w:t>“</w:t>
      </w:r>
      <w:r>
        <w:rPr>
          <w:spacing w:val="-1"/>
        </w:rPr>
        <w:t>新金融工具准则</w:t>
      </w:r>
      <w:r>
        <w:rPr>
          <w:rFonts w:ascii="Times New Roman" w:hAnsi="Times New Roman" w:cs="Times New Roman" w:eastAsia="Times New Roman" w:hint="default"/>
          <w:spacing w:val="-1"/>
        </w:rPr>
        <w:t>”)</w:t>
      </w:r>
      <w:r>
        <w:rPr>
          <w:spacing w:val="-1"/>
        </w:rPr>
        <w:t>，要求境内上</w:t>
      </w:r>
      <w:r>
        <w:rPr>
          <w:spacing w:val="-51"/>
        </w:rPr>
        <w:t> </w:t>
      </w:r>
      <w:r>
        <w:rPr>
          <w:spacing w:val="-51"/>
        </w:rPr>
      </w:r>
      <w:r>
        <w:rPr/>
        <w:t>市企业自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日起执行新金融工具准则。</w:t>
      </w:r>
    </w:p>
    <w:p>
      <w:pPr>
        <w:pStyle w:val="BodyText"/>
        <w:spacing w:line="256" w:lineRule="auto" w:before="5"/>
        <w:ind w:right="1122" w:firstLine="422"/>
        <w:jc w:val="both"/>
      </w:pPr>
      <w:r>
        <w:rPr/>
        <w:t>公司于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spacing w:val="-3"/>
        </w:rPr>
        <w:t>25</w:t>
      </w:r>
      <w:r>
        <w:rPr>
          <w:rFonts w:ascii="Times New Roman" w:hAnsi="Times New Roman" w:cs="Times New Roman" w:eastAsia="Times New Roman" w:hint="default"/>
          <w:spacing w:val="-16"/>
        </w:rPr>
        <w:t> </w:t>
      </w:r>
      <w:r>
        <w:rPr/>
        <w:t>日召开第九届董事会第四次会议通过决议，本集团于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日起开始执</w:t>
      </w:r>
      <w:r>
        <w:rPr>
          <w:w w:val="100"/>
        </w:rPr>
        <w:t> </w:t>
      </w:r>
      <w:r>
        <w:rPr/>
        <w:t>行前述新金融工具准则。</w:t>
      </w:r>
    </w:p>
    <w:p>
      <w:pPr>
        <w:pStyle w:val="BodyText"/>
        <w:spacing w:line="273" w:lineRule="auto" w:before="23"/>
        <w:ind w:right="1123" w:firstLine="422"/>
        <w:jc w:val="both"/>
      </w:pPr>
      <w:r>
        <w:rPr>
          <w:spacing w:val="-2"/>
        </w:rPr>
        <w:t>在新金融工具准则下所有已确认金融资产，其后续均按摊余成本或公允价值计量。在新金融工具准则</w:t>
      </w:r>
      <w:r>
        <w:rPr>
          <w:w w:val="100"/>
        </w:rPr>
        <w:t> </w:t>
      </w:r>
      <w:r>
        <w:rPr>
          <w:spacing w:val="-2"/>
        </w:rPr>
        <w:t>施行日，以本集团该日既有事实和情况为基础评估管理金融资产的业务模式、以金融资产初始确认时的事</w:t>
      </w:r>
      <w:r>
        <w:rPr>
          <w:spacing w:val="-31"/>
        </w:rPr>
        <w:t> </w:t>
      </w:r>
      <w:r>
        <w:rPr>
          <w:spacing w:val="-31"/>
        </w:rPr>
      </w:r>
      <w:r>
        <w:rPr>
          <w:spacing w:val="-2"/>
        </w:rPr>
        <w:t>实和情况为基础评估该金融资产上的合同现金流量特征，将金融资产分为三类：按摊余成本计量、按公允</w:t>
      </w:r>
      <w:r>
        <w:rPr>
          <w:spacing w:val="-33"/>
        </w:rPr>
        <w:t> </w:t>
      </w:r>
      <w:r>
        <w:rPr>
          <w:spacing w:val="-33"/>
        </w:rPr>
      </w:r>
      <w:r>
        <w:rPr>
          <w:spacing w:val="-2"/>
        </w:rPr>
        <w:t>价值计量且其变动计入其他综合收益及按公允价值计量且其变动计入当期损益。其中，对于按公允价值计</w:t>
      </w:r>
      <w:r>
        <w:rPr>
          <w:spacing w:val="-33"/>
        </w:rPr>
        <w:t> </w:t>
      </w:r>
      <w:r>
        <w:rPr>
          <w:spacing w:val="-33"/>
        </w:rPr>
      </w:r>
      <w:r>
        <w:rPr>
          <w:spacing w:val="-2"/>
        </w:rPr>
        <w:t>量且其变动计入其他综合收益的权益工具投资，当该金融资产终止确认时，之前计入其他综合收益的累计</w:t>
      </w:r>
      <w:r>
        <w:rPr>
          <w:spacing w:val="-33"/>
        </w:rPr>
        <w:t> </w:t>
      </w:r>
      <w:r>
        <w:rPr>
          <w:spacing w:val="-33"/>
        </w:rPr>
      </w:r>
      <w:r>
        <w:rPr/>
        <w:t>利得或损失将从其他综合收益转入留存收益，不计入当期损益。</w:t>
      </w:r>
    </w:p>
    <w:p>
      <w:pPr>
        <w:pStyle w:val="BodyText"/>
        <w:spacing w:line="273" w:lineRule="auto"/>
        <w:ind w:right="1120" w:firstLine="422"/>
        <w:jc w:val="both"/>
      </w:pPr>
      <w:r>
        <w:rPr>
          <w:spacing w:val="-2"/>
        </w:rPr>
        <w:t>在新金融工具准则下，本集团以预期信用损失为基础，对以摊余成本计量的金融资产、以公允价值计</w:t>
      </w:r>
      <w:r>
        <w:rPr>
          <w:w w:val="100"/>
        </w:rPr>
        <w:t> </w:t>
      </w:r>
      <w:r>
        <w:rPr>
          <w:spacing w:val="-2"/>
        </w:rPr>
        <w:t>量且其变动计入其他综合收益的债务工具投资、租赁应收款及财务担保合同计提减值准备并确认信用减值</w:t>
      </w:r>
      <w:r>
        <w:rPr>
          <w:spacing w:val="-31"/>
        </w:rPr>
        <w:t> </w:t>
      </w:r>
      <w:r>
        <w:rPr>
          <w:spacing w:val="-31"/>
        </w:rPr>
      </w:r>
      <w:r>
        <w:rPr/>
        <w:t>损失。</w:t>
      </w:r>
    </w:p>
    <w:p>
      <w:pPr>
        <w:spacing w:after="0" w:line="273" w:lineRule="auto"/>
        <w:jc w:val="both"/>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BodyText"/>
        <w:spacing w:line="256" w:lineRule="auto" w:before="36"/>
        <w:ind w:right="1122" w:firstLine="422"/>
        <w:jc w:val="both"/>
      </w:pPr>
      <w:r>
        <w:rPr/>
        <w:t>本集团追溯应用新金融工具准则，但对于分类和计量</w:t>
      </w:r>
      <w:r>
        <w:rPr>
          <w:rFonts w:ascii="Times New Roman" w:hAnsi="Times New Roman" w:cs="Times New Roman" w:eastAsia="Times New Roman" w:hint="default"/>
        </w:rPr>
        <w:t>(</w:t>
      </w:r>
      <w:r>
        <w:rPr/>
        <w:t>含减值</w:t>
      </w:r>
      <w:r>
        <w:rPr>
          <w:rFonts w:ascii="Times New Roman" w:hAnsi="Times New Roman" w:cs="Times New Roman" w:eastAsia="Times New Roman" w:hint="default"/>
        </w:rPr>
        <w:t>)</w:t>
      </w:r>
      <w:r>
        <w:rPr/>
        <w:t>涉及前期比较财务报表数据与新金融工</w:t>
      </w:r>
      <w:r>
        <w:rPr>
          <w:w w:val="100"/>
        </w:rPr>
        <w:t> </w:t>
      </w:r>
      <w:r>
        <w:rPr>
          <w:spacing w:val="-2"/>
        </w:rPr>
        <w:t>具准则不一致的，本集团选择不进行重述。因此，对于首次执行该准则的累积影响数，本集团调整</w:t>
      </w:r>
      <w:r>
        <w:rPr>
          <w:rFonts w:ascii="Times New Roman" w:hAnsi="Times New Roman" w:cs="Times New Roman" w:eastAsia="Times New Roman" w:hint="default"/>
          <w:spacing w:val="-2"/>
        </w:rPr>
        <w:t>2019</w:t>
      </w:r>
      <w:r>
        <w:rPr>
          <w:spacing w:val="-2"/>
        </w:rPr>
        <w:t>年</w:t>
      </w:r>
      <w:r>
        <w:rPr>
          <w:spacing w:val="-25"/>
        </w:rPr>
        <w:t> </w:t>
      </w:r>
      <w:r>
        <w:rPr/>
        <w:t>年初留存收益或其他综合收益以及财务报表其他相关项目金额，</w:t>
      </w:r>
      <w:r>
        <w:rPr>
          <w:rFonts w:ascii="Times New Roman" w:hAnsi="Times New Roman" w:cs="Times New Roman" w:eastAsia="Times New Roman" w:hint="default"/>
        </w:rPr>
        <w:t>2018</w:t>
      </w:r>
      <w:r>
        <w:rPr/>
        <w:t>年度的财务报表未予重述。</w:t>
      </w:r>
    </w:p>
    <w:p>
      <w:pPr>
        <w:pStyle w:val="BodyText"/>
        <w:spacing w:line="240" w:lineRule="auto" w:before="5"/>
        <w:ind w:left="575" w:right="0"/>
        <w:jc w:val="left"/>
      </w:pPr>
      <w:r>
        <w:rPr/>
        <w:t>执行新金融工具准则对本集团的主要变化和影响如下：</w:t>
      </w:r>
    </w:p>
    <w:p>
      <w:pPr>
        <w:pStyle w:val="BodyText"/>
        <w:spacing w:line="256" w:lineRule="auto" w:before="37"/>
        <w:ind w:right="1127" w:firstLine="422"/>
        <w:jc w:val="both"/>
      </w:pPr>
      <w:r>
        <w:rPr>
          <w:rFonts w:ascii="Times New Roman" w:hAnsi="Times New Roman" w:cs="Times New Roman" w:eastAsia="Times New Roman" w:hint="default"/>
        </w:rPr>
        <w:t>——</w:t>
      </w:r>
      <w:r>
        <w:rPr/>
        <w:t>本集团于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日及以后将持有的部分非交易性股权投资指定为以公允价值计量且其变动</w:t>
      </w:r>
      <w:r>
        <w:rPr>
          <w:w w:val="100"/>
        </w:rPr>
        <w:t> </w:t>
      </w:r>
      <w:r>
        <w:rPr/>
        <w:t>计入其他综合收益的金融资产，列报为其他权益工具投资。</w:t>
      </w:r>
    </w:p>
    <w:p>
      <w:pPr>
        <w:pStyle w:val="Heading3"/>
        <w:spacing w:line="340" w:lineRule="auto" w:before="135"/>
        <w:ind w:right="3986"/>
        <w:jc w:val="left"/>
      </w:pPr>
      <w:r>
        <w:rPr>
          <w:rFonts w:ascii="Times New Roman" w:hAnsi="Times New Roman" w:cs="Times New Roman" w:eastAsia="Times New Roman" w:hint="default"/>
          <w:spacing w:val="-1"/>
        </w:rPr>
        <w:t>A</w:t>
      </w:r>
      <w:r>
        <w:rPr>
          <w:spacing w:val="-1"/>
        </w:rPr>
        <w:t>、首次执行日前后金融资产分类和计量对比表</w:t>
      </w:r>
      <w:r>
        <w:rPr>
          <w:spacing w:val="-84"/>
        </w:rPr>
        <w:t> </w:t>
      </w:r>
      <w:r>
        <w:rPr>
          <w:spacing w:val="-84"/>
        </w:rPr>
      </w:r>
      <w:r>
        <w:rPr>
          <w:rFonts w:ascii="Times New Roman" w:hAnsi="Times New Roman" w:cs="Times New Roman" w:eastAsia="Times New Roman" w:hint="default"/>
        </w:rPr>
        <w:t>a</w:t>
      </w:r>
      <w:r>
        <w:rPr/>
        <w:t>、对合并财务报表的影响</w:t>
      </w:r>
    </w:p>
    <w:p>
      <w:pPr>
        <w:spacing w:line="240" w:lineRule="auto" w:before="8"/>
        <w:rPr>
          <w:rFonts w:ascii="宋体" w:hAnsi="宋体" w:cs="宋体" w:eastAsia="宋体" w:hint="default"/>
          <w:sz w:val="3"/>
          <w:szCs w:val="3"/>
        </w:rPr>
      </w:pPr>
    </w:p>
    <w:tbl>
      <w:tblPr>
        <w:tblW w:w="0" w:type="auto"/>
        <w:jc w:val="left"/>
        <w:tblInd w:w="143" w:type="dxa"/>
        <w:tblLayout w:type="fixed"/>
        <w:tblCellMar>
          <w:top w:w="0" w:type="dxa"/>
          <w:left w:w="0" w:type="dxa"/>
          <w:bottom w:w="0" w:type="dxa"/>
          <w:right w:w="0" w:type="dxa"/>
        </w:tblCellMar>
        <w:tblLook w:val="01E0"/>
      </w:tblPr>
      <w:tblGrid>
        <w:gridCol w:w="1561"/>
        <w:gridCol w:w="1988"/>
        <w:gridCol w:w="1133"/>
        <w:gridCol w:w="1556"/>
        <w:gridCol w:w="1834"/>
        <w:gridCol w:w="1061"/>
      </w:tblGrid>
      <w:tr>
        <w:trPr>
          <w:trHeight w:val="346" w:hRule="exact"/>
        </w:trPr>
        <w:tc>
          <w:tcPr>
            <w:tcW w:w="468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26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31</w:t>
            </w:r>
            <w:r>
              <w:rPr>
                <w:rFonts w:ascii="宋体" w:hAnsi="宋体" w:cs="宋体" w:eastAsia="宋体" w:hint="default"/>
                <w:sz w:val="20"/>
                <w:szCs w:val="20"/>
              </w:rPr>
              <w:t>日</w:t>
            </w:r>
            <w:r>
              <w:rPr>
                <w:rFonts w:ascii="Times New Roman" w:hAnsi="Times New Roman" w:cs="Times New Roman" w:eastAsia="Times New Roman" w:hint="default"/>
                <w:sz w:val="20"/>
                <w:szCs w:val="20"/>
              </w:rPr>
              <w:t>(</w:t>
            </w:r>
            <w:r>
              <w:rPr>
                <w:rFonts w:ascii="宋体" w:hAnsi="宋体" w:cs="宋体" w:eastAsia="宋体" w:hint="default"/>
                <w:sz w:val="20"/>
                <w:szCs w:val="20"/>
              </w:rPr>
              <w:t>变更前</w:t>
            </w:r>
            <w:r>
              <w:rPr>
                <w:rFonts w:ascii="Times New Roman" w:hAnsi="Times New Roman" w:cs="Times New Roman" w:eastAsia="Times New Roman" w:hint="default"/>
                <w:sz w:val="20"/>
                <w:szCs w:val="20"/>
              </w:rPr>
              <w:t>)</w:t>
            </w:r>
          </w:p>
        </w:tc>
        <w:tc>
          <w:tcPr>
            <w:tcW w:w="44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25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2019</w:t>
            </w:r>
            <w:r>
              <w:rPr>
                <w:rFonts w:ascii="宋体" w:hAnsi="宋体" w:cs="宋体" w:eastAsia="宋体" w:hint="default"/>
                <w:sz w:val="20"/>
                <w:szCs w:val="20"/>
              </w:rPr>
              <w:t>年</w:t>
            </w:r>
            <w:r>
              <w:rPr>
                <w:rFonts w:ascii="Times New Roman" w:hAnsi="Times New Roman" w:cs="Times New Roman" w:eastAsia="Times New Roman" w:hint="default"/>
                <w:sz w:val="20"/>
                <w:szCs w:val="20"/>
              </w:rPr>
              <w:t>1</w:t>
            </w:r>
            <w:r>
              <w:rPr>
                <w:rFonts w:ascii="宋体" w:hAnsi="宋体" w:cs="宋体" w:eastAsia="宋体" w:hint="default"/>
                <w:sz w:val="20"/>
                <w:szCs w:val="20"/>
              </w:rPr>
              <w:t>月</w:t>
            </w:r>
            <w:r>
              <w:rPr>
                <w:rFonts w:ascii="Times New Roman" w:hAnsi="Times New Roman" w:cs="Times New Roman" w:eastAsia="Times New Roman" w:hint="default"/>
                <w:sz w:val="20"/>
                <w:szCs w:val="20"/>
              </w:rPr>
              <w:t>1</w:t>
            </w:r>
            <w:r>
              <w:rPr>
                <w:rFonts w:ascii="宋体" w:hAnsi="宋体" w:cs="宋体" w:eastAsia="宋体" w:hint="default"/>
                <w:sz w:val="20"/>
                <w:szCs w:val="20"/>
              </w:rPr>
              <w:t>日</w:t>
            </w:r>
            <w:r>
              <w:rPr>
                <w:rFonts w:ascii="Times New Roman" w:hAnsi="Times New Roman" w:cs="Times New Roman" w:eastAsia="Times New Roman" w:hint="default"/>
                <w:sz w:val="20"/>
                <w:szCs w:val="20"/>
              </w:rPr>
              <w:t>(</w:t>
            </w:r>
            <w:r>
              <w:rPr>
                <w:rFonts w:ascii="宋体" w:hAnsi="宋体" w:cs="宋体" w:eastAsia="宋体" w:hint="default"/>
                <w:sz w:val="20"/>
                <w:szCs w:val="20"/>
              </w:rPr>
              <w:t>变更后</w:t>
            </w:r>
            <w:r>
              <w:rPr>
                <w:rFonts w:ascii="Times New Roman" w:hAnsi="Times New Roman" w:cs="Times New Roman" w:eastAsia="Times New Roman" w:hint="default"/>
                <w:sz w:val="20"/>
                <w:szCs w:val="20"/>
              </w:rPr>
              <w:t>)</w:t>
            </w:r>
          </w:p>
        </w:tc>
      </w:tr>
      <w:tr>
        <w:trPr>
          <w:trHeight w:val="350" w:hRule="exact"/>
        </w:trPr>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29"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56"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658" w:hRule="exact"/>
        </w:trPr>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185,094,124.5</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177,145,108.5</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r>
        <w:trPr>
          <w:trHeight w:val="658" w:hRule="exact"/>
        </w:trPr>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
              <w:jc w:val="right"/>
              <w:rPr>
                <w:rFonts w:ascii="Times New Roman" w:hAnsi="Times New Roman" w:cs="Times New Roman" w:eastAsia="Times New Roman" w:hint="default"/>
                <w:sz w:val="18"/>
                <w:szCs w:val="18"/>
              </w:rPr>
            </w:pPr>
            <w:r>
              <w:rPr>
                <w:rFonts w:ascii="Times New Roman"/>
                <w:spacing w:val="-1"/>
                <w:sz w:val="18"/>
              </w:rPr>
              <w:t>186,009,724.9</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
              <w:jc w:val="right"/>
              <w:rPr>
                <w:rFonts w:ascii="Times New Roman" w:hAnsi="Times New Roman" w:cs="Times New Roman" w:eastAsia="Times New Roman" w:hint="default"/>
                <w:sz w:val="18"/>
                <w:szCs w:val="18"/>
              </w:rPr>
            </w:pPr>
            <w:r>
              <w:rPr>
                <w:rFonts w:ascii="Times New Roman"/>
                <w:spacing w:val="-1"/>
                <w:sz w:val="18"/>
              </w:rPr>
              <w:t>174,499,805.9</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r>
      <w:tr>
        <w:trPr>
          <w:trHeight w:val="662" w:hRule="exact"/>
        </w:trPr>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19"/>
              <w:jc w:val="left"/>
              <w:rPr>
                <w:rFonts w:ascii="宋体" w:hAnsi="宋体" w:cs="宋体" w:eastAsia="宋体" w:hint="default"/>
                <w:sz w:val="18"/>
                <w:szCs w:val="18"/>
              </w:rPr>
            </w:pPr>
            <w:r>
              <w:rPr>
                <w:rFonts w:ascii="宋体" w:hAnsi="宋体" w:cs="宋体" w:eastAsia="宋体" w:hint="default"/>
                <w:spacing w:val="-2"/>
                <w:sz w:val="18"/>
                <w:szCs w:val="18"/>
              </w:rPr>
              <w:t>以成本计量（权益工具）</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6" w:right="-5"/>
              <w:jc w:val="center"/>
              <w:rPr>
                <w:rFonts w:ascii="Times New Roman" w:hAnsi="Times New Roman" w:cs="Times New Roman" w:eastAsia="Times New Roman" w:hint="default"/>
                <w:sz w:val="18"/>
                <w:szCs w:val="18"/>
              </w:rPr>
            </w:pPr>
            <w:r>
              <w:rPr>
                <w:rFonts w:ascii="Times New Roman"/>
                <w:spacing w:val="-2"/>
                <w:sz w:val="18"/>
              </w:rPr>
              <w:t>57,889,687.88</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9" w:right="-10"/>
              <w:jc w:val="left"/>
              <w:rPr>
                <w:rFonts w:ascii="宋体" w:hAnsi="宋体" w:cs="宋体" w:eastAsia="宋体" w:hint="default"/>
                <w:sz w:val="18"/>
                <w:szCs w:val="18"/>
              </w:rPr>
            </w:pPr>
            <w:r>
              <w:rPr>
                <w:rFonts w:ascii="宋体" w:hAnsi="宋体" w:cs="宋体" w:eastAsia="宋体" w:hint="default"/>
                <w:sz w:val="18"/>
                <w:szCs w:val="18"/>
              </w:rPr>
              <w:t>以公允价值计量且其变</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动计入其他综合收益</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 w:right="-4"/>
              <w:jc w:val="center"/>
              <w:rPr>
                <w:rFonts w:ascii="Times New Roman" w:hAnsi="Times New Roman" w:cs="Times New Roman" w:eastAsia="Times New Roman" w:hint="default"/>
                <w:sz w:val="18"/>
                <w:szCs w:val="18"/>
              </w:rPr>
            </w:pPr>
            <w:r>
              <w:rPr>
                <w:rFonts w:ascii="Times New Roman"/>
                <w:spacing w:val="-1"/>
                <w:sz w:val="18"/>
              </w:rPr>
              <w:t>69,125,832.68</w:t>
            </w:r>
          </w:p>
        </w:tc>
      </w:tr>
    </w:tbl>
    <w:p>
      <w:pPr>
        <w:spacing w:line="240" w:lineRule="auto" w:before="0"/>
        <w:rPr>
          <w:rFonts w:ascii="宋体" w:hAnsi="宋体" w:cs="宋体" w:eastAsia="宋体" w:hint="default"/>
          <w:sz w:val="5"/>
          <w:szCs w:val="5"/>
        </w:rPr>
      </w:pPr>
    </w:p>
    <w:p>
      <w:pPr>
        <w:pStyle w:val="Heading3"/>
        <w:spacing w:line="240" w:lineRule="auto"/>
        <w:ind w:right="0"/>
        <w:jc w:val="left"/>
      </w:pPr>
      <w:r>
        <w:rPr>
          <w:rFonts w:ascii="Times New Roman" w:hAnsi="Times New Roman" w:cs="Times New Roman" w:eastAsia="Times New Roman" w:hint="default"/>
        </w:rPr>
        <w:t>b</w:t>
      </w:r>
      <w:r>
        <w:rPr/>
        <w:t>、对公司财务报表的影响</w:t>
      </w:r>
    </w:p>
    <w:p>
      <w:pPr>
        <w:spacing w:line="240" w:lineRule="auto" w:before="5"/>
        <w:rPr>
          <w:rFonts w:ascii="宋体" w:hAnsi="宋体" w:cs="宋体" w:eastAsia="宋体" w:hint="default"/>
          <w:sz w:val="11"/>
          <w:szCs w:val="11"/>
        </w:rPr>
      </w:pPr>
    </w:p>
    <w:tbl>
      <w:tblPr>
        <w:tblW w:w="0" w:type="auto"/>
        <w:jc w:val="left"/>
        <w:tblInd w:w="143" w:type="dxa"/>
        <w:tblLayout w:type="fixed"/>
        <w:tblCellMar>
          <w:top w:w="0" w:type="dxa"/>
          <w:left w:w="0" w:type="dxa"/>
          <w:bottom w:w="0" w:type="dxa"/>
          <w:right w:w="0" w:type="dxa"/>
        </w:tblCellMar>
        <w:tblLook w:val="01E0"/>
      </w:tblPr>
      <w:tblGrid>
        <w:gridCol w:w="1537"/>
        <w:gridCol w:w="1868"/>
        <w:gridCol w:w="1133"/>
        <w:gridCol w:w="1561"/>
        <w:gridCol w:w="1844"/>
        <w:gridCol w:w="1277"/>
      </w:tblGrid>
      <w:tr>
        <w:trPr>
          <w:trHeight w:val="346" w:hRule="exact"/>
        </w:trPr>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4"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533" w:right="0"/>
              <w:jc w:val="left"/>
              <w:rPr>
                <w:rFonts w:ascii="宋体" w:hAnsi="宋体" w:cs="宋体" w:eastAsia="宋体" w:hint="default"/>
                <w:sz w:val="20"/>
                <w:szCs w:val="20"/>
              </w:rPr>
            </w:pPr>
            <w:r>
              <w:rPr>
                <w:rFonts w:ascii="宋体" w:hAnsi="宋体" w:cs="宋体" w:eastAsia="宋体" w:hint="default"/>
                <w:sz w:val="20"/>
                <w:szCs w:val="20"/>
              </w:rPr>
              <w:t>计量类别</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4" w:right="0"/>
              <w:jc w:val="center"/>
              <w:rPr>
                <w:rFonts w:ascii="宋体" w:hAnsi="宋体" w:cs="宋体" w:eastAsia="宋体" w:hint="default"/>
                <w:sz w:val="20"/>
                <w:szCs w:val="20"/>
              </w:rPr>
            </w:pPr>
            <w:r>
              <w:rPr>
                <w:rFonts w:ascii="宋体" w:hAnsi="宋体" w:cs="宋体" w:eastAsia="宋体" w:hint="default"/>
                <w:sz w:val="20"/>
                <w:szCs w:val="20"/>
              </w:rPr>
              <w:t>账面价值</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9"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513" w:right="0"/>
              <w:jc w:val="left"/>
              <w:rPr>
                <w:rFonts w:ascii="宋体" w:hAnsi="宋体" w:cs="宋体" w:eastAsia="宋体" w:hint="default"/>
                <w:sz w:val="20"/>
                <w:szCs w:val="20"/>
              </w:rPr>
            </w:pPr>
            <w:r>
              <w:rPr>
                <w:rFonts w:ascii="宋体" w:hAnsi="宋体" w:cs="宋体" w:eastAsia="宋体" w:hint="default"/>
                <w:sz w:val="20"/>
                <w:szCs w:val="20"/>
              </w:rPr>
              <w:t>计量类别</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230" w:right="0"/>
              <w:jc w:val="left"/>
              <w:rPr>
                <w:rFonts w:ascii="宋体" w:hAnsi="宋体" w:cs="宋体" w:eastAsia="宋体" w:hint="default"/>
                <w:sz w:val="20"/>
                <w:szCs w:val="20"/>
              </w:rPr>
            </w:pPr>
            <w:r>
              <w:rPr>
                <w:rFonts w:ascii="宋体" w:hAnsi="宋体" w:cs="宋体" w:eastAsia="宋体" w:hint="default"/>
                <w:sz w:val="20"/>
                <w:szCs w:val="20"/>
              </w:rPr>
              <w:t>账面价值</w:t>
            </w:r>
          </w:p>
        </w:tc>
      </w:tr>
      <w:tr>
        <w:trPr>
          <w:trHeight w:val="658" w:hRule="exact"/>
        </w:trPr>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center"/>
              <w:rPr>
                <w:rFonts w:ascii="Times New Roman" w:hAnsi="Times New Roman" w:cs="Times New Roman" w:eastAsia="Times New Roman" w:hint="default"/>
                <w:sz w:val="22"/>
                <w:szCs w:val="22"/>
              </w:rPr>
            </w:pPr>
            <w:r>
              <w:rPr>
                <w:rFonts w:ascii="Times New Roman"/>
                <w:sz w:val="22"/>
              </w:rPr>
              <w:t>550,177,065</w:t>
            </w:r>
          </w:p>
          <w:p>
            <w:pPr>
              <w:pStyle w:val="TableParagraph"/>
              <w:spacing w:line="240" w:lineRule="auto" w:before="59"/>
              <w:ind w:left="4" w:right="0"/>
              <w:jc w:val="center"/>
              <w:rPr>
                <w:rFonts w:ascii="Times New Roman" w:hAnsi="Times New Roman" w:cs="Times New Roman" w:eastAsia="Times New Roman" w:hint="default"/>
                <w:sz w:val="22"/>
                <w:szCs w:val="22"/>
              </w:rPr>
            </w:pPr>
            <w:r>
              <w:rPr>
                <w:rFonts w:ascii="Times New Roman"/>
                <w:sz w:val="22"/>
              </w:rPr>
              <w:t>.22</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2"/>
                <w:szCs w:val="22"/>
              </w:rPr>
            </w:pPr>
            <w:r>
              <w:rPr>
                <w:rFonts w:ascii="Times New Roman"/>
                <w:spacing w:val="-1"/>
                <w:sz w:val="22"/>
              </w:rPr>
              <w:t>548,698,451.</w:t>
            </w:r>
          </w:p>
          <w:p>
            <w:pPr>
              <w:pStyle w:val="TableParagraph"/>
              <w:spacing w:line="240" w:lineRule="auto" w:before="59"/>
              <w:ind w:right="2"/>
              <w:jc w:val="right"/>
              <w:rPr>
                <w:rFonts w:ascii="Times New Roman" w:hAnsi="Times New Roman" w:cs="Times New Roman" w:eastAsia="Times New Roman" w:hint="default"/>
                <w:sz w:val="22"/>
                <w:szCs w:val="22"/>
              </w:rPr>
            </w:pPr>
            <w:r>
              <w:rPr>
                <w:rFonts w:ascii="Times New Roman"/>
                <w:sz w:val="22"/>
              </w:rPr>
              <w:t>81</w:t>
            </w:r>
          </w:p>
        </w:tc>
      </w:tr>
      <w:tr>
        <w:trPr>
          <w:trHeight w:val="662" w:hRule="exact"/>
        </w:trPr>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pacing w:val="-7"/>
                <w:sz w:val="18"/>
                <w:szCs w:val="18"/>
              </w:rPr>
              <w:t>以成本计量（权益工具</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1" w:right="0"/>
              <w:jc w:val="center"/>
              <w:rPr>
                <w:rFonts w:ascii="Times New Roman" w:hAnsi="Times New Roman" w:cs="Times New Roman" w:eastAsia="Times New Roman" w:hint="default"/>
                <w:sz w:val="18"/>
                <w:szCs w:val="18"/>
              </w:rPr>
            </w:pPr>
            <w:r>
              <w:rPr>
                <w:rFonts w:ascii="Times New Roman"/>
                <w:spacing w:val="-2"/>
                <w:sz w:val="18"/>
              </w:rPr>
              <w:t>48,389,687.88</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z w:val="18"/>
                <w:szCs w:val="18"/>
              </w:rPr>
              <w:t>以公允价值计量且其变</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动计入其他综合收益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25" w:right="0"/>
              <w:jc w:val="left"/>
              <w:rPr>
                <w:rFonts w:ascii="Times New Roman" w:hAnsi="Times New Roman" w:cs="Times New Roman" w:eastAsia="Times New Roman" w:hint="default"/>
                <w:sz w:val="18"/>
                <w:szCs w:val="18"/>
              </w:rPr>
            </w:pPr>
            <w:r>
              <w:rPr>
                <w:rFonts w:ascii="Times New Roman"/>
                <w:spacing w:val="-2"/>
                <w:sz w:val="18"/>
              </w:rPr>
              <w:t>59,407,689.53</w:t>
            </w:r>
          </w:p>
        </w:tc>
      </w:tr>
    </w:tbl>
    <w:p>
      <w:pPr>
        <w:spacing w:line="240" w:lineRule="auto" w:before="0"/>
        <w:rPr>
          <w:rFonts w:ascii="宋体" w:hAnsi="宋体" w:cs="宋体" w:eastAsia="宋体" w:hint="default"/>
          <w:sz w:val="5"/>
          <w:szCs w:val="5"/>
        </w:rPr>
      </w:pPr>
    </w:p>
    <w:p>
      <w:pPr>
        <w:pStyle w:val="Heading3"/>
        <w:spacing w:line="244" w:lineRule="auto"/>
        <w:ind w:left="153" w:right="0" w:firstLine="441"/>
        <w:jc w:val="left"/>
      </w:pPr>
      <w:r>
        <w:rPr>
          <w:rFonts w:ascii="Times New Roman" w:hAnsi="Times New Roman" w:cs="Times New Roman" w:eastAsia="Times New Roman" w:hint="default"/>
          <w:spacing w:val="-1"/>
        </w:rPr>
        <w:t>B</w:t>
      </w:r>
      <w:r>
        <w:rPr>
          <w:spacing w:val="-1"/>
        </w:rPr>
        <w:t>、首次执行日，原金融资产账面价值调整为按照新金融工具准则的规定进行分类和计量的新金</w:t>
      </w:r>
      <w:r>
        <w:rPr>
          <w:w w:val="100"/>
        </w:rPr>
        <w:t> </w:t>
      </w:r>
      <w:r>
        <w:rPr/>
        <w:t>融资产账面价值的调节表</w:t>
      </w:r>
    </w:p>
    <w:p>
      <w:pPr>
        <w:pStyle w:val="Heading3"/>
        <w:spacing w:line="240" w:lineRule="auto" w:before="139"/>
        <w:ind w:right="0"/>
        <w:jc w:val="left"/>
      </w:pPr>
      <w:r>
        <w:rPr>
          <w:rFonts w:ascii="Times New Roman" w:hAnsi="Times New Roman" w:cs="Times New Roman" w:eastAsia="Times New Roman" w:hint="default"/>
        </w:rPr>
        <w:t>a</w:t>
      </w:r>
      <w:r>
        <w:rPr/>
        <w:t>、对合并报表的影响</w:t>
      </w:r>
    </w:p>
    <w:p>
      <w:pPr>
        <w:spacing w:line="240" w:lineRule="auto" w:before="5"/>
        <w:rPr>
          <w:rFonts w:ascii="宋体" w:hAnsi="宋体" w:cs="宋体" w:eastAsia="宋体" w:hint="default"/>
          <w:sz w:val="11"/>
          <w:szCs w:val="11"/>
        </w:rPr>
      </w:pPr>
    </w:p>
    <w:tbl>
      <w:tblPr>
        <w:tblW w:w="0" w:type="auto"/>
        <w:jc w:val="left"/>
        <w:tblInd w:w="143" w:type="dxa"/>
        <w:tblLayout w:type="fixed"/>
        <w:tblCellMar>
          <w:top w:w="0" w:type="dxa"/>
          <w:left w:w="0" w:type="dxa"/>
          <w:bottom w:w="0" w:type="dxa"/>
          <w:right w:w="0" w:type="dxa"/>
        </w:tblCellMar>
        <w:tblLook w:val="01E0"/>
      </w:tblPr>
      <w:tblGrid>
        <w:gridCol w:w="3544"/>
        <w:gridCol w:w="1560"/>
        <w:gridCol w:w="1421"/>
        <w:gridCol w:w="1273"/>
        <w:gridCol w:w="1335"/>
      </w:tblGrid>
      <w:tr>
        <w:trPr>
          <w:trHeight w:val="658"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4"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2018</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31</w:t>
            </w:r>
            <w:r>
              <w:rPr>
                <w:rFonts w:ascii="宋体" w:hAnsi="宋体" w:cs="宋体" w:eastAsia="宋体" w:hint="default"/>
                <w:sz w:val="20"/>
                <w:szCs w:val="20"/>
              </w:rPr>
              <w:t>日</w:t>
            </w:r>
          </w:p>
          <w:p>
            <w:pPr>
              <w:pStyle w:val="TableParagraph"/>
              <w:spacing w:line="240" w:lineRule="auto" w:before="35"/>
              <w:ind w:left="19"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变更前</w:t>
            </w:r>
            <w:r>
              <w:rPr>
                <w:rFonts w:ascii="Times New Roman" w:hAnsi="Times New Roman" w:cs="Times New Roman" w:eastAsia="Times New Roman" w:hint="default"/>
                <w:sz w:val="20"/>
                <w:szCs w:val="20"/>
              </w:rPr>
              <w:t>)</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03" w:right="0"/>
              <w:jc w:val="left"/>
              <w:rPr>
                <w:rFonts w:ascii="宋体" w:hAnsi="宋体" w:cs="宋体" w:eastAsia="宋体" w:hint="default"/>
                <w:sz w:val="20"/>
                <w:szCs w:val="20"/>
              </w:rPr>
            </w:pPr>
            <w:r>
              <w:rPr>
                <w:rFonts w:ascii="宋体" w:hAnsi="宋体" w:cs="宋体" w:eastAsia="宋体" w:hint="default"/>
                <w:sz w:val="20"/>
                <w:szCs w:val="20"/>
              </w:rPr>
              <w:t>重分类</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30" w:right="0"/>
              <w:jc w:val="left"/>
              <w:rPr>
                <w:rFonts w:ascii="宋体" w:hAnsi="宋体" w:cs="宋体" w:eastAsia="宋体" w:hint="default"/>
                <w:sz w:val="20"/>
                <w:szCs w:val="20"/>
              </w:rPr>
            </w:pPr>
            <w:r>
              <w:rPr>
                <w:rFonts w:ascii="宋体" w:hAnsi="宋体" w:cs="宋体" w:eastAsia="宋体" w:hint="default"/>
                <w:sz w:val="20"/>
                <w:szCs w:val="20"/>
              </w:rPr>
              <w:t>重新计量</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1"/>
              <w:ind w:left="297" w:right="50" w:hanging="236"/>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2019</w:t>
            </w:r>
            <w:r>
              <w:rPr>
                <w:rFonts w:ascii="宋体" w:hAnsi="宋体" w:cs="宋体" w:eastAsia="宋体" w:hint="default"/>
                <w:sz w:val="20"/>
                <w:szCs w:val="20"/>
              </w:rPr>
              <w:t>年</w:t>
            </w:r>
            <w:r>
              <w:rPr>
                <w:rFonts w:ascii="Times New Roman" w:hAnsi="Times New Roman" w:cs="Times New Roman" w:eastAsia="Times New Roman" w:hint="default"/>
                <w:sz w:val="20"/>
                <w:szCs w:val="20"/>
              </w:rPr>
              <w:t>1</w:t>
            </w:r>
            <w:r>
              <w:rPr>
                <w:rFonts w:ascii="宋体" w:hAnsi="宋体" w:cs="宋体" w:eastAsia="宋体" w:hint="default"/>
                <w:sz w:val="20"/>
                <w:szCs w:val="20"/>
              </w:rPr>
              <w:t>月</w:t>
            </w:r>
            <w:r>
              <w:rPr>
                <w:rFonts w:ascii="Times New Roman" w:hAnsi="Times New Roman" w:cs="Times New Roman" w:eastAsia="Times New Roman" w:hint="default"/>
                <w:sz w:val="20"/>
                <w:szCs w:val="20"/>
              </w:rPr>
              <w:t>1</w:t>
            </w:r>
            <w:r>
              <w:rPr>
                <w:rFonts w:ascii="宋体" w:hAnsi="宋体" w:cs="宋体" w:eastAsia="宋体" w:hint="default"/>
                <w:sz w:val="20"/>
                <w:szCs w:val="20"/>
              </w:rPr>
              <w:t>日</w:t>
            </w:r>
            <w:r>
              <w:rPr>
                <w:rFonts w:ascii="宋体" w:hAnsi="宋体" w:cs="宋体" w:eastAsia="宋体" w:hint="default"/>
                <w:spacing w:val="-96"/>
                <w:sz w:val="20"/>
                <w:szCs w:val="20"/>
              </w:rPr>
              <w:t> </w:t>
            </w:r>
            <w:r>
              <w:rPr>
                <w:rFonts w:ascii="Times New Roman" w:hAnsi="Times New Roman" w:cs="Times New Roman" w:eastAsia="Times New Roman" w:hint="default"/>
                <w:sz w:val="20"/>
                <w:szCs w:val="20"/>
              </w:rPr>
              <w:t>(</w:t>
            </w:r>
            <w:r>
              <w:rPr>
                <w:rFonts w:ascii="宋体" w:hAnsi="宋体" w:cs="宋体" w:eastAsia="宋体" w:hint="default"/>
                <w:sz w:val="20"/>
                <w:szCs w:val="20"/>
              </w:rPr>
              <w:t>变更后</w:t>
            </w:r>
            <w:r>
              <w:rPr>
                <w:rFonts w:ascii="Times New Roman" w:hAnsi="Times New Roman" w:cs="Times New Roman" w:eastAsia="Times New Roman" w:hint="default"/>
                <w:sz w:val="20"/>
                <w:szCs w:val="20"/>
              </w:rPr>
              <w:t>)</w:t>
            </w:r>
          </w:p>
        </w:tc>
      </w:tr>
      <w:tr>
        <w:trPr>
          <w:trHeight w:val="346"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spacing w:val="-1"/>
                <w:sz w:val="18"/>
              </w:rPr>
              <w:t>185,094,124.56</w:t>
            </w:r>
          </w:p>
        </w:tc>
        <w:tc>
          <w:tcPr>
            <w:tcW w:w="1421"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r>
      <w:tr>
        <w:trPr>
          <w:trHeight w:val="350"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重新计量：预计信用损失准备</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
              <w:jc w:val="right"/>
              <w:rPr>
                <w:rFonts w:ascii="Times New Roman" w:hAnsi="Times New Roman" w:cs="Times New Roman" w:eastAsia="Times New Roman" w:hint="default"/>
                <w:sz w:val="18"/>
                <w:szCs w:val="18"/>
              </w:rPr>
            </w:pPr>
            <w:r>
              <w:rPr>
                <w:rFonts w:ascii="Times New Roman"/>
                <w:spacing w:val="-1"/>
                <w:sz w:val="18"/>
              </w:rPr>
              <w:t>-7,949,016.03</w:t>
            </w:r>
          </w:p>
        </w:tc>
        <w:tc>
          <w:tcPr>
            <w:tcW w:w="1335"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按新金融工具准则列示的余额</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2"/>
                <w:sz w:val="18"/>
              </w:rPr>
              <w:t>177,145,108.53</w:t>
            </w:r>
          </w:p>
        </w:tc>
      </w:tr>
      <w:tr>
        <w:trPr>
          <w:trHeight w:val="346"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spacing w:val="-1"/>
                <w:sz w:val="18"/>
              </w:rPr>
              <w:t>186,009,724.97</w:t>
            </w:r>
          </w:p>
        </w:tc>
        <w:tc>
          <w:tcPr>
            <w:tcW w:w="1421"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r>
      <w:tr>
        <w:trPr>
          <w:trHeight w:val="350"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重新计量：预计信用损失准备</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
              <w:jc w:val="right"/>
              <w:rPr>
                <w:rFonts w:ascii="Times New Roman" w:hAnsi="Times New Roman" w:cs="Times New Roman" w:eastAsia="Times New Roman" w:hint="default"/>
                <w:sz w:val="18"/>
                <w:szCs w:val="18"/>
              </w:rPr>
            </w:pPr>
            <w:r>
              <w:rPr>
                <w:rFonts w:ascii="Times New Roman"/>
                <w:spacing w:val="-2"/>
                <w:sz w:val="18"/>
              </w:rPr>
              <w:t>-11,509,918.98</w:t>
            </w:r>
          </w:p>
        </w:tc>
        <w:tc>
          <w:tcPr>
            <w:tcW w:w="1335"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按新金融工具准则列示的余额</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2"/>
                <w:sz w:val="18"/>
              </w:rPr>
              <w:t>174,499,805.99</w:t>
            </w:r>
          </w:p>
        </w:tc>
      </w:tr>
      <w:tr>
        <w:trPr>
          <w:trHeight w:val="346"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以成本计量（权益工具）</w:t>
            </w:r>
            <w:r>
              <w:rPr>
                <w:rFonts w:ascii="Times New Roman" w:hAnsi="Times New Roman" w:cs="Times New Roman" w:eastAsia="Times New Roman" w:hint="default"/>
                <w:spacing w:val="-3"/>
                <w:sz w:val="18"/>
                <w:szCs w:val="18"/>
              </w:rPr>
              <w:t>:</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可供出售金融资产（原准则）</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spacing w:val="-2"/>
                <w:sz w:val="18"/>
              </w:rPr>
              <w:t>57,889,687.88</w:t>
            </w:r>
          </w:p>
        </w:tc>
        <w:tc>
          <w:tcPr>
            <w:tcW w:w="1421"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r>
      <w:tr>
        <w:trPr>
          <w:trHeight w:val="351"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减：转出至其他非流动金融资产</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减：转出至其他权益工具投资</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69" w:right="0"/>
              <w:jc w:val="left"/>
              <w:rPr>
                <w:rFonts w:ascii="Times New Roman" w:hAnsi="Times New Roman" w:cs="Times New Roman" w:eastAsia="Times New Roman" w:hint="default"/>
                <w:sz w:val="18"/>
                <w:szCs w:val="18"/>
              </w:rPr>
            </w:pPr>
            <w:r>
              <w:rPr>
                <w:rFonts w:ascii="Times New Roman"/>
                <w:spacing w:val="-2"/>
                <w:sz w:val="18"/>
              </w:rPr>
              <w:t>57,889,687.88</w:t>
            </w:r>
          </w:p>
        </w:tc>
        <w:tc>
          <w:tcPr>
            <w:tcW w:w="1273"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按新金融工具准则列示的余额</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3544"/>
        <w:gridCol w:w="1560"/>
        <w:gridCol w:w="1421"/>
        <w:gridCol w:w="1273"/>
        <w:gridCol w:w="1335"/>
      </w:tblGrid>
      <w:tr>
        <w:trPr>
          <w:trHeight w:val="346"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421"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r>
      <w:tr>
        <w:trPr>
          <w:trHeight w:val="350"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加：自可供出售金融资产（原准则）转入</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69" w:right="0"/>
              <w:jc w:val="left"/>
              <w:rPr>
                <w:rFonts w:ascii="Times New Roman" w:hAnsi="Times New Roman" w:cs="Times New Roman" w:eastAsia="Times New Roman" w:hint="default"/>
                <w:sz w:val="18"/>
                <w:szCs w:val="18"/>
              </w:rPr>
            </w:pPr>
            <w:r>
              <w:rPr>
                <w:rFonts w:ascii="Times New Roman"/>
                <w:spacing w:val="-2"/>
                <w:sz w:val="18"/>
              </w:rPr>
              <w:t>57,889,687.88</w:t>
            </w:r>
          </w:p>
        </w:tc>
        <w:tc>
          <w:tcPr>
            <w:tcW w:w="1273"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重新计量：按公允价值重新计量</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30" w:right="-9"/>
              <w:jc w:val="left"/>
              <w:rPr>
                <w:rFonts w:ascii="Times New Roman" w:hAnsi="Times New Roman" w:cs="Times New Roman" w:eastAsia="Times New Roman" w:hint="default"/>
                <w:sz w:val="18"/>
                <w:szCs w:val="18"/>
              </w:rPr>
            </w:pPr>
            <w:r>
              <w:rPr>
                <w:rFonts w:ascii="Times New Roman"/>
                <w:spacing w:val="-2"/>
                <w:sz w:val="18"/>
              </w:rPr>
              <w:t>11,236,144.80</w:t>
            </w:r>
          </w:p>
        </w:tc>
        <w:tc>
          <w:tcPr>
            <w:tcW w:w="1335"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按新金融工具准则列示的余额</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87" w:right="-5"/>
              <w:jc w:val="left"/>
              <w:rPr>
                <w:rFonts w:ascii="Times New Roman" w:hAnsi="Times New Roman" w:cs="Times New Roman" w:eastAsia="Times New Roman" w:hint="default"/>
                <w:sz w:val="18"/>
                <w:szCs w:val="18"/>
              </w:rPr>
            </w:pPr>
            <w:r>
              <w:rPr>
                <w:rFonts w:ascii="Times New Roman"/>
                <w:spacing w:val="-2"/>
                <w:sz w:val="18"/>
              </w:rPr>
              <w:t>69,125,832.68</w:t>
            </w:r>
          </w:p>
        </w:tc>
      </w:tr>
    </w:tbl>
    <w:p>
      <w:pPr>
        <w:spacing w:line="240" w:lineRule="auto" w:before="0"/>
        <w:rPr>
          <w:rFonts w:ascii="宋体" w:hAnsi="宋体" w:cs="宋体" w:eastAsia="宋体" w:hint="default"/>
          <w:sz w:val="5"/>
          <w:szCs w:val="5"/>
        </w:rPr>
      </w:pPr>
    </w:p>
    <w:p>
      <w:pPr>
        <w:pStyle w:val="Heading3"/>
        <w:spacing w:line="240" w:lineRule="auto"/>
        <w:ind w:right="0"/>
        <w:jc w:val="left"/>
      </w:pPr>
      <w:r>
        <w:rPr>
          <w:rFonts w:ascii="Times New Roman" w:hAnsi="Times New Roman" w:cs="Times New Roman" w:eastAsia="Times New Roman" w:hint="default"/>
        </w:rPr>
        <w:t>b</w:t>
      </w:r>
      <w:r>
        <w:rPr/>
        <w:t>、对公司财务报表的影响</w:t>
      </w:r>
    </w:p>
    <w:p>
      <w:pPr>
        <w:spacing w:line="240" w:lineRule="auto" w:before="5"/>
        <w:rPr>
          <w:rFonts w:ascii="宋体" w:hAnsi="宋体" w:cs="宋体" w:eastAsia="宋体" w:hint="default"/>
          <w:sz w:val="11"/>
          <w:szCs w:val="11"/>
        </w:rPr>
      </w:pPr>
    </w:p>
    <w:tbl>
      <w:tblPr>
        <w:tblW w:w="0" w:type="auto"/>
        <w:jc w:val="left"/>
        <w:tblInd w:w="143" w:type="dxa"/>
        <w:tblLayout w:type="fixed"/>
        <w:tblCellMar>
          <w:top w:w="0" w:type="dxa"/>
          <w:left w:w="0" w:type="dxa"/>
          <w:bottom w:w="0" w:type="dxa"/>
          <w:right w:w="0" w:type="dxa"/>
        </w:tblCellMar>
        <w:tblLook w:val="01E0"/>
      </w:tblPr>
      <w:tblGrid>
        <w:gridCol w:w="3544"/>
        <w:gridCol w:w="1560"/>
        <w:gridCol w:w="1421"/>
        <w:gridCol w:w="1273"/>
        <w:gridCol w:w="1335"/>
      </w:tblGrid>
      <w:tr>
        <w:trPr>
          <w:trHeight w:val="662"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4"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2018</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31</w:t>
            </w:r>
            <w:r>
              <w:rPr>
                <w:rFonts w:ascii="宋体" w:hAnsi="宋体" w:cs="宋体" w:eastAsia="宋体" w:hint="default"/>
                <w:sz w:val="20"/>
                <w:szCs w:val="20"/>
              </w:rPr>
              <w:t>日</w:t>
            </w:r>
          </w:p>
          <w:p>
            <w:pPr>
              <w:pStyle w:val="TableParagraph"/>
              <w:spacing w:line="240" w:lineRule="auto" w:before="35"/>
              <w:ind w:left="19"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变更前</w:t>
            </w:r>
            <w:r>
              <w:rPr>
                <w:rFonts w:ascii="Times New Roman" w:hAnsi="Times New Roman" w:cs="Times New Roman" w:eastAsia="Times New Roman" w:hint="default"/>
                <w:sz w:val="20"/>
                <w:szCs w:val="20"/>
              </w:rPr>
              <w:t>)</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03" w:right="0"/>
              <w:jc w:val="left"/>
              <w:rPr>
                <w:rFonts w:ascii="宋体" w:hAnsi="宋体" w:cs="宋体" w:eastAsia="宋体" w:hint="default"/>
                <w:sz w:val="20"/>
                <w:szCs w:val="20"/>
              </w:rPr>
            </w:pPr>
            <w:r>
              <w:rPr>
                <w:rFonts w:ascii="宋体" w:hAnsi="宋体" w:cs="宋体" w:eastAsia="宋体" w:hint="default"/>
                <w:sz w:val="20"/>
                <w:szCs w:val="20"/>
              </w:rPr>
              <w:t>重分类</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30" w:right="0"/>
              <w:jc w:val="left"/>
              <w:rPr>
                <w:rFonts w:ascii="宋体" w:hAnsi="宋体" w:cs="宋体" w:eastAsia="宋体" w:hint="default"/>
                <w:sz w:val="20"/>
                <w:szCs w:val="20"/>
              </w:rPr>
            </w:pPr>
            <w:r>
              <w:rPr>
                <w:rFonts w:ascii="宋体" w:hAnsi="宋体" w:cs="宋体" w:eastAsia="宋体" w:hint="default"/>
                <w:sz w:val="20"/>
                <w:szCs w:val="20"/>
              </w:rPr>
              <w:t>重新计量</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1"/>
              <w:ind w:left="297" w:right="50" w:hanging="236"/>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2019</w:t>
            </w:r>
            <w:r>
              <w:rPr>
                <w:rFonts w:ascii="宋体" w:hAnsi="宋体" w:cs="宋体" w:eastAsia="宋体" w:hint="default"/>
                <w:sz w:val="20"/>
                <w:szCs w:val="20"/>
              </w:rPr>
              <w:t>年</w:t>
            </w:r>
            <w:r>
              <w:rPr>
                <w:rFonts w:ascii="Times New Roman" w:hAnsi="Times New Roman" w:cs="Times New Roman" w:eastAsia="Times New Roman" w:hint="default"/>
                <w:sz w:val="20"/>
                <w:szCs w:val="20"/>
              </w:rPr>
              <w:t>1</w:t>
            </w:r>
            <w:r>
              <w:rPr>
                <w:rFonts w:ascii="宋体" w:hAnsi="宋体" w:cs="宋体" w:eastAsia="宋体" w:hint="default"/>
                <w:sz w:val="20"/>
                <w:szCs w:val="20"/>
              </w:rPr>
              <w:t>月</w:t>
            </w:r>
            <w:r>
              <w:rPr>
                <w:rFonts w:ascii="Times New Roman" w:hAnsi="Times New Roman" w:cs="Times New Roman" w:eastAsia="Times New Roman" w:hint="default"/>
                <w:sz w:val="20"/>
                <w:szCs w:val="20"/>
              </w:rPr>
              <w:t>1</w:t>
            </w:r>
            <w:r>
              <w:rPr>
                <w:rFonts w:ascii="宋体" w:hAnsi="宋体" w:cs="宋体" w:eastAsia="宋体" w:hint="default"/>
                <w:sz w:val="20"/>
                <w:szCs w:val="20"/>
              </w:rPr>
              <w:t>日</w:t>
            </w:r>
            <w:r>
              <w:rPr>
                <w:rFonts w:ascii="宋体" w:hAnsi="宋体" w:cs="宋体" w:eastAsia="宋体" w:hint="default"/>
                <w:spacing w:val="-96"/>
                <w:sz w:val="20"/>
                <w:szCs w:val="20"/>
              </w:rPr>
              <w:t> </w:t>
            </w:r>
            <w:r>
              <w:rPr>
                <w:rFonts w:ascii="Times New Roman" w:hAnsi="Times New Roman" w:cs="Times New Roman" w:eastAsia="Times New Roman" w:hint="default"/>
                <w:sz w:val="20"/>
                <w:szCs w:val="20"/>
              </w:rPr>
              <w:t>(</w:t>
            </w:r>
            <w:r>
              <w:rPr>
                <w:rFonts w:ascii="宋体" w:hAnsi="宋体" w:cs="宋体" w:eastAsia="宋体" w:hint="default"/>
                <w:sz w:val="20"/>
                <w:szCs w:val="20"/>
              </w:rPr>
              <w:t>变更后</w:t>
            </w:r>
            <w:r>
              <w:rPr>
                <w:rFonts w:ascii="Times New Roman" w:hAnsi="Times New Roman" w:cs="Times New Roman" w:eastAsia="Times New Roman" w:hint="default"/>
                <w:sz w:val="20"/>
                <w:szCs w:val="20"/>
              </w:rPr>
              <w:t>)</w:t>
            </w:r>
          </w:p>
        </w:tc>
      </w:tr>
      <w:tr>
        <w:trPr>
          <w:trHeight w:val="346"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spacing w:val="-1"/>
                <w:sz w:val="18"/>
              </w:rPr>
              <w:t>550,177,065.22</w:t>
            </w:r>
          </w:p>
        </w:tc>
        <w:tc>
          <w:tcPr>
            <w:tcW w:w="1421"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重新计量：预计信用损失准备</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63" w:right="-9"/>
              <w:jc w:val="left"/>
              <w:rPr>
                <w:rFonts w:ascii="Times New Roman" w:hAnsi="Times New Roman" w:cs="Times New Roman" w:eastAsia="Times New Roman" w:hint="default"/>
                <w:sz w:val="18"/>
                <w:szCs w:val="18"/>
              </w:rPr>
            </w:pPr>
            <w:r>
              <w:rPr>
                <w:rFonts w:ascii="Times New Roman"/>
                <w:spacing w:val="-2"/>
                <w:sz w:val="18"/>
              </w:rPr>
              <w:t>-1,478,613.41</w:t>
            </w:r>
          </w:p>
        </w:tc>
        <w:tc>
          <w:tcPr>
            <w:tcW w:w="1335" w:type="dxa"/>
            <w:tcBorders>
              <w:top w:val="single" w:sz="6" w:space="0" w:color="000000"/>
              <w:left w:val="single" w:sz="6" w:space="0" w:color="000000"/>
              <w:bottom w:val="single" w:sz="6" w:space="0" w:color="000000"/>
              <w:right w:val="single" w:sz="6" w:space="0" w:color="000000"/>
            </w:tcBorders>
          </w:tcPr>
          <w:p>
            <w:pPr/>
          </w:p>
        </w:tc>
      </w:tr>
      <w:tr>
        <w:trPr>
          <w:trHeight w:val="350"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按新金融工具准则列示的余额</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2"/>
                <w:sz w:val="18"/>
              </w:rPr>
              <w:t>548,698,451.81</w:t>
            </w:r>
          </w:p>
        </w:tc>
      </w:tr>
      <w:tr>
        <w:trPr>
          <w:trHeight w:val="346"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以成本计量（权益工具）</w:t>
            </w:r>
            <w:r>
              <w:rPr>
                <w:rFonts w:ascii="Times New Roman" w:hAnsi="Times New Roman" w:cs="Times New Roman" w:eastAsia="Times New Roman" w:hint="default"/>
                <w:spacing w:val="-3"/>
                <w:sz w:val="18"/>
                <w:szCs w:val="18"/>
              </w:rPr>
              <w:t>:</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可供出售金融资产（原准则）</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
              <w:jc w:val="right"/>
              <w:rPr>
                <w:rFonts w:ascii="Times New Roman" w:hAnsi="Times New Roman" w:cs="Times New Roman" w:eastAsia="Times New Roman" w:hint="default"/>
                <w:sz w:val="18"/>
                <w:szCs w:val="18"/>
              </w:rPr>
            </w:pPr>
            <w:r>
              <w:rPr>
                <w:rFonts w:ascii="Times New Roman"/>
                <w:spacing w:val="-1"/>
                <w:sz w:val="18"/>
              </w:rPr>
              <w:t>48,389,687.88</w:t>
            </w:r>
          </w:p>
        </w:tc>
        <w:tc>
          <w:tcPr>
            <w:tcW w:w="1421"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r>
      <w:tr>
        <w:trPr>
          <w:trHeight w:val="350"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减：转出至其他债权投资</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减：转出至其他权益工具投资</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69" w:right="0"/>
              <w:jc w:val="left"/>
              <w:rPr>
                <w:rFonts w:ascii="Times New Roman" w:hAnsi="Times New Roman" w:cs="Times New Roman" w:eastAsia="Times New Roman" w:hint="default"/>
                <w:sz w:val="18"/>
                <w:szCs w:val="18"/>
              </w:rPr>
            </w:pPr>
            <w:r>
              <w:rPr>
                <w:rFonts w:ascii="Times New Roman"/>
                <w:spacing w:val="-2"/>
                <w:sz w:val="18"/>
              </w:rPr>
              <w:t>48,389,687.88</w:t>
            </w:r>
          </w:p>
        </w:tc>
        <w:tc>
          <w:tcPr>
            <w:tcW w:w="1273"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按新金融工具准则列示的余额</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46"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421"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r>
      <w:tr>
        <w:trPr>
          <w:trHeight w:val="351"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加：自可供出售金融资产（原准则）转入</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69" w:right="0"/>
              <w:jc w:val="left"/>
              <w:rPr>
                <w:rFonts w:ascii="Times New Roman" w:hAnsi="Times New Roman" w:cs="Times New Roman" w:eastAsia="Times New Roman" w:hint="default"/>
                <w:sz w:val="18"/>
                <w:szCs w:val="18"/>
              </w:rPr>
            </w:pPr>
            <w:r>
              <w:rPr>
                <w:rFonts w:ascii="Times New Roman"/>
                <w:spacing w:val="-2"/>
                <w:sz w:val="18"/>
              </w:rPr>
              <w:t>48,389,687.88</w:t>
            </w:r>
          </w:p>
        </w:tc>
        <w:tc>
          <w:tcPr>
            <w:tcW w:w="1273"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重新计量：按公允价值重新计量</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30" w:right="-9"/>
              <w:jc w:val="left"/>
              <w:rPr>
                <w:rFonts w:ascii="Times New Roman" w:hAnsi="Times New Roman" w:cs="Times New Roman" w:eastAsia="Times New Roman" w:hint="default"/>
                <w:sz w:val="18"/>
                <w:szCs w:val="18"/>
              </w:rPr>
            </w:pPr>
            <w:r>
              <w:rPr>
                <w:rFonts w:ascii="Times New Roman"/>
                <w:spacing w:val="-2"/>
                <w:sz w:val="18"/>
              </w:rPr>
              <w:t>11,018,001.65</w:t>
            </w:r>
          </w:p>
        </w:tc>
        <w:tc>
          <w:tcPr>
            <w:tcW w:w="1335"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按新金融工具准则列示的余额</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2"/>
                <w:sz w:val="18"/>
              </w:rPr>
              <w:t>59,407,689.53</w:t>
            </w:r>
          </w:p>
        </w:tc>
      </w:tr>
    </w:tbl>
    <w:p>
      <w:pPr>
        <w:spacing w:line="240" w:lineRule="auto" w:before="0"/>
        <w:rPr>
          <w:rFonts w:ascii="宋体" w:hAnsi="宋体" w:cs="宋体" w:eastAsia="宋体" w:hint="default"/>
          <w:sz w:val="5"/>
          <w:szCs w:val="5"/>
        </w:rPr>
      </w:pPr>
    </w:p>
    <w:p>
      <w:pPr>
        <w:pStyle w:val="Heading3"/>
        <w:spacing w:line="340" w:lineRule="auto"/>
        <w:ind w:right="5655"/>
        <w:jc w:val="left"/>
      </w:pPr>
      <w:r>
        <w:rPr>
          <w:rFonts w:ascii="Times New Roman" w:hAnsi="Times New Roman" w:cs="Times New Roman" w:eastAsia="Times New Roman" w:hint="default"/>
          <w:spacing w:val="-1"/>
        </w:rPr>
        <w:t>C</w:t>
      </w:r>
      <w:r>
        <w:rPr>
          <w:spacing w:val="-1"/>
        </w:rPr>
        <w:t>、首次执行日，金融资产减值准备调节表</w:t>
      </w:r>
      <w:r>
        <w:rPr>
          <w:spacing w:val="-91"/>
        </w:rPr>
        <w:t> </w:t>
      </w:r>
      <w:r>
        <w:rPr>
          <w:spacing w:val="-91"/>
        </w:rPr>
      </w:r>
      <w:r>
        <w:rPr>
          <w:rFonts w:ascii="Times New Roman" w:hAnsi="Times New Roman" w:cs="Times New Roman" w:eastAsia="Times New Roman" w:hint="default"/>
        </w:rPr>
        <w:t>a</w:t>
      </w:r>
      <w:r>
        <w:rPr/>
        <w:t>、对合并报表的影响</w:t>
      </w:r>
    </w:p>
    <w:p>
      <w:pPr>
        <w:spacing w:line="240" w:lineRule="auto" w:before="8"/>
        <w:rPr>
          <w:rFonts w:ascii="宋体" w:hAnsi="宋体" w:cs="宋体" w:eastAsia="宋体" w:hint="default"/>
          <w:sz w:val="3"/>
          <w:szCs w:val="3"/>
        </w:rPr>
      </w:pPr>
    </w:p>
    <w:tbl>
      <w:tblPr>
        <w:tblW w:w="0" w:type="auto"/>
        <w:jc w:val="left"/>
        <w:tblInd w:w="143" w:type="dxa"/>
        <w:tblLayout w:type="fixed"/>
        <w:tblCellMar>
          <w:top w:w="0" w:type="dxa"/>
          <w:left w:w="0" w:type="dxa"/>
          <w:bottom w:w="0" w:type="dxa"/>
          <w:right w:w="0" w:type="dxa"/>
        </w:tblCellMar>
        <w:tblLook w:val="01E0"/>
      </w:tblPr>
      <w:tblGrid>
        <w:gridCol w:w="2545"/>
        <w:gridCol w:w="1647"/>
        <w:gridCol w:w="1647"/>
        <w:gridCol w:w="1647"/>
        <w:gridCol w:w="1647"/>
      </w:tblGrid>
      <w:tr>
        <w:trPr>
          <w:trHeight w:val="662" w:hRule="exact"/>
        </w:trPr>
        <w:tc>
          <w:tcPr>
            <w:tcW w:w="2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 w:right="0"/>
              <w:jc w:val="center"/>
              <w:rPr>
                <w:rFonts w:ascii="宋体" w:hAnsi="宋体" w:cs="宋体" w:eastAsia="宋体" w:hint="default"/>
                <w:sz w:val="20"/>
                <w:szCs w:val="20"/>
              </w:rPr>
            </w:pPr>
            <w:r>
              <w:rPr>
                <w:rFonts w:ascii="宋体" w:hAnsi="宋体" w:cs="宋体" w:eastAsia="宋体" w:hint="default"/>
                <w:sz w:val="20"/>
                <w:szCs w:val="20"/>
              </w:rPr>
              <w:t>计量类别</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2018</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31</w:t>
            </w:r>
            <w:r>
              <w:rPr>
                <w:rFonts w:ascii="宋体" w:hAnsi="宋体" w:cs="宋体" w:eastAsia="宋体" w:hint="default"/>
                <w:sz w:val="20"/>
                <w:szCs w:val="20"/>
              </w:rPr>
              <w:t>日</w:t>
            </w:r>
          </w:p>
          <w:p>
            <w:pPr>
              <w:pStyle w:val="TableParagraph"/>
              <w:spacing w:line="240" w:lineRule="auto" w:before="35"/>
              <w:ind w:left="9"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变更前</w:t>
            </w:r>
            <w:r>
              <w:rPr>
                <w:rFonts w:ascii="Times New Roman" w:hAnsi="Times New Roman" w:cs="Times New Roman" w:eastAsia="Times New Roman" w:hint="default"/>
                <w:sz w:val="20"/>
                <w:szCs w:val="20"/>
              </w:rPr>
              <w:t>)</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518" w:right="0"/>
              <w:jc w:val="left"/>
              <w:rPr>
                <w:rFonts w:ascii="宋体" w:hAnsi="宋体" w:cs="宋体" w:eastAsia="宋体" w:hint="default"/>
                <w:sz w:val="20"/>
                <w:szCs w:val="20"/>
              </w:rPr>
            </w:pPr>
            <w:r>
              <w:rPr>
                <w:rFonts w:ascii="宋体" w:hAnsi="宋体" w:cs="宋体" w:eastAsia="宋体" w:hint="default"/>
                <w:sz w:val="20"/>
                <w:szCs w:val="20"/>
              </w:rPr>
              <w:t>重分类</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17" w:right="0"/>
              <w:jc w:val="left"/>
              <w:rPr>
                <w:rFonts w:ascii="宋体" w:hAnsi="宋体" w:cs="宋体" w:eastAsia="宋体" w:hint="default"/>
                <w:sz w:val="20"/>
                <w:szCs w:val="20"/>
              </w:rPr>
            </w:pPr>
            <w:r>
              <w:rPr>
                <w:rFonts w:ascii="宋体" w:hAnsi="宋体" w:cs="宋体" w:eastAsia="宋体" w:hint="default"/>
                <w:sz w:val="20"/>
                <w:szCs w:val="20"/>
              </w:rPr>
              <w:t>重新计量</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6"/>
              <w:ind w:left="585" w:right="74" w:hanging="50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2019</w:t>
            </w:r>
            <w:r>
              <w:rPr>
                <w:rFonts w:ascii="宋体" w:hAnsi="宋体" w:cs="宋体" w:eastAsia="宋体" w:hint="default"/>
                <w:sz w:val="20"/>
                <w:szCs w:val="20"/>
              </w:rPr>
              <w:t>年</w:t>
            </w:r>
            <w:r>
              <w:rPr>
                <w:rFonts w:ascii="Times New Roman" w:hAnsi="Times New Roman" w:cs="Times New Roman" w:eastAsia="Times New Roman" w:hint="default"/>
                <w:sz w:val="20"/>
                <w:szCs w:val="20"/>
              </w:rPr>
              <w:t>1</w:t>
            </w:r>
            <w:r>
              <w:rPr>
                <w:rFonts w:ascii="宋体" w:hAnsi="宋体" w:cs="宋体" w:eastAsia="宋体" w:hint="default"/>
                <w:sz w:val="20"/>
                <w:szCs w:val="20"/>
              </w:rPr>
              <w:t>月</w:t>
            </w:r>
            <w:r>
              <w:rPr>
                <w:rFonts w:ascii="Times New Roman" w:hAnsi="Times New Roman" w:cs="Times New Roman" w:eastAsia="Times New Roman" w:hint="default"/>
                <w:sz w:val="20"/>
                <w:szCs w:val="20"/>
              </w:rPr>
              <w:t>1</w:t>
            </w:r>
            <w:r>
              <w:rPr>
                <w:rFonts w:ascii="宋体" w:hAnsi="宋体" w:cs="宋体" w:eastAsia="宋体" w:hint="default"/>
                <w:sz w:val="20"/>
                <w:szCs w:val="20"/>
              </w:rPr>
              <w:t>日</w:t>
            </w:r>
            <w:r>
              <w:rPr>
                <w:rFonts w:ascii="Times New Roman" w:hAnsi="Times New Roman" w:cs="Times New Roman" w:eastAsia="Times New Roman" w:hint="default"/>
                <w:sz w:val="20"/>
                <w:szCs w:val="20"/>
              </w:rPr>
              <w:t>(</w:t>
            </w:r>
            <w:r>
              <w:rPr>
                <w:rFonts w:ascii="宋体" w:hAnsi="宋体" w:cs="宋体" w:eastAsia="宋体" w:hint="default"/>
                <w:sz w:val="20"/>
                <w:szCs w:val="20"/>
              </w:rPr>
              <w:t>变</w:t>
            </w:r>
            <w:r>
              <w:rPr>
                <w:rFonts w:ascii="宋体" w:hAnsi="宋体" w:cs="宋体" w:eastAsia="宋体" w:hint="default"/>
                <w:w w:val="100"/>
                <w:sz w:val="20"/>
                <w:szCs w:val="20"/>
              </w:rPr>
              <w:t> </w:t>
            </w:r>
            <w:r>
              <w:rPr>
                <w:rFonts w:ascii="宋体" w:hAnsi="宋体" w:cs="宋体" w:eastAsia="宋体" w:hint="default"/>
                <w:sz w:val="20"/>
                <w:szCs w:val="20"/>
              </w:rPr>
              <w:t>更后</w:t>
            </w:r>
            <w:r>
              <w:rPr>
                <w:rFonts w:ascii="Times New Roman" w:hAnsi="Times New Roman" w:cs="Times New Roman" w:eastAsia="Times New Roman" w:hint="default"/>
                <w:sz w:val="20"/>
                <w:szCs w:val="20"/>
              </w:rPr>
              <w:t>)</w:t>
            </w:r>
          </w:p>
        </w:tc>
      </w:tr>
      <w:tr>
        <w:trPr>
          <w:trHeight w:val="346" w:hRule="exact"/>
        </w:trPr>
        <w:tc>
          <w:tcPr>
            <w:tcW w:w="2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47" w:type="dxa"/>
            <w:tcBorders>
              <w:top w:val="single" w:sz="6" w:space="0" w:color="000000"/>
              <w:left w:val="single" w:sz="6" w:space="0" w:color="000000"/>
              <w:bottom w:val="single" w:sz="6" w:space="0" w:color="000000"/>
              <w:right w:val="single" w:sz="6" w:space="0" w:color="000000"/>
            </w:tcBorders>
          </w:tcPr>
          <w:p>
            <w:pPr/>
          </w:p>
        </w:tc>
        <w:tc>
          <w:tcPr>
            <w:tcW w:w="1647" w:type="dxa"/>
            <w:tcBorders>
              <w:top w:val="single" w:sz="6" w:space="0" w:color="000000"/>
              <w:left w:val="single" w:sz="6" w:space="0" w:color="000000"/>
              <w:bottom w:val="single" w:sz="6" w:space="0" w:color="000000"/>
              <w:right w:val="single" w:sz="6" w:space="0" w:color="000000"/>
            </w:tcBorders>
          </w:tcPr>
          <w:p>
            <w:pPr/>
          </w:p>
        </w:tc>
        <w:tc>
          <w:tcPr>
            <w:tcW w:w="1647" w:type="dxa"/>
            <w:tcBorders>
              <w:top w:val="single" w:sz="6" w:space="0" w:color="000000"/>
              <w:left w:val="single" w:sz="6" w:space="0" w:color="000000"/>
              <w:bottom w:val="single" w:sz="6" w:space="0" w:color="000000"/>
              <w:right w:val="single" w:sz="6" w:space="0" w:color="000000"/>
            </w:tcBorders>
          </w:tcPr>
          <w:p>
            <w:pPr/>
          </w:p>
        </w:tc>
        <w:tc>
          <w:tcPr>
            <w:tcW w:w="1647"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应收账款减值准备</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2"/>
                <w:sz w:val="18"/>
              </w:rPr>
              <w:t>18,048,248.02</w:t>
            </w:r>
          </w:p>
        </w:tc>
        <w:tc>
          <w:tcPr>
            <w:tcW w:w="1647" w:type="dxa"/>
            <w:tcBorders>
              <w:top w:val="single" w:sz="6" w:space="0" w:color="000000"/>
              <w:left w:val="single" w:sz="6" w:space="0" w:color="000000"/>
              <w:bottom w:val="single" w:sz="6" w:space="0" w:color="000000"/>
              <w:right w:val="single" w:sz="6" w:space="0" w:color="000000"/>
            </w:tcBorders>
          </w:tcPr>
          <w:p>
            <w:pP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2"/>
                <w:sz w:val="18"/>
              </w:rPr>
              <w:t>7,949,016.03</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2"/>
                <w:sz w:val="18"/>
              </w:rPr>
              <w:t>25,997,264.05</w:t>
            </w:r>
          </w:p>
        </w:tc>
      </w:tr>
      <w:tr>
        <w:trPr>
          <w:trHeight w:val="351" w:hRule="exact"/>
        </w:trPr>
        <w:tc>
          <w:tcPr>
            <w:tcW w:w="2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其他应收款减值准备</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2"/>
                <w:sz w:val="18"/>
              </w:rPr>
              <w:t>2,940,764.71</w:t>
            </w:r>
          </w:p>
        </w:tc>
        <w:tc>
          <w:tcPr>
            <w:tcW w:w="1647" w:type="dxa"/>
            <w:tcBorders>
              <w:top w:val="single" w:sz="6" w:space="0" w:color="000000"/>
              <w:left w:val="single" w:sz="6" w:space="0" w:color="000000"/>
              <w:bottom w:val="single" w:sz="6" w:space="0" w:color="000000"/>
              <w:right w:val="single" w:sz="6" w:space="0" w:color="000000"/>
            </w:tcBorders>
          </w:tcPr>
          <w:p>
            <w:pP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2"/>
                <w:sz w:val="18"/>
              </w:rPr>
              <w:t>11,509,918.98</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2"/>
                <w:sz w:val="18"/>
              </w:rPr>
              <w:t>14,450,683.69</w:t>
            </w:r>
          </w:p>
        </w:tc>
      </w:tr>
    </w:tbl>
    <w:p>
      <w:pPr>
        <w:spacing w:line="240" w:lineRule="auto" w:before="0"/>
        <w:rPr>
          <w:rFonts w:ascii="宋体" w:hAnsi="宋体" w:cs="宋体" w:eastAsia="宋体" w:hint="default"/>
          <w:sz w:val="5"/>
          <w:szCs w:val="5"/>
        </w:rPr>
      </w:pPr>
    </w:p>
    <w:p>
      <w:pPr>
        <w:pStyle w:val="Heading3"/>
        <w:spacing w:line="240" w:lineRule="auto"/>
        <w:ind w:right="0"/>
        <w:jc w:val="left"/>
      </w:pPr>
      <w:r>
        <w:rPr>
          <w:rFonts w:ascii="Times New Roman" w:hAnsi="Times New Roman" w:cs="Times New Roman" w:eastAsia="Times New Roman" w:hint="default"/>
        </w:rPr>
        <w:t>b</w:t>
      </w:r>
      <w:r>
        <w:rPr/>
        <w:t>、对公司财务报表的影响</w:t>
      </w:r>
    </w:p>
    <w:p>
      <w:pPr>
        <w:spacing w:line="240" w:lineRule="auto" w:before="5"/>
        <w:rPr>
          <w:rFonts w:ascii="宋体" w:hAnsi="宋体" w:cs="宋体" w:eastAsia="宋体" w:hint="default"/>
          <w:sz w:val="11"/>
          <w:szCs w:val="11"/>
        </w:rPr>
      </w:pPr>
    </w:p>
    <w:tbl>
      <w:tblPr>
        <w:tblW w:w="0" w:type="auto"/>
        <w:jc w:val="left"/>
        <w:tblInd w:w="143" w:type="dxa"/>
        <w:tblLayout w:type="fixed"/>
        <w:tblCellMar>
          <w:top w:w="0" w:type="dxa"/>
          <w:left w:w="0" w:type="dxa"/>
          <w:bottom w:w="0" w:type="dxa"/>
          <w:right w:w="0" w:type="dxa"/>
        </w:tblCellMar>
        <w:tblLook w:val="01E0"/>
      </w:tblPr>
      <w:tblGrid>
        <w:gridCol w:w="2545"/>
        <w:gridCol w:w="1647"/>
        <w:gridCol w:w="1647"/>
        <w:gridCol w:w="1647"/>
        <w:gridCol w:w="1647"/>
      </w:tblGrid>
      <w:tr>
        <w:trPr>
          <w:trHeight w:val="658" w:hRule="exact"/>
        </w:trPr>
        <w:tc>
          <w:tcPr>
            <w:tcW w:w="2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center"/>
              <w:rPr>
                <w:rFonts w:ascii="宋体" w:hAnsi="宋体" w:cs="宋体" w:eastAsia="宋体" w:hint="default"/>
                <w:sz w:val="20"/>
                <w:szCs w:val="20"/>
              </w:rPr>
            </w:pPr>
            <w:r>
              <w:rPr>
                <w:rFonts w:ascii="宋体" w:hAnsi="宋体" w:cs="宋体" w:eastAsia="宋体" w:hint="default"/>
                <w:sz w:val="20"/>
                <w:szCs w:val="20"/>
              </w:rPr>
              <w:t>计量类别</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2018</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31</w:t>
            </w:r>
            <w:r>
              <w:rPr>
                <w:rFonts w:ascii="宋体" w:hAnsi="宋体" w:cs="宋体" w:eastAsia="宋体" w:hint="default"/>
                <w:sz w:val="20"/>
                <w:szCs w:val="20"/>
              </w:rPr>
              <w:t>日</w:t>
            </w:r>
          </w:p>
          <w:p>
            <w:pPr>
              <w:pStyle w:val="TableParagraph"/>
              <w:spacing w:line="240" w:lineRule="auto" w:before="35"/>
              <w:ind w:left="9"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变更前</w:t>
            </w:r>
            <w:r>
              <w:rPr>
                <w:rFonts w:ascii="Times New Roman" w:hAnsi="Times New Roman" w:cs="Times New Roman" w:eastAsia="Times New Roman" w:hint="default"/>
                <w:sz w:val="20"/>
                <w:szCs w:val="20"/>
              </w:rPr>
              <w:t>)</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518" w:right="0"/>
              <w:jc w:val="left"/>
              <w:rPr>
                <w:rFonts w:ascii="宋体" w:hAnsi="宋体" w:cs="宋体" w:eastAsia="宋体" w:hint="default"/>
                <w:sz w:val="20"/>
                <w:szCs w:val="20"/>
              </w:rPr>
            </w:pPr>
            <w:r>
              <w:rPr>
                <w:rFonts w:ascii="宋体" w:hAnsi="宋体" w:cs="宋体" w:eastAsia="宋体" w:hint="default"/>
                <w:sz w:val="20"/>
                <w:szCs w:val="20"/>
              </w:rPr>
              <w:t>重分类</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17" w:right="0"/>
              <w:jc w:val="left"/>
              <w:rPr>
                <w:rFonts w:ascii="宋体" w:hAnsi="宋体" w:cs="宋体" w:eastAsia="宋体" w:hint="default"/>
                <w:sz w:val="20"/>
                <w:szCs w:val="20"/>
              </w:rPr>
            </w:pPr>
            <w:r>
              <w:rPr>
                <w:rFonts w:ascii="宋体" w:hAnsi="宋体" w:cs="宋体" w:eastAsia="宋体" w:hint="default"/>
                <w:sz w:val="20"/>
                <w:szCs w:val="20"/>
              </w:rPr>
              <w:t>重新计量</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1"/>
              <w:ind w:left="585" w:right="74" w:hanging="50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2019</w:t>
            </w:r>
            <w:r>
              <w:rPr>
                <w:rFonts w:ascii="宋体" w:hAnsi="宋体" w:cs="宋体" w:eastAsia="宋体" w:hint="default"/>
                <w:sz w:val="20"/>
                <w:szCs w:val="20"/>
              </w:rPr>
              <w:t>年</w:t>
            </w:r>
            <w:r>
              <w:rPr>
                <w:rFonts w:ascii="Times New Roman" w:hAnsi="Times New Roman" w:cs="Times New Roman" w:eastAsia="Times New Roman" w:hint="default"/>
                <w:sz w:val="20"/>
                <w:szCs w:val="20"/>
              </w:rPr>
              <w:t>1</w:t>
            </w:r>
            <w:r>
              <w:rPr>
                <w:rFonts w:ascii="宋体" w:hAnsi="宋体" w:cs="宋体" w:eastAsia="宋体" w:hint="default"/>
                <w:sz w:val="20"/>
                <w:szCs w:val="20"/>
              </w:rPr>
              <w:t>月</w:t>
            </w:r>
            <w:r>
              <w:rPr>
                <w:rFonts w:ascii="Times New Roman" w:hAnsi="Times New Roman" w:cs="Times New Roman" w:eastAsia="Times New Roman" w:hint="default"/>
                <w:sz w:val="20"/>
                <w:szCs w:val="20"/>
              </w:rPr>
              <w:t>1</w:t>
            </w:r>
            <w:r>
              <w:rPr>
                <w:rFonts w:ascii="宋体" w:hAnsi="宋体" w:cs="宋体" w:eastAsia="宋体" w:hint="default"/>
                <w:sz w:val="20"/>
                <w:szCs w:val="20"/>
              </w:rPr>
              <w:t>日</w:t>
            </w:r>
            <w:r>
              <w:rPr>
                <w:rFonts w:ascii="Times New Roman" w:hAnsi="Times New Roman" w:cs="Times New Roman" w:eastAsia="Times New Roman" w:hint="default"/>
                <w:sz w:val="20"/>
                <w:szCs w:val="20"/>
              </w:rPr>
              <w:t>(</w:t>
            </w:r>
            <w:r>
              <w:rPr>
                <w:rFonts w:ascii="宋体" w:hAnsi="宋体" w:cs="宋体" w:eastAsia="宋体" w:hint="default"/>
                <w:sz w:val="20"/>
                <w:szCs w:val="20"/>
              </w:rPr>
              <w:t>变</w:t>
            </w:r>
            <w:r>
              <w:rPr>
                <w:rFonts w:ascii="宋体" w:hAnsi="宋体" w:cs="宋体" w:eastAsia="宋体" w:hint="default"/>
                <w:w w:val="100"/>
                <w:sz w:val="20"/>
                <w:szCs w:val="20"/>
              </w:rPr>
              <w:t> </w:t>
            </w:r>
            <w:r>
              <w:rPr>
                <w:rFonts w:ascii="宋体" w:hAnsi="宋体" w:cs="宋体" w:eastAsia="宋体" w:hint="default"/>
                <w:sz w:val="20"/>
                <w:szCs w:val="20"/>
              </w:rPr>
              <w:t>更后</w:t>
            </w:r>
            <w:r>
              <w:rPr>
                <w:rFonts w:ascii="Times New Roman" w:hAnsi="Times New Roman" w:cs="Times New Roman" w:eastAsia="Times New Roman" w:hint="default"/>
                <w:sz w:val="20"/>
                <w:szCs w:val="20"/>
              </w:rPr>
              <w:t>)</w:t>
            </w:r>
          </w:p>
        </w:tc>
      </w:tr>
      <w:tr>
        <w:trPr>
          <w:trHeight w:val="346" w:hRule="exact"/>
        </w:trPr>
        <w:tc>
          <w:tcPr>
            <w:tcW w:w="2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47" w:type="dxa"/>
            <w:tcBorders>
              <w:top w:val="single" w:sz="6" w:space="0" w:color="000000"/>
              <w:left w:val="single" w:sz="6" w:space="0" w:color="000000"/>
              <w:bottom w:val="single" w:sz="6" w:space="0" w:color="000000"/>
              <w:right w:val="single" w:sz="6" w:space="0" w:color="000000"/>
            </w:tcBorders>
          </w:tcPr>
          <w:p>
            <w:pPr/>
          </w:p>
        </w:tc>
        <w:tc>
          <w:tcPr>
            <w:tcW w:w="1647" w:type="dxa"/>
            <w:tcBorders>
              <w:top w:val="single" w:sz="6" w:space="0" w:color="000000"/>
              <w:left w:val="single" w:sz="6" w:space="0" w:color="000000"/>
              <w:bottom w:val="single" w:sz="6" w:space="0" w:color="000000"/>
              <w:right w:val="single" w:sz="6" w:space="0" w:color="000000"/>
            </w:tcBorders>
          </w:tcPr>
          <w:p>
            <w:pPr/>
          </w:p>
        </w:tc>
        <w:tc>
          <w:tcPr>
            <w:tcW w:w="1647" w:type="dxa"/>
            <w:tcBorders>
              <w:top w:val="single" w:sz="6" w:space="0" w:color="000000"/>
              <w:left w:val="single" w:sz="6" w:space="0" w:color="000000"/>
              <w:bottom w:val="single" w:sz="6" w:space="0" w:color="000000"/>
              <w:right w:val="single" w:sz="6" w:space="0" w:color="000000"/>
            </w:tcBorders>
          </w:tcPr>
          <w:p>
            <w:pPr/>
          </w:p>
        </w:tc>
        <w:tc>
          <w:tcPr>
            <w:tcW w:w="1647" w:type="dxa"/>
            <w:tcBorders>
              <w:top w:val="single" w:sz="6" w:space="0" w:color="000000"/>
              <w:left w:val="single" w:sz="6" w:space="0" w:color="000000"/>
              <w:bottom w:val="single" w:sz="6" w:space="0" w:color="000000"/>
              <w:right w:val="single" w:sz="6" w:space="0" w:color="000000"/>
            </w:tcBorders>
          </w:tcPr>
          <w:p>
            <w:pPr/>
          </w:p>
        </w:tc>
      </w:tr>
      <w:tr>
        <w:trPr>
          <w:trHeight w:val="350" w:hRule="exact"/>
        </w:trPr>
        <w:tc>
          <w:tcPr>
            <w:tcW w:w="2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其他应收款减值准备</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691" w:right="-4"/>
              <w:jc w:val="left"/>
              <w:rPr>
                <w:rFonts w:ascii="Times New Roman" w:hAnsi="Times New Roman" w:cs="Times New Roman" w:eastAsia="Times New Roman" w:hint="default"/>
                <w:sz w:val="18"/>
                <w:szCs w:val="18"/>
              </w:rPr>
            </w:pPr>
            <w:r>
              <w:rPr>
                <w:rFonts w:ascii="Times New Roman"/>
                <w:spacing w:val="-2"/>
                <w:sz w:val="18"/>
              </w:rPr>
              <w:t>1,950,162.10</w:t>
            </w:r>
          </w:p>
        </w:tc>
        <w:tc>
          <w:tcPr>
            <w:tcW w:w="1647" w:type="dxa"/>
            <w:tcBorders>
              <w:top w:val="single" w:sz="6" w:space="0" w:color="000000"/>
              <w:left w:val="single" w:sz="6" w:space="0" w:color="000000"/>
              <w:bottom w:val="single" w:sz="6" w:space="0" w:color="000000"/>
              <w:right w:val="single" w:sz="6" w:space="0" w:color="000000"/>
            </w:tcBorders>
          </w:tcPr>
          <w:p>
            <w:pP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691" w:right="-4"/>
              <w:jc w:val="left"/>
              <w:rPr>
                <w:rFonts w:ascii="Times New Roman" w:hAnsi="Times New Roman" w:cs="Times New Roman" w:eastAsia="Times New Roman" w:hint="default"/>
                <w:sz w:val="18"/>
                <w:szCs w:val="18"/>
              </w:rPr>
            </w:pPr>
            <w:r>
              <w:rPr>
                <w:rFonts w:ascii="Times New Roman"/>
                <w:spacing w:val="-2"/>
                <w:sz w:val="18"/>
              </w:rPr>
              <w:t>1,478,613.41</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691" w:right="-4"/>
              <w:jc w:val="left"/>
              <w:rPr>
                <w:rFonts w:ascii="Times New Roman" w:hAnsi="Times New Roman" w:cs="Times New Roman" w:eastAsia="Times New Roman" w:hint="default"/>
                <w:sz w:val="18"/>
                <w:szCs w:val="18"/>
              </w:rPr>
            </w:pPr>
            <w:r>
              <w:rPr>
                <w:rFonts w:ascii="Times New Roman"/>
                <w:spacing w:val="-2"/>
                <w:sz w:val="18"/>
              </w:rPr>
              <w:t>3,428,775.51</w:t>
            </w:r>
          </w:p>
        </w:tc>
      </w:tr>
    </w:tbl>
    <w:p>
      <w:pPr>
        <w:spacing w:line="240" w:lineRule="auto" w:before="0"/>
        <w:rPr>
          <w:rFonts w:ascii="宋体" w:hAnsi="宋体" w:cs="宋体" w:eastAsia="宋体" w:hint="default"/>
          <w:sz w:val="5"/>
          <w:szCs w:val="5"/>
        </w:rPr>
      </w:pPr>
    </w:p>
    <w:p>
      <w:pPr>
        <w:pStyle w:val="Heading3"/>
        <w:spacing w:line="240" w:lineRule="auto"/>
        <w:ind w:right="0"/>
        <w:jc w:val="left"/>
      </w:pPr>
      <w:r>
        <w:rPr>
          <w:rFonts w:ascii="Times New Roman" w:hAnsi="Times New Roman" w:cs="Times New Roman" w:eastAsia="Times New Roman" w:hint="default"/>
        </w:rPr>
        <w:t>D</w:t>
      </w:r>
      <w:r>
        <w:rPr/>
        <w:t>、对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日留存收益和其他综合收益的影响</w:t>
      </w:r>
    </w:p>
    <w:p>
      <w:pPr>
        <w:spacing w:line="240" w:lineRule="auto" w:before="5"/>
        <w:rPr>
          <w:rFonts w:ascii="宋体" w:hAnsi="宋体" w:cs="宋体" w:eastAsia="宋体" w:hint="default"/>
          <w:sz w:val="11"/>
          <w:szCs w:val="11"/>
        </w:rPr>
      </w:pPr>
    </w:p>
    <w:tbl>
      <w:tblPr>
        <w:tblW w:w="0" w:type="auto"/>
        <w:jc w:val="left"/>
        <w:tblInd w:w="143" w:type="dxa"/>
        <w:tblLayout w:type="fixed"/>
        <w:tblCellMar>
          <w:top w:w="0" w:type="dxa"/>
          <w:left w:w="0" w:type="dxa"/>
          <w:bottom w:w="0" w:type="dxa"/>
          <w:right w:w="0" w:type="dxa"/>
        </w:tblCellMar>
        <w:tblLook w:val="01E0"/>
      </w:tblPr>
      <w:tblGrid>
        <w:gridCol w:w="3102"/>
        <w:gridCol w:w="2012"/>
        <w:gridCol w:w="2118"/>
        <w:gridCol w:w="1901"/>
      </w:tblGrid>
      <w:tr>
        <w:trPr>
          <w:trHeight w:val="346"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302" w:right="0"/>
              <w:jc w:val="left"/>
              <w:rPr>
                <w:rFonts w:ascii="宋体" w:hAnsi="宋体" w:cs="宋体" w:eastAsia="宋体" w:hint="default"/>
                <w:sz w:val="20"/>
                <w:szCs w:val="20"/>
              </w:rPr>
            </w:pPr>
            <w:r>
              <w:rPr>
                <w:rFonts w:ascii="宋体" w:hAnsi="宋体" w:cs="宋体" w:eastAsia="宋体" w:hint="default"/>
                <w:sz w:val="20"/>
                <w:szCs w:val="20"/>
              </w:rPr>
              <w:t>合并未分配利润</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51" w:right="0"/>
              <w:jc w:val="left"/>
              <w:rPr>
                <w:rFonts w:ascii="宋体" w:hAnsi="宋体" w:cs="宋体" w:eastAsia="宋体" w:hint="default"/>
                <w:sz w:val="20"/>
                <w:szCs w:val="20"/>
              </w:rPr>
            </w:pPr>
            <w:r>
              <w:rPr>
                <w:rFonts w:ascii="宋体" w:hAnsi="宋体" w:cs="宋体" w:eastAsia="宋体" w:hint="default"/>
                <w:sz w:val="20"/>
                <w:szCs w:val="20"/>
              </w:rPr>
              <w:t>合并盈余公积</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43" w:right="0"/>
              <w:jc w:val="left"/>
              <w:rPr>
                <w:rFonts w:ascii="宋体" w:hAnsi="宋体" w:cs="宋体" w:eastAsia="宋体" w:hint="default"/>
                <w:sz w:val="20"/>
                <w:szCs w:val="20"/>
              </w:rPr>
            </w:pPr>
            <w:r>
              <w:rPr>
                <w:rFonts w:ascii="宋体" w:hAnsi="宋体" w:cs="宋体" w:eastAsia="宋体" w:hint="default"/>
                <w:sz w:val="20"/>
                <w:szCs w:val="20"/>
              </w:rPr>
              <w:t>合并其他综合收益</w:t>
            </w:r>
          </w:p>
        </w:tc>
      </w:tr>
      <w:tr>
        <w:trPr>
          <w:trHeight w:val="346"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739" w:right="0"/>
              <w:jc w:val="left"/>
              <w:rPr>
                <w:rFonts w:ascii="Times New Roman" w:hAnsi="Times New Roman" w:cs="Times New Roman" w:eastAsia="Times New Roman" w:hint="default"/>
                <w:sz w:val="18"/>
                <w:szCs w:val="18"/>
              </w:rPr>
            </w:pPr>
            <w:r>
              <w:rPr>
                <w:rFonts w:ascii="Times New Roman"/>
                <w:spacing w:val="-2"/>
                <w:sz w:val="18"/>
              </w:rPr>
              <w:t>1,183,914,073.79</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70" w:right="-4"/>
              <w:jc w:val="left"/>
              <w:rPr>
                <w:rFonts w:ascii="Times New Roman" w:hAnsi="Times New Roman" w:cs="Times New Roman" w:eastAsia="Times New Roman" w:hint="default"/>
                <w:sz w:val="18"/>
                <w:szCs w:val="18"/>
              </w:rPr>
            </w:pPr>
            <w:r>
              <w:rPr>
                <w:rFonts w:ascii="Times New Roman"/>
                <w:spacing w:val="-2"/>
                <w:sz w:val="18"/>
              </w:rPr>
              <w:t>12,253,120.86</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2"/>
                <w:sz w:val="18"/>
              </w:rPr>
              <w:t>6,508,319.20</w:t>
            </w:r>
          </w:p>
        </w:tc>
      </w:tr>
      <w:tr>
        <w:trPr>
          <w:trHeight w:val="662"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5"/>
              <w:ind w:left="4" w:right="-5"/>
              <w:jc w:val="left"/>
              <w:rPr>
                <w:rFonts w:ascii="宋体" w:hAnsi="宋体" w:cs="宋体" w:eastAsia="宋体" w:hint="default"/>
                <w:sz w:val="18"/>
                <w:szCs w:val="18"/>
              </w:rPr>
            </w:pPr>
            <w:r>
              <w:rPr>
                <w:rFonts w:ascii="宋体" w:hAnsi="宋体" w:cs="宋体" w:eastAsia="宋体" w:hint="default"/>
                <w:spacing w:val="-1"/>
                <w:sz w:val="18"/>
                <w:szCs w:val="18"/>
              </w:rPr>
              <w:t>将可供出售金融资产重分类为其他权益</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3"/>
                <w:sz w:val="18"/>
                <w:szCs w:val="18"/>
              </w:rPr>
              <w:t>工具投资并重新计量</w:t>
            </w:r>
          </w:p>
        </w:tc>
        <w:tc>
          <w:tcPr>
            <w:tcW w:w="2012" w:type="dxa"/>
            <w:tcBorders>
              <w:top w:val="single" w:sz="6" w:space="0" w:color="000000"/>
              <w:left w:val="single" w:sz="6" w:space="0" w:color="000000"/>
              <w:bottom w:val="single" w:sz="6" w:space="0" w:color="000000"/>
              <w:right w:val="single" w:sz="6" w:space="0" w:color="000000"/>
            </w:tcBorders>
          </w:tcPr>
          <w:p>
            <w:pPr/>
          </w:p>
        </w:tc>
        <w:tc>
          <w:tcPr>
            <w:tcW w:w="2118" w:type="dxa"/>
            <w:tcBorders>
              <w:top w:val="single" w:sz="6" w:space="0" w:color="000000"/>
              <w:left w:val="single" w:sz="6" w:space="0" w:color="000000"/>
              <w:bottom w:val="single" w:sz="6" w:space="0" w:color="000000"/>
              <w:right w:val="single" w:sz="6" w:space="0" w:color="000000"/>
            </w:tcBorders>
          </w:tcPr>
          <w:p>
            <w:pP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2"/>
                <w:sz w:val="18"/>
              </w:rPr>
              <w:t>8,427,108.60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3102"/>
        <w:gridCol w:w="2012"/>
        <w:gridCol w:w="2118"/>
        <w:gridCol w:w="1901"/>
      </w:tblGrid>
      <w:tr>
        <w:trPr>
          <w:trHeight w:val="346"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应收款项减值的重新计量</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2"/>
                <w:sz w:val="18"/>
              </w:rPr>
              <w:t>-18,014,371.94</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2"/>
                <w:sz w:val="18"/>
              </w:rPr>
              <w:t>-147,861.34</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-117,741.54</w:t>
            </w:r>
          </w:p>
        </w:tc>
      </w:tr>
      <w:tr>
        <w:trPr>
          <w:trHeight w:val="350"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权益法核算的长期股权投资</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2"/>
                <w:sz w:val="18"/>
              </w:rPr>
              <w:t>-468,123.53</w:t>
            </w:r>
          </w:p>
        </w:tc>
        <w:tc>
          <w:tcPr>
            <w:tcW w:w="2118" w:type="dxa"/>
            <w:tcBorders>
              <w:top w:val="single" w:sz="6" w:space="0" w:color="000000"/>
              <w:left w:val="single" w:sz="6" w:space="0" w:color="000000"/>
              <w:bottom w:val="single" w:sz="6" w:space="0" w:color="000000"/>
              <w:right w:val="single" w:sz="6" w:space="0" w:color="000000"/>
            </w:tcBorders>
          </w:tcPr>
          <w:p>
            <w:pPr/>
          </w:p>
        </w:tc>
        <w:tc>
          <w:tcPr>
            <w:tcW w:w="1901"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1,165,431,578.32</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2"/>
                <w:sz w:val="18"/>
              </w:rPr>
              <w:t>12,105,259.52</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14,817,686.26</w:t>
            </w:r>
          </w:p>
        </w:tc>
      </w:tr>
    </w:tbl>
    <w:p>
      <w:pPr>
        <w:pStyle w:val="BodyText"/>
        <w:spacing w:line="261" w:lineRule="exact" w:before="0"/>
        <w:ind w:left="575" w:right="0"/>
        <w:jc w:val="left"/>
      </w:pPr>
      <w:r>
        <w:rPr/>
        <w:t>注：上表中应收款项减值的重新计量对合并其他综合收益的影响系境外子公司外币报表折算差额的影</w:t>
      </w:r>
    </w:p>
    <w:p>
      <w:pPr>
        <w:pStyle w:val="BodyText"/>
        <w:spacing w:line="240" w:lineRule="auto" w:before="37"/>
        <w:ind w:right="0"/>
        <w:jc w:val="left"/>
      </w:pPr>
      <w:r>
        <w:rPr/>
        <w:t>响。</w:t>
      </w:r>
    </w:p>
    <w:p>
      <w:pPr>
        <w:pStyle w:val="BodyText"/>
        <w:spacing w:line="256" w:lineRule="auto" w:before="37"/>
        <w:ind w:left="575" w:right="0"/>
        <w:jc w:val="left"/>
      </w:pPr>
      <w:r>
        <w:rPr/>
        <w:t>（</w:t>
      </w:r>
      <w:r>
        <w:rPr>
          <w:rFonts w:ascii="Times New Roman" w:hAnsi="Times New Roman" w:cs="Times New Roman" w:eastAsia="Times New Roman" w:hint="default"/>
        </w:rPr>
        <w:t>2</w:t>
      </w:r>
      <w:r>
        <w:rPr/>
        <w:t>）</w:t>
      </w:r>
      <w:r>
        <w:rPr>
          <w:spacing w:val="-19"/>
        </w:rPr>
        <w:t> </w:t>
      </w:r>
      <w:r>
        <w:rPr/>
        <w:t>财务报表格式变更</w:t>
      </w:r>
      <w:r>
        <w:rPr>
          <w:spacing w:val="-98"/>
        </w:rPr>
        <w:t> </w:t>
      </w:r>
      <w:r>
        <w:rPr>
          <w:spacing w:val="-98"/>
        </w:rPr>
      </w:r>
      <w:r>
        <w:rPr/>
        <w:t>财政部于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月分别发布了《关于修订印发</w:t>
      </w:r>
      <w:r>
        <w:rPr>
          <w:rFonts w:ascii="Times New Roman" w:hAnsi="Times New Roman" w:cs="Times New Roman" w:eastAsia="Times New Roman" w:hint="default"/>
        </w:rPr>
        <w:t>2019</w:t>
      </w:r>
      <w:r>
        <w:rPr/>
        <w:t>年度一般企业财务报表格式的通知》</w:t>
      </w:r>
      <w:r>
        <w:rPr>
          <w:rFonts w:ascii="Times New Roman" w:hAnsi="Times New Roman" w:cs="Times New Roman" w:eastAsia="Times New Roman" w:hint="default"/>
        </w:rPr>
        <w:t>(</w:t>
      </w:r>
      <w:r>
        <w:rPr/>
        <w:t>财会</w:t>
      </w:r>
    </w:p>
    <w:p>
      <w:pPr>
        <w:pStyle w:val="BodyText"/>
        <w:spacing w:line="256" w:lineRule="auto" w:before="5"/>
        <w:ind w:right="0"/>
        <w:jc w:val="left"/>
      </w:pPr>
      <w:r>
        <w:rPr>
          <w:rFonts w:ascii="Times New Roman" w:hAnsi="Times New Roman" w:cs="Times New Roman" w:eastAsia="Times New Roman" w:hint="default"/>
          <w:spacing w:val="-2"/>
        </w:rPr>
        <w:t>[2019]6</w:t>
      </w:r>
      <w:r>
        <w:rPr>
          <w:spacing w:val="-2"/>
        </w:rPr>
        <w:t>号</w:t>
      </w:r>
      <w:r>
        <w:rPr>
          <w:rFonts w:ascii="Times New Roman" w:hAnsi="Times New Roman" w:cs="Times New Roman" w:eastAsia="Times New Roman" w:hint="default"/>
          <w:spacing w:val="-2"/>
        </w:rPr>
        <w:t>)</w:t>
      </w:r>
      <w:r>
        <w:rPr>
          <w:spacing w:val="-2"/>
        </w:rPr>
        <w:t>、《关于修订印发合并财务报表格式</w:t>
      </w:r>
      <w:r>
        <w:rPr>
          <w:rFonts w:ascii="Times New Roman" w:hAnsi="Times New Roman" w:cs="Times New Roman" w:eastAsia="Times New Roman" w:hint="default"/>
          <w:spacing w:val="-2"/>
        </w:rPr>
        <w:t>(2019</w:t>
      </w:r>
      <w:r>
        <w:rPr>
          <w:spacing w:val="-2"/>
        </w:rPr>
        <w:t>版</w:t>
      </w:r>
      <w:r>
        <w:rPr>
          <w:rFonts w:ascii="Times New Roman" w:hAnsi="Times New Roman" w:cs="Times New Roman" w:eastAsia="Times New Roman" w:hint="default"/>
          <w:spacing w:val="-2"/>
        </w:rPr>
        <w:t>)</w:t>
      </w:r>
      <w:r>
        <w:rPr>
          <w:spacing w:val="-2"/>
        </w:rPr>
        <w:t>的通知》</w:t>
      </w:r>
      <w:r>
        <w:rPr>
          <w:rFonts w:ascii="Times New Roman" w:hAnsi="Times New Roman" w:cs="Times New Roman" w:eastAsia="Times New Roman" w:hint="default"/>
          <w:spacing w:val="-2"/>
        </w:rPr>
        <w:t>(</w:t>
      </w:r>
      <w:r>
        <w:rPr>
          <w:spacing w:val="-2"/>
        </w:rPr>
        <w:t>财会</w:t>
      </w:r>
      <w:r>
        <w:rPr>
          <w:rFonts w:ascii="Times New Roman" w:hAnsi="Times New Roman" w:cs="Times New Roman" w:eastAsia="Times New Roman" w:hint="default"/>
          <w:spacing w:val="-2"/>
        </w:rPr>
        <w:t>[2019]16</w:t>
      </w:r>
      <w:r>
        <w:rPr>
          <w:spacing w:val="-2"/>
        </w:rPr>
        <w:t>号</w:t>
      </w:r>
      <w:r>
        <w:rPr>
          <w:rFonts w:ascii="Times New Roman" w:hAnsi="Times New Roman" w:cs="Times New Roman" w:eastAsia="Times New Roman" w:hint="default"/>
          <w:spacing w:val="-2"/>
        </w:rPr>
        <w:t>)</w:t>
      </w:r>
      <w:r>
        <w:rPr>
          <w:spacing w:val="-2"/>
        </w:rPr>
        <w:t>，对一般企业财务报表、</w:t>
      </w:r>
      <w:r>
        <w:rPr>
          <w:spacing w:val="-9"/>
        </w:rPr>
        <w:t> </w:t>
      </w:r>
      <w:r>
        <w:rPr>
          <w:spacing w:val="-9"/>
        </w:rPr>
      </w:r>
      <w:r>
        <w:rPr/>
        <w:t>合并财务报表格式作出了修订，本集团已根据其要求按照一般企业财务报表格式</w:t>
      </w:r>
      <w:r>
        <w:rPr>
          <w:rFonts w:ascii="Times New Roman" w:hAnsi="Times New Roman" w:cs="Times New Roman" w:eastAsia="Times New Roman" w:hint="default"/>
        </w:rPr>
        <w:t>(</w:t>
      </w:r>
      <w:r>
        <w:rPr/>
        <w:t>适用于已执行新金融准</w:t>
      </w:r>
      <w:r>
        <w:rPr>
          <w:spacing w:val="9"/>
        </w:rPr>
        <w:t> </w:t>
      </w:r>
      <w:r>
        <w:rPr>
          <w:spacing w:val="9"/>
        </w:rPr>
      </w:r>
      <w:r>
        <w:rPr/>
        <w:t>则、新收入准则和新租赁准则的企业</w:t>
      </w:r>
      <w:r>
        <w:rPr>
          <w:rFonts w:ascii="Times New Roman" w:hAnsi="Times New Roman" w:cs="Times New Roman" w:eastAsia="Times New Roman" w:hint="default"/>
        </w:rPr>
        <w:t>)</w:t>
      </w:r>
      <w:r>
        <w:rPr/>
        <w:t>、合并财务报表格式编制财务报表。主要变化如下：</w:t>
      </w:r>
    </w:p>
    <w:p>
      <w:pPr>
        <w:pStyle w:val="BodyText"/>
        <w:spacing w:line="259" w:lineRule="auto" w:before="5"/>
        <w:ind w:right="0" w:firstLine="422"/>
        <w:jc w:val="left"/>
      </w:pPr>
      <w:r>
        <w:rPr>
          <w:rFonts w:ascii="Times New Roman" w:hAnsi="Times New Roman" w:cs="Times New Roman" w:eastAsia="Times New Roman" w:hint="default"/>
        </w:rPr>
        <w:t>A</w:t>
      </w:r>
      <w:r>
        <w:rPr/>
        <w:t>、将</w:t>
      </w:r>
      <w:r>
        <w:rPr>
          <w:rFonts w:ascii="Times New Roman" w:hAnsi="Times New Roman" w:cs="Times New Roman" w:eastAsia="Times New Roman" w:hint="default"/>
        </w:rPr>
        <w:t>“</w:t>
      </w:r>
      <w:r>
        <w:rPr/>
        <w:t>应收票据及应收账款</w:t>
      </w:r>
      <w:r>
        <w:rPr>
          <w:rFonts w:ascii="Times New Roman" w:hAnsi="Times New Roman" w:cs="Times New Roman" w:eastAsia="Times New Roman" w:hint="default"/>
        </w:rPr>
        <w:t>”</w:t>
      </w:r>
      <w:r>
        <w:rPr/>
        <w:t>行项目拆分为</w:t>
      </w:r>
      <w:r>
        <w:rPr>
          <w:rFonts w:ascii="Times New Roman" w:hAnsi="Times New Roman" w:cs="Times New Roman" w:eastAsia="Times New Roman" w:hint="default"/>
        </w:rPr>
        <w:t>“</w:t>
      </w:r>
      <w:r>
        <w:rPr/>
        <w:t>应收票据</w:t>
      </w:r>
      <w:r>
        <w:rPr>
          <w:rFonts w:ascii="Times New Roman" w:hAnsi="Times New Roman" w:cs="Times New Roman" w:eastAsia="Times New Roman" w:hint="default"/>
        </w:rPr>
        <w:t>”</w:t>
      </w:r>
      <w:r>
        <w:rPr/>
        <w:t>行项目及</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行项目；将</w:t>
      </w:r>
      <w:r>
        <w:rPr>
          <w:rFonts w:ascii="Times New Roman" w:hAnsi="Times New Roman" w:cs="Times New Roman" w:eastAsia="Times New Roman" w:hint="default"/>
        </w:rPr>
        <w:t>“</w:t>
      </w:r>
      <w:r>
        <w:rPr/>
        <w:t>应付票据及应</w:t>
      </w:r>
      <w:r>
        <w:rPr>
          <w:w w:val="100"/>
        </w:rPr>
        <w:t> </w:t>
      </w:r>
      <w:r>
        <w:rPr/>
        <w:t>付账款</w:t>
      </w:r>
      <w:r>
        <w:rPr>
          <w:rFonts w:ascii="Times New Roman" w:hAnsi="Times New Roman" w:cs="Times New Roman" w:eastAsia="Times New Roman" w:hint="default"/>
        </w:rPr>
        <w:t>”</w:t>
      </w:r>
      <w:r>
        <w:rPr/>
        <w:t>行项目拆分为</w:t>
      </w:r>
      <w:r>
        <w:rPr>
          <w:rFonts w:ascii="Times New Roman" w:hAnsi="Times New Roman" w:cs="Times New Roman" w:eastAsia="Times New Roman" w:hint="default"/>
        </w:rPr>
        <w:t>“</w:t>
      </w:r>
      <w:r>
        <w:rPr/>
        <w:t>应付票据</w:t>
      </w:r>
      <w:r>
        <w:rPr>
          <w:rFonts w:ascii="Times New Roman" w:hAnsi="Times New Roman" w:cs="Times New Roman" w:eastAsia="Times New Roman" w:hint="default"/>
        </w:rPr>
        <w:t>”</w:t>
      </w:r>
      <w:r>
        <w:rPr/>
        <w:t>行项目及</w:t>
      </w:r>
      <w:r>
        <w:rPr>
          <w:rFonts w:ascii="Times New Roman" w:hAnsi="Times New Roman" w:cs="Times New Roman" w:eastAsia="Times New Roman" w:hint="default"/>
        </w:rPr>
        <w:t>“</w:t>
      </w:r>
      <w:r>
        <w:rPr/>
        <w:t>应付账款</w:t>
      </w:r>
      <w:r>
        <w:rPr>
          <w:rFonts w:ascii="Times New Roman" w:hAnsi="Times New Roman" w:cs="Times New Roman" w:eastAsia="Times New Roman" w:hint="default"/>
        </w:rPr>
        <w:t>”</w:t>
      </w:r>
      <w:r>
        <w:rPr/>
        <w:t>行项目；</w:t>
      </w:r>
      <w:r>
        <w:rPr>
          <w:rFonts w:ascii="Times New Roman" w:hAnsi="Times New Roman" w:cs="Times New Roman" w:eastAsia="Times New Roman" w:hint="default"/>
        </w:rPr>
        <w:t>B</w:t>
      </w:r>
      <w:r>
        <w:rPr/>
        <w:t>、新增</w:t>
      </w:r>
      <w:r>
        <w:rPr>
          <w:rFonts w:ascii="Times New Roman" w:hAnsi="Times New Roman" w:cs="Times New Roman" w:eastAsia="Times New Roman" w:hint="default"/>
        </w:rPr>
        <w:t>“</w:t>
      </w:r>
      <w:r>
        <w:rPr/>
        <w:t>应收款项融资</w:t>
      </w:r>
      <w:r>
        <w:rPr>
          <w:rFonts w:ascii="Times New Roman" w:hAnsi="Times New Roman" w:cs="Times New Roman" w:eastAsia="Times New Roman" w:hint="default"/>
        </w:rPr>
        <w:t>”</w:t>
      </w:r>
      <w:r>
        <w:rPr/>
        <w:t>行项目；</w:t>
      </w:r>
      <w:r>
        <w:rPr>
          <w:rFonts w:ascii="Times New Roman" w:hAnsi="Times New Roman" w:cs="Times New Roman" w:eastAsia="Times New Roman" w:hint="default"/>
        </w:rPr>
        <w:t>C</w:t>
      </w:r>
      <w:r>
        <w:rPr/>
        <w:t>、列报</w:t>
      </w:r>
      <w:r>
        <w:rPr>
          <w:w w:val="100"/>
        </w:rPr>
        <w:t> </w:t>
      </w:r>
      <w:r>
        <w:rPr/>
        <w:t>于</w:t>
      </w:r>
      <w:r>
        <w:rPr>
          <w:rFonts w:ascii="Times New Roman" w:hAnsi="Times New Roman" w:cs="Times New Roman" w:eastAsia="Times New Roman" w:hint="default"/>
        </w:rPr>
        <w:t>“</w:t>
      </w:r>
      <w:r>
        <w:rPr/>
        <w:t>其他应收款</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其他应付款</w:t>
      </w:r>
      <w:r>
        <w:rPr>
          <w:rFonts w:ascii="Times New Roman" w:hAnsi="Times New Roman" w:cs="Times New Roman" w:eastAsia="Times New Roman" w:hint="default"/>
        </w:rPr>
        <w:t>”</w:t>
      </w:r>
      <w:r>
        <w:rPr/>
        <w:t>行项目的应收利息或应付利息，仅反映相关金融工具已到期可收取或应支</w:t>
      </w:r>
      <w:r>
        <w:rPr>
          <w:w w:val="100"/>
        </w:rPr>
        <w:t> </w:t>
      </w:r>
      <w:r>
        <w:rPr/>
        <w:t>付，但于资产负债表日尚未收到或支付的利息；基于实际利率法计提的金融工具的利息包含在相应金融工</w:t>
      </w:r>
      <w:r>
        <w:rPr>
          <w:w w:val="100"/>
        </w:rPr>
        <w:t> </w:t>
      </w:r>
      <w:r>
        <w:rPr>
          <w:spacing w:val="-3"/>
        </w:rPr>
        <w:t>具的账面余额中；</w:t>
      </w:r>
      <w:r>
        <w:rPr>
          <w:rFonts w:ascii="Times New Roman" w:hAnsi="Times New Roman" w:cs="Times New Roman" w:eastAsia="Times New Roman" w:hint="default"/>
          <w:spacing w:val="-3"/>
        </w:rPr>
        <w:t>D</w:t>
      </w:r>
      <w:r>
        <w:rPr>
          <w:spacing w:val="-3"/>
        </w:rPr>
        <w:t>、明确</w:t>
      </w:r>
      <w:r>
        <w:rPr>
          <w:rFonts w:ascii="Times New Roman" w:hAnsi="Times New Roman" w:cs="Times New Roman" w:eastAsia="Times New Roman" w:hint="default"/>
          <w:spacing w:val="-3"/>
        </w:rPr>
        <w:t>“</w:t>
      </w:r>
      <w:r>
        <w:rPr>
          <w:spacing w:val="-3"/>
        </w:rPr>
        <w:t>递延收益</w:t>
      </w:r>
      <w:r>
        <w:rPr>
          <w:rFonts w:ascii="Times New Roman" w:hAnsi="Times New Roman" w:cs="Times New Roman" w:eastAsia="Times New Roman" w:hint="default"/>
          <w:spacing w:val="-3"/>
        </w:rPr>
        <w:t>”</w:t>
      </w:r>
      <w:r>
        <w:rPr>
          <w:spacing w:val="-3"/>
        </w:rPr>
        <w:t>行项目中摊销期限只剩一年或不足一年的，或预计在一年内</w:t>
      </w:r>
      <w:r>
        <w:rPr>
          <w:rFonts w:ascii="Times New Roman" w:hAnsi="Times New Roman" w:cs="Times New Roman" w:eastAsia="Times New Roman" w:hint="default"/>
          <w:spacing w:val="-3"/>
        </w:rPr>
        <w:t>(</w:t>
      </w:r>
      <w:r>
        <w:rPr>
          <w:spacing w:val="-3"/>
        </w:rPr>
        <w:t>含一年</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6"/>
        </w:rPr>
        <w:t> </w:t>
      </w:r>
      <w:r>
        <w:rPr/>
        <w:t>进行摊销的部分，不得归类为流动负债，仍在该项目中填列，不转入</w:t>
      </w:r>
      <w:r>
        <w:rPr>
          <w:rFonts w:ascii="Times New Roman" w:hAnsi="Times New Roman" w:cs="Times New Roman" w:eastAsia="Times New Roman" w:hint="default"/>
        </w:rPr>
        <w:t>“</w:t>
      </w:r>
      <w:r>
        <w:rPr/>
        <w:t>一年内到期的非流动负债</w:t>
      </w:r>
      <w:r>
        <w:rPr>
          <w:rFonts w:ascii="Times New Roman" w:hAnsi="Times New Roman" w:cs="Times New Roman" w:eastAsia="Times New Roman" w:hint="default"/>
        </w:rPr>
        <w:t>”</w:t>
      </w:r>
      <w:r>
        <w:rPr/>
        <w:t>行项目；</w:t>
      </w:r>
      <w:r>
        <w:rPr>
          <w:spacing w:val="-103"/>
        </w:rPr>
        <w:t> </w:t>
      </w:r>
      <w:r>
        <w:rPr>
          <w:spacing w:val="-103"/>
        </w:rPr>
      </w:r>
      <w:r>
        <w:rPr>
          <w:rFonts w:ascii="Times New Roman" w:hAnsi="Times New Roman" w:cs="Times New Roman" w:eastAsia="Times New Roman" w:hint="default"/>
          <w:spacing w:val="-5"/>
          <w:w w:val="100"/>
        </w:rPr>
        <w:t>E</w:t>
      </w:r>
      <w:r>
        <w:rPr>
          <w:spacing w:val="-5"/>
          <w:w w:val="100"/>
        </w:rPr>
        <w:t>、将</w:t>
      </w:r>
      <w:r>
        <w:rPr>
          <w:rFonts w:ascii="Times New Roman" w:hAnsi="Times New Roman" w:cs="Times New Roman" w:eastAsia="Times New Roman" w:hint="default"/>
          <w:spacing w:val="-5"/>
          <w:w w:val="100"/>
        </w:rPr>
        <w:t>“</w:t>
      </w:r>
      <w:r>
        <w:rPr>
          <w:spacing w:val="-5"/>
          <w:w w:val="100"/>
        </w:rPr>
        <w:t>资产减值损失</w:t>
      </w:r>
      <w:r>
        <w:rPr>
          <w:rFonts w:ascii="Times New Roman" w:hAnsi="Times New Roman" w:cs="Times New Roman" w:eastAsia="Times New Roman" w:hint="default"/>
          <w:spacing w:val="-5"/>
          <w:w w:val="100"/>
        </w:rPr>
        <w:t>”</w:t>
      </w:r>
      <w:r>
        <w:rPr>
          <w:spacing w:val="-5"/>
          <w:w w:val="100"/>
        </w:rPr>
        <w:t>、</w:t>
      </w:r>
      <w:r>
        <w:rPr>
          <w:rFonts w:ascii="Times New Roman" w:hAnsi="Times New Roman" w:cs="Times New Roman" w:eastAsia="Times New Roman" w:hint="default"/>
          <w:spacing w:val="-5"/>
          <w:w w:val="100"/>
        </w:rPr>
        <w:t>“</w:t>
      </w:r>
      <w:r>
        <w:rPr>
          <w:spacing w:val="-5"/>
          <w:w w:val="100"/>
        </w:rPr>
        <w:t>信用减值损失</w:t>
      </w:r>
      <w:r>
        <w:rPr>
          <w:rFonts w:ascii="Times New Roman" w:hAnsi="Times New Roman" w:cs="Times New Roman" w:eastAsia="Times New Roman" w:hint="default"/>
          <w:spacing w:val="-5"/>
          <w:w w:val="100"/>
        </w:rPr>
        <w:t>”</w:t>
      </w:r>
      <w:r>
        <w:rPr>
          <w:spacing w:val="-5"/>
          <w:w w:val="100"/>
        </w:rPr>
        <w:t>行项目自</w:t>
      </w:r>
      <w:r>
        <w:rPr>
          <w:rFonts w:ascii="Times New Roman" w:hAnsi="Times New Roman" w:cs="Times New Roman" w:eastAsia="Times New Roman" w:hint="default"/>
          <w:spacing w:val="-5"/>
          <w:w w:val="100"/>
        </w:rPr>
        <w:t>“</w:t>
      </w:r>
      <w:r>
        <w:rPr>
          <w:spacing w:val="-5"/>
          <w:w w:val="100"/>
        </w:rPr>
        <w:t>其他收益</w:t>
      </w:r>
      <w:r>
        <w:rPr>
          <w:rFonts w:ascii="Times New Roman" w:hAnsi="Times New Roman" w:cs="Times New Roman" w:eastAsia="Times New Roman" w:hint="default"/>
          <w:spacing w:val="-5"/>
          <w:w w:val="100"/>
        </w:rPr>
        <w:t>”</w:t>
      </w:r>
      <w:r>
        <w:rPr>
          <w:spacing w:val="-5"/>
          <w:w w:val="100"/>
        </w:rPr>
        <w:t>行项目前下移至</w:t>
      </w:r>
      <w:r>
        <w:rPr>
          <w:rFonts w:ascii="Times New Roman" w:hAnsi="Times New Roman" w:cs="Times New Roman" w:eastAsia="Times New Roman" w:hint="default"/>
          <w:spacing w:val="-5"/>
          <w:w w:val="100"/>
        </w:rPr>
        <w:t>“</w:t>
      </w:r>
      <w:r>
        <w:rPr>
          <w:spacing w:val="-5"/>
          <w:w w:val="100"/>
        </w:rPr>
        <w:t>公允价值变动收益</w:t>
      </w:r>
      <w:r>
        <w:rPr>
          <w:rFonts w:ascii="Times New Roman" w:hAnsi="Times New Roman" w:cs="Times New Roman" w:eastAsia="Times New Roman" w:hint="default"/>
          <w:spacing w:val="-5"/>
          <w:w w:val="100"/>
        </w:rPr>
        <w:t>”</w:t>
      </w:r>
      <w:r>
        <w:rPr>
          <w:spacing w:val="-5"/>
          <w:w w:val="100"/>
        </w:rPr>
        <w:t>行项目后，</w:t>
      </w:r>
      <w:r>
        <w:rPr>
          <w:spacing w:val="-62"/>
          <w:w w:val="100"/>
        </w:rPr>
        <w:t> </w:t>
      </w:r>
      <w:r>
        <w:rPr>
          <w:spacing w:val="-62"/>
          <w:w w:val="100"/>
        </w:rPr>
      </w:r>
      <w:r>
        <w:rPr/>
        <w:t>并将</w:t>
      </w:r>
      <w:r>
        <w:rPr>
          <w:rFonts w:ascii="Times New Roman" w:hAnsi="Times New Roman" w:cs="Times New Roman" w:eastAsia="Times New Roman" w:hint="default"/>
        </w:rPr>
        <w:t>“</w:t>
      </w:r>
      <w:r>
        <w:rPr/>
        <w:t>信用减值损失</w:t>
      </w:r>
      <w:r>
        <w:rPr>
          <w:rFonts w:ascii="Times New Roman" w:hAnsi="Times New Roman" w:cs="Times New Roman" w:eastAsia="Times New Roman" w:hint="default"/>
        </w:rPr>
        <w:t>”</w:t>
      </w:r>
      <w:r>
        <w:rPr/>
        <w:t>行项目列于</w:t>
      </w:r>
      <w:r>
        <w:rPr>
          <w:rFonts w:ascii="Times New Roman" w:hAnsi="Times New Roman" w:cs="Times New Roman" w:eastAsia="Times New Roman" w:hint="default"/>
        </w:rPr>
        <w:t>“</w:t>
      </w:r>
      <w:r>
        <w:rPr/>
        <w:t>资产减值损失</w:t>
      </w:r>
      <w:r>
        <w:rPr>
          <w:rFonts w:ascii="Times New Roman" w:hAnsi="Times New Roman" w:cs="Times New Roman" w:eastAsia="Times New Roman" w:hint="default"/>
        </w:rPr>
        <w:t>”</w:t>
      </w:r>
      <w:r>
        <w:rPr/>
        <w:t>行项目之前；</w:t>
      </w:r>
      <w:r>
        <w:rPr>
          <w:rFonts w:ascii="Times New Roman" w:hAnsi="Times New Roman" w:cs="Times New Roman" w:eastAsia="Times New Roman" w:hint="default"/>
        </w:rPr>
        <w:t>F</w:t>
      </w:r>
      <w:r>
        <w:rPr/>
        <w:t>、</w:t>
      </w:r>
      <w:r>
        <w:rPr>
          <w:rFonts w:ascii="Times New Roman" w:hAnsi="Times New Roman" w:cs="Times New Roman" w:eastAsia="Times New Roman" w:hint="default"/>
        </w:rPr>
        <w:t>“</w:t>
      </w:r>
      <w:r>
        <w:rPr/>
        <w:t>投资收益</w:t>
      </w:r>
      <w:r>
        <w:rPr>
          <w:rFonts w:ascii="Times New Roman" w:hAnsi="Times New Roman" w:cs="Times New Roman" w:eastAsia="Times New Roman" w:hint="default"/>
        </w:rPr>
        <w:t>”</w:t>
      </w:r>
      <w:r>
        <w:rPr/>
        <w:t>行项目的其中项新增</w:t>
      </w:r>
      <w:r>
        <w:rPr>
          <w:rFonts w:ascii="Times New Roman" w:hAnsi="Times New Roman" w:cs="Times New Roman" w:eastAsia="Times New Roman" w:hint="default"/>
        </w:rPr>
        <w:t>“</w:t>
      </w:r>
      <w:r>
        <w:rPr/>
        <w:t>以摊余</w:t>
      </w:r>
      <w:r>
        <w:rPr>
          <w:w w:val="100"/>
        </w:rPr>
        <w:t> </w:t>
      </w:r>
      <w:r>
        <w:rPr/>
        <w:t>成本计量的金融资产终止确认收益</w:t>
      </w:r>
      <w:r>
        <w:rPr>
          <w:rFonts w:ascii="Times New Roman" w:hAnsi="Times New Roman" w:cs="Times New Roman" w:eastAsia="Times New Roman" w:hint="default"/>
        </w:rPr>
        <w:t>”</w:t>
      </w:r>
      <w:r>
        <w:rPr/>
        <w:t>行项目。本集团根据上述列报要求相应追溯重述了比较报表。</w:t>
      </w:r>
    </w:p>
    <w:p>
      <w:pPr>
        <w:spacing w:line="240" w:lineRule="auto" w:before="5"/>
        <w:rPr>
          <w:rFonts w:ascii="宋体" w:hAnsi="宋体" w:cs="宋体" w:eastAsia="宋体" w:hint="default"/>
          <w:sz w:val="23"/>
          <w:szCs w:val="23"/>
        </w:rPr>
      </w:pPr>
    </w:p>
    <w:p>
      <w:pPr>
        <w:pStyle w:val="Heading4"/>
        <w:spacing w:line="240" w:lineRule="auto"/>
        <w:ind w:right="0"/>
        <w:jc w:val="left"/>
        <w:rPr>
          <w:b w:val="0"/>
          <w:bCs w:val="0"/>
        </w:rPr>
      </w:pPr>
      <w:bookmarkStart w:name="（2）重要会计估计变更" w:id="212"/>
      <w:bookmarkEnd w:id="212"/>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pStyle w:val="Heading4"/>
        <w:spacing w:line="240" w:lineRule="auto"/>
        <w:ind w:right="0"/>
        <w:jc w:val="left"/>
        <w:rPr>
          <w:b w:val="0"/>
          <w:bCs w:val="0"/>
        </w:rPr>
      </w:pPr>
      <w:bookmarkStart w:name="（3）2019年起执行新金融工具准则、新收入准则或新租赁准则调整执行当年年初财务" w:id="213"/>
      <w:bookmarkEnd w:id="213"/>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年起执行新金融工具准则、新收入准则或新租赁准则调整执行当年年初财务报表相关项目情况</w:t>
      </w:r>
      <w:r>
        <w:rPr>
          <w:b w:val="0"/>
          <w:bCs w:val="0"/>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spacing w:line="338" w:lineRule="auto"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pacing w:val="-3"/>
          <w:sz w:val="18"/>
          <w:szCs w:val="18"/>
        </w:rPr>
        <w:t>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537" w:space="7385"/>
            <w:col w:w="2008"/>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418,492,001.60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418,492,001.60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78"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1,586,696.00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1,586,696.00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185,094,124.56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177,145,108.53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21" w:right="0"/>
              <w:jc w:val="left"/>
              <w:rPr>
                <w:rFonts w:ascii="Times New Roman" w:hAnsi="Times New Roman" w:cs="Times New Roman" w:eastAsia="Times New Roman" w:hint="default"/>
                <w:sz w:val="18"/>
                <w:szCs w:val="18"/>
              </w:rPr>
            </w:pPr>
            <w:r>
              <w:rPr>
                <w:rFonts w:ascii="Times New Roman"/>
                <w:sz w:val="18"/>
              </w:rPr>
              <w:t>-7,949,016.03</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30,121,717.44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30,121,717.44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78"/>
              <w:jc w:val="right"/>
              <w:rPr>
                <w:rFonts w:ascii="宋体" w:hAnsi="宋体" w:cs="宋体" w:eastAsia="宋体" w:hint="default"/>
                <w:sz w:val="18"/>
                <w:szCs w:val="18"/>
              </w:rPr>
            </w:pPr>
            <w:r>
              <w:rPr>
                <w:rFonts w:ascii="宋体" w:hAnsi="宋体" w:cs="宋体" w:eastAsia="宋体" w:hint="default"/>
                <w:spacing w:val="-3"/>
                <w:sz w:val="18"/>
                <w:szCs w:val="18"/>
              </w:rPr>
              <w:t>应收分保合同准备金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186,009,724.97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166,490,548.60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-19,519,176.37</w:t>
            </w: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8,009,257.39</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-8,009,257.39</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69,932,313.34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63,208,412.73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-6,723,900.61</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78"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185,425,875.00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5,425,875.00</w:t>
            </w: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8,428,023.04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8,428,023.04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1,009,732,287.61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987,689,970.21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-22,042,317.40</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发放贷款和垫款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57,889,687.88</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-57,889,687.88</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1,252,555,185.65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1,252,087,062.12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-468,123.53</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69,125,832.68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69,125,832.68</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78"/>
              <w:jc w:val="righ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4,087,216.32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4,087,216.32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94,456,101.77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94,456,101.77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1,179,326,796.00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1,179,326,796.00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6,982,516.86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6,982,516.86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2,976,859.76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4,131,004.15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1,154,144.39</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622,018,031.91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624,601,414.30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2,583,382.39</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3,220,292,396.15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3,234,797,944.20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14,505,548.05</w:t>
            </w: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4,230,024,683.76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4,222,487,914.41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-7,536,769.35</w:t>
            </w: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177,671,204.60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178,208,372.42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537,167.82</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11" w:right="178"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140,826,664.50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140,826,664.50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136,245,654.73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136,245,654.73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78"/>
              <w:jc w:val="right"/>
              <w:rPr>
                <w:rFonts w:ascii="宋体" w:hAnsi="宋体" w:cs="宋体" w:eastAsia="宋体" w:hint="default"/>
                <w:sz w:val="18"/>
                <w:szCs w:val="18"/>
              </w:rPr>
            </w:pPr>
            <w:r>
              <w:rPr>
                <w:rFonts w:ascii="宋体" w:hAnsi="宋体" w:cs="宋体" w:eastAsia="宋体" w:hint="default"/>
                <w:spacing w:val="-3"/>
                <w:sz w:val="18"/>
                <w:szCs w:val="18"/>
              </w:rPr>
              <w:t>卖出回购金融资产款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78"/>
              <w:jc w:val="right"/>
              <w:rPr>
                <w:rFonts w:ascii="宋体" w:hAnsi="宋体" w:cs="宋体" w:eastAsia="宋体" w:hint="default"/>
                <w:sz w:val="18"/>
                <w:szCs w:val="18"/>
              </w:rPr>
            </w:pPr>
            <w:r>
              <w:rPr>
                <w:rFonts w:ascii="宋体" w:hAnsi="宋体" w:cs="宋体" w:eastAsia="宋体" w:hint="default"/>
                <w:spacing w:val="-3"/>
                <w:sz w:val="18"/>
                <w:szCs w:val="18"/>
              </w:rPr>
              <w:t>吸收存款及同业存放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代理承销证券款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15,601,309.16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15,601,309.16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44,824,604.07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44,824,604.07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12,174,074.28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10,264,546.99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-1,909,527.29</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2,947,468.52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1,037,941.23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-1,909,527.29</w:t>
            </w: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178"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负债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327,429,786.06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327,429,786.06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854,773,297.40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853,400,937.93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-1,372,359.47</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0"/>
        <w:gridCol w:w="2471"/>
        <w:gridCol w:w="2454"/>
        <w:gridCol w:w="2453"/>
      </w:tblGrid>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保险合同准备金</w:t>
            </w:r>
          </w:p>
        </w:tc>
        <w:tc>
          <w:tcPr>
            <w:tcW w:w="2471"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276,464,320.00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277,836,679.47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1,372,359.47</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71"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71"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1"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71"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174,716,800.00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174,716,800.00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71"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71"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3,500,000.00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3,500,000.00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4,702,767.95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7,511,804.15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2,809,036.20</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6,131,574.78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6,131,574.78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465,515,462.73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466,887,822.20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1,372,359.47</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1,320,288,760.13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1,320,288,760.13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73,892,895.00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73,892,895.00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71"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71"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1"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1,613,545,653.79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1,613,545,653.79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71"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6,508,319.20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14,817,686.26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8,309,367.06</w:t>
            </w:r>
          </w:p>
        </w:tc>
      </w:tr>
      <w:tr>
        <w:trPr>
          <w:trHeight w:val="404"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71"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12,253,120.86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12,105,259.52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-147,861.34</w:t>
            </w:r>
          </w:p>
        </w:tc>
      </w:tr>
      <w:tr>
        <w:trPr>
          <w:trHeight w:val="398"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71"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1,183,914,073.79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1,165,431,578.32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-18,482,495.47</w:t>
            </w:r>
          </w:p>
        </w:tc>
      </w:tr>
      <w:tr>
        <w:trPr>
          <w:trHeight w:val="716"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1" w:right="173"/>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合计</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2,890,114,062.64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2,879,793,072.89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-10,320,989.75</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19,621,860.99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19,597,045.19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-24,815.80</w:t>
            </w:r>
          </w:p>
        </w:tc>
      </w:tr>
      <w:tr>
        <w:trPr>
          <w:trHeight w:val="398"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2,909,735,923.63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2,899,390,118.08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-10,345,805.55</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4,230,024,683.76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4,222,487,914.41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-7,536,769.35</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362" w:lineRule="auto" w:before="54"/>
        <w:ind w:left="153" w:right="0" w:firstLine="0"/>
        <w:jc w:val="left"/>
        <w:rPr>
          <w:rFonts w:ascii="宋体" w:hAnsi="宋体" w:cs="宋体" w:eastAsia="宋体" w:hint="default"/>
          <w:sz w:val="18"/>
          <w:szCs w:val="18"/>
        </w:rPr>
      </w:pPr>
      <w:r>
        <w:rPr>
          <w:rFonts w:ascii="宋体" w:hAnsi="宋体" w:cs="宋体" w:eastAsia="宋体" w:hint="default"/>
          <w:sz w:val="18"/>
          <w:szCs w:val="18"/>
        </w:rPr>
        <w:t>调整情况说明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母公司资产负债表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599" w:space="7323"/>
            <w:col w:w="2008"/>
          </w:cols>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0"/>
        <w:gridCol w:w="2471"/>
        <w:gridCol w:w="2454"/>
        <w:gridCol w:w="2453"/>
      </w:tblGrid>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398"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129,668,145.26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129,668,145.26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471"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73"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资产</w:t>
            </w:r>
          </w:p>
        </w:tc>
        <w:tc>
          <w:tcPr>
            <w:tcW w:w="2471"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71"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71"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71"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71"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3,252,021.10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3,252,021.10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550,177,065.22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540,689,194.42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-9,487,870.80</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8,009,257.39</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-8,009,257.39</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333,200,000.00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333,200,000.00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71"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71"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71"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73"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资产</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185,425,875.00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5,425,875.00</w:t>
            </w:r>
          </w:p>
        </w:tc>
      </w:tr>
      <w:tr>
        <w:trPr>
          <w:trHeight w:val="399"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4,011,062.36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4,011,062.36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867,108,293.94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863,046,298.14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-4,061,995.80</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71"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48,389,687.88</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-48,389,687.88</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71"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2471"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71"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2,812,865,716.21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2,812,865,716.21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71"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59,407,689.53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59,407,689.53</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2471"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71"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2,783,783.63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2,783,783.63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71"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2471"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1,258,053.09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1,258,053.09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6,201,042.20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6,201,042.20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81,235,849.06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83,819,231.45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2,583,382.39</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2,952,734,132.07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2,966,335,516.11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13,601,384.04</w:t>
            </w: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3,819,842,426.01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3,829,381,814.25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9,539,388.24</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100,177,443.75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177,443.75</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78"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3,535,327.49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3,535,327.49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2,098,070.14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2,098,070.14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2,248,391.98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2,248,391.98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270,909.42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270,909.42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326,985,218.68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326,807,774.93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-177,443.75</w:t>
            </w: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356"/>
              <w:jc w:val="righ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177,443.75</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-177,443.75</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55"/>
              <w:jc w:val="right"/>
              <w:rPr>
                <w:rFonts w:ascii="宋体" w:hAnsi="宋体" w:cs="宋体" w:eastAsia="宋体" w:hint="default"/>
                <w:sz w:val="18"/>
                <w:szCs w:val="18"/>
              </w:rPr>
            </w:pPr>
            <w:r>
              <w:rPr>
                <w:rFonts w:ascii="宋体" w:hAnsi="宋体" w:cs="宋体" w:eastAsia="宋体" w:hint="default"/>
                <w:spacing w:val="-2"/>
                <w:sz w:val="18"/>
                <w:szCs w:val="18"/>
              </w:rPr>
              <w:t>应付股利</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178"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435,137,917.71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435,137,917.71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2,754,500.41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2,754,500.41</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2,754,500.41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2,754,500.41</w:t>
            </w: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435,137,917.71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437,892,418.12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2,754,500.41</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700,577,436.00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700,577,436.00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2,610,669,983.51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2,610,669,983.51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8,263,501.24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8,263,501.24</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40,552,417.37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40,404,556.03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-147,861.34</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32,904,671.42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31,573,919.35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-1,330,752.07</w:t>
            </w: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3,384,704,508.30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3,391,489,396.13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6,784,887.83</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3,819,842,426.01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3,829,381,814.25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9,539,388.24</w:t>
            </w:r>
          </w:p>
        </w:tc>
      </w:tr>
    </w:tbl>
    <w:p>
      <w:pPr>
        <w:spacing w:before="54"/>
        <w:ind w:left="153" w:right="0" w:firstLine="0"/>
        <w:jc w:val="both"/>
        <w:rPr>
          <w:rFonts w:ascii="宋体" w:hAnsi="宋体" w:cs="宋体" w:eastAsia="宋体" w:hint="default"/>
          <w:sz w:val="18"/>
          <w:szCs w:val="18"/>
        </w:rPr>
      </w:pPr>
      <w:r>
        <w:rPr>
          <w:rFonts w:ascii="宋体" w:hAnsi="宋体" w:cs="宋体" w:eastAsia="宋体" w:hint="default"/>
          <w:sz w:val="18"/>
          <w:szCs w:val="18"/>
        </w:rPr>
        <w:t>调整情况说明</w:t>
      </w:r>
    </w:p>
    <w:p>
      <w:pPr>
        <w:spacing w:line="240" w:lineRule="auto" w:before="8"/>
        <w:rPr>
          <w:rFonts w:ascii="宋体" w:hAnsi="宋体" w:cs="宋体" w:eastAsia="宋体" w:hint="default"/>
          <w:sz w:val="26"/>
          <w:szCs w:val="26"/>
        </w:rPr>
      </w:pPr>
    </w:p>
    <w:p>
      <w:pPr>
        <w:pStyle w:val="Heading4"/>
        <w:spacing w:line="240" w:lineRule="auto"/>
        <w:ind w:right="0"/>
        <w:jc w:val="both"/>
        <w:rPr>
          <w:b w:val="0"/>
          <w:bCs w:val="0"/>
        </w:rPr>
      </w:pPr>
      <w:bookmarkStart w:name="（4）2019年起执行新金融工具准则或新租赁准则追溯调整前期比较数据说明" w:id="214"/>
      <w:bookmarkEnd w:id="214"/>
      <w:r>
        <w:rPr>
          <w:b w:val="0"/>
          <w:bCs w:val="0"/>
        </w:rPr>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年起执行新金融工具准则或新租赁准则追溯调整前期比较数据说明</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600" w:lineRule="atLeast" w:before="21"/>
        <w:ind w:left="575" w:right="0" w:hanging="423"/>
        <w:jc w:val="left"/>
        <w:rPr>
          <w:rFonts w:ascii="宋体" w:hAnsi="宋体" w:cs="宋体" w:eastAsia="宋体" w:hint="default"/>
          <w:sz w:val="21"/>
          <w:szCs w:val="21"/>
        </w:rPr>
      </w:pPr>
      <w:bookmarkStart w:name="29、 重大会计判断和估计" w:id="215"/>
      <w:bookmarkEnd w:id="215"/>
      <w:r>
        <w:rPr/>
      </w: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 重大会计判断和估计</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2"/>
          <w:sz w:val="21"/>
          <w:szCs w:val="21"/>
        </w:rPr>
        <w:t>本集团在运用会计政策过程中，由于经营活动内在的不确定性，需要对无法准确计量的报表项目的账</w:t>
      </w:r>
    </w:p>
    <w:p>
      <w:pPr>
        <w:pStyle w:val="BodyText"/>
        <w:spacing w:line="273" w:lineRule="auto" w:before="37"/>
        <w:ind w:right="1125"/>
        <w:jc w:val="both"/>
      </w:pPr>
      <w:r>
        <w:rPr>
          <w:spacing w:val="-2"/>
        </w:rPr>
        <w:t>面价值进行判断、估计和假设。这些判断、估计和假设是基于本集团管理层过去的历史经验，并在考虑其</w:t>
      </w:r>
      <w:r>
        <w:rPr>
          <w:spacing w:val="-33"/>
        </w:rPr>
        <w:t> </w:t>
      </w:r>
      <w:r>
        <w:rPr>
          <w:spacing w:val="-33"/>
        </w:rPr>
      </w:r>
      <w:r>
        <w:rPr>
          <w:spacing w:val="-2"/>
        </w:rPr>
        <w:t>他相关因素的基础上做出的。这些判断、估计和假设会影响收入、费用、资产和负债的报告金额以及资产</w:t>
      </w:r>
      <w:r>
        <w:rPr>
          <w:spacing w:val="-33"/>
        </w:rPr>
        <w:t> </w:t>
      </w:r>
      <w:r>
        <w:rPr>
          <w:spacing w:val="-33"/>
        </w:rPr>
      </w:r>
      <w:r>
        <w:rPr>
          <w:spacing w:val="-2"/>
        </w:rPr>
        <w:t>负债表日或有负债的披露。然而，这些估计的不确定性所导致的实际结果可能与本集团管理层当前的估计</w:t>
      </w:r>
      <w:r>
        <w:rPr>
          <w:spacing w:val="-33"/>
        </w:rPr>
        <w:t> </w:t>
      </w:r>
      <w:r>
        <w:rPr>
          <w:spacing w:val="-33"/>
        </w:rPr>
      </w:r>
      <w:r>
        <w:rPr/>
        <w:t>存在差异，进而造成对未来受影响的资产或负债的账面金额进行重大调整。</w:t>
      </w:r>
    </w:p>
    <w:p>
      <w:pPr>
        <w:pStyle w:val="BodyText"/>
        <w:spacing w:line="273" w:lineRule="auto"/>
        <w:ind w:right="0" w:firstLine="422"/>
        <w:jc w:val="left"/>
      </w:pPr>
      <w:r>
        <w:rPr>
          <w:spacing w:val="-2"/>
        </w:rPr>
        <w:t>本集团对前述判断、估计和假设在持续经营的基础上进行定期复核，会计估计的变更仅影响变更当期</w:t>
      </w:r>
      <w:r>
        <w:rPr>
          <w:w w:val="100"/>
        </w:rPr>
        <w:t> </w:t>
      </w:r>
      <w:r>
        <w:rPr>
          <w:spacing w:val="-2"/>
        </w:rPr>
        <w:t>的，其影响数在变更当期予以确认；既影响变更当期又影响未来期间的，其影响数在变更当期和未来期间</w:t>
      </w:r>
    </w:p>
    <w:p>
      <w:pPr>
        <w:spacing w:after="0" w:line="273"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BodyText"/>
        <w:spacing w:line="240" w:lineRule="auto" w:before="36"/>
        <w:ind w:right="0"/>
        <w:jc w:val="left"/>
      </w:pPr>
      <w:r>
        <w:rPr/>
        <w:t>予以确认。</w:t>
      </w:r>
    </w:p>
    <w:p>
      <w:pPr>
        <w:pStyle w:val="BodyText"/>
        <w:spacing w:line="405" w:lineRule="auto" w:before="37"/>
        <w:ind w:left="513" w:right="1127" w:firstLine="62"/>
        <w:jc w:val="left"/>
      </w:pPr>
      <w:r>
        <w:rPr>
          <w:spacing w:val="-2"/>
        </w:rPr>
        <w:t>于资产负债表日，本集团需对财务报表项目金额进行判断、估计和假设的重要领域如下：</w:t>
      </w:r>
      <w:r>
        <w:rPr>
          <w:spacing w:val="-88"/>
        </w:rPr>
        <w:t> </w:t>
      </w:r>
      <w:r>
        <w:rPr>
          <w:spacing w:val="-88"/>
        </w:rPr>
      </w:r>
      <w:r>
        <w:rPr>
          <w:rFonts w:ascii="宋体" w:hAnsi="宋体" w:cs="宋体" w:eastAsia="宋体" w:hint="default"/>
        </w:rPr>
        <w:t>1.</w:t>
      </w:r>
      <w:r>
        <w:rPr/>
        <w:t>金融资产减值</w:t>
      </w:r>
    </w:p>
    <w:p>
      <w:pPr>
        <w:pStyle w:val="BodyText"/>
        <w:spacing w:line="273" w:lineRule="auto" w:before="51"/>
        <w:ind w:left="513" w:right="1120" w:firstLine="422"/>
        <w:jc w:val="both"/>
      </w:pPr>
      <w:r>
        <w:rPr/>
        <w:t>本集团采用预期信用损失模型对金融工具的减值进行评估，应用预期信用损失模型需要做出重大</w:t>
      </w:r>
      <w:r>
        <w:rPr>
          <w:w w:val="100"/>
        </w:rPr>
        <w:t> </w:t>
      </w:r>
      <w:r>
        <w:rPr>
          <w:spacing w:val="-1"/>
        </w:rPr>
        <w:t>判断和估计，需考虑所有合理且有依据的信息，包括前瞻性信息。在做出该等判断和估计时，本集团</w:t>
      </w:r>
      <w:r>
        <w:rPr>
          <w:spacing w:val="-24"/>
        </w:rPr>
        <w:t> </w:t>
      </w:r>
      <w:r>
        <w:rPr>
          <w:spacing w:val="-24"/>
        </w:rPr>
      </w:r>
      <w:r>
        <w:rPr>
          <w:spacing w:val="-1"/>
        </w:rPr>
        <w:t>根据历史数据结合经济政策、宏观经济指标、行业风险、外部市场环境、技术环境、客户情况的变化</w:t>
      </w:r>
      <w:r>
        <w:rPr>
          <w:spacing w:val="-24"/>
        </w:rPr>
        <w:t> </w:t>
      </w:r>
      <w:r>
        <w:rPr>
          <w:spacing w:val="-24"/>
        </w:rPr>
      </w:r>
      <w:r>
        <w:rPr/>
        <w:t>等因素推断债务人信用风险的预期变动。</w:t>
      </w:r>
    </w:p>
    <w:p>
      <w:pPr>
        <w:pStyle w:val="BodyText"/>
        <w:spacing w:line="470" w:lineRule="exact" w:before="31"/>
        <w:ind w:left="936" w:right="0" w:hanging="423"/>
        <w:jc w:val="left"/>
      </w:pPr>
      <w:r>
        <w:rPr>
          <w:rFonts w:ascii="宋体" w:hAnsi="宋体" w:cs="宋体" w:eastAsia="宋体" w:hint="default"/>
        </w:rPr>
        <w:t>2.</w:t>
      </w:r>
      <w:r>
        <w:rPr/>
        <w:t>金融工具公允价值</w:t>
      </w:r>
      <w:r>
        <w:rPr>
          <w:spacing w:val="-100"/>
        </w:rPr>
        <w:t> </w:t>
      </w:r>
      <w:r>
        <w:rPr>
          <w:spacing w:val="-100"/>
        </w:rPr>
      </w:r>
      <w:r>
        <w:rPr/>
        <w:t>对不存在活跃交易市场的金融工具，本集团通过各种估值方法确定其公允价值。这些估值方法包</w:t>
      </w:r>
    </w:p>
    <w:p>
      <w:pPr>
        <w:pStyle w:val="BodyText"/>
        <w:spacing w:line="248" w:lineRule="exact" w:before="0"/>
        <w:ind w:left="513" w:right="0"/>
        <w:jc w:val="left"/>
      </w:pPr>
      <w:r>
        <w:rPr/>
        <w:t>括贴现现金流模型分析等。估值时本集团需对未来现金流量、信用风险、市场波动率和相关性等方面</w:t>
      </w:r>
    </w:p>
    <w:p>
      <w:pPr>
        <w:pStyle w:val="BodyText"/>
        <w:spacing w:line="273" w:lineRule="auto" w:before="37"/>
        <w:ind w:left="513" w:right="0"/>
        <w:jc w:val="left"/>
      </w:pPr>
      <w:r>
        <w:rPr>
          <w:spacing w:val="-1"/>
        </w:rPr>
        <w:t>进行估计，并选择适当的折现率。这些相关假设具有不确定性，其变化会对金融工具的公允价值产生</w:t>
      </w:r>
      <w:r>
        <w:rPr>
          <w:spacing w:val="-24"/>
        </w:rPr>
        <w:t> </w:t>
      </w:r>
      <w:r>
        <w:rPr>
          <w:spacing w:val="-24"/>
        </w:rPr>
      </w:r>
      <w:r>
        <w:rPr/>
        <w:t>影响。权益工具投资或合同有公开报价的，本集团不将成本作为其公允价值的最佳估计。</w:t>
      </w:r>
    </w:p>
    <w:p>
      <w:pPr>
        <w:pStyle w:val="BodyText"/>
        <w:spacing w:line="470" w:lineRule="exact" w:before="31"/>
        <w:ind w:left="936" w:right="0" w:hanging="423"/>
        <w:jc w:val="left"/>
      </w:pPr>
      <w:r>
        <w:rPr>
          <w:rFonts w:ascii="宋体" w:hAnsi="宋体" w:cs="宋体" w:eastAsia="宋体" w:hint="default"/>
        </w:rPr>
        <w:t>3.</w:t>
      </w:r>
      <w:r>
        <w:rPr/>
        <w:t>长期资产减值准备</w:t>
      </w:r>
      <w:r>
        <w:rPr>
          <w:spacing w:val="-100"/>
        </w:rPr>
        <w:t> </w:t>
      </w:r>
      <w:r>
        <w:rPr>
          <w:spacing w:val="-100"/>
        </w:rPr>
      </w:r>
      <w:r>
        <w:rPr/>
        <w:t>本集团于资产负债表日对除金融资产之外的非流动资产判断是否存在可能发生减值的迹象。对使</w:t>
      </w:r>
    </w:p>
    <w:p>
      <w:pPr>
        <w:pStyle w:val="BodyText"/>
        <w:spacing w:line="248" w:lineRule="exact" w:before="0"/>
        <w:ind w:left="513" w:right="0"/>
        <w:jc w:val="left"/>
      </w:pPr>
      <w:r>
        <w:rPr/>
        <w:t>用寿命不确定的无形资产，除每年进行的减值测试外，当其存在减值迹象时，也进行减值测试。其他</w:t>
      </w:r>
    </w:p>
    <w:p>
      <w:pPr>
        <w:pStyle w:val="BodyText"/>
        <w:spacing w:line="273" w:lineRule="auto" w:before="37"/>
        <w:ind w:left="936" w:right="0" w:hanging="423"/>
        <w:jc w:val="left"/>
      </w:pPr>
      <w:r>
        <w:rPr/>
        <w:t>除金融资产之外的非流动资产，当存在迹象表明其账面金额不可收回时，进行减值测试。</w:t>
      </w:r>
      <w:r>
        <w:rPr>
          <w:w w:val="100"/>
        </w:rPr>
        <w:t> </w:t>
      </w:r>
      <w:r>
        <w:rPr/>
        <w:t>当资产或资产组的账面价值高于可收回金额，即公允价值减去处置费用后的净额和预计未来现金</w:t>
      </w:r>
    </w:p>
    <w:p>
      <w:pPr>
        <w:pStyle w:val="BodyText"/>
        <w:spacing w:line="273" w:lineRule="auto"/>
        <w:ind w:left="936" w:right="0" w:hanging="423"/>
        <w:jc w:val="left"/>
      </w:pPr>
      <w:r>
        <w:rPr/>
        <w:t>流量的现值中的较高者，表明发生了减值。</w:t>
      </w:r>
      <w:r>
        <w:rPr>
          <w:spacing w:val="-103"/>
        </w:rPr>
        <w:t> </w:t>
      </w:r>
      <w:r>
        <w:rPr>
          <w:spacing w:val="-103"/>
        </w:rPr>
      </w:r>
      <w:r>
        <w:rPr/>
        <w:t>公允价值减去处置费用后的净额，参考公平交易中类似资产的销售协议价格或可观察到的市场价</w:t>
      </w:r>
    </w:p>
    <w:p>
      <w:pPr>
        <w:pStyle w:val="BodyText"/>
        <w:spacing w:line="273" w:lineRule="auto"/>
        <w:ind w:left="936" w:right="0" w:hanging="423"/>
        <w:jc w:val="left"/>
      </w:pPr>
      <w:r>
        <w:rPr/>
        <w:t>格，减去可直接归属于该资产处置的增量成本确定。</w:t>
      </w:r>
      <w:r>
        <w:rPr>
          <w:spacing w:val="-103"/>
        </w:rPr>
        <w:t> </w:t>
      </w:r>
      <w:r>
        <w:rPr>
          <w:spacing w:val="-103"/>
        </w:rPr>
      </w:r>
      <w:r>
        <w:rPr>
          <w:spacing w:val="-4"/>
        </w:rPr>
        <w:t>在预计未来现金流量现值时，需要对该资产</w:t>
      </w:r>
      <w:r>
        <w:rPr>
          <w:rFonts w:ascii="Times New Roman" w:hAnsi="Times New Roman" w:cs="Times New Roman" w:eastAsia="Times New Roman" w:hint="default"/>
          <w:spacing w:val="-4"/>
        </w:rPr>
        <w:t>(</w:t>
      </w:r>
      <w:r>
        <w:rPr>
          <w:spacing w:val="-4"/>
        </w:rPr>
        <w:t>或资产组</w:t>
      </w:r>
      <w:r>
        <w:rPr>
          <w:rFonts w:ascii="Times New Roman" w:hAnsi="Times New Roman" w:cs="Times New Roman" w:eastAsia="Times New Roman" w:hint="default"/>
          <w:spacing w:val="-4"/>
        </w:rPr>
        <w:t>)</w:t>
      </w:r>
      <w:r>
        <w:rPr>
          <w:spacing w:val="-4"/>
        </w:rPr>
        <w:t>的产量、售价、相关经营成本以及计算现值</w:t>
      </w:r>
    </w:p>
    <w:p>
      <w:pPr>
        <w:pStyle w:val="BodyText"/>
        <w:spacing w:line="273" w:lineRule="auto" w:before="0"/>
        <w:ind w:left="513" w:right="0"/>
        <w:jc w:val="left"/>
      </w:pPr>
      <w:r>
        <w:rPr>
          <w:spacing w:val="-1"/>
        </w:rPr>
        <w:t>时使用的折现率等作出重大判断。本集团在估计可收回金额时会采用所有能够获得的相关资料，包括</w:t>
      </w:r>
      <w:r>
        <w:rPr>
          <w:spacing w:val="-24"/>
        </w:rPr>
        <w:t> </w:t>
      </w:r>
      <w:r>
        <w:rPr>
          <w:spacing w:val="-24"/>
        </w:rPr>
      </w:r>
      <w:r>
        <w:rPr/>
        <w:t>根据合理和可支持的假设所作出有关产量、售价和相关经营成本的预测。</w:t>
      </w:r>
    </w:p>
    <w:p>
      <w:pPr>
        <w:pStyle w:val="BodyText"/>
        <w:spacing w:line="273" w:lineRule="auto"/>
        <w:ind w:left="513" w:right="1120" w:firstLine="422"/>
        <w:jc w:val="both"/>
      </w:pPr>
      <w:r>
        <w:rPr/>
        <w:t>本集团至少每年测试商誉是否发生减值。这要求对分配了商誉的资产组或者资产组组合的未来现</w:t>
      </w:r>
      <w:r>
        <w:rPr>
          <w:w w:val="100"/>
        </w:rPr>
        <w:t> </w:t>
      </w:r>
      <w:r>
        <w:rPr>
          <w:spacing w:val="-1"/>
        </w:rPr>
        <w:t>金流量的现值进行预计。对未来现金流量的现值进行预计时，本集团需要预计未来资产组或者资产组</w:t>
      </w:r>
      <w:r>
        <w:rPr>
          <w:spacing w:val="-24"/>
        </w:rPr>
        <w:t> </w:t>
      </w:r>
      <w:r>
        <w:rPr>
          <w:spacing w:val="-24"/>
        </w:rPr>
      </w:r>
      <w:r>
        <w:rPr/>
        <w:t>组合产生的现金流量，同时选择恰当的折现率确定未来现金流量的现值。</w:t>
      </w:r>
    </w:p>
    <w:p>
      <w:pPr>
        <w:pStyle w:val="BodyText"/>
        <w:spacing w:line="240" w:lineRule="auto" w:before="161"/>
        <w:ind w:left="513" w:right="0"/>
        <w:jc w:val="left"/>
      </w:pPr>
      <w:r>
        <w:rPr>
          <w:rFonts w:ascii="宋体" w:hAnsi="宋体" w:cs="宋体" w:eastAsia="宋体" w:hint="default"/>
        </w:rPr>
        <w:t>4.</w:t>
      </w:r>
      <w:r>
        <w:rPr/>
        <w:t>折旧和摊销</w:t>
      </w:r>
    </w:p>
    <w:p>
      <w:pPr>
        <w:spacing w:line="240" w:lineRule="auto" w:before="13"/>
        <w:rPr>
          <w:rFonts w:ascii="宋体" w:hAnsi="宋体" w:cs="宋体" w:eastAsia="宋体" w:hint="default"/>
          <w:sz w:val="14"/>
          <w:szCs w:val="14"/>
        </w:rPr>
      </w:pPr>
    </w:p>
    <w:p>
      <w:pPr>
        <w:pStyle w:val="BodyText"/>
        <w:spacing w:line="273" w:lineRule="auto" w:before="0"/>
        <w:ind w:left="513" w:right="1118" w:firstLine="422"/>
        <w:jc w:val="both"/>
      </w:pPr>
      <w:r>
        <w:rPr/>
        <w:t>本集团对固定资产和无形资产在考虑其残值后，在使用寿命内按直线法计提折旧和摊销。本集团</w:t>
      </w:r>
      <w:r>
        <w:rPr>
          <w:w w:val="100"/>
        </w:rPr>
        <w:t> </w:t>
      </w:r>
      <w:r>
        <w:rPr>
          <w:spacing w:val="-1"/>
        </w:rPr>
        <w:t>定期复核使用寿命，以决定将计入每个报告期的折旧和摊销费用数额。使用寿命是本集团根据对同类</w:t>
      </w:r>
      <w:r>
        <w:rPr>
          <w:spacing w:val="-24"/>
        </w:rPr>
        <w:t> </w:t>
      </w:r>
      <w:r>
        <w:rPr>
          <w:spacing w:val="-24"/>
        </w:rPr>
      </w:r>
      <w:r>
        <w:rPr>
          <w:spacing w:val="-1"/>
        </w:rPr>
        <w:t>资产的以往经验并结合预期的技术更新而确定的。如果以前的估计发生重大变化，则会在未来期间对</w:t>
      </w:r>
      <w:r>
        <w:rPr>
          <w:spacing w:val="-24"/>
        </w:rPr>
        <w:t> </w:t>
      </w:r>
      <w:r>
        <w:rPr>
          <w:spacing w:val="-24"/>
        </w:rPr>
      </w:r>
      <w:r>
        <w:rPr/>
        <w:t>折旧和摊销费用进行调整。</w:t>
      </w:r>
    </w:p>
    <w:p>
      <w:pPr>
        <w:pStyle w:val="BodyText"/>
        <w:spacing w:line="470" w:lineRule="exact" w:before="31"/>
        <w:ind w:left="936" w:right="0" w:hanging="423"/>
        <w:jc w:val="left"/>
      </w:pPr>
      <w:r>
        <w:rPr>
          <w:rFonts w:ascii="宋体" w:hAnsi="宋体" w:cs="宋体" w:eastAsia="宋体" w:hint="default"/>
        </w:rPr>
        <w:t>5.</w:t>
      </w:r>
      <w:r>
        <w:rPr/>
        <w:t>递延所得税资产</w:t>
      </w:r>
      <w:r>
        <w:rPr>
          <w:spacing w:val="-101"/>
        </w:rPr>
        <w:t> </w:t>
      </w:r>
      <w:r>
        <w:rPr>
          <w:spacing w:val="-101"/>
        </w:rPr>
      </w:r>
      <w:r>
        <w:rPr/>
        <w:t>在很有可能有足够的应纳税利润来抵扣亏损的限度内，本集团就所有未利用的税务亏损确认递延</w:t>
      </w:r>
    </w:p>
    <w:p>
      <w:pPr>
        <w:pStyle w:val="BodyText"/>
        <w:spacing w:line="248" w:lineRule="exact" w:before="0"/>
        <w:ind w:left="513" w:right="0"/>
        <w:jc w:val="left"/>
      </w:pPr>
      <w:r>
        <w:rPr/>
        <w:t>所得税资产。这需要本集团管理层运用大量的判断来估计未来应纳税利润发生的时间和金额，结合纳</w:t>
      </w:r>
    </w:p>
    <w:p>
      <w:pPr>
        <w:pStyle w:val="BodyText"/>
        <w:spacing w:line="405" w:lineRule="auto" w:before="37"/>
        <w:ind w:left="513" w:right="5136"/>
        <w:jc w:val="left"/>
      </w:pPr>
      <w:r>
        <w:rPr>
          <w:spacing w:val="-2"/>
        </w:rPr>
        <w:t>税筹划策略，以决定应确认的递延所得税资产的金额。</w:t>
      </w:r>
      <w:r>
        <w:rPr>
          <w:spacing w:val="-59"/>
        </w:rPr>
        <w:t> </w:t>
      </w:r>
      <w:r>
        <w:rPr>
          <w:spacing w:val="-59"/>
        </w:rPr>
      </w:r>
      <w:r>
        <w:rPr>
          <w:rFonts w:ascii="宋体" w:hAnsi="宋体" w:cs="宋体" w:eastAsia="宋体" w:hint="default"/>
        </w:rPr>
        <w:t>6.</w:t>
      </w:r>
      <w:r>
        <w:rPr/>
        <w:t>所得税</w:t>
      </w:r>
    </w:p>
    <w:p>
      <w:pPr>
        <w:pStyle w:val="BodyText"/>
        <w:spacing w:line="273" w:lineRule="auto" w:before="51"/>
        <w:ind w:right="0" w:firstLine="422"/>
        <w:jc w:val="left"/>
      </w:pPr>
      <w:r>
        <w:rPr>
          <w:spacing w:val="-2"/>
        </w:rPr>
        <w:t>本集团在正常的经营活动中，有部分交易其最终的税务处理和计算存在一定的不确定性。部分项目是</w:t>
      </w:r>
      <w:r>
        <w:rPr>
          <w:w w:val="100"/>
        </w:rPr>
        <w:t> </w:t>
      </w:r>
      <w:r>
        <w:rPr>
          <w:spacing w:val="-2"/>
        </w:rPr>
        <w:t>否能够在税前列支需要税收主管机关的审批。如果这些税务事项的最终认定结果同最初估计的金额存在差</w:t>
      </w:r>
    </w:p>
    <w:p>
      <w:pPr>
        <w:spacing w:after="0" w:line="273"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BodyText"/>
        <w:spacing w:line="240" w:lineRule="auto" w:before="36"/>
        <w:ind w:right="0"/>
        <w:jc w:val="left"/>
      </w:pPr>
      <w:r>
        <w:rPr/>
        <w:t>异，则该差异将对其最终认定期间的当期所得税和递延所得税产生影响。</w:t>
      </w:r>
    </w:p>
    <w:p>
      <w:pPr>
        <w:spacing w:line="240" w:lineRule="auto" w:before="8"/>
        <w:rPr>
          <w:rFonts w:ascii="宋体" w:hAnsi="宋体" w:cs="宋体" w:eastAsia="宋体" w:hint="default"/>
          <w:sz w:val="23"/>
          <w:szCs w:val="23"/>
        </w:rPr>
      </w:pPr>
    </w:p>
    <w:p>
      <w:pPr>
        <w:pStyle w:val="Heading2"/>
        <w:spacing w:line="240" w:lineRule="auto"/>
        <w:ind w:right="0"/>
        <w:jc w:val="left"/>
        <w:rPr>
          <w:b w:val="0"/>
          <w:bCs w:val="0"/>
        </w:rPr>
      </w:pPr>
      <w:bookmarkStart w:name="六、税项" w:id="216"/>
      <w:bookmarkEnd w:id="216"/>
      <w:r>
        <w:rPr>
          <w:b w:val="0"/>
          <w:bCs w:val="0"/>
        </w:rPr>
      </w:r>
      <w:r>
        <w:rPr/>
        <w:t>六、税项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主要税种及税率" w:id="217"/>
      <w:bookmarkEnd w:id="217"/>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31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3" w:type="dxa"/>
            <w:vMerge w:val="restart"/>
            <w:tcBorders>
              <w:top w:val="single" w:sz="4" w:space="0" w:color="000000"/>
              <w:left w:val="single" w:sz="10" w:space="0" w:color="D2D2D2"/>
              <w:right w:val="single" w:sz="4" w:space="0" w:color="000000"/>
            </w:tcBorders>
          </w:tcPr>
          <w:p>
            <w:pPr>
              <w:pStyle w:val="TableParagraph"/>
              <w:spacing w:line="309" w:lineRule="auto" w:before="53"/>
              <w:ind w:left="16" w:right="32"/>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应纳税增值额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应纳税额按应纳税销售额</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乘以适用税率扣除当期允许抵扣的进项</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税后的余额计算</w:t>
            </w:r>
            <w:r>
              <w:rPr>
                <w:rFonts w:ascii="Times New Roman" w:hAnsi="Times New Roman" w:cs="Times New Roman" w:eastAsia="Times New Roman" w:hint="default"/>
                <w:sz w:val="18"/>
                <w:szCs w:val="18"/>
              </w:rPr>
              <w:t>)</w:t>
            </w:r>
          </w:p>
        </w:tc>
        <w:tc>
          <w:tcPr>
            <w:tcW w:w="31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w:t>
            </w:r>
          </w:p>
        </w:tc>
      </w:tr>
      <w:tr>
        <w:trPr>
          <w:trHeight w:val="394" w:hRule="exact"/>
        </w:trPr>
        <w:tc>
          <w:tcPr>
            <w:tcW w:w="31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vMerge/>
            <w:tcBorders>
              <w:left w:val="single" w:sz="10" w:space="0" w:color="D2D2D2"/>
              <w:right w:val="single" w:sz="4" w:space="0" w:color="000000"/>
            </w:tcBorders>
          </w:tcPr>
          <w:p>
            <w:pPr/>
          </w:p>
        </w:tc>
        <w:tc>
          <w:tcPr>
            <w:tcW w:w="3193" w:type="dxa"/>
            <w:vMerge/>
            <w:tcBorders>
              <w:left w:val="single" w:sz="4" w:space="0" w:color="000000"/>
              <w:right w:val="single" w:sz="4" w:space="0" w:color="000000"/>
            </w:tcBorders>
          </w:tcPr>
          <w:p>
            <w:pPr/>
          </w:p>
        </w:tc>
      </w:tr>
      <w:tr>
        <w:trPr>
          <w:trHeight w:val="317" w:hRule="exact"/>
        </w:trPr>
        <w:tc>
          <w:tcPr>
            <w:tcW w:w="3188"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3" w:type="dxa"/>
            <w:vMerge/>
            <w:tcBorders>
              <w:left w:val="single" w:sz="10" w:space="0" w:color="D2D2D2"/>
              <w:bottom w:val="single" w:sz="4" w:space="0" w:color="000000"/>
              <w:right w:val="single" w:sz="4" w:space="0" w:color="000000"/>
            </w:tcBorders>
          </w:tcPr>
          <w:p>
            <w:pPr/>
          </w:p>
        </w:tc>
        <w:tc>
          <w:tcPr>
            <w:tcW w:w="3193" w:type="dxa"/>
            <w:vMerge/>
            <w:tcBorders>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z w:val="18"/>
                <w:szCs w:val="18"/>
              </w:rPr>
              <w:t>缴纳的流转税税额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25%</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16.5%</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15%</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11.5%</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8.7%</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0%</w:t>
            </w:r>
            <w:r>
              <w:rPr>
                <w:rFonts w:ascii="Times New Roman" w:hAnsi="Times New Roman" w:cs="Times New Roman" w:eastAsia="Times New Roman" w:hint="default"/>
                <w:sz w:val="18"/>
                <w:szCs w:val="18"/>
              </w:rPr>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缴纳的流转税税额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缴纳的流转税税额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存在不同企业所得税税率纳税主体的，披露情况说明</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视觉中国集团控股有限公司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视觉中国香港有限公司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汉华易美</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天津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图像技术有限公司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500px,Inc.</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pacing w:val="-3"/>
                <w:sz w:val="18"/>
              </w:rPr>
              <w:t>11.5%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500px.IncUS</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8.7%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税收优惠" w:id="218"/>
      <w:bookmarkEnd w:id="218"/>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5"/>
        <w:rPr>
          <w:rFonts w:ascii="宋体" w:hAnsi="宋体" w:cs="宋体" w:eastAsia="宋体" w:hint="default"/>
          <w:b/>
          <w:bCs/>
          <w:sz w:val="24"/>
          <w:szCs w:val="24"/>
        </w:rPr>
      </w:pPr>
    </w:p>
    <w:p>
      <w:pPr>
        <w:pStyle w:val="BodyText"/>
        <w:spacing w:line="256" w:lineRule="auto" w:before="0"/>
        <w:ind w:left="633" w:right="1127"/>
        <w:jc w:val="left"/>
      </w:pPr>
      <w:r>
        <w:rPr>
          <w:rFonts w:ascii="Times New Roman" w:hAnsi="Times New Roman" w:cs="Times New Roman" w:eastAsia="Times New Roman" w:hint="default"/>
        </w:rPr>
        <w:t>1.</w:t>
      </w:r>
      <w:r>
        <w:rPr/>
        <w:t>增值税</w:t>
      </w:r>
      <w:r>
        <w:rPr>
          <w:spacing w:val="-101"/>
        </w:rPr>
        <w:t> </w:t>
      </w:r>
      <w:r>
        <w:rPr/>
        <w:t>根据财政部、国家税务总局《关于全面推开营业税改征增值税试点的通知》</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[2016]36</w:t>
      </w:r>
      <w:r>
        <w:rPr/>
        <w:t>号</w:t>
      </w:r>
      <w:r>
        <w:rPr>
          <w:rFonts w:ascii="Times New Roman" w:hAnsi="Times New Roman" w:cs="Times New Roman" w:eastAsia="Times New Roman" w:hint="default"/>
        </w:rPr>
        <w:t>)</w:t>
      </w:r>
      <w:r>
        <w:rPr/>
        <w:t>之《营</w:t>
      </w:r>
    </w:p>
    <w:p>
      <w:pPr>
        <w:pStyle w:val="BodyText"/>
        <w:spacing w:line="259" w:lineRule="auto" w:before="5"/>
        <w:ind w:right="0"/>
        <w:jc w:val="left"/>
      </w:pPr>
      <w:r>
        <w:rPr>
          <w:spacing w:val="-2"/>
        </w:rPr>
        <w:t>业税改征增值税试点过渡政策的规定》</w:t>
      </w:r>
      <w:r>
        <w:rPr>
          <w:rFonts w:ascii="Times New Roman" w:hAnsi="Times New Roman" w:cs="Times New Roman" w:eastAsia="Times New Roman" w:hint="default"/>
          <w:spacing w:val="-2"/>
        </w:rPr>
        <w:t>“(</w:t>
      </w:r>
      <w:r>
        <w:rPr>
          <w:spacing w:val="-2"/>
        </w:rPr>
        <w:t>二十六</w:t>
      </w:r>
      <w:r>
        <w:rPr>
          <w:rFonts w:ascii="Times New Roman" w:hAnsi="Times New Roman" w:cs="Times New Roman" w:eastAsia="Times New Roman" w:hint="default"/>
          <w:spacing w:val="-2"/>
        </w:rPr>
        <w:t>)</w:t>
      </w:r>
      <w:r>
        <w:rPr>
          <w:spacing w:val="-2"/>
        </w:rPr>
        <w:t>纳税人提供技术转让、技术开发和与之相关的技术咨询、</w:t>
      </w:r>
      <w:r>
        <w:rPr>
          <w:spacing w:val="-9"/>
        </w:rPr>
        <w:t> </w:t>
      </w:r>
      <w:r>
        <w:rPr>
          <w:spacing w:val="-9"/>
        </w:rPr>
      </w:r>
      <w:r>
        <w:rPr/>
        <w:t>技术服务</w:t>
      </w:r>
      <w:r>
        <w:rPr>
          <w:rFonts w:ascii="Times New Roman" w:hAnsi="Times New Roman" w:cs="Times New Roman" w:eastAsia="Times New Roman" w:hint="default"/>
        </w:rPr>
        <w:t>”</w:t>
      </w:r>
      <w:r>
        <w:rPr/>
        <w:t>免征增值税。</w:t>
      </w:r>
    </w:p>
    <w:p>
      <w:pPr>
        <w:pStyle w:val="BodyText"/>
        <w:spacing w:line="256" w:lineRule="auto" w:before="2"/>
        <w:ind w:left="633" w:right="0"/>
        <w:jc w:val="left"/>
      </w:pPr>
      <w:r>
        <w:rPr>
          <w:rFonts w:ascii="Times New Roman" w:hAnsi="Times New Roman" w:cs="Times New Roman" w:eastAsia="Times New Roman" w:hint="default"/>
        </w:rPr>
        <w:t>2.</w:t>
      </w:r>
      <w:r>
        <w:rPr/>
        <w:t>企业所得税</w:t>
      </w:r>
      <w:r>
        <w:rPr>
          <w:spacing w:val="-99"/>
        </w:rPr>
        <w:t> </w:t>
      </w:r>
      <w:r>
        <w:rPr>
          <w:spacing w:val="-3"/>
          <w:w w:val="100"/>
        </w:rPr>
        <w:t>于</w:t>
      </w:r>
      <w:r>
        <w:rPr>
          <w:rFonts w:ascii="Times New Roman" w:hAnsi="Times New Roman" w:cs="Times New Roman" w:eastAsia="Times New Roman" w:hint="default"/>
          <w:spacing w:val="-3"/>
          <w:w w:val="100"/>
        </w:rPr>
        <w:t>2017</w:t>
      </w:r>
      <w:r>
        <w:rPr>
          <w:spacing w:val="-3"/>
          <w:w w:val="100"/>
        </w:rPr>
        <w:t>年</w:t>
      </w:r>
      <w:r>
        <w:rPr>
          <w:rFonts w:ascii="Times New Roman" w:hAnsi="Times New Roman" w:cs="Times New Roman" w:eastAsia="Times New Roman" w:hint="default"/>
          <w:spacing w:val="-3"/>
          <w:w w:val="100"/>
        </w:rPr>
        <w:t>10</w:t>
      </w:r>
      <w:r>
        <w:rPr>
          <w:spacing w:val="-3"/>
          <w:w w:val="100"/>
        </w:rPr>
        <w:t>月</w:t>
      </w:r>
      <w:r>
        <w:rPr>
          <w:rFonts w:ascii="Times New Roman" w:hAnsi="Times New Roman" w:cs="Times New Roman" w:eastAsia="Times New Roman" w:hint="default"/>
          <w:spacing w:val="-3"/>
          <w:w w:val="100"/>
        </w:rPr>
        <w:t>10</w:t>
      </w:r>
      <w:r>
        <w:rPr>
          <w:spacing w:val="-3"/>
          <w:w w:val="100"/>
        </w:rPr>
        <w:t>日，汉华易美</w:t>
      </w:r>
      <w:r>
        <w:rPr>
          <w:rFonts w:ascii="Times New Roman" w:hAnsi="Times New Roman" w:cs="Times New Roman" w:eastAsia="Times New Roman" w:hint="default"/>
          <w:spacing w:val="-3"/>
          <w:w w:val="100"/>
        </w:rPr>
        <w:t>(</w:t>
      </w:r>
      <w:r>
        <w:rPr>
          <w:spacing w:val="-3"/>
          <w:w w:val="100"/>
        </w:rPr>
        <w:t>天津</w:t>
      </w:r>
      <w:r>
        <w:rPr>
          <w:rFonts w:ascii="Times New Roman" w:hAnsi="Times New Roman" w:cs="Times New Roman" w:eastAsia="Times New Roman" w:hint="default"/>
          <w:spacing w:val="-3"/>
          <w:w w:val="100"/>
        </w:rPr>
        <w:t>)</w:t>
      </w:r>
      <w:r>
        <w:rPr>
          <w:spacing w:val="-3"/>
          <w:w w:val="100"/>
        </w:rPr>
        <w:t>图像技术有限公司取得编号为</w:t>
      </w:r>
      <w:r>
        <w:rPr>
          <w:rFonts w:ascii="Times New Roman" w:hAnsi="Times New Roman" w:cs="Times New Roman" w:eastAsia="Times New Roman" w:hint="default"/>
          <w:spacing w:val="-3"/>
          <w:w w:val="100"/>
        </w:rPr>
        <w:t>GR201712000093</w:t>
      </w:r>
      <w:r>
        <w:rPr>
          <w:spacing w:val="-3"/>
          <w:w w:val="100"/>
        </w:rPr>
        <w:t>的高新技术企业证</w:t>
      </w:r>
    </w:p>
    <w:p>
      <w:pPr>
        <w:pStyle w:val="BodyText"/>
        <w:spacing w:line="240" w:lineRule="auto" w:before="5"/>
        <w:ind w:right="0"/>
        <w:jc w:val="left"/>
      </w:pPr>
      <w:r>
        <w:rPr/>
        <w:t>书，有效期三年，在此期间享受</w:t>
      </w:r>
      <w:r>
        <w:rPr>
          <w:rFonts w:ascii="Times New Roman" w:hAnsi="Times New Roman" w:cs="Times New Roman" w:eastAsia="Times New Roman" w:hint="default"/>
        </w:rPr>
        <w:t>15%</w:t>
      </w:r>
      <w:r>
        <w:rPr/>
        <w:t>的企业所得税优惠税率。</w:t>
      </w:r>
    </w:p>
    <w:p>
      <w:pPr>
        <w:spacing w:line="240" w:lineRule="auto" w:before="6"/>
        <w:rPr>
          <w:rFonts w:ascii="宋体" w:hAnsi="宋体" w:cs="宋体" w:eastAsia="宋体" w:hint="default"/>
          <w:sz w:val="22"/>
          <w:szCs w:val="22"/>
        </w:rPr>
      </w:pPr>
    </w:p>
    <w:p>
      <w:pPr>
        <w:pStyle w:val="Heading2"/>
        <w:spacing w:line="240" w:lineRule="auto"/>
        <w:ind w:right="0"/>
        <w:jc w:val="left"/>
        <w:rPr>
          <w:b w:val="0"/>
          <w:bCs w:val="0"/>
        </w:rPr>
      </w:pPr>
      <w:bookmarkStart w:name="七、合并财务报表项目注释" w:id="219"/>
      <w:bookmarkEnd w:id="219"/>
      <w:r>
        <w:rPr>
          <w:b w:val="0"/>
          <w:bCs w:val="0"/>
        </w:rPr>
      </w: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货币资金" w:id="220"/>
      <w:bookmarkEnd w:id="220"/>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399"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47,998.35</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255,184,054.65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408,007,031.73</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118,110,645.54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10,436,971.52</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373,304,700.19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418,492,001.60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06" w:right="0"/>
              <w:jc w:val="left"/>
              <w:rPr>
                <w:rFonts w:ascii="宋体" w:hAnsi="宋体" w:cs="宋体" w:eastAsia="宋体" w:hint="default"/>
                <w:sz w:val="18"/>
                <w:szCs w:val="18"/>
              </w:rPr>
            </w:pPr>
            <w:r>
              <w:rPr>
                <w:rFonts w:ascii="宋体" w:hAnsi="宋体" w:cs="宋体" w:eastAsia="宋体" w:hint="default"/>
                <w:spacing w:val="-3"/>
                <w:sz w:val="18"/>
                <w:szCs w:val="18"/>
              </w:rPr>
              <w:t>其中：存放在境外的款项总额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22,737,505.29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20,549,661.41</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89" w:firstLine="720"/>
              <w:jc w:val="left"/>
              <w:rPr>
                <w:rFonts w:ascii="宋体" w:hAnsi="宋体" w:cs="宋体" w:eastAsia="宋体" w:hint="default"/>
                <w:sz w:val="18"/>
                <w:szCs w:val="18"/>
              </w:rPr>
            </w:pPr>
            <w:r>
              <w:rPr>
                <w:rFonts w:ascii="宋体" w:hAnsi="宋体" w:cs="宋体" w:eastAsia="宋体" w:hint="default"/>
                <w:spacing w:val="-3"/>
                <w:sz w:val="18"/>
                <w:szCs w:val="18"/>
              </w:rPr>
              <w:t>因抵押、质押或冻结等对使用</w:t>
            </w:r>
            <w:r>
              <w:rPr>
                <w:rFonts w:ascii="宋体" w:hAnsi="宋体" w:cs="宋体" w:eastAsia="宋体" w:hint="default"/>
                <w:w w:val="101"/>
                <w:sz w:val="18"/>
                <w:szCs w:val="18"/>
              </w:rPr>
              <w:t> </w:t>
            </w:r>
            <w:r>
              <w:rPr>
                <w:rFonts w:ascii="宋体" w:hAnsi="宋体" w:cs="宋体" w:eastAsia="宋体" w:hint="default"/>
                <w:sz w:val="18"/>
                <w:szCs w:val="18"/>
              </w:rPr>
              <w:t>有限制的款项总额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118,077,396.25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10,401,000.00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12"/>
          <w:szCs w:val="12"/>
        </w:rPr>
      </w:pPr>
    </w:p>
    <w:p>
      <w:pPr>
        <w:pStyle w:val="Heading3"/>
        <w:spacing w:line="240" w:lineRule="auto" w:before="0"/>
        <w:ind w:right="0"/>
        <w:jc w:val="left"/>
      </w:pPr>
      <w:r>
        <w:rPr/>
        <w:t>注：货币资金期末余额较年初减少</w:t>
      </w:r>
      <w:r>
        <w:rPr>
          <w:rFonts w:ascii="Times New Roman" w:hAnsi="Times New Roman" w:cs="Times New Roman" w:eastAsia="Times New Roman" w:hint="default"/>
        </w:rPr>
        <w:t>45,187,301.41</w:t>
      </w:r>
      <w:r>
        <w:rPr/>
        <w:t>元，减幅</w:t>
      </w:r>
      <w:r>
        <w:rPr>
          <w:rFonts w:ascii="Times New Roman" w:hAnsi="Times New Roman" w:cs="Times New Roman" w:eastAsia="Times New Roman" w:hint="default"/>
        </w:rPr>
        <w:t>10.80%</w:t>
      </w:r>
      <w:r>
        <w:rPr/>
        <w:t>，主要系偿还借款所致。</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4"/>
        <w:spacing w:line="240" w:lineRule="auto" w:before="168"/>
        <w:ind w:right="0"/>
        <w:jc w:val="left"/>
        <w:rPr>
          <w:b w:val="0"/>
          <w:bCs w:val="0"/>
        </w:rPr>
      </w:pPr>
      <w:bookmarkStart w:name="2、交易性金融资产" w:id="221"/>
      <w:bookmarkEnd w:id="221"/>
      <w:r>
        <w:rPr>
          <w:b w:val="0"/>
          <w:bCs w:val="0"/>
        </w:rPr>
      </w:r>
      <w:r>
        <w:rPr>
          <w:rFonts w:ascii="Times New Roman" w:hAnsi="Times New Roman" w:cs="Times New Roman" w:eastAsia="Times New Roman" w:hint="default"/>
        </w:rPr>
        <w:t>2</w:t>
      </w:r>
      <w:r>
        <w:rPr/>
        <w:t>、交易性金融资产</w:t>
      </w:r>
      <w:r>
        <w:rPr>
          <w:b w:val="0"/>
          <w:bCs w:val="0"/>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89"/>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以公允价值计量且其变动计入当期损益</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4"/>
                <w:sz w:val="18"/>
                <w:szCs w:val="18"/>
              </w:rPr>
              <w:t>的金融资产</w:t>
            </w:r>
            <w:r>
              <w:rPr>
                <w:rFonts w:ascii="宋体" w:hAnsi="宋体" w:cs="宋体" w:eastAsia="宋体" w:hint="default"/>
                <w:sz w:val="18"/>
                <w:szCs w:val="18"/>
              </w:rPr>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21,253,266.28</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97" w:right="0"/>
              <w:jc w:val="left"/>
              <w:rPr>
                <w:rFonts w:ascii="宋体" w:hAnsi="宋体" w:cs="宋体" w:eastAsia="宋体" w:hint="default"/>
                <w:sz w:val="18"/>
                <w:szCs w:val="18"/>
              </w:rPr>
            </w:pPr>
            <w:r>
              <w:rPr>
                <w:rFonts w:ascii="宋体" w:hAnsi="宋体" w:cs="宋体" w:eastAsia="宋体" w:hint="default"/>
                <w:spacing w:val="-3"/>
                <w:sz w:val="18"/>
                <w:szCs w:val="18"/>
              </w:rPr>
              <w:t>衍生金融资产</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21,253,266.28</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21,253,266.28</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84"/>
        <w:ind w:right="0"/>
        <w:jc w:val="left"/>
      </w:pPr>
      <w:r>
        <w:rPr>
          <w:spacing w:val="-6"/>
        </w:rPr>
        <w:t>本年联营公司广东易教优培科技有限公司未实现原股东（广州远程教育中心有限公司）承诺利润，根据</w:t>
      </w:r>
      <w:r>
        <w:rPr>
          <w:rFonts w:ascii="Times New Roman" w:hAnsi="Times New Roman" w:cs="Times New Roman" w:eastAsia="Times New Roman" w:hint="default"/>
          <w:spacing w:val="-6"/>
        </w:rPr>
        <w:t>2017</w:t>
      </w:r>
      <w:r>
        <w:rPr>
          <w:rFonts w:ascii="Times New Roman" w:hAnsi="Times New Roman" w:cs="Times New Roman" w:eastAsia="Times New Roman" w:hint="default"/>
          <w:spacing w:val="14"/>
        </w:rPr>
        <w:t> </w:t>
      </w:r>
      <w:r>
        <w:rPr/>
        <w:t>年所签订《投资协议》的相关规定，确认应收业绩补偿款。承诺事项详见附注十三、</w:t>
      </w:r>
      <w:r>
        <w:rPr>
          <w:rFonts w:ascii="Times New Roman" w:hAnsi="Times New Roman" w:cs="Times New Roman" w:eastAsia="Times New Roman" w:hint="default"/>
        </w:rPr>
        <w:t>1</w:t>
      </w:r>
      <w:r>
        <w:rPr/>
        <w:t>。</w:t>
      </w:r>
    </w:p>
    <w:p>
      <w:pPr>
        <w:spacing w:line="240" w:lineRule="auto" w:before="6"/>
        <w:rPr>
          <w:rFonts w:ascii="宋体" w:hAnsi="宋体" w:cs="宋体" w:eastAsia="宋体" w:hint="default"/>
          <w:sz w:val="23"/>
          <w:szCs w:val="23"/>
        </w:rPr>
      </w:pPr>
    </w:p>
    <w:p>
      <w:pPr>
        <w:pStyle w:val="Heading4"/>
        <w:spacing w:line="240" w:lineRule="auto"/>
        <w:ind w:right="0"/>
        <w:jc w:val="left"/>
        <w:rPr>
          <w:b w:val="0"/>
          <w:bCs w:val="0"/>
        </w:rPr>
      </w:pPr>
      <w:bookmarkStart w:name="3、应收票据" w:id="222"/>
      <w:bookmarkEnd w:id="222"/>
      <w:r>
        <w:rPr>
          <w:b w:val="0"/>
          <w:bCs w:val="0"/>
        </w:rPr>
      </w:r>
      <w:r>
        <w:rPr>
          <w:rFonts w:ascii="Times New Roman" w:hAnsi="Times New Roman" w:cs="Times New Roman" w:eastAsia="Times New Roman" w:hint="default"/>
        </w:rPr>
        <w:t>3</w:t>
      </w:r>
      <w:r>
        <w:rPr/>
        <w:t>、应收票据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收票据分类列示" w:id="223"/>
      <w:bookmarkEnd w:id="223"/>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10"/>
        <w:rPr>
          <w:rFonts w:ascii="宋体" w:hAnsi="宋体" w:cs="宋体" w:eastAsia="宋体" w:hint="default"/>
          <w:b/>
          <w:bCs/>
          <w:sz w:val="26"/>
          <w:szCs w:val="26"/>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711,400.00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1,586,696.00</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711,400.00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1,586,696.00</w:t>
            </w:r>
          </w:p>
        </w:tc>
      </w:tr>
    </w:tbl>
    <w:p>
      <w:pPr>
        <w:spacing w:before="53"/>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37"/>
        <w:gridCol w:w="764"/>
        <w:gridCol w:w="758"/>
        <w:gridCol w:w="764"/>
        <w:gridCol w:w="764"/>
        <w:gridCol w:w="787"/>
        <w:gridCol w:w="778"/>
        <w:gridCol w:w="797"/>
        <w:gridCol w:w="932"/>
        <w:gridCol w:w="797"/>
        <w:gridCol w:w="792"/>
      </w:tblGrid>
      <w:tr>
        <w:trPr>
          <w:trHeight w:val="398" w:hRule="exact"/>
        </w:trPr>
        <w:tc>
          <w:tcPr>
            <w:tcW w:w="16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637" w:type="dxa"/>
            <w:vMerge/>
            <w:tcBorders>
              <w:left w:val="single" w:sz="4" w:space="0" w:color="000000"/>
              <w:right w:val="single" w:sz="4" w:space="0" w:color="000000"/>
            </w:tcBorders>
            <w:shd w:val="clear" w:color="auto" w:fill="D2D2D2"/>
          </w:tcPr>
          <w:p>
            <w:pPr/>
          </w:p>
        </w:tc>
        <w:tc>
          <w:tcPr>
            <w:tcW w:w="15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6" w:hRule="exact"/>
        </w:trPr>
        <w:tc>
          <w:tcPr>
            <w:tcW w:w="1637"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87" w:right="103"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7"/>
        <w:gridCol w:w="764"/>
        <w:gridCol w:w="758"/>
        <w:gridCol w:w="764"/>
        <w:gridCol w:w="764"/>
        <w:gridCol w:w="787"/>
        <w:gridCol w:w="778"/>
        <w:gridCol w:w="797"/>
        <w:gridCol w:w="932"/>
        <w:gridCol w:w="797"/>
        <w:gridCol w:w="792"/>
      </w:tblGrid>
      <w:tr>
        <w:trPr>
          <w:trHeight w:val="715"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6"/>
              <w:jc w:val="left"/>
              <w:rPr>
                <w:rFonts w:ascii="宋体" w:hAnsi="宋体" w:cs="宋体" w:eastAsia="宋体" w:hint="default"/>
                <w:sz w:val="18"/>
                <w:szCs w:val="18"/>
              </w:rPr>
            </w:pPr>
            <w:r>
              <w:rPr>
                <w:rFonts w:ascii="宋体" w:hAnsi="宋体" w:cs="宋体" w:eastAsia="宋体" w:hint="default"/>
                <w:spacing w:val="-2"/>
                <w:sz w:val="18"/>
                <w:szCs w:val="18"/>
              </w:rPr>
              <w:t>按组合计提坏账准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备的应收票据</w:t>
            </w:r>
          </w:p>
        </w:tc>
        <w:tc>
          <w:tcPr>
            <w:tcW w:w="7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2"/>
                <w:sz w:val="18"/>
              </w:rPr>
              <w:t>711,400.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100.00%</w:t>
            </w:r>
          </w:p>
        </w:tc>
        <w:tc>
          <w:tcPr>
            <w:tcW w:w="764"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711,400.0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1,586,696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1,586,696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r>
        <w:trPr>
          <w:trHeight w:val="399"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24" w:right="185" w:firstLine="273"/>
              <w:jc w:val="left"/>
              <w:rPr>
                <w:rFonts w:ascii="宋体" w:hAnsi="宋体" w:cs="宋体" w:eastAsia="宋体" w:hint="default"/>
                <w:sz w:val="18"/>
                <w:szCs w:val="18"/>
              </w:rPr>
            </w:pPr>
            <w:r>
              <w:rPr>
                <w:rFonts w:ascii="宋体" w:hAnsi="宋体" w:cs="宋体" w:eastAsia="宋体" w:hint="default"/>
                <w:spacing w:val="-2"/>
                <w:sz w:val="18"/>
                <w:szCs w:val="18"/>
              </w:rPr>
              <w:t>组合</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银行承兑</w:t>
            </w:r>
            <w:r>
              <w:rPr>
                <w:rFonts w:ascii="宋体" w:hAnsi="宋体" w:cs="宋体" w:eastAsia="宋体" w:hint="default"/>
                <w:w w:val="101"/>
                <w:sz w:val="18"/>
                <w:szCs w:val="18"/>
              </w:rPr>
              <w:t> </w:t>
            </w:r>
            <w:r>
              <w:rPr>
                <w:rFonts w:ascii="宋体" w:hAnsi="宋体" w:cs="宋体" w:eastAsia="宋体" w:hint="default"/>
                <w:sz w:val="18"/>
                <w:szCs w:val="18"/>
              </w:rPr>
              <w:t>汇票</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2"/>
                <w:sz w:val="18"/>
              </w:rPr>
              <w:t>711,400.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100.00%</w:t>
            </w:r>
          </w:p>
        </w:tc>
        <w:tc>
          <w:tcPr>
            <w:tcW w:w="764"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711,400.0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1,586,696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1,586,696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r>
        <w:trPr>
          <w:trHeight w:val="715"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2"/>
                <w:sz w:val="18"/>
              </w:rPr>
              <w:t>711,400.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100.00%</w:t>
            </w:r>
          </w:p>
        </w:tc>
        <w:tc>
          <w:tcPr>
            <w:tcW w:w="764"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711,400.0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1,586,696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1,586,696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398"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97" w:right="0"/>
              <w:jc w:val="left"/>
              <w:rPr>
                <w:rFonts w:ascii="宋体" w:hAnsi="宋体" w:cs="宋体" w:eastAsia="宋体" w:hint="default"/>
                <w:sz w:val="18"/>
                <w:szCs w:val="18"/>
              </w:rPr>
            </w:pPr>
            <w:r>
              <w:rPr>
                <w:rFonts w:ascii="宋体" w:hAnsi="宋体" w:cs="宋体" w:eastAsia="宋体" w:hint="default"/>
                <w:spacing w:val="-3"/>
                <w:sz w:val="18"/>
                <w:szCs w:val="18"/>
              </w:rPr>
              <w:t>组合</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银行承兑汇票</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60" w:right="0"/>
              <w:jc w:val="left"/>
              <w:rPr>
                <w:rFonts w:ascii="Times New Roman" w:hAnsi="Times New Roman" w:cs="Times New Roman" w:eastAsia="Times New Roman" w:hint="default"/>
                <w:sz w:val="18"/>
                <w:szCs w:val="18"/>
              </w:rPr>
            </w:pPr>
            <w:r>
              <w:rPr>
                <w:rFonts w:ascii="Times New Roman"/>
                <w:sz w:val="18"/>
              </w:rPr>
              <w:t>711,400.00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362" w:lineRule="auto" w:before="54"/>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确定该组合依据的说明：</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137" w:space="6694"/>
            <w:col w:w="2099"/>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3"/>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62" w:lineRule="auto"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确定该组合依据的说明：</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如是按照预期信用损失一般模型计提应收票据坏账准备，请参照其他应收款的披露方式披露坏账准备的相关信息：</w:t>
      </w:r>
    </w:p>
    <w:p>
      <w:pPr>
        <w:spacing w:before="2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pStyle w:val="Heading4"/>
        <w:spacing w:line="240" w:lineRule="auto"/>
        <w:ind w:right="0"/>
        <w:jc w:val="left"/>
        <w:rPr>
          <w:b w:val="0"/>
          <w:bCs w:val="0"/>
        </w:rPr>
      </w:pPr>
      <w:bookmarkStart w:name="4、应收账款" w:id="224"/>
      <w:bookmarkEnd w:id="224"/>
      <w:r>
        <w:rPr>
          <w:b w:val="0"/>
          <w:bCs w:val="0"/>
        </w:rPr>
      </w:r>
      <w:r>
        <w:rPr>
          <w:rFonts w:ascii="Times New Roman" w:hAnsi="Times New Roman" w:cs="Times New Roman" w:eastAsia="Times New Roman" w:hint="default"/>
        </w:rPr>
        <w:t>4</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收账款分类披露" w:id="225"/>
      <w:bookmarkEnd w:id="225"/>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5"/>
        <w:gridCol w:w="764"/>
        <w:gridCol w:w="758"/>
        <w:gridCol w:w="764"/>
        <w:gridCol w:w="764"/>
        <w:gridCol w:w="799"/>
        <w:gridCol w:w="766"/>
        <w:gridCol w:w="797"/>
        <w:gridCol w:w="797"/>
        <w:gridCol w:w="792"/>
        <w:gridCol w:w="922"/>
      </w:tblGrid>
      <w:tr>
        <w:trPr>
          <w:trHeight w:val="399" w:hRule="exact"/>
        </w:trPr>
        <w:tc>
          <w:tcPr>
            <w:tcW w:w="1625"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7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8" w:hRule="exact"/>
        </w:trPr>
        <w:tc>
          <w:tcPr>
            <w:tcW w:w="1625" w:type="dxa"/>
            <w:vMerge/>
            <w:tcBorders>
              <w:left w:val="single" w:sz="4" w:space="0" w:color="000000"/>
              <w:bottom w:val="nil" w:sz="6" w:space="0" w:color="auto"/>
              <w:right w:val="single" w:sz="4" w:space="0" w:color="000000"/>
            </w:tcBorders>
            <w:shd w:val="clear" w:color="auto" w:fill="D2D2D2"/>
          </w:tcPr>
          <w:p>
            <w:pPr/>
          </w:p>
        </w:tc>
        <w:tc>
          <w:tcPr>
            <w:tcW w:w="152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9" w:type="dxa"/>
            <w:vMerge w:val="restart"/>
            <w:tcBorders>
              <w:top w:val="single" w:sz="4" w:space="0" w:color="000000"/>
              <w:left w:val="single" w:sz="4" w:space="0" w:color="000000"/>
              <w:right w:val="single" w:sz="4" w:space="0" w:color="000000"/>
            </w:tcBorders>
            <w:shd w:val="clear" w:color="auto" w:fill="D2D2D2"/>
          </w:tcPr>
          <w:p>
            <w:pPr/>
          </w:p>
        </w:tc>
        <w:tc>
          <w:tcPr>
            <w:tcW w:w="156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22"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类别</w:t>
            </w:r>
          </w:p>
        </w:tc>
        <w:tc>
          <w:tcPr>
            <w:tcW w:w="1522" w:type="dxa"/>
            <w:gridSpan w:val="2"/>
            <w:vMerge/>
            <w:tcBorders>
              <w:left w:val="single" w:sz="4" w:space="0" w:color="000000"/>
              <w:bottom w:val="single" w:sz="4" w:space="0" w:color="000000"/>
              <w:right w:val="single" w:sz="4" w:space="0" w:color="000000"/>
            </w:tcBorders>
            <w:shd w:val="clear" w:color="auto" w:fill="D2D2D2"/>
          </w:tcPr>
          <w:p>
            <w:pP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1563" w:type="dxa"/>
            <w:gridSpan w:val="2"/>
            <w:vMerge/>
            <w:tcBorders>
              <w:left w:val="single" w:sz="4" w:space="0" w:color="000000"/>
              <w:bottom w:val="single" w:sz="4" w:space="0" w:color="000000"/>
              <w:right w:val="single" w:sz="4" w:space="0" w:color="000000"/>
            </w:tcBorders>
            <w:shd w:val="clear" w:color="auto" w:fill="D2D2D2"/>
          </w:tcPr>
          <w:p>
            <w:pPr/>
          </w:p>
        </w:tc>
        <w:tc>
          <w:tcPr>
            <w:tcW w:w="1590" w:type="dxa"/>
            <w:gridSpan w:val="2"/>
            <w:vMerge/>
            <w:tcBorders>
              <w:left w:val="single" w:sz="4" w:space="0" w:color="000000"/>
              <w:bottom w:val="single" w:sz="4" w:space="0" w:color="000000"/>
              <w:right w:val="single" w:sz="4" w:space="0" w:color="000000"/>
            </w:tcBorders>
            <w:shd w:val="clear" w:color="auto" w:fill="D2D2D2"/>
          </w:tcPr>
          <w:p>
            <w:pPr/>
          </w:p>
        </w:tc>
        <w:tc>
          <w:tcPr>
            <w:tcW w:w="922"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1625" w:type="dxa"/>
            <w:vMerge/>
            <w:tcBorders>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58"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87" w:right="103"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6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5" w:type="dxa"/>
            <w:vMerge w:val="restart"/>
            <w:tcBorders>
              <w:top w:val="single" w:sz="4" w:space="0" w:color="FFFFFF"/>
              <w:left w:val="single" w:sz="4" w:space="0" w:color="000000"/>
              <w:right w:val="single" w:sz="4" w:space="0" w:color="000000"/>
            </w:tcBorders>
            <w:shd w:val="clear" w:color="auto" w:fill="D2D2D2"/>
          </w:tcPr>
          <w:p>
            <w:pP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8"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18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1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2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5" w:type="dxa"/>
            <w:vMerge/>
            <w:tcBorders>
              <w:left w:val="single" w:sz="4" w:space="0" w:color="000000"/>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58"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
        </w:tc>
        <w:tc>
          <w:tcPr>
            <w:tcW w:w="766"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c>
          <w:tcPr>
            <w:tcW w:w="922" w:type="dxa"/>
            <w:vMerge w:val="restart"/>
            <w:tcBorders>
              <w:top w:val="nil" w:sz="6" w:space="0" w:color="auto"/>
              <w:left w:val="single" w:sz="4" w:space="0" w:color="000000"/>
              <w:right w:val="single" w:sz="4" w:space="0" w:color="000000"/>
            </w:tcBorders>
            <w:shd w:val="clear" w:color="auto" w:fill="D2D2D2"/>
          </w:tcPr>
          <w:p>
            <w:pPr/>
          </w:p>
        </w:tc>
      </w:tr>
      <w:tr>
        <w:trPr>
          <w:trHeight w:val="163" w:hRule="exact"/>
        </w:trPr>
        <w:tc>
          <w:tcPr>
            <w:tcW w:w="1625"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58"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6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22" w:type="dxa"/>
            <w:vMerge/>
            <w:tcBorders>
              <w:left w:val="single" w:sz="4" w:space="0" w:color="000000"/>
              <w:bottom w:val="single" w:sz="4" w:space="0" w:color="000000"/>
              <w:right w:val="single" w:sz="4" w:space="0" w:color="000000"/>
            </w:tcBorders>
            <w:shd w:val="clear" w:color="auto" w:fill="D2D2D2"/>
          </w:tcPr>
          <w:p>
            <w:pPr/>
          </w:p>
        </w:tc>
      </w:tr>
      <w:tr>
        <w:trPr>
          <w:trHeight w:val="711"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156"/>
              <w:jc w:val="left"/>
              <w:rPr>
                <w:rFonts w:ascii="宋体" w:hAnsi="宋体" w:cs="宋体" w:eastAsia="宋体" w:hint="default"/>
                <w:sz w:val="18"/>
                <w:szCs w:val="18"/>
              </w:rPr>
            </w:pPr>
            <w:r>
              <w:rPr>
                <w:rFonts w:ascii="宋体" w:hAnsi="宋体" w:cs="宋体" w:eastAsia="宋体" w:hint="default"/>
                <w:spacing w:val="-2"/>
                <w:sz w:val="18"/>
                <w:szCs w:val="18"/>
              </w:rPr>
              <w:t>按单项计提坏账准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备的应收账款</w:t>
            </w:r>
          </w:p>
        </w:tc>
        <w:tc>
          <w:tcPr>
            <w:tcW w:w="7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88" w:right="0"/>
              <w:jc w:val="left"/>
              <w:rPr>
                <w:rFonts w:ascii="Times New Roman" w:hAnsi="Times New Roman" w:cs="Times New Roman" w:eastAsia="Times New Roman" w:hint="default"/>
                <w:sz w:val="18"/>
                <w:szCs w:val="18"/>
              </w:rPr>
            </w:pPr>
            <w:r>
              <w:rPr>
                <w:rFonts w:ascii="Times New Roman"/>
                <w:sz w:val="18"/>
              </w:rPr>
              <w:t>6,237,17</w:t>
            </w:r>
          </w:p>
          <w:p>
            <w:pPr>
              <w:pStyle w:val="TableParagraph"/>
              <w:spacing w:line="240" w:lineRule="auto" w:before="105"/>
              <w:ind w:left="401" w:right="0"/>
              <w:jc w:val="left"/>
              <w:rPr>
                <w:rFonts w:ascii="Times New Roman" w:hAnsi="Times New Roman" w:cs="Times New Roman" w:eastAsia="Times New Roman" w:hint="default"/>
                <w:sz w:val="18"/>
                <w:szCs w:val="18"/>
              </w:rPr>
            </w:pPr>
            <w:r>
              <w:rPr>
                <w:rFonts w:ascii="Times New Roman"/>
                <w:sz w:val="18"/>
              </w:rPr>
              <w:t>2.00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3.08%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6,237,17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2.00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0.00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6,237,172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3.07%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6,237,172</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7"/>
        <w:gridCol w:w="764"/>
        <w:gridCol w:w="758"/>
        <w:gridCol w:w="764"/>
        <w:gridCol w:w="764"/>
        <w:gridCol w:w="787"/>
        <w:gridCol w:w="778"/>
        <w:gridCol w:w="797"/>
        <w:gridCol w:w="797"/>
        <w:gridCol w:w="792"/>
        <w:gridCol w:w="931"/>
      </w:tblGrid>
      <w:tr>
        <w:trPr>
          <w:trHeight w:val="715"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6"/>
              <w:jc w:val="left"/>
              <w:rPr>
                <w:rFonts w:ascii="宋体" w:hAnsi="宋体" w:cs="宋体" w:eastAsia="宋体" w:hint="default"/>
                <w:sz w:val="18"/>
                <w:szCs w:val="18"/>
              </w:rPr>
            </w:pPr>
            <w:r>
              <w:rPr>
                <w:rFonts w:ascii="宋体" w:hAnsi="宋体" w:cs="宋体" w:eastAsia="宋体" w:hint="default"/>
                <w:spacing w:val="-2"/>
                <w:sz w:val="18"/>
                <w:szCs w:val="18"/>
              </w:rPr>
              <w:t>按组合计提坏账准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备的应收账款</w:t>
            </w:r>
          </w:p>
        </w:tc>
        <w:tc>
          <w:tcPr>
            <w:tcW w:w="7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66" w:right="0"/>
              <w:jc w:val="center"/>
              <w:rPr>
                <w:rFonts w:ascii="Times New Roman" w:hAnsi="Times New Roman" w:cs="Times New Roman" w:eastAsia="Times New Roman" w:hint="default"/>
                <w:sz w:val="18"/>
                <w:szCs w:val="18"/>
              </w:rPr>
            </w:pPr>
            <w:r>
              <w:rPr>
                <w:rFonts w:ascii="Times New Roman"/>
                <w:sz w:val="18"/>
              </w:rPr>
              <w:t>196,048,</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428.99</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96.92%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25,472,5</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09.83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170,575,9</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19.16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196,905,2</w:t>
            </w:r>
          </w:p>
          <w:p>
            <w:pPr>
              <w:pStyle w:val="TableParagraph"/>
              <w:spacing w:line="240" w:lineRule="auto" w:before="105"/>
              <w:ind w:left="341" w:right="0"/>
              <w:jc w:val="left"/>
              <w:rPr>
                <w:rFonts w:ascii="Times New Roman" w:hAnsi="Times New Roman" w:cs="Times New Roman" w:eastAsia="Times New Roman" w:hint="default"/>
                <w:sz w:val="18"/>
                <w:szCs w:val="18"/>
              </w:rPr>
            </w:pPr>
            <w:r>
              <w:rPr>
                <w:rFonts w:ascii="Times New Roman"/>
                <w:sz w:val="18"/>
              </w:rPr>
              <w:t>00.58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96.93%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19,760,09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2.05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177,145,10</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8.53</w:t>
            </w:r>
          </w:p>
        </w:tc>
      </w:tr>
      <w:tr>
        <w:trPr>
          <w:trHeight w:val="399"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w:t>
            </w:r>
            <w:r>
              <w:rPr>
                <w:rFonts w:ascii="宋体" w:hAnsi="宋体" w:cs="宋体" w:eastAsia="宋体" w:hint="default"/>
                <w:sz w:val="18"/>
                <w:szCs w:val="18"/>
              </w:rPr>
              <w:t>账龄组合</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8" w:right="0"/>
              <w:jc w:val="center"/>
              <w:rPr>
                <w:rFonts w:ascii="Times New Roman" w:hAnsi="Times New Roman" w:cs="Times New Roman" w:eastAsia="Times New Roman" w:hint="default"/>
                <w:sz w:val="18"/>
                <w:szCs w:val="18"/>
              </w:rPr>
            </w:pPr>
            <w:r>
              <w:rPr>
                <w:rFonts w:ascii="Times New Roman"/>
                <w:sz w:val="18"/>
              </w:rPr>
              <w:t>196,048,</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428.99</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96.92%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25,472,5</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09.83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 w:right="0"/>
              <w:jc w:val="left"/>
              <w:rPr>
                <w:rFonts w:ascii="Times New Roman" w:hAnsi="Times New Roman" w:cs="Times New Roman" w:eastAsia="Times New Roman" w:hint="default"/>
                <w:sz w:val="18"/>
                <w:szCs w:val="18"/>
              </w:rPr>
            </w:pPr>
            <w:r>
              <w:rPr>
                <w:rFonts w:ascii="Times New Roman"/>
                <w:sz w:val="18"/>
              </w:rPr>
              <w:t>170,575,9</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19.16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196,905,2</w:t>
            </w:r>
          </w:p>
          <w:p>
            <w:pPr>
              <w:pStyle w:val="TableParagraph"/>
              <w:spacing w:line="240" w:lineRule="auto" w:before="105"/>
              <w:ind w:left="341" w:right="0"/>
              <w:jc w:val="left"/>
              <w:rPr>
                <w:rFonts w:ascii="Times New Roman" w:hAnsi="Times New Roman" w:cs="Times New Roman" w:eastAsia="Times New Roman" w:hint="default"/>
                <w:sz w:val="18"/>
                <w:szCs w:val="18"/>
              </w:rPr>
            </w:pPr>
            <w:r>
              <w:rPr>
                <w:rFonts w:ascii="Times New Roman"/>
                <w:sz w:val="18"/>
              </w:rPr>
              <w:t>00.58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96.93%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8" w:right="0"/>
              <w:jc w:val="left"/>
              <w:rPr>
                <w:rFonts w:ascii="Times New Roman" w:hAnsi="Times New Roman" w:cs="Times New Roman" w:eastAsia="Times New Roman" w:hint="default"/>
                <w:sz w:val="18"/>
                <w:szCs w:val="18"/>
              </w:rPr>
            </w:pPr>
            <w:r>
              <w:rPr>
                <w:rFonts w:ascii="Times New Roman"/>
                <w:sz w:val="18"/>
              </w:rPr>
              <w:t>19,760,09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2.05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1" w:right="0"/>
              <w:jc w:val="left"/>
              <w:rPr>
                <w:rFonts w:ascii="Times New Roman" w:hAnsi="Times New Roman" w:cs="Times New Roman" w:eastAsia="Times New Roman" w:hint="default"/>
                <w:sz w:val="18"/>
                <w:szCs w:val="18"/>
              </w:rPr>
            </w:pPr>
            <w:r>
              <w:rPr>
                <w:rFonts w:ascii="Times New Roman"/>
                <w:sz w:val="18"/>
              </w:rPr>
              <w:t>177,145,10</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8.53</w:t>
            </w:r>
          </w:p>
        </w:tc>
      </w:tr>
      <w:tr>
        <w:trPr>
          <w:trHeight w:val="715"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8" w:right="0"/>
              <w:jc w:val="center"/>
              <w:rPr>
                <w:rFonts w:ascii="Times New Roman" w:hAnsi="Times New Roman" w:cs="Times New Roman" w:eastAsia="Times New Roman" w:hint="default"/>
                <w:sz w:val="18"/>
                <w:szCs w:val="18"/>
              </w:rPr>
            </w:pPr>
            <w:r>
              <w:rPr>
                <w:rFonts w:ascii="Times New Roman"/>
                <w:sz w:val="18"/>
              </w:rPr>
              <w:t>202,285,</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600.99</w:t>
            </w:r>
          </w:p>
        </w:tc>
        <w:tc>
          <w:tcPr>
            <w:tcW w:w="758"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31,709,6</w:t>
            </w:r>
          </w:p>
          <w:p>
            <w:pPr>
              <w:pStyle w:val="TableParagraph"/>
              <w:spacing w:line="240" w:lineRule="auto" w:before="110"/>
              <w:ind w:left="326" w:right="0"/>
              <w:jc w:val="left"/>
              <w:rPr>
                <w:rFonts w:ascii="Times New Roman" w:hAnsi="Times New Roman" w:cs="Times New Roman" w:eastAsia="Times New Roman" w:hint="default"/>
                <w:sz w:val="18"/>
                <w:szCs w:val="18"/>
              </w:rPr>
            </w:pPr>
            <w:r>
              <w:rPr>
                <w:rFonts w:ascii="Times New Roman"/>
                <w:sz w:val="18"/>
              </w:rPr>
              <w:t>81.83</w:t>
            </w: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170,575,9</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19.16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203,142,3</w:t>
            </w:r>
          </w:p>
          <w:p>
            <w:pPr>
              <w:pStyle w:val="TableParagraph"/>
              <w:spacing w:line="240" w:lineRule="auto" w:before="110"/>
              <w:ind w:left="341" w:right="0"/>
              <w:jc w:val="left"/>
              <w:rPr>
                <w:rFonts w:ascii="Times New Roman" w:hAnsi="Times New Roman" w:cs="Times New Roman" w:eastAsia="Times New Roman" w:hint="default"/>
                <w:sz w:val="18"/>
                <w:szCs w:val="18"/>
              </w:rPr>
            </w:pPr>
            <w:r>
              <w:rPr>
                <w:rFonts w:ascii="Times New Roman"/>
                <w:sz w:val="18"/>
              </w:rPr>
              <w:t>72.58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25,997,26</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4.05</w:t>
            </w:r>
          </w:p>
        </w:tc>
        <w:tc>
          <w:tcPr>
            <w:tcW w:w="79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177,145,10</w:t>
            </w:r>
          </w:p>
          <w:p>
            <w:pPr>
              <w:pStyle w:val="TableParagraph"/>
              <w:spacing w:line="240" w:lineRule="auto" w:before="110"/>
              <w:ind w:left="585" w:right="0"/>
              <w:jc w:val="left"/>
              <w:rPr>
                <w:rFonts w:ascii="Times New Roman" w:hAnsi="Times New Roman" w:cs="Times New Roman" w:eastAsia="Times New Roman" w:hint="default"/>
                <w:sz w:val="18"/>
                <w:szCs w:val="18"/>
              </w:rPr>
            </w:pPr>
            <w:r>
              <w:rPr>
                <w:rFonts w:ascii="Times New Roman"/>
                <w:sz w:val="18"/>
              </w:rPr>
              <w:t>8.53</w:t>
            </w:r>
          </w:p>
        </w:tc>
      </w:tr>
    </w:tbl>
    <w:p>
      <w:pPr>
        <w:spacing w:before="54"/>
        <w:ind w:left="15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按单项计提坏账准备：</w:t>
      </w:r>
      <w:r>
        <w:rPr>
          <w:rFonts w:ascii="Times New Roman" w:hAnsi="Times New Roman" w:cs="Times New Roman" w:eastAsia="Times New Roman" w:hint="default"/>
          <w:sz w:val="18"/>
          <w:szCs w:val="18"/>
        </w:rPr>
        <w:t>6,237,172.00</w:t>
      </w:r>
    </w:p>
    <w:p>
      <w:pPr>
        <w:spacing w:before="10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138"/>
              <w:jc w:val="left"/>
              <w:rPr>
                <w:rFonts w:ascii="宋体" w:hAnsi="宋体" w:cs="宋体" w:eastAsia="宋体" w:hint="default"/>
                <w:sz w:val="18"/>
                <w:szCs w:val="18"/>
              </w:rPr>
            </w:pPr>
            <w:r>
              <w:rPr>
                <w:rFonts w:ascii="宋体" w:hAnsi="宋体" w:cs="宋体" w:eastAsia="宋体" w:hint="default"/>
                <w:spacing w:val="-3"/>
                <w:sz w:val="18"/>
                <w:szCs w:val="18"/>
              </w:rPr>
              <w:t>乐视网信息技术</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北京</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3,164,441.00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3,164,441.00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信用风险异常</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北京圣水龙兴文化传媒</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信用风险异常</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北京万象新天网络科技</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764,400.00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764,400.00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信用风险异常</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乐咖互娱信息技术（北</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京）有限公司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583,331.00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583,331.00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信用风险异常</w:t>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夏溪花木市场控股有限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信用风险异常</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75"/>
              <w:jc w:val="left"/>
              <w:rPr>
                <w:rFonts w:ascii="宋体" w:hAnsi="宋体" w:cs="宋体" w:eastAsia="宋体" w:hint="default"/>
                <w:sz w:val="18"/>
                <w:szCs w:val="18"/>
              </w:rPr>
            </w:pPr>
            <w:r>
              <w:rPr>
                <w:rFonts w:ascii="宋体" w:hAnsi="宋体" w:cs="宋体" w:eastAsia="宋体" w:hint="default"/>
                <w:spacing w:val="-2"/>
                <w:sz w:val="18"/>
                <w:szCs w:val="18"/>
              </w:rPr>
              <w:t>深圳瑞银信信息技术有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225,000.00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225,000.00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信用风险异常</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6,237,172.00</w:t>
            </w:r>
          </w:p>
        </w:tc>
        <w:tc>
          <w:tcPr>
            <w:tcW w:w="191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6,237,172.00</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53"/>
        <w:ind w:left="15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按组合计提坏账准备：</w:t>
      </w:r>
      <w:r>
        <w:rPr>
          <w:rFonts w:ascii="Times New Roman" w:hAnsi="Times New Roman" w:cs="Times New Roman" w:eastAsia="Times New Roman" w:hint="default"/>
          <w:sz w:val="18"/>
          <w:szCs w:val="18"/>
        </w:rPr>
        <w:t>25,472,509.83</w:t>
      </w:r>
    </w:p>
    <w:p>
      <w:pPr>
        <w:spacing w:before="10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1"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158,032,151.08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6,948,603.54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4.40%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23,356,796.38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6,004,275.87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25.71%</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3,258,921.51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2,358,196.84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pacing w:val="-1"/>
                <w:sz w:val="18"/>
              </w:rPr>
              <w:t>72.36%</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8,157,540.00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6,970,720.61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85.45%</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3,147,361.33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3,095,054.28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98.34%</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95,658.69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95,658.69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196,048,428.99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25,472,509.83</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741" w:footer="979" w:top="1060" w:bottom="1160" w:left="980" w:right="0"/>
        </w:sectPr>
      </w:pPr>
    </w:p>
    <w:p>
      <w:pPr>
        <w:spacing w:line="357" w:lineRule="auto"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确定该组合依据的说明：</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136" w:space="6694"/>
            <w:col w:w="2100"/>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3"/>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62" w:lineRule="auto" w:before="54"/>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确定该组合依据的说明：</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如是按照预期信用损失一般模型计提应收账款坏账准备，请参照其他应收款的披露方式披露坏账准备的相关信息：</w:t>
      </w:r>
    </w:p>
    <w:p>
      <w:pPr>
        <w:spacing w:line="343" w:lineRule="auto" w:before="23"/>
        <w:ind w:left="153" w:right="88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按账龄披露</w:t>
      </w:r>
    </w:p>
    <w:p>
      <w:pPr>
        <w:spacing w:before="37"/>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6"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158,032,151.01</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23,357,796.45</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4,852,081.51</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16,043,572.02</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11,075,552.00</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4,872,361.33</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95,658.69</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202,285,600.99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本期计提、收回或转回的坏账准备情况" w:id="226"/>
      <w:bookmarkEnd w:id="22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6"/>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本期计提坏账准备情况：</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按单项计提坏账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准备的应收账款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6,237,172.00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6,237,172.00</w:t>
            </w:r>
          </w:p>
        </w:tc>
      </w:tr>
      <w:tr>
        <w:trPr>
          <w:trHeight w:val="71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按组合计提坏账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准备的应收账款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19,760,092.05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7,108,310.32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-1,005,754.40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66" w:right="0"/>
              <w:jc w:val="left"/>
              <w:rPr>
                <w:rFonts w:ascii="Times New Roman" w:hAnsi="Times New Roman" w:cs="Times New Roman" w:eastAsia="Times New Roman" w:hint="default"/>
                <w:sz w:val="18"/>
                <w:szCs w:val="18"/>
              </w:rPr>
            </w:pPr>
            <w:r>
              <w:rPr>
                <w:rFonts w:ascii="Times New Roman"/>
                <w:sz w:val="18"/>
              </w:rPr>
              <w:t>-390,138.14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25,472,509.83</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25,997,264.05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7,108,310.32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-1,005,754.40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66" w:right="0"/>
              <w:jc w:val="left"/>
              <w:rPr>
                <w:rFonts w:ascii="Times New Roman" w:hAnsi="Times New Roman" w:cs="Times New Roman" w:eastAsia="Times New Roman" w:hint="default"/>
                <w:sz w:val="18"/>
                <w:szCs w:val="18"/>
              </w:rPr>
            </w:pPr>
            <w:r>
              <w:rPr>
                <w:rFonts w:ascii="Times New Roman"/>
                <w:sz w:val="18"/>
              </w:rPr>
              <w:t>-390,138.14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31,709,681.83</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其中本期坏账准备收回或转回金额重要的：</w:t>
      </w:r>
    </w:p>
    <w:p>
      <w:pPr>
        <w:spacing w:before="12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0" w:right="0"/>
              <w:jc w:val="left"/>
              <w:rPr>
                <w:rFonts w:ascii="宋体" w:hAnsi="宋体" w:cs="宋体" w:eastAsia="宋体" w:hint="default"/>
                <w:sz w:val="18"/>
                <w:szCs w:val="18"/>
              </w:rPr>
            </w:pPr>
            <w:r>
              <w:rPr>
                <w:rFonts w:ascii="宋体" w:hAnsi="宋体" w:cs="宋体" w:eastAsia="宋体" w:hint="default"/>
                <w:spacing w:val="-3"/>
                <w:sz w:val="18"/>
                <w:szCs w:val="18"/>
              </w:rPr>
              <w:t>收回或转回金额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1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本期计提坏账准备金额</w:t>
      </w:r>
      <w:r>
        <w:rPr>
          <w:rFonts w:ascii="Times New Roman" w:hAnsi="Times New Roman" w:cs="Times New Roman" w:eastAsia="Times New Roman" w:hint="default"/>
          <w:spacing w:val="-3"/>
          <w:sz w:val="18"/>
          <w:szCs w:val="18"/>
        </w:rPr>
        <w:t>7,108,310.32</w:t>
      </w:r>
      <w:r>
        <w:rPr>
          <w:rFonts w:ascii="宋体" w:hAnsi="宋体" w:cs="宋体" w:eastAsia="宋体" w:hint="default"/>
          <w:spacing w:val="-3"/>
          <w:sz w:val="18"/>
          <w:szCs w:val="18"/>
        </w:rPr>
        <w:t>元；本期收回或转回坏账准备金额</w:t>
      </w:r>
      <w:r>
        <w:rPr>
          <w:rFonts w:ascii="Times New Roman" w:hAnsi="Times New Roman" w:cs="Times New Roman" w:eastAsia="Times New Roman" w:hint="default"/>
          <w:spacing w:val="-3"/>
          <w:sz w:val="18"/>
          <w:szCs w:val="18"/>
        </w:rPr>
        <w:t>0.00</w:t>
      </w:r>
      <w:r>
        <w:rPr>
          <w:rFonts w:ascii="宋体" w:hAnsi="宋体" w:cs="宋体" w:eastAsia="宋体" w:hint="default"/>
          <w:spacing w:val="-3"/>
          <w:sz w:val="18"/>
          <w:szCs w:val="18"/>
        </w:rPr>
        <w:t>元。</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5"/>
          <w:szCs w:val="25"/>
        </w:rPr>
      </w:pPr>
    </w:p>
    <w:p>
      <w:pPr>
        <w:pStyle w:val="Heading4"/>
        <w:spacing w:line="240" w:lineRule="auto" w:before="36"/>
        <w:ind w:right="0"/>
        <w:jc w:val="left"/>
        <w:rPr>
          <w:b w:val="0"/>
          <w:bCs w:val="0"/>
        </w:rPr>
      </w:pPr>
      <w:bookmarkStart w:name="（3）本期实际核销的应收账款情况" w:id="227"/>
      <w:bookmarkEnd w:id="227"/>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实际核销的应收账款</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1,005,754.40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其中重要的应收账款核销情况：</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711"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47"/>
              <w:jc w:val="right"/>
              <w:rPr>
                <w:rFonts w:ascii="宋体" w:hAnsi="宋体" w:cs="宋体" w:eastAsia="宋体" w:hint="default"/>
                <w:sz w:val="18"/>
                <w:szCs w:val="18"/>
              </w:rPr>
            </w:pPr>
            <w:r>
              <w:rPr>
                <w:rFonts w:ascii="宋体" w:hAnsi="宋体" w:cs="宋体" w:eastAsia="宋体" w:hint="default"/>
                <w:spacing w:val="-2"/>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523" w:right="65" w:hanging="452"/>
              <w:jc w:val="left"/>
              <w:rPr>
                <w:rFonts w:ascii="宋体" w:hAnsi="宋体" w:cs="宋体" w:eastAsia="宋体" w:hint="default"/>
                <w:sz w:val="18"/>
                <w:szCs w:val="18"/>
              </w:rPr>
            </w:pPr>
            <w:r>
              <w:rPr>
                <w:rFonts w:ascii="宋体" w:hAnsi="宋体" w:cs="宋体" w:eastAsia="宋体" w:hint="default"/>
                <w:spacing w:val="-2"/>
                <w:sz w:val="18"/>
                <w:szCs w:val="18"/>
              </w:rPr>
              <w:t>款项是否由关联交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易产生</w:t>
            </w:r>
          </w:p>
        </w:tc>
      </w:tr>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18"/>
              <w:jc w:val="left"/>
              <w:rPr>
                <w:rFonts w:ascii="宋体" w:hAnsi="宋体" w:cs="宋体" w:eastAsia="宋体" w:hint="default"/>
                <w:sz w:val="18"/>
                <w:szCs w:val="18"/>
              </w:rPr>
            </w:pPr>
            <w:r>
              <w:rPr>
                <w:rFonts w:ascii="宋体" w:hAnsi="宋体" w:cs="宋体" w:eastAsia="宋体" w:hint="default"/>
                <w:spacing w:val="-2"/>
                <w:sz w:val="18"/>
                <w:szCs w:val="18"/>
              </w:rPr>
              <w:t>北京太阳堂文化传</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播有限公司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95"/>
              <w:jc w:val="right"/>
              <w:rPr>
                <w:rFonts w:ascii="宋体" w:hAnsi="宋体" w:cs="宋体" w:eastAsia="宋体" w:hint="default"/>
                <w:sz w:val="18"/>
                <w:szCs w:val="18"/>
              </w:rPr>
            </w:pPr>
            <w:r>
              <w:rPr>
                <w:rFonts w:ascii="宋体" w:hAnsi="宋体" w:cs="宋体" w:eastAsia="宋体" w:hint="default"/>
                <w:spacing w:val="-3"/>
                <w:sz w:val="18"/>
                <w:szCs w:val="18"/>
              </w:rPr>
              <w:t>视觉内容与服务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142,600.00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反</w:t>
            </w:r>
            <w:r>
              <w:rPr>
                <w:rFonts w:ascii="宋体" w:hAnsi="宋体" w:cs="宋体" w:eastAsia="宋体" w:hint="default"/>
                <w:spacing w:val="-5"/>
                <w:w w:val="101"/>
                <w:sz w:val="18"/>
                <w:szCs w:val="18"/>
              </w:rPr>
              <w:t>复</w:t>
            </w:r>
            <w:r>
              <w:rPr>
                <w:rFonts w:ascii="宋体" w:hAnsi="宋体" w:cs="宋体" w:eastAsia="宋体" w:hint="default"/>
                <w:w w:val="101"/>
                <w:sz w:val="18"/>
                <w:szCs w:val="18"/>
              </w:rPr>
              <w:t>催</w:t>
            </w:r>
            <w:r>
              <w:rPr>
                <w:rFonts w:ascii="宋体" w:hAnsi="宋体" w:cs="宋体" w:eastAsia="宋体" w:hint="default"/>
                <w:spacing w:val="-5"/>
                <w:w w:val="101"/>
                <w:sz w:val="18"/>
                <w:szCs w:val="18"/>
              </w:rPr>
              <w:t>收</w:t>
            </w:r>
            <w:r>
              <w:rPr>
                <w:rFonts w:ascii="宋体" w:hAnsi="宋体" w:cs="宋体" w:eastAsia="宋体" w:hint="default"/>
                <w:spacing w:val="-82"/>
                <w:w w:val="101"/>
                <w:sz w:val="18"/>
                <w:szCs w:val="18"/>
              </w:rPr>
              <w:t>，</w:t>
            </w:r>
            <w:r>
              <w:rPr>
                <w:rFonts w:ascii="宋体" w:hAnsi="宋体" w:cs="宋体" w:eastAsia="宋体" w:hint="default"/>
                <w:spacing w:val="-5"/>
                <w:w w:val="101"/>
                <w:sz w:val="18"/>
                <w:szCs w:val="18"/>
              </w:rPr>
              <w:t>无</w:t>
            </w:r>
            <w:r>
              <w:rPr>
                <w:rFonts w:ascii="宋体" w:hAnsi="宋体" w:cs="宋体" w:eastAsia="宋体" w:hint="default"/>
                <w:w w:val="101"/>
                <w:sz w:val="18"/>
                <w:szCs w:val="18"/>
              </w:rPr>
              <w:t>法</w:t>
            </w:r>
            <w:r>
              <w:rPr>
                <w:rFonts w:ascii="宋体" w:hAnsi="宋体" w:cs="宋体" w:eastAsia="宋体" w:hint="default"/>
                <w:spacing w:val="-5"/>
                <w:w w:val="101"/>
                <w:sz w:val="18"/>
                <w:szCs w:val="18"/>
              </w:rPr>
              <w:t>收</w:t>
            </w:r>
            <w:r>
              <w:rPr>
                <w:rFonts w:ascii="宋体" w:hAnsi="宋体" w:cs="宋体" w:eastAsia="宋体" w:hint="default"/>
                <w:w w:val="101"/>
                <w:sz w:val="18"/>
                <w:szCs w:val="18"/>
              </w:rPr>
              <w:t>回</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经总裁办批准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118"/>
              <w:jc w:val="left"/>
              <w:rPr>
                <w:rFonts w:ascii="宋体" w:hAnsi="宋体" w:cs="宋体" w:eastAsia="宋体" w:hint="default"/>
                <w:sz w:val="18"/>
                <w:szCs w:val="18"/>
              </w:rPr>
            </w:pPr>
            <w:r>
              <w:rPr>
                <w:rFonts w:ascii="宋体" w:hAnsi="宋体" w:cs="宋体" w:eastAsia="宋体" w:hint="default"/>
                <w:spacing w:val="-2"/>
                <w:sz w:val="18"/>
                <w:szCs w:val="18"/>
              </w:rPr>
              <w:t>先机文化传播有限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95"/>
              <w:jc w:val="right"/>
              <w:rPr>
                <w:rFonts w:ascii="宋体" w:hAnsi="宋体" w:cs="宋体" w:eastAsia="宋体" w:hint="default"/>
                <w:sz w:val="18"/>
                <w:szCs w:val="18"/>
              </w:rPr>
            </w:pPr>
            <w:r>
              <w:rPr>
                <w:rFonts w:ascii="宋体" w:hAnsi="宋体" w:cs="宋体" w:eastAsia="宋体" w:hint="default"/>
                <w:spacing w:val="-3"/>
                <w:sz w:val="18"/>
                <w:szCs w:val="18"/>
              </w:rPr>
              <w:t>视觉内容与服务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128,460.00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反</w:t>
            </w:r>
            <w:r>
              <w:rPr>
                <w:rFonts w:ascii="宋体" w:hAnsi="宋体" w:cs="宋体" w:eastAsia="宋体" w:hint="default"/>
                <w:spacing w:val="-5"/>
                <w:w w:val="101"/>
                <w:sz w:val="18"/>
                <w:szCs w:val="18"/>
              </w:rPr>
              <w:t>复</w:t>
            </w:r>
            <w:r>
              <w:rPr>
                <w:rFonts w:ascii="宋体" w:hAnsi="宋体" w:cs="宋体" w:eastAsia="宋体" w:hint="default"/>
                <w:w w:val="101"/>
                <w:sz w:val="18"/>
                <w:szCs w:val="18"/>
              </w:rPr>
              <w:t>催</w:t>
            </w:r>
            <w:r>
              <w:rPr>
                <w:rFonts w:ascii="宋体" w:hAnsi="宋体" w:cs="宋体" w:eastAsia="宋体" w:hint="default"/>
                <w:spacing w:val="-5"/>
                <w:w w:val="101"/>
                <w:sz w:val="18"/>
                <w:szCs w:val="18"/>
              </w:rPr>
              <w:t>收</w:t>
            </w:r>
            <w:r>
              <w:rPr>
                <w:rFonts w:ascii="宋体" w:hAnsi="宋体" w:cs="宋体" w:eastAsia="宋体" w:hint="default"/>
                <w:spacing w:val="-82"/>
                <w:w w:val="101"/>
                <w:sz w:val="18"/>
                <w:szCs w:val="18"/>
              </w:rPr>
              <w:t>，</w:t>
            </w:r>
            <w:r>
              <w:rPr>
                <w:rFonts w:ascii="宋体" w:hAnsi="宋体" w:cs="宋体" w:eastAsia="宋体" w:hint="default"/>
                <w:spacing w:val="-5"/>
                <w:w w:val="101"/>
                <w:sz w:val="18"/>
                <w:szCs w:val="18"/>
              </w:rPr>
              <w:t>无</w:t>
            </w:r>
            <w:r>
              <w:rPr>
                <w:rFonts w:ascii="宋体" w:hAnsi="宋体" w:cs="宋体" w:eastAsia="宋体" w:hint="default"/>
                <w:w w:val="101"/>
                <w:sz w:val="18"/>
                <w:szCs w:val="18"/>
              </w:rPr>
              <w:t>法</w:t>
            </w:r>
            <w:r>
              <w:rPr>
                <w:rFonts w:ascii="宋体" w:hAnsi="宋体" w:cs="宋体" w:eastAsia="宋体" w:hint="default"/>
                <w:spacing w:val="-5"/>
                <w:w w:val="101"/>
                <w:sz w:val="18"/>
                <w:szCs w:val="18"/>
              </w:rPr>
              <w:t>收</w:t>
            </w:r>
            <w:r>
              <w:rPr>
                <w:rFonts w:ascii="宋体" w:hAnsi="宋体" w:cs="宋体" w:eastAsia="宋体" w:hint="default"/>
                <w:w w:val="101"/>
                <w:sz w:val="18"/>
                <w:szCs w:val="18"/>
              </w:rPr>
              <w:t>回</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经总裁办批准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8"/>
              <w:jc w:val="left"/>
              <w:rPr>
                <w:rFonts w:ascii="宋体" w:hAnsi="宋体" w:cs="宋体" w:eastAsia="宋体" w:hint="default"/>
                <w:sz w:val="18"/>
                <w:szCs w:val="18"/>
              </w:rPr>
            </w:pPr>
            <w:r>
              <w:rPr>
                <w:rFonts w:ascii="宋体" w:hAnsi="宋体" w:cs="宋体" w:eastAsia="宋体" w:hint="default"/>
                <w:spacing w:val="-2"/>
                <w:sz w:val="18"/>
                <w:szCs w:val="18"/>
              </w:rPr>
              <w:t>上海篮圈文化传媒</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95"/>
              <w:jc w:val="right"/>
              <w:rPr>
                <w:rFonts w:ascii="宋体" w:hAnsi="宋体" w:cs="宋体" w:eastAsia="宋体" w:hint="default"/>
                <w:sz w:val="18"/>
                <w:szCs w:val="18"/>
              </w:rPr>
            </w:pPr>
            <w:r>
              <w:rPr>
                <w:rFonts w:ascii="宋体" w:hAnsi="宋体" w:cs="宋体" w:eastAsia="宋体" w:hint="default"/>
                <w:spacing w:val="-3"/>
                <w:sz w:val="18"/>
                <w:szCs w:val="18"/>
              </w:rPr>
              <w:t>视觉内容与服务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反</w:t>
            </w:r>
            <w:r>
              <w:rPr>
                <w:rFonts w:ascii="宋体" w:hAnsi="宋体" w:cs="宋体" w:eastAsia="宋体" w:hint="default"/>
                <w:spacing w:val="-5"/>
                <w:w w:val="101"/>
                <w:sz w:val="18"/>
                <w:szCs w:val="18"/>
              </w:rPr>
              <w:t>复</w:t>
            </w:r>
            <w:r>
              <w:rPr>
                <w:rFonts w:ascii="宋体" w:hAnsi="宋体" w:cs="宋体" w:eastAsia="宋体" w:hint="default"/>
                <w:w w:val="101"/>
                <w:sz w:val="18"/>
                <w:szCs w:val="18"/>
              </w:rPr>
              <w:t>催</w:t>
            </w:r>
            <w:r>
              <w:rPr>
                <w:rFonts w:ascii="宋体" w:hAnsi="宋体" w:cs="宋体" w:eastAsia="宋体" w:hint="default"/>
                <w:spacing w:val="-5"/>
                <w:w w:val="101"/>
                <w:sz w:val="18"/>
                <w:szCs w:val="18"/>
              </w:rPr>
              <w:t>收</w:t>
            </w:r>
            <w:r>
              <w:rPr>
                <w:rFonts w:ascii="宋体" w:hAnsi="宋体" w:cs="宋体" w:eastAsia="宋体" w:hint="default"/>
                <w:spacing w:val="-82"/>
                <w:w w:val="101"/>
                <w:sz w:val="18"/>
                <w:szCs w:val="18"/>
              </w:rPr>
              <w:t>，</w:t>
            </w:r>
            <w:r>
              <w:rPr>
                <w:rFonts w:ascii="宋体" w:hAnsi="宋体" w:cs="宋体" w:eastAsia="宋体" w:hint="default"/>
                <w:spacing w:val="-5"/>
                <w:w w:val="101"/>
                <w:sz w:val="18"/>
                <w:szCs w:val="18"/>
              </w:rPr>
              <w:t>无</w:t>
            </w:r>
            <w:r>
              <w:rPr>
                <w:rFonts w:ascii="宋体" w:hAnsi="宋体" w:cs="宋体" w:eastAsia="宋体" w:hint="default"/>
                <w:w w:val="101"/>
                <w:sz w:val="18"/>
                <w:szCs w:val="18"/>
              </w:rPr>
              <w:t>法</w:t>
            </w:r>
            <w:r>
              <w:rPr>
                <w:rFonts w:ascii="宋体" w:hAnsi="宋体" w:cs="宋体" w:eastAsia="宋体" w:hint="default"/>
                <w:spacing w:val="-5"/>
                <w:w w:val="101"/>
                <w:sz w:val="18"/>
                <w:szCs w:val="18"/>
              </w:rPr>
              <w:t>收</w:t>
            </w:r>
            <w:r>
              <w:rPr>
                <w:rFonts w:ascii="宋体" w:hAnsi="宋体" w:cs="宋体" w:eastAsia="宋体" w:hint="default"/>
                <w:w w:val="101"/>
                <w:sz w:val="18"/>
                <w:szCs w:val="18"/>
              </w:rPr>
              <w:t>回</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经总裁办批准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8"/>
              <w:jc w:val="left"/>
              <w:rPr>
                <w:rFonts w:ascii="宋体" w:hAnsi="宋体" w:cs="宋体" w:eastAsia="宋体" w:hint="default"/>
                <w:sz w:val="18"/>
                <w:szCs w:val="18"/>
              </w:rPr>
            </w:pPr>
            <w:r>
              <w:rPr>
                <w:rFonts w:ascii="宋体" w:hAnsi="宋体" w:cs="宋体" w:eastAsia="宋体" w:hint="default"/>
                <w:spacing w:val="-2"/>
                <w:sz w:val="18"/>
                <w:szCs w:val="18"/>
              </w:rPr>
              <w:t>摩拜尔奈特（北京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信息技术有限公司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53"/>
              <w:ind w:left="-13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95"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视觉内容与服务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88,452.00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反</w:t>
            </w:r>
            <w:r>
              <w:rPr>
                <w:rFonts w:ascii="宋体" w:hAnsi="宋体" w:cs="宋体" w:eastAsia="宋体" w:hint="default"/>
                <w:spacing w:val="-5"/>
                <w:w w:val="101"/>
                <w:sz w:val="18"/>
                <w:szCs w:val="18"/>
              </w:rPr>
              <w:t>复</w:t>
            </w:r>
            <w:r>
              <w:rPr>
                <w:rFonts w:ascii="宋体" w:hAnsi="宋体" w:cs="宋体" w:eastAsia="宋体" w:hint="default"/>
                <w:w w:val="101"/>
                <w:sz w:val="18"/>
                <w:szCs w:val="18"/>
              </w:rPr>
              <w:t>催</w:t>
            </w:r>
            <w:r>
              <w:rPr>
                <w:rFonts w:ascii="宋体" w:hAnsi="宋体" w:cs="宋体" w:eastAsia="宋体" w:hint="default"/>
                <w:spacing w:val="-5"/>
                <w:w w:val="101"/>
                <w:sz w:val="18"/>
                <w:szCs w:val="18"/>
              </w:rPr>
              <w:t>收</w:t>
            </w:r>
            <w:r>
              <w:rPr>
                <w:rFonts w:ascii="宋体" w:hAnsi="宋体" w:cs="宋体" w:eastAsia="宋体" w:hint="default"/>
                <w:spacing w:val="-82"/>
                <w:w w:val="101"/>
                <w:sz w:val="18"/>
                <w:szCs w:val="18"/>
              </w:rPr>
              <w:t>，</w:t>
            </w:r>
            <w:r>
              <w:rPr>
                <w:rFonts w:ascii="宋体" w:hAnsi="宋体" w:cs="宋体" w:eastAsia="宋体" w:hint="default"/>
                <w:spacing w:val="-5"/>
                <w:w w:val="101"/>
                <w:sz w:val="18"/>
                <w:szCs w:val="18"/>
              </w:rPr>
              <w:t>无</w:t>
            </w:r>
            <w:r>
              <w:rPr>
                <w:rFonts w:ascii="宋体" w:hAnsi="宋体" w:cs="宋体" w:eastAsia="宋体" w:hint="default"/>
                <w:w w:val="101"/>
                <w:sz w:val="18"/>
                <w:szCs w:val="18"/>
              </w:rPr>
              <w:t>法</w:t>
            </w:r>
            <w:r>
              <w:rPr>
                <w:rFonts w:ascii="宋体" w:hAnsi="宋体" w:cs="宋体" w:eastAsia="宋体" w:hint="default"/>
                <w:spacing w:val="-5"/>
                <w:w w:val="101"/>
                <w:sz w:val="18"/>
                <w:szCs w:val="18"/>
              </w:rPr>
              <w:t>收</w:t>
            </w:r>
            <w:r>
              <w:rPr>
                <w:rFonts w:ascii="宋体" w:hAnsi="宋体" w:cs="宋体" w:eastAsia="宋体" w:hint="default"/>
                <w:w w:val="101"/>
                <w:sz w:val="18"/>
                <w:szCs w:val="18"/>
              </w:rPr>
              <w:t>回</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经总裁办批准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4" w:right="118"/>
              <w:jc w:val="left"/>
              <w:rPr>
                <w:rFonts w:ascii="宋体" w:hAnsi="宋体" w:cs="宋体" w:eastAsia="宋体" w:hint="default"/>
                <w:sz w:val="18"/>
                <w:szCs w:val="18"/>
              </w:rPr>
            </w:pPr>
            <w:r>
              <w:rPr>
                <w:rFonts w:ascii="宋体" w:hAnsi="宋体" w:cs="宋体" w:eastAsia="宋体" w:hint="default"/>
                <w:spacing w:val="-2"/>
                <w:sz w:val="18"/>
                <w:szCs w:val="18"/>
              </w:rPr>
              <w:t>印纪影视娱乐传媒</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95"/>
              <w:jc w:val="right"/>
              <w:rPr>
                <w:rFonts w:ascii="宋体" w:hAnsi="宋体" w:cs="宋体" w:eastAsia="宋体" w:hint="default"/>
                <w:sz w:val="18"/>
                <w:szCs w:val="18"/>
              </w:rPr>
            </w:pPr>
            <w:r>
              <w:rPr>
                <w:rFonts w:ascii="宋体" w:hAnsi="宋体" w:cs="宋体" w:eastAsia="宋体" w:hint="default"/>
                <w:spacing w:val="-3"/>
                <w:sz w:val="18"/>
                <w:szCs w:val="18"/>
              </w:rPr>
              <w:t>视觉内容与服务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反</w:t>
            </w:r>
            <w:r>
              <w:rPr>
                <w:rFonts w:ascii="宋体" w:hAnsi="宋体" w:cs="宋体" w:eastAsia="宋体" w:hint="default"/>
                <w:spacing w:val="-5"/>
                <w:w w:val="101"/>
                <w:sz w:val="18"/>
                <w:szCs w:val="18"/>
              </w:rPr>
              <w:t>复</w:t>
            </w:r>
            <w:r>
              <w:rPr>
                <w:rFonts w:ascii="宋体" w:hAnsi="宋体" w:cs="宋体" w:eastAsia="宋体" w:hint="default"/>
                <w:w w:val="101"/>
                <w:sz w:val="18"/>
                <w:szCs w:val="18"/>
              </w:rPr>
              <w:t>催</w:t>
            </w:r>
            <w:r>
              <w:rPr>
                <w:rFonts w:ascii="宋体" w:hAnsi="宋体" w:cs="宋体" w:eastAsia="宋体" w:hint="default"/>
                <w:spacing w:val="-5"/>
                <w:w w:val="101"/>
                <w:sz w:val="18"/>
                <w:szCs w:val="18"/>
              </w:rPr>
              <w:t>收</w:t>
            </w:r>
            <w:r>
              <w:rPr>
                <w:rFonts w:ascii="宋体" w:hAnsi="宋体" w:cs="宋体" w:eastAsia="宋体" w:hint="default"/>
                <w:spacing w:val="-82"/>
                <w:w w:val="101"/>
                <w:sz w:val="18"/>
                <w:szCs w:val="18"/>
              </w:rPr>
              <w:t>，</w:t>
            </w:r>
            <w:r>
              <w:rPr>
                <w:rFonts w:ascii="宋体" w:hAnsi="宋体" w:cs="宋体" w:eastAsia="宋体" w:hint="default"/>
                <w:spacing w:val="-5"/>
                <w:w w:val="101"/>
                <w:sz w:val="18"/>
                <w:szCs w:val="18"/>
              </w:rPr>
              <w:t>无</w:t>
            </w:r>
            <w:r>
              <w:rPr>
                <w:rFonts w:ascii="宋体" w:hAnsi="宋体" w:cs="宋体" w:eastAsia="宋体" w:hint="default"/>
                <w:w w:val="101"/>
                <w:sz w:val="18"/>
                <w:szCs w:val="18"/>
              </w:rPr>
              <w:t>法</w:t>
            </w:r>
            <w:r>
              <w:rPr>
                <w:rFonts w:ascii="宋体" w:hAnsi="宋体" w:cs="宋体" w:eastAsia="宋体" w:hint="default"/>
                <w:spacing w:val="-5"/>
                <w:w w:val="101"/>
                <w:sz w:val="18"/>
                <w:szCs w:val="18"/>
              </w:rPr>
              <w:t>收</w:t>
            </w:r>
            <w:r>
              <w:rPr>
                <w:rFonts w:ascii="宋体" w:hAnsi="宋体" w:cs="宋体" w:eastAsia="宋体" w:hint="default"/>
                <w:w w:val="101"/>
                <w:sz w:val="18"/>
                <w:szCs w:val="18"/>
              </w:rPr>
              <w:t>回</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经总裁办批准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510,512.00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357" w:lineRule="auto" w:before="53"/>
        <w:ind w:left="153" w:right="6287" w:firstLine="0"/>
        <w:jc w:val="left"/>
        <w:rPr>
          <w:rFonts w:ascii="宋体" w:hAnsi="宋体" w:cs="宋体" w:eastAsia="宋体" w:hint="default"/>
          <w:sz w:val="18"/>
          <w:szCs w:val="18"/>
        </w:rPr>
      </w:pPr>
      <w:r>
        <w:rPr/>
        <w:pict>
          <v:group style="position:absolute;margin-left:136.850006pt;margin-top:-91.498268pt;width:79.25pt;height:28pt;mso-position-horizontal-relative:page;mso-position-vertical-relative:paragraph;z-index:-1167424" coordorigin="2737,-1830" coordsize="1585,560">
            <v:group style="position:absolute;left:2737;top:-1830;width:1585;height:154" coordorigin="2737,-1830" coordsize="1585,154">
              <v:shape style="position:absolute;left:2737;top:-1830;width:1585;height:154" coordorigin="2737,-1830" coordsize="1585,154" path="m2737,-1676l4321,-1676,4321,-1830,2737,-1830,2737,-1676xe" filled="true" fillcolor="#ffffff" stroked="false">
                <v:path arrowok="t"/>
                <v:fill type="solid"/>
              </v:shape>
            </v:group>
            <v:group style="position:absolute;left:2749;top:-1676;width:2;height:394" coordorigin="2749,-1676" coordsize="2,394">
              <v:shape style="position:absolute;left:2749;top:-1676;width:2;height:394" coordorigin="2749,-1676" coordsize="0,394" path="m2749,-1676l2749,-1283e" filled="false" stroked="true" strokeweight="1.2pt" strokecolor="#ffffff">
                <v:path arrowok="t"/>
              </v:shape>
            </v:group>
            <v:group style="position:absolute;left:2761;top:-1676;width:1537;height:394" coordorigin="2761,-1676" coordsize="1537,394">
              <v:shape style="position:absolute;left:2761;top:-1676;width:1537;height:394" coordorigin="2761,-1676" coordsize="1537,394" path="m2761,-1283l4297,-1283,4297,-1676,2761,-1676,2761,-1283xe" filled="true" fillcolor="#ffffff" stroked="false">
                <v:path arrowok="t"/>
                <v:fill type="solid"/>
              </v:shape>
            </v:group>
            <w10:wrap type="none"/>
          </v:group>
        </w:pict>
      </w:r>
      <w:r>
        <w:rPr>
          <w:rFonts w:ascii="宋体" w:hAnsi="宋体" w:cs="宋体" w:eastAsia="宋体" w:hint="default"/>
          <w:spacing w:val="-3"/>
          <w:sz w:val="18"/>
          <w:szCs w:val="18"/>
        </w:rPr>
        <w:t>应收账款核销说明：</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本报告期实际核销的应收账款金额为</w:t>
      </w:r>
      <w:r>
        <w:rPr>
          <w:rFonts w:ascii="Times New Roman" w:hAnsi="Times New Roman" w:cs="Times New Roman" w:eastAsia="Times New Roman" w:hint="default"/>
          <w:spacing w:val="-2"/>
          <w:sz w:val="18"/>
          <w:szCs w:val="18"/>
        </w:rPr>
        <w:t>1,005,754.40</w:t>
      </w:r>
      <w:r>
        <w:rPr>
          <w:rFonts w:ascii="宋体" w:hAnsi="宋体" w:cs="宋体" w:eastAsia="宋体" w:hint="default"/>
          <w:spacing w:val="-2"/>
          <w:sz w:val="18"/>
          <w:szCs w:val="18"/>
        </w:rPr>
        <w:t>元。</w:t>
      </w:r>
    </w:p>
    <w:p>
      <w:pPr>
        <w:spacing w:line="240" w:lineRule="auto" w:before="7"/>
        <w:rPr>
          <w:rFonts w:ascii="宋体" w:hAnsi="宋体" w:cs="宋体" w:eastAsia="宋体" w:hint="default"/>
          <w:sz w:val="18"/>
          <w:szCs w:val="18"/>
        </w:rPr>
      </w:pPr>
    </w:p>
    <w:p>
      <w:pPr>
        <w:pStyle w:val="Heading4"/>
        <w:spacing w:line="240" w:lineRule="auto"/>
        <w:ind w:right="0"/>
        <w:jc w:val="left"/>
        <w:rPr>
          <w:b w:val="0"/>
          <w:bCs w:val="0"/>
        </w:rPr>
      </w:pPr>
      <w:bookmarkStart w:name="（4） 按欠款方归集的期末余额前五名的应收账款情况" w:id="228"/>
      <w:bookmarkEnd w:id="228"/>
      <w:r>
        <w:rPr>
          <w:b w:val="0"/>
          <w:bCs w:val="0"/>
        </w:rPr>
      </w:r>
      <w:r>
        <w:rPr/>
        <w:t>（</w:t>
      </w:r>
      <w:r>
        <w:rPr>
          <w:rFonts w:ascii="Times New Roman" w:hAnsi="Times New Roman" w:cs="Times New Roman" w:eastAsia="Times New Roman" w:hint="default"/>
        </w:rPr>
        <w:t>4</w:t>
      </w:r>
      <w:r>
        <w:rPr/>
        <w:t>）</w:t>
      </w:r>
      <w:r>
        <w:rPr>
          <w:spacing w:val="-3"/>
        </w:rPr>
        <w:t> </w:t>
      </w:r>
      <w:r>
        <w:rPr/>
        <w:t>按欠款方归集的期末余额前五名的应收账款情况</w:t>
      </w:r>
      <w:r>
        <w:rPr>
          <w:b w:val="0"/>
          <w:bCs w:val="0"/>
        </w:rPr>
      </w:r>
    </w:p>
    <w:p>
      <w:pPr>
        <w:spacing w:line="240" w:lineRule="auto" w:before="4"/>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本集团本年按欠款方归集的期末余额前五名应收账款汇总金额为</w:t>
      </w:r>
      <w:r>
        <w:rPr>
          <w:rFonts w:ascii="Times New Roman" w:hAnsi="Times New Roman" w:cs="Times New Roman" w:eastAsia="Times New Roman" w:hint="default"/>
          <w:spacing w:val="-3"/>
          <w:sz w:val="18"/>
          <w:szCs w:val="18"/>
        </w:rPr>
        <w:t>64,748,566.08</w:t>
      </w:r>
      <w:r>
        <w:rPr>
          <w:rFonts w:ascii="宋体" w:hAnsi="宋体" w:cs="宋体" w:eastAsia="宋体" w:hint="default"/>
          <w:spacing w:val="-3"/>
          <w:sz w:val="18"/>
          <w:szCs w:val="18"/>
        </w:rPr>
        <w:t>元，占应收账款期末余额合计数的比例为</w:t>
      </w:r>
    </w:p>
    <w:p>
      <w:pPr>
        <w:spacing w:before="6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32.02%</w:t>
      </w:r>
      <w:r>
        <w:rPr>
          <w:rFonts w:ascii="宋体" w:hAnsi="宋体" w:cs="宋体" w:eastAsia="宋体" w:hint="default"/>
          <w:sz w:val="18"/>
          <w:szCs w:val="18"/>
        </w:rPr>
        <w:t>，相应计提的坏账准备期末余额汇总金额为</w:t>
      </w:r>
      <w:r>
        <w:rPr>
          <w:rFonts w:ascii="Times New Roman" w:hAnsi="Times New Roman" w:cs="Times New Roman" w:eastAsia="Times New Roman" w:hint="default"/>
          <w:sz w:val="18"/>
          <w:szCs w:val="18"/>
        </w:rPr>
        <w:t>3,717,900.74</w:t>
      </w:r>
      <w:r>
        <w:rPr>
          <w:rFonts w:ascii="宋体" w:hAnsi="宋体" w:cs="宋体" w:eastAsia="宋体" w:hint="default"/>
          <w:sz w:val="18"/>
          <w:szCs w:val="18"/>
        </w:rPr>
        <w:t>元。</w:t>
      </w:r>
    </w:p>
    <w:p>
      <w:pPr>
        <w:spacing w:line="240" w:lineRule="auto" w:before="0"/>
        <w:rPr>
          <w:rFonts w:ascii="宋体" w:hAnsi="宋体" w:cs="宋体" w:eastAsia="宋体" w:hint="default"/>
          <w:sz w:val="26"/>
          <w:szCs w:val="26"/>
        </w:rPr>
      </w:pPr>
    </w:p>
    <w:p>
      <w:pPr>
        <w:pStyle w:val="Heading4"/>
        <w:spacing w:line="240" w:lineRule="auto"/>
        <w:ind w:right="0"/>
        <w:jc w:val="left"/>
        <w:rPr>
          <w:b w:val="0"/>
          <w:bCs w:val="0"/>
        </w:rPr>
      </w:pPr>
      <w:bookmarkStart w:name="5、预付款项" w:id="229"/>
      <w:bookmarkEnd w:id="229"/>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1）预付款项按账龄列示" w:id="230"/>
      <w:bookmarkEnd w:id="230"/>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6"/>
        <w:gridCol w:w="1916"/>
        <w:gridCol w:w="1916"/>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2"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11,984,606.28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97.48%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29,334,451.42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97.38%</w:t>
            </w:r>
          </w:p>
        </w:tc>
      </w:tr>
      <w:tr>
        <w:trPr>
          <w:trHeight w:val="39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310,012.10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926"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279,158.48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0.93%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1926"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508,107.54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1.69%</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904"/>
        <w:gridCol w:w="1928"/>
        <w:gridCol w:w="1913"/>
        <w:gridCol w:w="1916"/>
        <w:gridCol w:w="1916"/>
      </w:tblGrid>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847" w:right="0"/>
              <w:jc w:val="left"/>
              <w:rPr>
                <w:rFonts w:ascii="Times New Roman" w:hAnsi="Times New Roman" w:cs="Times New Roman" w:eastAsia="Times New Roman" w:hint="default"/>
                <w:sz w:val="18"/>
                <w:szCs w:val="18"/>
              </w:rPr>
            </w:pPr>
            <w:r>
              <w:rPr>
                <w:rFonts w:ascii="Times New Roman"/>
                <w:sz w:val="18"/>
              </w:rPr>
              <w:t>12,294,618.38</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45" w:right="0"/>
              <w:jc w:val="left"/>
              <w:rPr>
                <w:rFonts w:ascii="Times New Roman" w:hAnsi="Times New Roman" w:cs="Times New Roman" w:eastAsia="Times New Roman" w:hint="default"/>
                <w:sz w:val="18"/>
                <w:szCs w:val="18"/>
              </w:rPr>
            </w:pPr>
            <w:r>
              <w:rPr>
                <w:rFonts w:ascii="Times New Roman"/>
                <w:sz w:val="18"/>
              </w:rPr>
              <w:t>30,121,717.44</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316" w:lineRule="auto" w:before="53"/>
        <w:ind w:left="153" w:right="1127"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年且金额重要的预付款项未及时结算原因的说明：</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注：预付款项期末余额较年初减少</w:t>
      </w:r>
      <w:r>
        <w:rPr>
          <w:rFonts w:ascii="Times New Roman" w:hAnsi="Times New Roman" w:cs="Times New Roman" w:eastAsia="Times New Roman" w:hint="default"/>
          <w:spacing w:val="-3"/>
          <w:sz w:val="18"/>
          <w:szCs w:val="18"/>
        </w:rPr>
        <w:t>17,827,099.06</w:t>
      </w:r>
      <w:r>
        <w:rPr>
          <w:rFonts w:ascii="宋体" w:hAnsi="宋体" w:cs="宋体" w:eastAsia="宋体" w:hint="default"/>
          <w:spacing w:val="-3"/>
          <w:sz w:val="18"/>
          <w:szCs w:val="18"/>
        </w:rPr>
        <w:t>元，减幅</w:t>
      </w:r>
      <w:r>
        <w:rPr>
          <w:rFonts w:ascii="Times New Roman" w:hAnsi="Times New Roman" w:cs="Times New Roman" w:eastAsia="Times New Roman" w:hint="default"/>
          <w:spacing w:val="-3"/>
          <w:sz w:val="18"/>
          <w:szCs w:val="18"/>
        </w:rPr>
        <w:t>59.18%</w:t>
      </w:r>
      <w:r>
        <w:rPr>
          <w:rFonts w:ascii="宋体" w:hAnsi="宋体" w:cs="宋体" w:eastAsia="宋体" w:hint="default"/>
          <w:spacing w:val="-3"/>
          <w:sz w:val="18"/>
          <w:szCs w:val="18"/>
        </w:rPr>
        <w:t>，主要系本年处置上海卓越，合并范围变更所致，广告投放</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款减少所致。</w:t>
      </w:r>
    </w:p>
    <w:p>
      <w:pPr>
        <w:spacing w:line="240" w:lineRule="auto" w:before="8"/>
        <w:rPr>
          <w:rFonts w:ascii="宋体" w:hAnsi="宋体" w:cs="宋体" w:eastAsia="宋体" w:hint="default"/>
          <w:sz w:val="22"/>
          <w:szCs w:val="22"/>
        </w:rPr>
      </w:pPr>
    </w:p>
    <w:p>
      <w:pPr>
        <w:pStyle w:val="Heading4"/>
        <w:spacing w:line="240" w:lineRule="auto"/>
        <w:ind w:right="0"/>
        <w:jc w:val="left"/>
        <w:rPr>
          <w:b w:val="0"/>
          <w:bCs w:val="0"/>
        </w:rPr>
      </w:pPr>
      <w:bookmarkStart w:name="（2）按预付对象归集的期末余额前五名的预付款情况" w:id="231"/>
      <w:bookmarkEnd w:id="231"/>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截至报告期末按供应商归集的期末余额前五名预付款项汇总金额为</w:t>
      </w:r>
      <w:r>
        <w:rPr>
          <w:rFonts w:ascii="Times New Roman" w:hAnsi="Times New Roman" w:cs="Times New Roman" w:eastAsia="Times New Roman" w:hint="default"/>
          <w:spacing w:val="-3"/>
          <w:sz w:val="18"/>
          <w:szCs w:val="18"/>
        </w:rPr>
        <w:t>6,700,592.42</w:t>
      </w:r>
      <w:r>
        <w:rPr>
          <w:rFonts w:ascii="宋体" w:hAnsi="宋体" w:cs="宋体" w:eastAsia="宋体" w:hint="default"/>
          <w:spacing w:val="-3"/>
          <w:sz w:val="18"/>
          <w:szCs w:val="18"/>
        </w:rPr>
        <w:t>元，占预付款项期末余额合计数的比例为</w:t>
      </w:r>
    </w:p>
    <w:p>
      <w:pPr>
        <w:spacing w:before="6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54.50%</w:t>
      </w:r>
      <w:r>
        <w:rPr>
          <w:rFonts w:ascii="宋体" w:hAnsi="宋体" w:cs="宋体" w:eastAsia="宋体" w:hint="default"/>
          <w:sz w:val="18"/>
          <w:szCs w:val="18"/>
        </w:rPr>
        <w:t>。</w:t>
      </w:r>
    </w:p>
    <w:p>
      <w:pPr>
        <w:spacing w:before="106"/>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6、其他应收款" w:id="232"/>
      <w:bookmarkEnd w:id="232"/>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96,000,389.26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63,208,412.73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6,987,444.93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103,282,135.87</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102,987,834.19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166,490,548.60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1）应收股利" w:id="233"/>
      <w:bookmarkEnd w:id="233"/>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1）应收股利分类" w:id="234"/>
      <w:bookmarkEnd w:id="234"/>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亿迅信息技术有限公司</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40,176,472.61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51,436,472.61</w:t>
            </w:r>
          </w:p>
        </w:tc>
      </w:tr>
      <w:tr>
        <w:trPr>
          <w:trHeight w:val="398"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宝东信息技术有限公司</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15,755,475.33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15,755,475.33</w:t>
            </w:r>
          </w:p>
        </w:tc>
      </w:tr>
      <w:tr>
        <w:trPr>
          <w:trHeight w:val="404"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3"/>
                <w:sz w:val="18"/>
              </w:rPr>
              <w:t>Esoon </w:t>
            </w:r>
            <w:r>
              <w:rPr>
                <w:rFonts w:ascii="Times New Roman"/>
                <w:sz w:val="18"/>
              </w:rPr>
              <w:t>China</w:t>
            </w:r>
            <w:r>
              <w:rPr>
                <w:rFonts w:ascii="Times New Roman"/>
                <w:spacing w:val="14"/>
                <w:sz w:val="18"/>
              </w:rPr>
              <w:t> </w:t>
            </w:r>
            <w:r>
              <w:rPr>
                <w:rFonts w:ascii="Times New Roman"/>
                <w:sz w:val="18"/>
              </w:rPr>
              <w:t>Limited</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2,785,484.48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2,740,365.40</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上海卓越形象广告传播有限公司</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7,633,087.38</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Getty </w:t>
            </w:r>
            <w:r>
              <w:rPr>
                <w:rFonts w:ascii="Times New Roman"/>
                <w:spacing w:val="-3"/>
                <w:sz w:val="18"/>
              </w:rPr>
              <w:t>Images </w:t>
            </w:r>
            <w:r>
              <w:rPr>
                <w:rFonts w:ascii="Times New Roman"/>
                <w:sz w:val="18"/>
              </w:rPr>
              <w:t>SEA Holdings Co.,Limited</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12,406,467.73</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广东易教优培教育科技有限公司</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28,379,302.19</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应收股利坏账准备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-11,135,900.46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-6,723,900.61</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96,000,389.26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63,208,412.73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重要的账龄超过1年的应收股利" w:id="235"/>
      <w:bookmarkEnd w:id="235"/>
      <w:r>
        <w:rPr>
          <w:b w:val="0"/>
          <w:bCs w:val="0"/>
        </w:rPr>
      </w:r>
      <w:r>
        <w:rPr>
          <w:rFonts w:ascii="Times New Roman" w:hAnsi="Times New Roman" w:cs="Times New Roman" w:eastAsia="Times New Roman" w:hint="default"/>
        </w:rPr>
        <w:t>2</w:t>
      </w:r>
      <w:r>
        <w:rPr/>
        <w:t>）重要的账龄超过</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0"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73" w:right="45" w:hanging="721"/>
              <w:jc w:val="left"/>
              <w:rPr>
                <w:rFonts w:ascii="宋体" w:hAnsi="宋体" w:cs="宋体" w:eastAsia="宋体" w:hint="default"/>
                <w:sz w:val="18"/>
                <w:szCs w:val="18"/>
              </w:rPr>
            </w:pPr>
            <w:r>
              <w:rPr>
                <w:rFonts w:ascii="宋体" w:hAnsi="宋体" w:cs="宋体" w:eastAsia="宋体" w:hint="default"/>
                <w:spacing w:val="-2"/>
                <w:sz w:val="18"/>
                <w:szCs w:val="18"/>
              </w:rPr>
              <w:t>是否发生减值及其判断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依据</w:t>
            </w:r>
          </w:p>
        </w:tc>
      </w:tr>
    </w:tbl>
    <w:p>
      <w:pPr>
        <w:spacing w:after="0" w:line="316"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亿迅信息技术有限公司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40,176,472.61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对方资金紧张</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预计可收回</w:t>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宝东信息技术有限公司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15,755,475.33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对方资金紧张</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预计可收回</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pacing w:val="-3"/>
                <w:sz w:val="18"/>
              </w:rPr>
              <w:t>Esoon </w:t>
            </w:r>
            <w:r>
              <w:rPr>
                <w:rFonts w:ascii="Times New Roman"/>
                <w:sz w:val="18"/>
              </w:rPr>
              <w:t>China</w:t>
            </w:r>
            <w:r>
              <w:rPr>
                <w:rFonts w:ascii="Times New Roman"/>
                <w:spacing w:val="14"/>
                <w:sz w:val="18"/>
              </w:rPr>
              <w:t> </w:t>
            </w:r>
            <w:r>
              <w:rPr>
                <w:rFonts w:ascii="Times New Roman"/>
                <w:sz w:val="18"/>
              </w:rPr>
              <w:t>Limited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2,785,484.48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对方资金紧张</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预计可收回</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上海卓越形象广告传播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7,633,087.38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对方资金紧张</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预计可收回</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66,350,519.80</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坏账准备计提情况" w:id="236"/>
      <w:bookmarkEnd w:id="236"/>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2"/>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4"/>
        <w:gridCol w:w="1662"/>
        <w:gridCol w:w="2098"/>
        <w:gridCol w:w="2103"/>
        <w:gridCol w:w="1800"/>
      </w:tblGrid>
      <w:tr>
        <w:trPr>
          <w:trHeight w:val="403" w:hRule="exact"/>
        </w:trPr>
        <w:tc>
          <w:tcPr>
            <w:tcW w:w="18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86"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1" w:hRule="exact"/>
        </w:trPr>
        <w:tc>
          <w:tcPr>
            <w:tcW w:w="18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left="5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2"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4"/>
              <w:ind w:left="561" w:right="51" w:hanging="50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w:t>
            </w:r>
            <w:r>
              <w:rPr>
                <w:rFonts w:ascii="宋体" w:hAnsi="宋体" w:cs="宋体" w:eastAsia="宋体" w:hint="default"/>
                <w:w w:val="101"/>
                <w:sz w:val="18"/>
                <w:szCs w:val="18"/>
              </w:rPr>
              <w:t> </w:t>
            </w:r>
            <w:r>
              <w:rPr>
                <w:rFonts w:ascii="宋体" w:hAnsi="宋体" w:cs="宋体" w:eastAsia="宋体" w:hint="default"/>
                <w:sz w:val="18"/>
                <w:szCs w:val="18"/>
              </w:rPr>
              <w:t>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未发生信用减值</w:t>
            </w:r>
            <w:r>
              <w:rPr>
                <w:rFonts w:ascii="Times New Roman" w:hAnsi="Times New Roman" w:cs="Times New Roman" w:eastAsia="Times New Roman" w:hint="default"/>
                <w:spacing w:val="-3"/>
                <w:sz w:val="18"/>
                <w:szCs w:val="18"/>
              </w:rPr>
              <w:t>)</w:t>
            </w:r>
          </w:p>
        </w:tc>
        <w:tc>
          <w:tcPr>
            <w:tcW w:w="21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已发生信用减值</w:t>
            </w:r>
            <w:r>
              <w:rPr>
                <w:rFonts w:ascii="Times New Roman" w:hAnsi="Times New Roman" w:cs="Times New Roman" w:eastAsia="Times New Roman" w:hint="default"/>
                <w:spacing w:val="-3"/>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left="715"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0" w:hRule="exact"/>
        </w:trPr>
        <w:tc>
          <w:tcPr>
            <w:tcW w:w="18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2"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3" w:type="dxa"/>
            <w:vMerge/>
            <w:tcBorders>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62" w:type="dxa"/>
            <w:tcBorders>
              <w:top w:val="single" w:sz="4" w:space="0" w:color="000000"/>
              <w:left w:val="single" w:sz="8"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6,723,900.61</w:t>
            </w: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6,723,900.61</w:t>
            </w:r>
          </w:p>
        </w:tc>
      </w:tr>
      <w:tr>
        <w:trPr>
          <w:trHeight w:val="163" w:hRule="exact"/>
        </w:trPr>
        <w:tc>
          <w:tcPr>
            <w:tcW w:w="1894"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3"/>
              <w:ind w:left="11"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日余额在</w:t>
            </w:r>
            <w:r>
              <w:rPr>
                <w:rFonts w:ascii="宋体" w:hAnsi="宋体" w:cs="宋体" w:eastAsia="宋体" w:hint="default"/>
                <w:w w:val="101"/>
                <w:sz w:val="18"/>
                <w:szCs w:val="18"/>
              </w:rPr>
              <w:t> </w:t>
            </w:r>
            <w:r>
              <w:rPr>
                <w:rFonts w:ascii="宋体" w:hAnsi="宋体" w:cs="宋体" w:eastAsia="宋体" w:hint="default"/>
                <w:sz w:val="18"/>
                <w:szCs w:val="18"/>
              </w:rPr>
              <w:t>本期</w:t>
            </w:r>
          </w:p>
        </w:tc>
        <w:tc>
          <w:tcPr>
            <w:tcW w:w="1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89" w:hRule="exact"/>
        </w:trPr>
        <w:tc>
          <w:tcPr>
            <w:tcW w:w="1894" w:type="dxa"/>
            <w:vMerge/>
            <w:tcBorders>
              <w:left w:val="single" w:sz="4" w:space="0" w:color="000000"/>
              <w:right w:val="single" w:sz="4" w:space="0" w:color="000000"/>
            </w:tcBorders>
            <w:shd w:val="clear" w:color="auto" w:fill="D2D2D2"/>
          </w:tcPr>
          <w:p>
            <w:pPr/>
          </w:p>
        </w:tc>
        <w:tc>
          <w:tcPr>
            <w:tcW w:w="16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7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4" w:hRule="exact"/>
        </w:trPr>
        <w:tc>
          <w:tcPr>
            <w:tcW w:w="1894" w:type="dxa"/>
            <w:vMerge/>
            <w:tcBorders>
              <w:left w:val="single" w:sz="4" w:space="0" w:color="000000"/>
              <w:bottom w:val="single" w:sz="4" w:space="0" w:color="000000"/>
              <w:right w:val="single" w:sz="4" w:space="0" w:color="000000"/>
            </w:tcBorders>
            <w:shd w:val="clear" w:color="auto" w:fill="D2D2D2"/>
          </w:tcPr>
          <w:p>
            <w:pPr/>
          </w:p>
        </w:tc>
        <w:tc>
          <w:tcPr>
            <w:tcW w:w="1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2" w:type="dxa"/>
            <w:tcBorders>
              <w:top w:val="single" w:sz="4" w:space="0" w:color="000000"/>
              <w:left w:val="single" w:sz="8"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4,405,251.65</w:t>
            </w: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4,405,251.65</w:t>
            </w:r>
          </w:p>
        </w:tc>
      </w:tr>
      <w:tr>
        <w:trPr>
          <w:trHeight w:val="398"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62" w:type="dxa"/>
            <w:tcBorders>
              <w:top w:val="single" w:sz="4" w:space="0" w:color="000000"/>
              <w:left w:val="single" w:sz="8"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6,748.20</w:t>
            </w: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6,748.20</w:t>
            </w: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日余额</w:t>
            </w:r>
          </w:p>
        </w:tc>
        <w:tc>
          <w:tcPr>
            <w:tcW w:w="1662" w:type="dxa"/>
            <w:tcBorders>
              <w:top w:val="single" w:sz="4" w:space="0" w:color="000000"/>
              <w:left w:val="single" w:sz="8"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11,135,900.46</w:t>
            </w: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11,135,900.46</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损失准备本期变动金额重大的账面余额变动情况</w:t>
      </w:r>
    </w:p>
    <w:p>
      <w:pPr>
        <w:spacing w:line="338" w:lineRule="auto" w:before="120"/>
        <w:ind w:left="153" w:right="88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其他说明：</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2）其他应收款" w:id="237"/>
      <w:bookmarkEnd w:id="237"/>
      <w:r>
        <w:rPr>
          <w:b w:val="0"/>
          <w:bCs w:val="0"/>
        </w:rPr>
      </w:r>
      <w:r>
        <w:rPr/>
        <w:t>（</w:t>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其他应收款按款项性质分类情况" w:id="238"/>
      <w:bookmarkEnd w:id="238"/>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借款及备用金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440,086.80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6,066,389.40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拆迁补偿款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6,174,265.87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4,419,471.14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464,053.91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97,523,058.41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其他应收款坏账准备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-90,961.65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-7,726,783.08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6,987,444.93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103,282,135.87</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4"/>
        <w:spacing w:line="240" w:lineRule="auto" w:before="36"/>
        <w:ind w:right="0"/>
        <w:jc w:val="left"/>
        <w:rPr>
          <w:b w:val="0"/>
          <w:bCs w:val="0"/>
        </w:rPr>
      </w:pPr>
      <w:bookmarkStart w:name="2）坏账准备计提情况" w:id="239"/>
      <w:bookmarkEnd w:id="239"/>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4"/>
        <w:gridCol w:w="1662"/>
        <w:gridCol w:w="2098"/>
        <w:gridCol w:w="2103"/>
        <w:gridCol w:w="1800"/>
      </w:tblGrid>
      <w:tr>
        <w:trPr>
          <w:trHeight w:val="404" w:hRule="exact"/>
        </w:trPr>
        <w:tc>
          <w:tcPr>
            <w:tcW w:w="18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7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0" w:hRule="exact"/>
        </w:trPr>
        <w:tc>
          <w:tcPr>
            <w:tcW w:w="18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
              <w:ind w:left="5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2"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3"/>
              <w:ind w:left="561" w:right="51" w:hanging="50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w:t>
            </w:r>
            <w:r>
              <w:rPr>
                <w:rFonts w:ascii="宋体" w:hAnsi="宋体" w:cs="宋体" w:eastAsia="宋体" w:hint="default"/>
                <w:w w:val="101"/>
                <w:sz w:val="18"/>
                <w:szCs w:val="18"/>
              </w:rPr>
              <w:t> </w:t>
            </w:r>
            <w:r>
              <w:rPr>
                <w:rFonts w:ascii="宋体" w:hAnsi="宋体" w:cs="宋体" w:eastAsia="宋体" w:hint="default"/>
                <w:sz w:val="18"/>
                <w:szCs w:val="18"/>
              </w:rPr>
              <w:t>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未发生信用减值</w:t>
            </w:r>
            <w:r>
              <w:rPr>
                <w:rFonts w:ascii="Times New Roman" w:hAnsi="Times New Roman" w:cs="Times New Roman" w:eastAsia="Times New Roman" w:hint="default"/>
                <w:spacing w:val="-3"/>
                <w:sz w:val="18"/>
                <w:szCs w:val="18"/>
              </w:rPr>
              <w:t>)</w:t>
            </w:r>
          </w:p>
        </w:tc>
        <w:tc>
          <w:tcPr>
            <w:tcW w:w="21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已发生信用减值</w:t>
            </w:r>
            <w:r>
              <w:rPr>
                <w:rFonts w:ascii="Times New Roman" w:hAnsi="Times New Roman" w:cs="Times New Roman" w:eastAsia="Times New Roman" w:hint="default"/>
                <w:spacing w:val="-3"/>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
              <w:ind w:left="715"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5" w:hRule="exact"/>
        </w:trPr>
        <w:tc>
          <w:tcPr>
            <w:tcW w:w="18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2"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3" w:type="dxa"/>
            <w:vMerge/>
            <w:tcBorders>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4,298,007.57</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3,428,775.51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7,726,783.08</w:t>
            </w:r>
          </w:p>
        </w:tc>
      </w:tr>
      <w:tr>
        <w:trPr>
          <w:trHeight w:val="163" w:hRule="exact"/>
        </w:trPr>
        <w:tc>
          <w:tcPr>
            <w:tcW w:w="1894" w:type="dxa"/>
            <w:vMerge w:val="restart"/>
            <w:tcBorders>
              <w:top w:val="single" w:sz="4" w:space="0" w:color="000000"/>
              <w:left w:val="single" w:sz="4" w:space="0" w:color="000000"/>
              <w:right w:val="single" w:sz="4" w:space="0" w:color="000000"/>
            </w:tcBorders>
            <w:shd w:val="clear" w:color="auto" w:fill="D2D2D2"/>
          </w:tcPr>
          <w:p>
            <w:pPr>
              <w:pStyle w:val="TableParagraph"/>
              <w:spacing w:line="304" w:lineRule="auto" w:before="53"/>
              <w:ind w:left="11"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日余额在</w:t>
            </w:r>
            <w:r>
              <w:rPr>
                <w:rFonts w:ascii="宋体" w:hAnsi="宋体" w:cs="宋体" w:eastAsia="宋体" w:hint="default"/>
                <w:w w:val="101"/>
                <w:sz w:val="18"/>
                <w:szCs w:val="18"/>
              </w:rPr>
              <w:t> </w:t>
            </w:r>
            <w:r>
              <w:rPr>
                <w:rFonts w:ascii="宋体" w:hAnsi="宋体" w:cs="宋体" w:eastAsia="宋体" w:hint="default"/>
                <w:sz w:val="18"/>
                <w:szCs w:val="18"/>
              </w:rPr>
              <w:t>本期</w:t>
            </w:r>
          </w:p>
        </w:tc>
        <w:tc>
          <w:tcPr>
            <w:tcW w:w="1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894" w:type="dxa"/>
            <w:vMerge/>
            <w:tcBorders>
              <w:left w:val="single" w:sz="4" w:space="0" w:color="000000"/>
              <w:right w:val="single" w:sz="4" w:space="0" w:color="000000"/>
            </w:tcBorders>
            <w:shd w:val="clear" w:color="auto" w:fill="D2D2D2"/>
          </w:tcPr>
          <w:p>
            <w:pPr/>
          </w:p>
        </w:tc>
        <w:tc>
          <w:tcPr>
            <w:tcW w:w="16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7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58" w:hRule="exact"/>
        </w:trPr>
        <w:tc>
          <w:tcPr>
            <w:tcW w:w="1894" w:type="dxa"/>
            <w:vMerge/>
            <w:tcBorders>
              <w:left w:val="single" w:sz="4" w:space="0" w:color="000000"/>
              <w:bottom w:val="single" w:sz="4" w:space="0" w:color="000000"/>
              <w:right w:val="single" w:sz="4" w:space="0" w:color="000000"/>
            </w:tcBorders>
            <w:shd w:val="clear" w:color="auto" w:fill="D2D2D2"/>
          </w:tcPr>
          <w:p>
            <w:pPr/>
          </w:p>
        </w:tc>
        <w:tc>
          <w:tcPr>
            <w:tcW w:w="1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-4,097,824.88</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-428,775.51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-4,526,600.39</w:t>
            </w: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62" w:type="dxa"/>
            <w:tcBorders>
              <w:top w:val="single" w:sz="4" w:space="0" w:color="000000"/>
              <w:left w:val="single" w:sz="8"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-59,980.00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-59,980.00</w:t>
            </w:r>
          </w:p>
        </w:tc>
      </w:tr>
      <w:tr>
        <w:trPr>
          <w:trHeight w:val="398"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62" w:type="dxa"/>
            <w:tcBorders>
              <w:top w:val="single" w:sz="4" w:space="0" w:color="000000"/>
              <w:left w:val="single" w:sz="8"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-2,940,020.00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-2,940,020.00</w:t>
            </w:r>
          </w:p>
        </w:tc>
      </w:tr>
      <w:tr>
        <w:trPr>
          <w:trHeight w:val="404"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-109,221.04</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-109,221.04</w:t>
            </w: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日余额</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90,961.65</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90,961.65</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损失准备本期变动金额重大的账面余额变动情况</w:t>
      </w:r>
    </w:p>
    <w:p>
      <w:pPr>
        <w:spacing w:line="338" w:lineRule="auto" w:before="119"/>
        <w:ind w:left="153" w:right="1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937" w:space="4894"/>
            <w:col w:w="2099"/>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39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3,680,325.23</w:t>
            </w:r>
          </w:p>
        </w:tc>
      </w:tr>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1,315,668.37</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2,002,338.45</w:t>
            </w:r>
          </w:p>
        </w:tc>
      </w:tr>
      <w:tr>
        <w:trPr>
          <w:trHeight w:val="39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80,074.53</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4,776.57</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51,297.96</w:t>
            </w:r>
          </w:p>
        </w:tc>
      </w:tr>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24,000.00</w:t>
            </w:r>
          </w:p>
        </w:tc>
      </w:tr>
      <w:tr>
        <w:trPr>
          <w:trHeight w:val="39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7,078,406.58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本期计提、收回或转回的坏账准备情况" w:id="240"/>
      <w:bookmarkEnd w:id="240"/>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7"/>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本期计提坏账准备情况：</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7"/>
        <w:gridCol w:w="1100"/>
        <w:gridCol w:w="1191"/>
        <w:gridCol w:w="1306"/>
        <w:gridCol w:w="1090"/>
        <w:gridCol w:w="1738"/>
        <w:gridCol w:w="1728"/>
      </w:tblGrid>
      <w:tr>
        <w:trPr>
          <w:trHeight w:val="403" w:hRule="exact"/>
        </w:trPr>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1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417" w:type="dxa"/>
            <w:vMerge/>
            <w:tcBorders>
              <w:left w:val="single" w:sz="4" w:space="0" w:color="000000"/>
              <w:bottom w:val="single" w:sz="4" w:space="0" w:color="000000"/>
              <w:right w:val="single" w:sz="4" w:space="0" w:color="000000"/>
            </w:tcBorders>
            <w:shd w:val="clear" w:color="auto" w:fill="D2D2D2"/>
          </w:tcPr>
          <w:p>
            <w:pPr/>
          </w:p>
        </w:tc>
        <w:tc>
          <w:tcPr>
            <w:tcW w:w="1100" w:type="dxa"/>
            <w:vMerge/>
            <w:tcBorders>
              <w:left w:val="single" w:sz="4" w:space="0" w:color="000000"/>
              <w:bottom w:val="single" w:sz="4" w:space="0" w:color="000000"/>
              <w:right w:val="single" w:sz="4" w:space="0" w:color="000000"/>
            </w:tcBorders>
            <w:shd w:val="clear" w:color="auto" w:fill="D2D2D2"/>
          </w:tcPr>
          <w:p>
            <w:pP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28"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18"/>
              <w:jc w:val="both"/>
              <w:rPr>
                <w:rFonts w:ascii="宋体" w:hAnsi="宋体" w:cs="宋体" w:eastAsia="宋体" w:hint="default"/>
                <w:sz w:val="18"/>
                <w:szCs w:val="18"/>
              </w:rPr>
            </w:pPr>
            <w:r>
              <w:rPr>
                <w:rFonts w:ascii="宋体" w:hAnsi="宋体" w:cs="宋体" w:eastAsia="宋体" w:hint="default"/>
                <w:spacing w:val="-3"/>
                <w:sz w:val="18"/>
                <w:szCs w:val="18"/>
              </w:rPr>
              <w:t>按单项计提坏账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准备的其他应收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款</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3,000,000.00</w:t>
            </w:r>
          </w:p>
        </w:tc>
        <w:tc>
          <w:tcPr>
            <w:tcW w:w="1191"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-59,980.00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-2,940,020.00</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17"/>
        <w:gridCol w:w="1100"/>
        <w:gridCol w:w="1191"/>
        <w:gridCol w:w="1306"/>
        <w:gridCol w:w="1090"/>
        <w:gridCol w:w="1738"/>
        <w:gridCol w:w="1728"/>
      </w:tblGrid>
      <w:tr>
        <w:trPr>
          <w:trHeight w:val="1027"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8"/>
              <w:jc w:val="both"/>
              <w:rPr>
                <w:rFonts w:ascii="宋体" w:hAnsi="宋体" w:cs="宋体" w:eastAsia="宋体" w:hint="default"/>
                <w:sz w:val="18"/>
                <w:szCs w:val="18"/>
              </w:rPr>
            </w:pPr>
            <w:r>
              <w:rPr>
                <w:rFonts w:ascii="宋体" w:hAnsi="宋体" w:cs="宋体" w:eastAsia="宋体" w:hint="default"/>
                <w:spacing w:val="-3"/>
                <w:sz w:val="18"/>
                <w:szCs w:val="18"/>
              </w:rPr>
              <w:t>按组合计提坏账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准备的其他应收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款</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4,726,783.08</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-4,526,600.39</w:t>
            </w:r>
          </w:p>
        </w:tc>
        <w:tc>
          <w:tcPr>
            <w:tcW w:w="130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-109,221.04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90,961.65</w:t>
            </w:r>
          </w:p>
        </w:tc>
      </w:tr>
      <w:tr>
        <w:trPr>
          <w:trHeight w:val="404"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88" w:right="0"/>
              <w:jc w:val="center"/>
              <w:rPr>
                <w:rFonts w:ascii="Times New Roman" w:hAnsi="Times New Roman" w:cs="Times New Roman" w:eastAsia="Times New Roman" w:hint="default"/>
                <w:sz w:val="18"/>
                <w:szCs w:val="18"/>
              </w:rPr>
            </w:pPr>
            <w:r>
              <w:rPr>
                <w:rFonts w:ascii="Times New Roman"/>
                <w:sz w:val="18"/>
              </w:rPr>
              <w:t>7,726,783.08</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-4,526,600.39</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94" w:right="0"/>
              <w:jc w:val="left"/>
              <w:rPr>
                <w:rFonts w:ascii="Times New Roman" w:hAnsi="Times New Roman" w:cs="Times New Roman" w:eastAsia="Times New Roman" w:hint="default"/>
                <w:sz w:val="18"/>
                <w:szCs w:val="18"/>
              </w:rPr>
            </w:pPr>
            <w:r>
              <w:rPr>
                <w:rFonts w:ascii="Times New Roman"/>
                <w:sz w:val="18"/>
              </w:rPr>
              <w:t>-59,980.00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-2,940,020.00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-109,221.04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90,961.65</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300" w:lineRule="auto" w:before="10"/>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本期计提坏账准备金额</w:t>
      </w:r>
      <w:r>
        <w:rPr>
          <w:rFonts w:ascii="Times New Roman" w:hAnsi="Times New Roman" w:cs="Times New Roman" w:eastAsia="Times New Roman" w:hint="default"/>
          <w:spacing w:val="-2"/>
          <w:sz w:val="18"/>
          <w:szCs w:val="18"/>
        </w:rPr>
        <w:t>-4,526,600.39</w:t>
      </w:r>
      <w:r>
        <w:rPr>
          <w:rFonts w:ascii="宋体" w:hAnsi="宋体" w:cs="宋体" w:eastAsia="宋体" w:hint="default"/>
          <w:spacing w:val="-2"/>
          <w:sz w:val="18"/>
          <w:szCs w:val="18"/>
        </w:rPr>
        <w:t>元；本期收回或转回坏账准备金额</w:t>
      </w:r>
      <w:r>
        <w:rPr>
          <w:rFonts w:ascii="Times New Roman" w:hAnsi="Times New Roman" w:cs="Times New Roman" w:eastAsia="Times New Roman" w:hint="default"/>
          <w:spacing w:val="-2"/>
          <w:sz w:val="18"/>
          <w:szCs w:val="18"/>
        </w:rPr>
        <w:t>59,980.00</w:t>
      </w:r>
      <w:r>
        <w:rPr>
          <w:rFonts w:ascii="宋体" w:hAnsi="宋体" w:cs="宋体" w:eastAsia="宋体" w:hint="default"/>
          <w:spacing w:val="-2"/>
          <w:sz w:val="18"/>
          <w:szCs w:val="18"/>
        </w:rPr>
        <w:t>元。</w:t>
      </w:r>
      <w:r>
        <w:rPr>
          <w:rFonts w:ascii="宋体" w:hAnsi="宋体" w:cs="宋体" w:eastAsia="宋体" w:hint="default"/>
          <w:spacing w:val="6"/>
          <w:sz w:val="18"/>
          <w:szCs w:val="18"/>
        </w:rPr>
        <w:t> </w:t>
      </w:r>
      <w:r>
        <w:rPr>
          <w:rFonts w:ascii="宋体" w:hAnsi="宋体" w:cs="宋体" w:eastAsia="宋体" w:hint="default"/>
          <w:spacing w:val="-3"/>
          <w:sz w:val="18"/>
          <w:szCs w:val="18"/>
        </w:rPr>
        <w:t>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5"/>
          <w:szCs w:val="1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747" w:space="2084"/>
            <w:col w:w="2099"/>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0" w:right="0"/>
              <w:jc w:val="left"/>
              <w:rPr>
                <w:rFonts w:ascii="宋体" w:hAnsi="宋体" w:cs="宋体" w:eastAsia="宋体" w:hint="default"/>
                <w:sz w:val="18"/>
                <w:szCs w:val="18"/>
              </w:rPr>
            </w:pPr>
            <w:r>
              <w:rPr>
                <w:rFonts w:ascii="宋体" w:hAnsi="宋体" w:cs="宋体" w:eastAsia="宋体" w:hint="default"/>
                <w:spacing w:val="-3"/>
                <w:sz w:val="18"/>
                <w:szCs w:val="18"/>
              </w:rPr>
              <w:t>转回或收回金额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4）本期实际核销的其他应收款情况" w:id="241"/>
      <w:bookmarkEnd w:id="241"/>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399"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2,940,020.00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其中重要的其他应收款核销情况：</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5"/>
        <w:gridCol w:w="1594"/>
        <w:gridCol w:w="1599"/>
        <w:gridCol w:w="1594"/>
      </w:tblGrid>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pacing w:val="-3"/>
                <w:sz w:val="18"/>
                <w:szCs w:val="18"/>
              </w:rPr>
              <w:t>其他应收款性质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523" w:right="65" w:hanging="452"/>
              <w:jc w:val="left"/>
              <w:rPr>
                <w:rFonts w:ascii="宋体" w:hAnsi="宋体" w:cs="宋体" w:eastAsia="宋体" w:hint="default"/>
                <w:sz w:val="18"/>
                <w:szCs w:val="18"/>
              </w:rPr>
            </w:pPr>
            <w:r>
              <w:rPr>
                <w:rFonts w:ascii="宋体" w:hAnsi="宋体" w:cs="宋体" w:eastAsia="宋体" w:hint="default"/>
                <w:spacing w:val="-2"/>
                <w:sz w:val="18"/>
                <w:szCs w:val="18"/>
              </w:rPr>
              <w:t>款项是否由关联交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易产生</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3"/>
              <w:jc w:val="left"/>
              <w:rPr>
                <w:rFonts w:ascii="宋体" w:hAnsi="宋体" w:cs="宋体" w:eastAsia="宋体" w:hint="default"/>
                <w:sz w:val="18"/>
                <w:szCs w:val="18"/>
              </w:rPr>
            </w:pPr>
            <w:r>
              <w:rPr>
                <w:rFonts w:ascii="宋体" w:hAnsi="宋体" w:cs="宋体" w:eastAsia="宋体" w:hint="default"/>
                <w:spacing w:val="-2"/>
                <w:sz w:val="18"/>
                <w:szCs w:val="18"/>
              </w:rPr>
              <w:t>常州房地产开发有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拆迁补偿款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2,940,020.00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多次催收无法收回</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经总裁办批准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right="5"/>
              <w:jc w:val="right"/>
              <w:rPr>
                <w:rFonts w:ascii="Times New Roman" w:hAnsi="Times New Roman" w:cs="Times New Roman" w:eastAsia="Times New Roman" w:hint="default"/>
                <w:sz w:val="18"/>
                <w:szCs w:val="18"/>
              </w:rPr>
            </w:pPr>
            <w:r>
              <w:rPr>
                <w:rFonts w:ascii="Times New Roman"/>
                <w:spacing w:val="-1"/>
                <w:sz w:val="18"/>
              </w:rPr>
              <w:t>2,940,020.00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5）按欠款方归集的期末余额前五名的其他应收款情况" w:id="242"/>
      <w:bookmarkEnd w:id="242"/>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5"/>
        <w:gridCol w:w="1594"/>
        <w:gridCol w:w="1599"/>
        <w:gridCol w:w="1594"/>
      </w:tblGrid>
      <w:tr>
        <w:trPr>
          <w:trHeight w:val="71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2" w:right="70"/>
              <w:jc w:val="left"/>
              <w:rPr>
                <w:rFonts w:ascii="宋体" w:hAnsi="宋体" w:cs="宋体" w:eastAsia="宋体" w:hint="default"/>
                <w:sz w:val="18"/>
                <w:szCs w:val="18"/>
              </w:rPr>
            </w:pPr>
            <w:r>
              <w:rPr>
                <w:rFonts w:ascii="宋体" w:hAnsi="宋体" w:cs="宋体" w:eastAsia="宋体" w:hint="default"/>
                <w:spacing w:val="-2"/>
                <w:sz w:val="18"/>
                <w:szCs w:val="18"/>
              </w:rPr>
              <w:t>占其他应收款期末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余额合计数的比例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13"/>
              <w:jc w:val="left"/>
              <w:rPr>
                <w:rFonts w:ascii="宋体" w:hAnsi="宋体" w:cs="宋体" w:eastAsia="宋体" w:hint="default"/>
                <w:sz w:val="18"/>
                <w:szCs w:val="18"/>
              </w:rPr>
            </w:pPr>
            <w:r>
              <w:rPr>
                <w:rFonts w:ascii="宋体" w:hAnsi="宋体" w:cs="宋体" w:eastAsia="宋体" w:hint="default"/>
                <w:spacing w:val="-2"/>
                <w:sz w:val="18"/>
                <w:szCs w:val="18"/>
              </w:rPr>
              <w:t>北京英赫世纪置业</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4,144,446.00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58.55%</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3"/>
              <w:jc w:val="left"/>
              <w:rPr>
                <w:rFonts w:ascii="宋体" w:hAnsi="宋体" w:cs="宋体" w:eastAsia="宋体" w:hint="default"/>
                <w:sz w:val="18"/>
                <w:szCs w:val="18"/>
              </w:rPr>
            </w:pPr>
            <w:r>
              <w:rPr>
                <w:rFonts w:ascii="宋体" w:hAnsi="宋体" w:cs="宋体" w:eastAsia="宋体" w:hint="default"/>
                <w:spacing w:val="-2"/>
                <w:sz w:val="18"/>
                <w:szCs w:val="18"/>
              </w:rPr>
              <w:t>捷升发展置业（上</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海）有限公司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742,303.92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10.49%</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3"/>
              <w:jc w:val="left"/>
              <w:rPr>
                <w:rFonts w:ascii="宋体" w:hAnsi="宋体" w:cs="宋体" w:eastAsia="宋体" w:hint="default"/>
                <w:sz w:val="18"/>
                <w:szCs w:val="18"/>
              </w:rPr>
            </w:pPr>
            <w:r>
              <w:rPr>
                <w:rFonts w:ascii="宋体" w:hAnsi="宋体" w:cs="宋体" w:eastAsia="宋体" w:hint="default"/>
                <w:spacing w:val="-2"/>
                <w:sz w:val="18"/>
                <w:szCs w:val="18"/>
              </w:rPr>
              <w:t>北京京东方物业发</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展有限公司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物业费押金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514,946.36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7.27%</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12"/>
                <w:sz w:val="18"/>
                <w:szCs w:val="18"/>
              </w:rPr>
              <w:t>壹天壹刻（北京）网</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络科技有限公司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431,904.80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55,950.07</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113"/>
              <w:jc w:val="left"/>
              <w:rPr>
                <w:rFonts w:ascii="宋体" w:hAnsi="宋体" w:cs="宋体" w:eastAsia="宋体" w:hint="default"/>
                <w:sz w:val="18"/>
                <w:szCs w:val="18"/>
              </w:rPr>
            </w:pPr>
            <w:r>
              <w:rPr>
                <w:rFonts w:ascii="宋体" w:hAnsi="宋体" w:cs="宋体" w:eastAsia="宋体" w:hint="default"/>
                <w:spacing w:val="-2"/>
                <w:sz w:val="18"/>
                <w:szCs w:val="18"/>
              </w:rPr>
              <w:t>广州朗铂商业管理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413,017.92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5.83%</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right="5"/>
              <w:jc w:val="right"/>
              <w:rPr>
                <w:rFonts w:ascii="Times New Roman" w:hAnsi="Times New Roman" w:cs="Times New Roman" w:eastAsia="Times New Roman" w:hint="default"/>
                <w:sz w:val="18"/>
                <w:szCs w:val="18"/>
              </w:rPr>
            </w:pPr>
            <w:r>
              <w:rPr>
                <w:rFonts w:ascii="Times New Roman"/>
                <w:spacing w:val="-1"/>
                <w:sz w:val="18"/>
              </w:rPr>
              <w:t>6,246,619.00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88.24%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55,950.07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5"/>
          <w:szCs w:val="25"/>
        </w:rPr>
      </w:pPr>
    </w:p>
    <w:p>
      <w:pPr>
        <w:pStyle w:val="Heading4"/>
        <w:spacing w:line="240" w:lineRule="auto" w:before="36"/>
        <w:ind w:right="0"/>
        <w:jc w:val="left"/>
        <w:rPr>
          <w:b w:val="0"/>
          <w:bCs w:val="0"/>
        </w:rPr>
      </w:pPr>
      <w:bookmarkStart w:name="7、一年内到期的非流动资产" w:id="243"/>
      <w:bookmarkEnd w:id="243"/>
      <w:r>
        <w:rPr>
          <w:b w:val="0"/>
          <w:bCs w:val="0"/>
        </w:rPr>
      </w:r>
      <w:r>
        <w:rPr>
          <w:rFonts w:ascii="Times New Roman" w:hAnsi="Times New Roman" w:cs="Times New Roman" w:eastAsia="Times New Roman" w:hint="default"/>
        </w:rPr>
        <w:t>7</w:t>
      </w:r>
      <w:r>
        <w:rPr/>
        <w:t>、一年内到期的非流动资产</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一年内到期的定期存单</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185,425,875.00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185,425,875.00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重要的债权投资</w:t>
      </w:r>
      <w:r>
        <w:rPr>
          <w:rFonts w:ascii="Times New Roman" w:hAnsi="Times New Roman" w:cs="Times New Roman" w:eastAsia="Times New Roman" w:hint="default"/>
          <w:sz w:val="18"/>
          <w:szCs w:val="18"/>
        </w:rPr>
        <w:t>/</w:t>
      </w:r>
      <w:r>
        <w:rPr>
          <w:rFonts w:ascii="宋体" w:hAnsi="宋体" w:cs="宋体" w:eastAsia="宋体" w:hint="default"/>
          <w:sz w:val="18"/>
          <w:szCs w:val="18"/>
        </w:rPr>
        <w:t>其他债权投资</w:t>
      </w:r>
    </w:p>
    <w:p>
      <w:pPr>
        <w:spacing w:before="10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960"/>
        <w:gridCol w:w="956"/>
        <w:gridCol w:w="956"/>
        <w:gridCol w:w="960"/>
        <w:gridCol w:w="956"/>
        <w:gridCol w:w="956"/>
        <w:gridCol w:w="956"/>
        <w:gridCol w:w="960"/>
      </w:tblGrid>
      <w:tr>
        <w:trPr>
          <w:trHeight w:val="401"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3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bookmarkStart w:name="8、其他流动资产" w:id="244"/>
      <w:bookmarkEnd w:id="244"/>
      <w:r>
        <w:rPr>
          <w:b w:val="0"/>
          <w:bCs w:val="0"/>
        </w:rPr>
      </w:r>
      <w:r>
        <w:rPr>
          <w:rFonts w:ascii="Times New Roman" w:hAnsi="Times New Roman" w:cs="Times New Roman" w:eastAsia="Times New Roman" w:hint="default"/>
        </w:rPr>
        <w:t>8</w:t>
      </w:r>
      <w:r>
        <w:rPr/>
        <w:t>、其他流动资产</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是否已执行新收入准则</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9" w:space="6872"/>
            <w:col w:w="2099"/>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待抵扣进项税额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13,386.98</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增值税留抵税额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9,570,598.53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4,049,769.67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预缴的其他税费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654,005.01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4,378,253.37</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10,237,990.52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8,428,023.04</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bookmarkStart w:name="9、长期股权投资" w:id="245"/>
      <w:bookmarkEnd w:id="245"/>
      <w:r>
        <w:rPr>
          <w:b w:val="0"/>
          <w:bCs w:val="0"/>
        </w:rPr>
      </w:r>
      <w:r>
        <w:rPr>
          <w:rFonts w:ascii="Times New Roman" w:hAnsi="Times New Roman" w:cs="Times New Roman" w:eastAsia="Times New Roman" w:hint="default"/>
        </w:rPr>
        <w:t>9</w:t>
      </w:r>
      <w:r>
        <w:rPr/>
        <w:t>、长期股权投资</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302" w:right="27" w:hanging="269"/>
              <w:jc w:val="left"/>
              <w:rPr>
                <w:rFonts w:ascii="宋体" w:hAnsi="宋体" w:cs="宋体" w:eastAsia="宋体" w:hint="default"/>
                <w:sz w:val="18"/>
                <w:szCs w:val="18"/>
              </w:rPr>
            </w:pPr>
            <w:r>
              <w:rPr>
                <w:rFonts w:ascii="宋体" w:hAnsi="宋体" w:cs="宋体" w:eastAsia="宋体" w:hint="default"/>
                <w:sz w:val="18"/>
                <w:szCs w:val="18"/>
              </w:rPr>
              <w:t>被投资单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2" w:lineRule="auto"/>
              <w:ind w:left="33" w:right="26"/>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期初余额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63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2" w:lineRule="auto"/>
              <w:ind w:left="33" w:right="27"/>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期末余额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33" w:right="26"/>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期末余额</w:t>
            </w:r>
          </w:p>
        </w:tc>
      </w:tr>
      <w:tr>
        <w:trPr>
          <w:trHeight w:val="1027"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33" w:right="27"/>
              <w:jc w:val="both"/>
              <w:rPr>
                <w:rFonts w:ascii="宋体" w:hAnsi="宋体" w:cs="宋体" w:eastAsia="宋体" w:hint="default"/>
                <w:sz w:val="18"/>
                <w:szCs w:val="18"/>
              </w:rPr>
            </w:pPr>
            <w:r>
              <w:rPr>
                <w:rFonts w:ascii="宋体" w:hAnsi="宋体" w:cs="宋体" w:eastAsia="宋体" w:hint="default"/>
                <w:sz w:val="18"/>
                <w:szCs w:val="18"/>
              </w:rPr>
              <w:t>权益法下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确认的投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资损益</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收益调整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15" w:right="26" w:hanging="183"/>
              <w:jc w:val="left"/>
              <w:rPr>
                <w:rFonts w:ascii="宋体" w:hAnsi="宋体" w:cs="宋体" w:eastAsia="宋体" w:hint="default"/>
                <w:sz w:val="18"/>
                <w:szCs w:val="18"/>
              </w:rPr>
            </w:pPr>
            <w:r>
              <w:rPr>
                <w:rFonts w:ascii="宋体" w:hAnsi="宋体" w:cs="宋体" w:eastAsia="宋体" w:hint="default"/>
                <w:sz w:val="18"/>
                <w:szCs w:val="18"/>
              </w:rPr>
              <w:t>其他权益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33" w:right="27"/>
              <w:jc w:val="both"/>
              <w:rPr>
                <w:rFonts w:ascii="宋体" w:hAnsi="宋体" w:cs="宋体" w:eastAsia="宋体" w:hint="default"/>
                <w:sz w:val="18"/>
                <w:szCs w:val="18"/>
              </w:rPr>
            </w:pPr>
            <w:r>
              <w:rPr>
                <w:rFonts w:ascii="宋体" w:hAnsi="宋体" w:cs="宋体" w:eastAsia="宋体" w:hint="default"/>
                <w:sz w:val="18"/>
                <w:szCs w:val="18"/>
              </w:rPr>
              <w:t>宣告发放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现金股利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或利润</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15" w:right="27" w:hanging="183"/>
              <w:jc w:val="left"/>
              <w:rPr>
                <w:rFonts w:ascii="宋体" w:hAnsi="宋体" w:cs="宋体" w:eastAsia="宋体" w:hint="default"/>
                <w:sz w:val="18"/>
                <w:szCs w:val="18"/>
              </w:rPr>
            </w:pPr>
            <w:r>
              <w:rPr>
                <w:rFonts w:ascii="宋体" w:hAnsi="宋体" w:cs="宋体" w:eastAsia="宋体" w:hint="default"/>
                <w:sz w:val="18"/>
                <w:szCs w:val="18"/>
              </w:rPr>
              <w:t>计提减值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准备</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33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6" w:firstLine="91"/>
              <w:jc w:val="left"/>
              <w:rPr>
                <w:rFonts w:ascii="宋体" w:hAnsi="宋体" w:cs="宋体" w:eastAsia="宋体" w:hint="default"/>
                <w:sz w:val="18"/>
                <w:szCs w:val="18"/>
              </w:rPr>
            </w:pPr>
            <w:r>
              <w:rPr>
                <w:rFonts w:ascii="宋体" w:hAnsi="宋体" w:cs="宋体" w:eastAsia="宋体" w:hint="default"/>
                <w:sz w:val="18"/>
                <w:szCs w:val="18"/>
              </w:rPr>
              <w:t>湖北司</w:t>
            </w:r>
            <w:r>
              <w:rPr>
                <w:rFonts w:ascii="宋体" w:hAnsi="宋体" w:cs="宋体" w:eastAsia="宋体" w:hint="default"/>
                <w:w w:val="101"/>
                <w:sz w:val="18"/>
                <w:szCs w:val="18"/>
              </w:rPr>
              <w:t> </w:t>
            </w:r>
            <w:r>
              <w:rPr>
                <w:rFonts w:ascii="宋体" w:hAnsi="宋体" w:cs="宋体" w:eastAsia="宋体" w:hint="default"/>
                <w:sz w:val="18"/>
                <w:szCs w:val="18"/>
              </w:rPr>
              <w:t>马彦文化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科技有限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377,473,8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50.39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49,871,64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6.72</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427,345,4</w:t>
            </w:r>
          </w:p>
          <w:p>
            <w:pPr>
              <w:pStyle w:val="TableParagraph"/>
              <w:spacing w:line="240" w:lineRule="auto" w:before="105"/>
              <w:ind w:left="369" w:right="0"/>
              <w:jc w:val="left"/>
              <w:rPr>
                <w:rFonts w:ascii="Times New Roman" w:hAnsi="Times New Roman" w:cs="Times New Roman" w:eastAsia="Times New Roman" w:hint="default"/>
                <w:sz w:val="18"/>
                <w:szCs w:val="18"/>
              </w:rPr>
            </w:pPr>
            <w:r>
              <w:rPr>
                <w:rFonts w:ascii="Times New Roman"/>
                <w:sz w:val="18"/>
              </w:rPr>
              <w:t>97.11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377,473,8</w:t>
            </w:r>
          </w:p>
          <w:p>
            <w:pPr>
              <w:pStyle w:val="TableParagraph"/>
              <w:spacing w:line="240" w:lineRule="auto" w:before="109"/>
              <w:ind w:left="360" w:right="0"/>
              <w:jc w:val="left"/>
              <w:rPr>
                <w:rFonts w:ascii="Times New Roman" w:hAnsi="Times New Roman" w:cs="Times New Roman" w:eastAsia="Times New Roman" w:hint="default"/>
                <w:sz w:val="18"/>
                <w:szCs w:val="18"/>
              </w:rPr>
            </w:pPr>
            <w:r>
              <w:rPr>
                <w:rFonts w:ascii="Times New Roman"/>
                <w:sz w:val="18"/>
              </w:rPr>
              <w:t>50.39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49,871,64</w:t>
            </w:r>
          </w:p>
          <w:p>
            <w:pPr>
              <w:pStyle w:val="TableParagraph"/>
              <w:spacing w:line="240" w:lineRule="auto" w:before="109"/>
              <w:ind w:left="451" w:right="0"/>
              <w:jc w:val="left"/>
              <w:rPr>
                <w:rFonts w:ascii="Times New Roman" w:hAnsi="Times New Roman" w:cs="Times New Roman" w:eastAsia="Times New Roman" w:hint="default"/>
                <w:sz w:val="18"/>
                <w:szCs w:val="18"/>
              </w:rPr>
            </w:pPr>
            <w:r>
              <w:rPr>
                <w:rFonts w:ascii="Times New Roman"/>
                <w:sz w:val="18"/>
              </w:rPr>
              <w:t>6.72</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427,345,4</w:t>
            </w:r>
          </w:p>
          <w:p>
            <w:pPr>
              <w:pStyle w:val="TableParagraph"/>
              <w:spacing w:line="240" w:lineRule="auto" w:before="109"/>
              <w:ind w:left="369" w:right="0"/>
              <w:jc w:val="left"/>
              <w:rPr>
                <w:rFonts w:ascii="Times New Roman" w:hAnsi="Times New Roman" w:cs="Times New Roman" w:eastAsia="Times New Roman" w:hint="default"/>
                <w:sz w:val="18"/>
                <w:szCs w:val="18"/>
              </w:rPr>
            </w:pPr>
            <w:r>
              <w:rPr>
                <w:rFonts w:ascii="Times New Roman"/>
                <w:sz w:val="18"/>
              </w:rPr>
              <w:t>97.11</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90.744484pt;margin-top:612.406006pt;width:45.4pt;height:31.25pt;mso-position-horizontal-relative:page;mso-position-vertical-relative:page;z-index:-11673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4"/>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403"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4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firstLine="91"/>
              <w:jc w:val="left"/>
              <w:rPr>
                <w:rFonts w:ascii="宋体" w:hAnsi="宋体" w:cs="宋体" w:eastAsia="宋体" w:hint="default"/>
                <w:sz w:val="18"/>
                <w:szCs w:val="18"/>
              </w:rPr>
            </w:pPr>
            <w:r>
              <w:rPr>
                <w:rFonts w:ascii="宋体" w:hAnsi="宋体" w:cs="宋体" w:eastAsia="宋体" w:hint="default"/>
                <w:sz w:val="18"/>
                <w:szCs w:val="18"/>
              </w:rPr>
              <w:t>北京华</w:t>
            </w:r>
            <w:r>
              <w:rPr>
                <w:rFonts w:ascii="宋体" w:hAnsi="宋体" w:cs="宋体" w:eastAsia="宋体" w:hint="default"/>
                <w:w w:val="101"/>
                <w:sz w:val="18"/>
                <w:szCs w:val="18"/>
              </w:rPr>
              <w:t> </w:t>
            </w:r>
            <w:r>
              <w:rPr>
                <w:rFonts w:ascii="宋体" w:hAnsi="宋体" w:cs="宋体" w:eastAsia="宋体" w:hint="default"/>
                <w:sz w:val="18"/>
                <w:szCs w:val="18"/>
              </w:rPr>
              <w:t>盖映月影</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视文化投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资管理有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43" w:right="0"/>
              <w:jc w:val="left"/>
              <w:rPr>
                <w:rFonts w:ascii="Times New Roman" w:hAnsi="Times New Roman" w:cs="Times New Roman" w:eastAsia="Times New Roman" w:hint="default"/>
                <w:sz w:val="18"/>
                <w:szCs w:val="18"/>
              </w:rPr>
            </w:pPr>
            <w:r>
              <w:rPr>
                <w:rFonts w:ascii="Times New Roman"/>
                <w:sz w:val="18"/>
              </w:rPr>
              <w:t>13,325,68</w:t>
            </w:r>
          </w:p>
          <w:p>
            <w:pPr>
              <w:pStyle w:val="TableParagraph"/>
              <w:spacing w:line="240" w:lineRule="auto" w:before="110"/>
              <w:ind w:left="446" w:right="0"/>
              <w:jc w:val="left"/>
              <w:rPr>
                <w:rFonts w:ascii="Times New Roman" w:hAnsi="Times New Roman" w:cs="Times New Roman" w:eastAsia="Times New Roman" w:hint="default"/>
                <w:sz w:val="18"/>
                <w:szCs w:val="18"/>
              </w:rPr>
            </w:pPr>
            <w:r>
              <w:rPr>
                <w:rFonts w:ascii="Times New Roman"/>
                <w:sz w:val="18"/>
              </w:rPr>
              <w:t>7.75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2"/>
              <w:jc w:val="right"/>
              <w:rPr>
                <w:rFonts w:ascii="Times New Roman" w:hAnsi="Times New Roman" w:cs="Times New Roman" w:eastAsia="Times New Roman" w:hint="default"/>
                <w:sz w:val="18"/>
                <w:szCs w:val="18"/>
              </w:rPr>
            </w:pPr>
            <w:r>
              <w:rPr>
                <w:rFonts w:ascii="Times New Roman"/>
                <w:spacing w:val="-1"/>
                <w:sz w:val="18"/>
              </w:rPr>
              <w:t>-60,285.7</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47" w:right="0"/>
              <w:jc w:val="left"/>
              <w:rPr>
                <w:rFonts w:ascii="Times New Roman" w:hAnsi="Times New Roman" w:cs="Times New Roman" w:eastAsia="Times New Roman" w:hint="default"/>
                <w:sz w:val="18"/>
                <w:szCs w:val="18"/>
              </w:rPr>
            </w:pPr>
            <w:r>
              <w:rPr>
                <w:rFonts w:ascii="Times New Roman"/>
                <w:sz w:val="18"/>
              </w:rPr>
              <w:t>13,265,40</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2.01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36" w:firstLine="91"/>
              <w:jc w:val="left"/>
              <w:rPr>
                <w:rFonts w:ascii="宋体" w:hAnsi="宋体" w:cs="宋体" w:eastAsia="宋体" w:hint="default"/>
                <w:sz w:val="18"/>
                <w:szCs w:val="18"/>
              </w:rPr>
            </w:pPr>
            <w:r>
              <w:rPr>
                <w:rFonts w:ascii="宋体" w:hAnsi="宋体" w:cs="宋体" w:eastAsia="宋体" w:hint="default"/>
                <w:sz w:val="18"/>
                <w:szCs w:val="18"/>
              </w:rPr>
              <w:t>华融创</w:t>
            </w:r>
            <w:r>
              <w:rPr>
                <w:rFonts w:ascii="宋体" w:hAnsi="宋体" w:cs="宋体" w:eastAsia="宋体" w:hint="default"/>
                <w:w w:val="101"/>
                <w:sz w:val="18"/>
                <w:szCs w:val="18"/>
              </w:rPr>
              <w:t> </w:t>
            </w:r>
            <w:r>
              <w:rPr>
                <w:rFonts w:ascii="宋体" w:hAnsi="宋体" w:cs="宋体" w:eastAsia="宋体" w:hint="default"/>
                <w:sz w:val="18"/>
                <w:szCs w:val="18"/>
              </w:rPr>
              <w:t>新投资股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份有限公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117,154,1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37.26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-1,033,74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4.03</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-116,120,</w:t>
            </w:r>
          </w:p>
          <w:p>
            <w:pPr>
              <w:pStyle w:val="TableParagraph"/>
              <w:spacing w:line="240" w:lineRule="auto" w:before="105"/>
              <w:ind w:left="254" w:right="0"/>
              <w:jc w:val="center"/>
              <w:rPr>
                <w:rFonts w:ascii="Times New Roman" w:hAnsi="Times New Roman" w:cs="Times New Roman" w:eastAsia="Times New Roman" w:hint="default"/>
                <w:sz w:val="18"/>
                <w:szCs w:val="18"/>
              </w:rPr>
            </w:pPr>
            <w:r>
              <w:rPr>
                <w:rFonts w:ascii="Times New Roman"/>
                <w:sz w:val="18"/>
              </w:rPr>
              <w:t>393.23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2"/>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firstLine="91"/>
              <w:jc w:val="left"/>
              <w:rPr>
                <w:rFonts w:ascii="宋体" w:hAnsi="宋体" w:cs="宋体" w:eastAsia="宋体" w:hint="default"/>
                <w:sz w:val="18"/>
                <w:szCs w:val="18"/>
              </w:rPr>
            </w:pPr>
            <w:r>
              <w:rPr>
                <w:rFonts w:ascii="宋体" w:hAnsi="宋体" w:cs="宋体" w:eastAsia="宋体" w:hint="default"/>
                <w:sz w:val="18"/>
                <w:szCs w:val="18"/>
              </w:rPr>
              <w:t>广东南</w:t>
            </w:r>
            <w:r>
              <w:rPr>
                <w:rFonts w:ascii="宋体" w:hAnsi="宋体" w:cs="宋体" w:eastAsia="宋体" w:hint="default"/>
                <w:w w:val="101"/>
                <w:sz w:val="18"/>
                <w:szCs w:val="18"/>
              </w:rPr>
              <w:t> </w:t>
            </w:r>
            <w:r>
              <w:rPr>
                <w:rFonts w:ascii="宋体" w:hAnsi="宋体" w:cs="宋体" w:eastAsia="宋体" w:hint="default"/>
                <w:sz w:val="18"/>
                <w:szCs w:val="18"/>
              </w:rPr>
              <w:t>方视觉文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化传媒有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1,255,891</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.20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109,418.6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1,365,309</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.81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6" w:firstLine="91"/>
              <w:jc w:val="left"/>
              <w:rPr>
                <w:rFonts w:ascii="宋体" w:hAnsi="宋体" w:cs="宋体" w:eastAsia="宋体" w:hint="default"/>
                <w:sz w:val="18"/>
                <w:szCs w:val="18"/>
              </w:rPr>
            </w:pPr>
            <w:r>
              <w:rPr>
                <w:rFonts w:ascii="宋体" w:hAnsi="宋体" w:cs="宋体" w:eastAsia="宋体" w:hint="default"/>
                <w:sz w:val="18"/>
                <w:szCs w:val="18"/>
              </w:rPr>
              <w:t>常州视</w:t>
            </w:r>
            <w:r>
              <w:rPr>
                <w:rFonts w:ascii="宋体" w:hAnsi="宋体" w:cs="宋体" w:eastAsia="宋体" w:hint="default"/>
                <w:w w:val="101"/>
                <w:sz w:val="18"/>
                <w:szCs w:val="18"/>
              </w:rPr>
              <w:t> </w:t>
            </w:r>
            <w:r>
              <w:rPr>
                <w:rFonts w:ascii="宋体" w:hAnsi="宋体" w:cs="宋体" w:eastAsia="宋体" w:hint="default"/>
                <w:sz w:val="18"/>
                <w:szCs w:val="18"/>
              </w:rPr>
              <w:t>觉跃动文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化发展有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7,055,453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1,650,000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139" w:right="0"/>
              <w:jc w:val="left"/>
              <w:rPr>
                <w:rFonts w:ascii="Times New Roman" w:hAnsi="Times New Roman" w:cs="Times New Roman" w:eastAsia="Times New Roman" w:hint="default"/>
                <w:sz w:val="18"/>
                <w:szCs w:val="18"/>
              </w:rPr>
            </w:pPr>
            <w:r>
              <w:rPr>
                <w:rFonts w:ascii="Times New Roman"/>
                <w:sz w:val="18"/>
              </w:rPr>
              <w:t>5,030.89</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8,710,484</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.13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36" w:firstLine="91"/>
              <w:jc w:val="left"/>
              <w:rPr>
                <w:rFonts w:ascii="宋体" w:hAnsi="宋体" w:cs="宋体" w:eastAsia="宋体" w:hint="default"/>
                <w:sz w:val="18"/>
                <w:szCs w:val="18"/>
              </w:rPr>
            </w:pPr>
            <w:r>
              <w:rPr>
                <w:rFonts w:ascii="宋体" w:hAnsi="宋体" w:cs="宋体" w:eastAsia="宋体" w:hint="default"/>
                <w:sz w:val="18"/>
                <w:szCs w:val="18"/>
              </w:rPr>
              <w:t>唱游信</w:t>
            </w:r>
            <w:r>
              <w:rPr>
                <w:rFonts w:ascii="宋体" w:hAnsi="宋体" w:cs="宋体" w:eastAsia="宋体" w:hint="default"/>
                <w:w w:val="101"/>
                <w:sz w:val="18"/>
                <w:szCs w:val="18"/>
              </w:rPr>
              <w:t> </w:t>
            </w:r>
            <w:r>
              <w:rPr>
                <w:rFonts w:ascii="宋体" w:hAnsi="宋体" w:cs="宋体" w:eastAsia="宋体" w:hint="default"/>
                <w:sz w:val="18"/>
                <w:szCs w:val="18"/>
              </w:rPr>
              <w:t>息技术有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34,439,00</w:t>
            </w:r>
          </w:p>
          <w:p>
            <w:pPr>
              <w:pStyle w:val="TableParagraph"/>
              <w:spacing w:line="240" w:lineRule="auto" w:before="110"/>
              <w:ind w:left="446" w:right="0"/>
              <w:jc w:val="left"/>
              <w:rPr>
                <w:rFonts w:ascii="Times New Roman" w:hAnsi="Times New Roman" w:cs="Times New Roman" w:eastAsia="Times New Roman" w:hint="default"/>
                <w:sz w:val="18"/>
                <w:szCs w:val="18"/>
              </w:rPr>
            </w:pPr>
            <w:r>
              <w:rPr>
                <w:rFonts w:ascii="Times New Roman"/>
                <w:sz w:val="18"/>
              </w:rPr>
              <w:t>0.55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-9,938,06</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1.27</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24,500,93</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9.28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36" w:firstLine="91"/>
              <w:jc w:val="left"/>
              <w:rPr>
                <w:rFonts w:ascii="宋体" w:hAnsi="宋体" w:cs="宋体" w:eastAsia="宋体" w:hint="default"/>
                <w:sz w:val="18"/>
                <w:szCs w:val="18"/>
              </w:rPr>
            </w:pPr>
            <w:r>
              <w:rPr>
                <w:rFonts w:ascii="宋体" w:hAnsi="宋体" w:cs="宋体" w:eastAsia="宋体" w:hint="default"/>
                <w:sz w:val="18"/>
                <w:szCs w:val="18"/>
              </w:rPr>
              <w:t>广东易</w:t>
            </w:r>
            <w:r>
              <w:rPr>
                <w:rFonts w:ascii="宋体" w:hAnsi="宋体" w:cs="宋体" w:eastAsia="宋体" w:hint="default"/>
                <w:w w:val="101"/>
                <w:sz w:val="18"/>
                <w:szCs w:val="18"/>
              </w:rPr>
              <w:t> </w:t>
            </w:r>
            <w:r>
              <w:rPr>
                <w:rFonts w:ascii="宋体" w:hAnsi="宋体" w:cs="宋体" w:eastAsia="宋体" w:hint="default"/>
                <w:sz w:val="18"/>
                <w:szCs w:val="18"/>
              </w:rPr>
              <w:t>教优培教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育科技有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140,712,6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21.57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5,667,710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.59</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-28,379,3</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02.19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-13,241,0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24.97</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104,760,0</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05.00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13,241,02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4.97</w:t>
            </w: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firstLine="91"/>
              <w:jc w:val="left"/>
              <w:rPr>
                <w:rFonts w:ascii="宋体" w:hAnsi="宋体" w:cs="宋体" w:eastAsia="宋体" w:hint="default"/>
                <w:sz w:val="18"/>
                <w:szCs w:val="18"/>
              </w:rPr>
            </w:pPr>
            <w:r>
              <w:rPr>
                <w:rFonts w:ascii="宋体" w:hAnsi="宋体" w:cs="宋体" w:eastAsia="宋体" w:hint="default"/>
                <w:sz w:val="18"/>
                <w:szCs w:val="18"/>
              </w:rPr>
              <w:t>北京灵</w:t>
            </w:r>
            <w:r>
              <w:rPr>
                <w:rFonts w:ascii="宋体" w:hAnsi="宋体" w:cs="宋体" w:eastAsia="宋体" w:hint="default"/>
                <w:w w:val="101"/>
                <w:sz w:val="18"/>
                <w:szCs w:val="18"/>
              </w:rPr>
              <w:t> </w:t>
            </w:r>
            <w:r>
              <w:rPr>
                <w:rFonts w:ascii="宋体" w:hAnsi="宋体" w:cs="宋体" w:eastAsia="宋体" w:hint="default"/>
                <w:sz w:val="18"/>
                <w:szCs w:val="18"/>
              </w:rPr>
              <w:t>睿博智国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际广告有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45,738,89</w:t>
            </w:r>
          </w:p>
          <w:p>
            <w:pPr>
              <w:pStyle w:val="TableParagraph"/>
              <w:spacing w:line="240" w:lineRule="auto" w:before="110"/>
              <w:ind w:left="446" w:right="0"/>
              <w:jc w:val="left"/>
              <w:rPr>
                <w:rFonts w:ascii="Times New Roman" w:hAnsi="Times New Roman" w:cs="Times New Roman" w:eastAsia="Times New Roman" w:hint="default"/>
                <w:sz w:val="18"/>
                <w:szCs w:val="18"/>
              </w:rPr>
            </w:pPr>
            <w:r>
              <w:rPr>
                <w:rFonts w:ascii="Times New Roman"/>
                <w:sz w:val="18"/>
              </w:rPr>
              <w:t>8.65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-45,270,5</w:t>
            </w:r>
          </w:p>
          <w:p>
            <w:pPr>
              <w:pStyle w:val="TableParagraph"/>
              <w:spacing w:line="240" w:lineRule="auto" w:before="110"/>
              <w:ind w:left="364" w:right="0"/>
              <w:jc w:val="left"/>
              <w:rPr>
                <w:rFonts w:ascii="Times New Roman" w:hAnsi="Times New Roman" w:cs="Times New Roman" w:eastAsia="Times New Roman" w:hint="default"/>
                <w:sz w:val="18"/>
                <w:szCs w:val="18"/>
              </w:rPr>
            </w:pPr>
            <w:r>
              <w:rPr>
                <w:rFonts w:ascii="Times New Roman"/>
                <w:sz w:val="18"/>
              </w:rPr>
              <w:t>65.61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-468,333.</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04</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2"/>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6" w:firstLine="91"/>
              <w:jc w:val="left"/>
              <w:rPr>
                <w:rFonts w:ascii="宋体" w:hAnsi="宋体" w:cs="宋体" w:eastAsia="宋体" w:hint="default"/>
                <w:sz w:val="18"/>
                <w:szCs w:val="18"/>
              </w:rPr>
            </w:pPr>
            <w:r>
              <w:rPr>
                <w:rFonts w:ascii="宋体" w:hAnsi="宋体" w:cs="宋体" w:eastAsia="宋体" w:hint="default"/>
                <w:sz w:val="18"/>
                <w:szCs w:val="18"/>
              </w:rPr>
              <w:t>厦门视</w:t>
            </w:r>
            <w:r>
              <w:rPr>
                <w:rFonts w:ascii="宋体" w:hAnsi="宋体" w:cs="宋体" w:eastAsia="宋体" w:hint="default"/>
                <w:w w:val="101"/>
                <w:sz w:val="18"/>
                <w:szCs w:val="18"/>
              </w:rPr>
              <w:t> </w:t>
            </w:r>
            <w:r>
              <w:rPr>
                <w:rFonts w:ascii="宋体" w:hAnsi="宋体" w:cs="宋体" w:eastAsia="宋体" w:hint="default"/>
                <w:sz w:val="18"/>
                <w:szCs w:val="18"/>
              </w:rPr>
              <w:t>觉像科技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16,655,94</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5.70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-3,507,88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6.55</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13,148,05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9.15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95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6" w:firstLine="91"/>
              <w:jc w:val="left"/>
              <w:rPr>
                <w:rFonts w:ascii="宋体" w:hAnsi="宋体" w:cs="宋体" w:eastAsia="宋体" w:hint="default"/>
                <w:sz w:val="18"/>
                <w:szCs w:val="18"/>
              </w:rPr>
            </w:pPr>
            <w:r>
              <w:rPr>
                <w:rFonts w:ascii="宋体" w:hAnsi="宋体" w:cs="宋体" w:eastAsia="宋体" w:hint="default"/>
                <w:sz w:val="18"/>
                <w:szCs w:val="18"/>
              </w:rPr>
              <w:t>华盖安</w:t>
            </w:r>
            <w:r>
              <w:rPr>
                <w:rFonts w:ascii="宋体" w:hAnsi="宋体" w:cs="宋体" w:eastAsia="宋体" w:hint="default"/>
                <w:w w:val="101"/>
                <w:sz w:val="18"/>
                <w:szCs w:val="18"/>
              </w:rPr>
              <w:t> </w:t>
            </w:r>
            <w:r>
              <w:rPr>
                <w:rFonts w:ascii="宋体" w:hAnsi="宋体" w:cs="宋体" w:eastAsia="宋体" w:hint="default"/>
                <w:spacing w:val="-20"/>
                <w:w w:val="101"/>
                <w:sz w:val="18"/>
                <w:szCs w:val="18"/>
              </w:rPr>
              <w:t>鹭（厦门</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文化产业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投资合伙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企业（有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限合伙）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39.4pt;height:31.25pt;mso-position-horizontal-relative:char;mso-position-vertical-relative:line" coordorigin="0,0" coordsize="788,625">
                  <v:group style="position:absolute;left:0;top:0;width:788;height:625" coordorigin="0,0" coordsize="788,625">
                    <v:shape style="position:absolute;left:0;top:0;width:788;height:625" coordorigin="0,0" coordsize="788,625" path="m0,624l787,624,787,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72,408,98</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0.34</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9"/>
                <w:szCs w:val="29"/>
              </w:rPr>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75,000,00</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-3,220,75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5.36</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144,188,2</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24.98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98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9"/>
              <w:ind w:left="24" w:right="36" w:firstLine="91"/>
              <w:jc w:val="left"/>
              <w:rPr>
                <w:rFonts w:ascii="宋体" w:hAnsi="宋体" w:cs="宋体" w:eastAsia="宋体" w:hint="default"/>
                <w:sz w:val="18"/>
                <w:szCs w:val="18"/>
              </w:rPr>
            </w:pPr>
            <w:r>
              <w:rPr>
                <w:rFonts w:ascii="宋体" w:hAnsi="宋体" w:cs="宋体" w:eastAsia="宋体" w:hint="default"/>
                <w:sz w:val="18"/>
                <w:szCs w:val="18"/>
              </w:rPr>
              <w:t>西藏灵</w:t>
            </w:r>
            <w:r>
              <w:rPr>
                <w:rFonts w:ascii="宋体" w:hAnsi="宋体" w:cs="宋体" w:eastAsia="宋体" w:hint="default"/>
                <w:w w:val="101"/>
                <w:sz w:val="18"/>
                <w:szCs w:val="18"/>
              </w:rPr>
              <w:t> </w:t>
            </w:r>
            <w:r>
              <w:rPr>
                <w:rFonts w:ascii="宋体" w:hAnsi="宋体" w:cs="宋体" w:eastAsia="宋体" w:hint="default"/>
                <w:sz w:val="18"/>
                <w:szCs w:val="18"/>
              </w:rPr>
              <w:t>博文化传</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播有限公</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100,300,0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100,300,0</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36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firstLine="91"/>
              <w:jc w:val="left"/>
              <w:rPr>
                <w:rFonts w:ascii="宋体" w:hAnsi="宋体" w:cs="宋体" w:eastAsia="宋体" w:hint="default"/>
                <w:sz w:val="18"/>
                <w:szCs w:val="18"/>
              </w:rPr>
            </w:pPr>
            <w:r>
              <w:rPr>
                <w:rFonts w:ascii="宋体" w:hAnsi="宋体" w:cs="宋体" w:eastAsia="宋体" w:hint="default"/>
                <w:sz w:val="18"/>
                <w:szCs w:val="18"/>
              </w:rPr>
              <w:t>北京联</w:t>
            </w:r>
            <w:r>
              <w:rPr>
                <w:rFonts w:ascii="宋体" w:hAnsi="宋体" w:cs="宋体" w:eastAsia="宋体" w:hint="default"/>
                <w:w w:val="101"/>
                <w:sz w:val="18"/>
                <w:szCs w:val="18"/>
              </w:rPr>
              <w:t> </w:t>
            </w:r>
            <w:r>
              <w:rPr>
                <w:rFonts w:ascii="宋体" w:hAnsi="宋体" w:cs="宋体" w:eastAsia="宋体" w:hint="default"/>
                <w:sz w:val="18"/>
                <w:szCs w:val="18"/>
              </w:rPr>
              <w:t>合信任技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术服务有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17,723,71</w:t>
            </w:r>
          </w:p>
          <w:p>
            <w:pPr>
              <w:pStyle w:val="TableParagraph"/>
              <w:spacing w:line="240" w:lineRule="auto" w:before="110"/>
              <w:ind w:left="446" w:right="0"/>
              <w:jc w:val="left"/>
              <w:rPr>
                <w:rFonts w:ascii="Times New Roman" w:hAnsi="Times New Roman" w:cs="Times New Roman" w:eastAsia="Times New Roman" w:hint="default"/>
                <w:sz w:val="18"/>
                <w:szCs w:val="18"/>
              </w:rPr>
            </w:pPr>
            <w:r>
              <w:rPr>
                <w:rFonts w:ascii="Times New Roman"/>
                <w:sz w:val="18"/>
              </w:rPr>
              <w:t>1.40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17,723,71</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1.40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firstLine="91"/>
              <w:jc w:val="left"/>
              <w:rPr>
                <w:rFonts w:ascii="宋体" w:hAnsi="宋体" w:cs="宋体" w:eastAsia="宋体" w:hint="default"/>
                <w:sz w:val="18"/>
                <w:szCs w:val="18"/>
              </w:rPr>
            </w:pPr>
            <w:r>
              <w:rPr>
                <w:rFonts w:ascii="宋体" w:hAnsi="宋体" w:cs="宋体" w:eastAsia="宋体" w:hint="default"/>
                <w:sz w:val="18"/>
                <w:szCs w:val="18"/>
              </w:rPr>
              <w:t>北京极</w:t>
            </w:r>
            <w:r>
              <w:rPr>
                <w:rFonts w:ascii="宋体" w:hAnsi="宋体" w:cs="宋体" w:eastAsia="宋体" w:hint="default"/>
                <w:w w:val="101"/>
                <w:sz w:val="18"/>
                <w:szCs w:val="18"/>
              </w:rPr>
              <w:t> </w:t>
            </w:r>
            <w:r>
              <w:rPr>
                <w:rFonts w:ascii="宋体" w:hAnsi="宋体" w:cs="宋体" w:eastAsia="宋体" w:hint="default"/>
                <w:sz w:val="18"/>
                <w:szCs w:val="18"/>
              </w:rPr>
              <w:t>光视觉文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化传播有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4,750,000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-483,818.</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71</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4,266,181</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.29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firstLine="91"/>
              <w:jc w:val="left"/>
              <w:rPr>
                <w:rFonts w:ascii="宋体" w:hAnsi="宋体" w:cs="宋体" w:eastAsia="宋体" w:hint="default"/>
                <w:sz w:val="18"/>
                <w:szCs w:val="18"/>
              </w:rPr>
            </w:pPr>
            <w:r>
              <w:rPr>
                <w:rFonts w:ascii="宋体" w:hAnsi="宋体" w:cs="宋体" w:eastAsia="宋体" w:hint="default"/>
                <w:sz w:val="18"/>
                <w:szCs w:val="18"/>
              </w:rPr>
              <w:t>辽宁新</w:t>
            </w:r>
            <w:r>
              <w:rPr>
                <w:rFonts w:ascii="宋体" w:hAnsi="宋体" w:cs="宋体" w:eastAsia="宋体" w:hint="default"/>
                <w:w w:val="101"/>
                <w:sz w:val="18"/>
                <w:szCs w:val="18"/>
              </w:rPr>
              <w:t> </w:t>
            </w:r>
            <w:r>
              <w:rPr>
                <w:rFonts w:ascii="宋体" w:hAnsi="宋体" w:cs="宋体" w:eastAsia="宋体" w:hint="default"/>
                <w:sz w:val="18"/>
                <w:szCs w:val="18"/>
              </w:rPr>
              <w:t>兴文化创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业投资基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金合伙企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95,965,01</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7.68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-1,911,16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7.72</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94,053,84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9.96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227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6"/>
              <w:ind w:left="24" w:right="72" w:firstLine="91"/>
              <w:jc w:val="left"/>
              <w:rPr>
                <w:rFonts w:ascii="Times New Roman" w:hAnsi="Times New Roman" w:cs="Times New Roman" w:eastAsia="Times New Roman" w:hint="default"/>
                <w:sz w:val="18"/>
                <w:szCs w:val="18"/>
              </w:rPr>
            </w:pPr>
            <w:r>
              <w:rPr>
                <w:rFonts w:ascii="Times New Roman"/>
                <w:sz w:val="18"/>
              </w:rPr>
              <w:t>GETTY</w:t>
            </w:r>
            <w:r>
              <w:rPr>
                <w:rFonts w:ascii="Times New Roman"/>
                <w:w w:val="101"/>
                <w:sz w:val="18"/>
              </w:rPr>
              <w:t> </w:t>
            </w:r>
            <w:r>
              <w:rPr>
                <w:rFonts w:ascii="Times New Roman"/>
                <w:spacing w:val="-3"/>
                <w:sz w:val="18"/>
              </w:rPr>
              <w:t>IMAGES</w:t>
            </w:r>
            <w:r>
              <w:rPr>
                <w:rFonts w:ascii="Times New Roman"/>
                <w:spacing w:val="-32"/>
                <w:sz w:val="18"/>
              </w:rPr>
              <w:t> </w:t>
            </w:r>
            <w:r>
              <w:rPr>
                <w:rFonts w:ascii="Times New Roman"/>
                <w:spacing w:val="-32"/>
                <w:sz w:val="18"/>
              </w:rPr>
            </w:r>
            <w:r>
              <w:rPr>
                <w:rFonts w:ascii="Times New Roman"/>
                <w:sz w:val="18"/>
              </w:rPr>
              <w:t>SEA</w:t>
            </w:r>
            <w:r>
              <w:rPr>
                <w:rFonts w:ascii="Times New Roman"/>
                <w:w w:val="101"/>
                <w:sz w:val="18"/>
              </w:rPr>
              <w:t> </w:t>
            </w:r>
            <w:r>
              <w:rPr>
                <w:rFonts w:ascii="Times New Roman"/>
                <w:spacing w:val="-3"/>
                <w:sz w:val="18"/>
              </w:rPr>
              <w:t>HOLDIN</w:t>
            </w:r>
            <w:r>
              <w:rPr>
                <w:rFonts w:ascii="Times New Roman"/>
                <w:spacing w:val="-30"/>
                <w:sz w:val="18"/>
              </w:rPr>
              <w:t> </w:t>
            </w:r>
            <w:r>
              <w:rPr>
                <w:rFonts w:ascii="Times New Roman"/>
                <w:spacing w:val="-30"/>
                <w:sz w:val="18"/>
              </w:rPr>
            </w:r>
            <w:r>
              <w:rPr>
                <w:rFonts w:ascii="Times New Roman"/>
                <w:sz w:val="18"/>
              </w:rPr>
              <w:t>GS</w:t>
            </w:r>
            <w:r>
              <w:rPr>
                <w:rFonts w:ascii="Times New Roman"/>
                <w:w w:val="101"/>
                <w:sz w:val="18"/>
              </w:rPr>
              <w:t> </w:t>
            </w:r>
            <w:r>
              <w:rPr>
                <w:rFonts w:ascii="Times New Roman"/>
                <w:sz w:val="18"/>
              </w:rPr>
              <w:t>CO.LIMI</w:t>
            </w:r>
            <w:r>
              <w:rPr>
                <w:rFonts w:ascii="Times New Roman"/>
                <w:w w:val="101"/>
                <w:sz w:val="18"/>
              </w:rPr>
              <w:t> </w:t>
            </w:r>
            <w:r>
              <w:rPr>
                <w:rFonts w:ascii="Times New Roman"/>
                <w:sz w:val="18"/>
              </w:rPr>
              <w:t>TED</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329,901,5</w:t>
            </w:r>
          </w:p>
          <w:p>
            <w:pPr>
              <w:pStyle w:val="TableParagraph"/>
              <w:spacing w:line="240" w:lineRule="auto" w:before="110"/>
              <w:ind w:left="360" w:right="0"/>
              <w:jc w:val="left"/>
              <w:rPr>
                <w:rFonts w:ascii="Times New Roman" w:hAnsi="Times New Roman" w:cs="Times New Roman" w:eastAsia="Times New Roman" w:hint="default"/>
                <w:sz w:val="18"/>
                <w:szCs w:val="18"/>
              </w:rPr>
            </w:pPr>
            <w:r>
              <w:rPr>
                <w:rFonts w:ascii="Times New Roman"/>
                <w:sz w:val="18"/>
              </w:rPr>
              <w:t>77.79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21,636,88</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6.09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6,604,289</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.15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-22,557,5</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23.72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335,585,2</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29.31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874,613,2</w:t>
            </w:r>
          </w:p>
          <w:p>
            <w:pPr>
              <w:pStyle w:val="TableParagraph"/>
              <w:spacing w:line="240" w:lineRule="auto" w:before="110"/>
              <w:ind w:left="364" w:right="0"/>
              <w:jc w:val="left"/>
              <w:rPr>
                <w:rFonts w:ascii="Times New Roman" w:hAnsi="Times New Roman" w:cs="Times New Roman" w:eastAsia="Times New Roman" w:hint="default"/>
                <w:sz w:val="18"/>
                <w:szCs w:val="18"/>
              </w:rPr>
            </w:pPr>
            <w:r>
              <w:rPr>
                <w:rFonts w:ascii="Times New Roman"/>
                <w:sz w:val="18"/>
              </w:rPr>
              <w:t>11.73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199,423,7</w:t>
            </w:r>
          </w:p>
          <w:p>
            <w:pPr>
              <w:pStyle w:val="TableParagraph"/>
              <w:spacing w:line="240" w:lineRule="auto" w:before="110"/>
              <w:ind w:left="364" w:right="0"/>
              <w:jc w:val="left"/>
              <w:rPr>
                <w:rFonts w:ascii="Times New Roman" w:hAnsi="Times New Roman" w:cs="Times New Roman" w:eastAsia="Times New Roman" w:hint="default"/>
                <w:sz w:val="18"/>
                <w:szCs w:val="18"/>
              </w:rPr>
            </w:pPr>
            <w:r>
              <w:rPr>
                <w:rFonts w:ascii="Times New Roman"/>
                <w:sz w:val="18"/>
              </w:rPr>
              <w:t>11.40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-45,270,5</w:t>
            </w:r>
          </w:p>
          <w:p>
            <w:pPr>
              <w:pStyle w:val="TableParagraph"/>
              <w:spacing w:line="240" w:lineRule="auto" w:before="110"/>
              <w:ind w:left="364" w:right="0"/>
              <w:jc w:val="left"/>
              <w:rPr>
                <w:rFonts w:ascii="Times New Roman" w:hAnsi="Times New Roman" w:cs="Times New Roman" w:eastAsia="Times New Roman" w:hint="default"/>
                <w:sz w:val="18"/>
                <w:szCs w:val="18"/>
              </w:rPr>
            </w:pPr>
            <w:r>
              <w:rPr>
                <w:rFonts w:ascii="Times New Roman"/>
                <w:sz w:val="18"/>
              </w:rPr>
              <w:t>65.61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6,794,993</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.76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6,604,289</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.15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-50,936,8</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25.91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-13,241,0</w:t>
            </w:r>
          </w:p>
          <w:p>
            <w:pPr>
              <w:pStyle w:val="TableParagraph"/>
              <w:spacing w:line="240" w:lineRule="auto" w:before="110"/>
              <w:ind w:left="364" w:right="0"/>
              <w:jc w:val="left"/>
              <w:rPr>
                <w:rFonts w:ascii="Times New Roman" w:hAnsi="Times New Roman" w:cs="Times New Roman" w:eastAsia="Times New Roman" w:hint="default"/>
                <w:sz w:val="18"/>
                <w:szCs w:val="18"/>
              </w:rPr>
            </w:pPr>
            <w:r>
              <w:rPr>
                <w:rFonts w:ascii="Times New Roman"/>
                <w:sz w:val="18"/>
              </w:rPr>
              <w:t>24.97</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4" w:right="0"/>
              <w:jc w:val="center"/>
              <w:rPr>
                <w:rFonts w:ascii="Times New Roman" w:hAnsi="Times New Roman" w:cs="Times New Roman" w:eastAsia="Times New Roman" w:hint="default"/>
                <w:sz w:val="18"/>
                <w:szCs w:val="18"/>
              </w:rPr>
            </w:pPr>
            <w:r>
              <w:rPr>
                <w:rFonts w:ascii="Times New Roman"/>
                <w:sz w:val="18"/>
              </w:rPr>
              <w:t>-116,120,</w:t>
            </w:r>
          </w:p>
          <w:p>
            <w:pPr>
              <w:pStyle w:val="TableParagraph"/>
              <w:spacing w:line="240" w:lineRule="auto" w:before="110"/>
              <w:ind w:left="254" w:right="0"/>
              <w:jc w:val="center"/>
              <w:rPr>
                <w:rFonts w:ascii="Times New Roman" w:hAnsi="Times New Roman" w:cs="Times New Roman" w:eastAsia="Times New Roman" w:hint="default"/>
                <w:sz w:val="18"/>
                <w:szCs w:val="18"/>
              </w:rPr>
            </w:pPr>
            <w:r>
              <w:rPr>
                <w:rFonts w:ascii="Times New Roman"/>
                <w:sz w:val="18"/>
              </w:rPr>
              <w:t>393.23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861,867,3</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96.32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13,241,02</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4.97</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center"/>
              <w:rPr>
                <w:rFonts w:ascii="Times New Roman" w:hAnsi="Times New Roman" w:cs="Times New Roman" w:eastAsia="Times New Roman" w:hint="default"/>
                <w:sz w:val="18"/>
                <w:szCs w:val="18"/>
              </w:rPr>
            </w:pPr>
            <w:r>
              <w:rPr>
                <w:rFonts w:ascii="Times New Roman"/>
                <w:sz w:val="18"/>
              </w:rPr>
              <w:t>1,252,087</w:t>
            </w:r>
          </w:p>
          <w:p>
            <w:pPr>
              <w:pStyle w:val="TableParagraph"/>
              <w:spacing w:line="240" w:lineRule="auto" w:before="110"/>
              <w:ind w:left="206" w:right="0"/>
              <w:jc w:val="center"/>
              <w:rPr>
                <w:rFonts w:ascii="Times New Roman" w:hAnsi="Times New Roman" w:cs="Times New Roman" w:eastAsia="Times New Roman" w:hint="default"/>
                <w:sz w:val="18"/>
                <w:szCs w:val="18"/>
              </w:rPr>
            </w:pPr>
            <w:r>
              <w:rPr>
                <w:rFonts w:ascii="Times New Roman"/>
                <w:sz w:val="18"/>
              </w:rPr>
              <w:t>,062.12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199,423,7</w:t>
            </w:r>
          </w:p>
          <w:p>
            <w:pPr>
              <w:pStyle w:val="TableParagraph"/>
              <w:spacing w:line="240" w:lineRule="auto" w:before="110"/>
              <w:ind w:left="364" w:right="0"/>
              <w:jc w:val="left"/>
              <w:rPr>
                <w:rFonts w:ascii="Times New Roman" w:hAnsi="Times New Roman" w:cs="Times New Roman" w:eastAsia="Times New Roman" w:hint="default"/>
                <w:sz w:val="18"/>
                <w:szCs w:val="18"/>
              </w:rPr>
            </w:pPr>
            <w:r>
              <w:rPr>
                <w:rFonts w:ascii="Times New Roman"/>
                <w:sz w:val="18"/>
              </w:rPr>
              <w:t>11.40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-45,270,5</w:t>
            </w:r>
          </w:p>
          <w:p>
            <w:pPr>
              <w:pStyle w:val="TableParagraph"/>
              <w:spacing w:line="240" w:lineRule="auto" w:before="110"/>
              <w:ind w:left="364" w:right="0"/>
              <w:jc w:val="left"/>
              <w:rPr>
                <w:rFonts w:ascii="Times New Roman" w:hAnsi="Times New Roman" w:cs="Times New Roman" w:eastAsia="Times New Roman" w:hint="default"/>
                <w:sz w:val="18"/>
                <w:szCs w:val="18"/>
              </w:rPr>
            </w:pPr>
            <w:r>
              <w:rPr>
                <w:rFonts w:ascii="Times New Roman"/>
                <w:sz w:val="18"/>
              </w:rPr>
              <w:t>65.61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56,666,64</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0.48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6,604,289</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.15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-50,936,8</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25.91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-13,241,0</w:t>
            </w:r>
          </w:p>
          <w:p>
            <w:pPr>
              <w:pStyle w:val="TableParagraph"/>
              <w:spacing w:line="240" w:lineRule="auto" w:before="110"/>
              <w:ind w:left="364" w:right="0"/>
              <w:jc w:val="left"/>
              <w:rPr>
                <w:rFonts w:ascii="Times New Roman" w:hAnsi="Times New Roman" w:cs="Times New Roman" w:eastAsia="Times New Roman" w:hint="default"/>
                <w:sz w:val="18"/>
                <w:szCs w:val="18"/>
              </w:rPr>
            </w:pPr>
            <w:r>
              <w:rPr>
                <w:rFonts w:ascii="Times New Roman"/>
                <w:sz w:val="18"/>
              </w:rPr>
              <w:t>24.97</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4" w:right="0"/>
              <w:jc w:val="center"/>
              <w:rPr>
                <w:rFonts w:ascii="Times New Roman" w:hAnsi="Times New Roman" w:cs="Times New Roman" w:eastAsia="Times New Roman" w:hint="default"/>
                <w:sz w:val="18"/>
                <w:szCs w:val="18"/>
              </w:rPr>
            </w:pPr>
            <w:r>
              <w:rPr>
                <w:rFonts w:ascii="Times New Roman"/>
                <w:sz w:val="18"/>
              </w:rPr>
              <w:t>-116,120,</w:t>
            </w:r>
          </w:p>
          <w:p>
            <w:pPr>
              <w:pStyle w:val="TableParagraph"/>
              <w:spacing w:line="240" w:lineRule="auto" w:before="110"/>
              <w:ind w:left="254" w:right="0"/>
              <w:jc w:val="center"/>
              <w:rPr>
                <w:rFonts w:ascii="Times New Roman" w:hAnsi="Times New Roman" w:cs="Times New Roman" w:eastAsia="Times New Roman" w:hint="default"/>
                <w:sz w:val="18"/>
                <w:szCs w:val="18"/>
              </w:rPr>
            </w:pPr>
            <w:r>
              <w:rPr>
                <w:rFonts w:ascii="Times New Roman"/>
                <w:sz w:val="18"/>
              </w:rPr>
              <w:t>393.23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center"/>
              <w:rPr>
                <w:rFonts w:ascii="Times New Roman" w:hAnsi="Times New Roman" w:cs="Times New Roman" w:eastAsia="Times New Roman" w:hint="default"/>
                <w:sz w:val="18"/>
                <w:szCs w:val="18"/>
              </w:rPr>
            </w:pPr>
            <w:r>
              <w:rPr>
                <w:rFonts w:ascii="Times New Roman"/>
                <w:sz w:val="18"/>
              </w:rPr>
              <w:t>1,289,212</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,893.43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13,241,02</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4.97</w:t>
            </w:r>
          </w:p>
        </w:tc>
      </w:tr>
    </w:tbl>
    <w:p>
      <w:pPr>
        <w:spacing w:line="338" w:lineRule="auto" w:before="53"/>
        <w:ind w:left="153" w:right="1127" w:firstLine="0"/>
        <w:jc w:val="left"/>
        <w:rPr>
          <w:rFonts w:ascii="宋体" w:hAnsi="宋体" w:cs="宋体" w:eastAsia="宋体" w:hint="default"/>
          <w:sz w:val="18"/>
          <w:szCs w:val="18"/>
        </w:rPr>
      </w:pPr>
      <w:r>
        <w:rPr>
          <w:rFonts w:ascii="宋体" w:hAnsi="宋体" w:cs="宋体" w:eastAsia="宋体" w:hint="default"/>
          <w:sz w:val="18"/>
          <w:szCs w:val="18"/>
        </w:rPr>
        <w:t>其他说明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注：对广东易教优培教育科技有限公司所计提的减值准备，系根据账面价值低于可收回金额差额，可收回金额已经由沃克森</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北京</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国际资产评估有限公司评估并出具报告</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沃克森评报字</w:t>
      </w:r>
      <w:r>
        <w:rPr>
          <w:rFonts w:ascii="Times New Roman" w:hAnsi="Times New Roman" w:cs="Times New Roman" w:eastAsia="Times New Roman" w:hint="default"/>
          <w:spacing w:val="-2"/>
          <w:sz w:val="18"/>
          <w:szCs w:val="18"/>
        </w:rPr>
        <w:t>[2020]</w:t>
      </w:r>
      <w:r>
        <w:rPr>
          <w:rFonts w:ascii="宋体" w:hAnsi="宋体" w:cs="宋体" w:eastAsia="宋体" w:hint="default"/>
          <w:spacing w:val="-2"/>
          <w:sz w:val="18"/>
          <w:szCs w:val="18"/>
        </w:rPr>
        <w:t>第</w:t>
      </w:r>
      <w:r>
        <w:rPr>
          <w:rFonts w:ascii="Times New Roman" w:hAnsi="Times New Roman" w:cs="Times New Roman" w:eastAsia="Times New Roman" w:hint="default"/>
          <w:spacing w:val="-2"/>
          <w:sz w:val="18"/>
          <w:szCs w:val="18"/>
        </w:rPr>
        <w:t>0582</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p>
    <w:p>
      <w:pPr>
        <w:spacing w:line="240" w:lineRule="auto" w:before="9"/>
        <w:rPr>
          <w:rFonts w:ascii="宋体" w:hAnsi="宋体" w:cs="宋体" w:eastAsia="宋体" w:hint="default"/>
          <w:sz w:val="19"/>
          <w:szCs w:val="19"/>
        </w:rPr>
      </w:pPr>
    </w:p>
    <w:p>
      <w:pPr>
        <w:pStyle w:val="Heading4"/>
        <w:spacing w:line="240" w:lineRule="auto"/>
        <w:ind w:right="0"/>
        <w:jc w:val="left"/>
        <w:rPr>
          <w:b w:val="0"/>
          <w:bCs w:val="0"/>
        </w:rPr>
      </w:pPr>
      <w:bookmarkStart w:name="10、其他权益工具投资" w:id="246"/>
      <w:bookmarkEnd w:id="246"/>
      <w:r>
        <w:rPr>
          <w:b w:val="0"/>
          <w:bCs w:val="0"/>
        </w:rPr>
      </w:r>
      <w:r>
        <w:rPr>
          <w:rFonts w:ascii="Times New Roman" w:hAnsi="Times New Roman" w:cs="Times New Roman" w:eastAsia="Times New Roman" w:hint="default"/>
        </w:rPr>
        <w:t>10</w:t>
      </w:r>
      <w:r>
        <w:rPr/>
        <w:t>、其他权益工具投资</w:t>
      </w:r>
      <w:r>
        <w:rPr>
          <w:b w:val="0"/>
          <w:bCs w:val="0"/>
        </w:rPr>
      </w:r>
    </w:p>
    <w:p>
      <w:pPr>
        <w:spacing w:line="240" w:lineRule="auto" w:before="9"/>
        <w:rPr>
          <w:rFonts w:ascii="宋体" w:hAnsi="宋体" w:cs="宋体" w:eastAsia="宋体" w:hint="default"/>
          <w:b/>
          <w:bCs/>
          <w:sz w:val="26"/>
          <w:szCs w:val="26"/>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北京华盖映月影视文化投资合伙企业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37,873,665.97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36,597,323.81</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常州合一科文投资合伙企业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20,587,258.77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22,810,365.72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北京视觉像素网络科技有限公司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9,718,143.15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9,718,143.15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68,179,067.89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69,125,832.68</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分项披露本期非交易性权益工具投资</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1340"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pacing w:val="-3"/>
                <w:sz w:val="18"/>
                <w:szCs w:val="18"/>
              </w:rPr>
              <w:t>确认的股利收入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47" w:right="41"/>
              <w:jc w:val="center"/>
              <w:rPr>
                <w:rFonts w:ascii="宋体" w:hAnsi="宋体" w:cs="宋体" w:eastAsia="宋体" w:hint="default"/>
                <w:sz w:val="18"/>
                <w:szCs w:val="18"/>
              </w:rPr>
            </w:pPr>
            <w:r>
              <w:rPr>
                <w:rFonts w:ascii="宋体" w:hAnsi="宋体" w:cs="宋体" w:eastAsia="宋体" w:hint="default"/>
                <w:spacing w:val="-3"/>
                <w:sz w:val="18"/>
                <w:szCs w:val="18"/>
              </w:rPr>
              <w:t>其他综合收益转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入留存收益的金</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48" w:right="46"/>
              <w:jc w:val="center"/>
              <w:rPr>
                <w:rFonts w:ascii="宋体" w:hAnsi="宋体" w:cs="宋体" w:eastAsia="宋体" w:hint="default"/>
                <w:sz w:val="18"/>
                <w:szCs w:val="18"/>
              </w:rPr>
            </w:pPr>
            <w:r>
              <w:rPr>
                <w:rFonts w:ascii="宋体" w:hAnsi="宋体" w:cs="宋体" w:eastAsia="宋体" w:hint="default"/>
                <w:spacing w:val="-3"/>
                <w:sz w:val="18"/>
                <w:szCs w:val="18"/>
              </w:rPr>
              <w:t>指定为以公允价</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值计量且其变动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计入其他综合收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益的原因</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47" w:right="46"/>
              <w:jc w:val="center"/>
              <w:rPr>
                <w:rFonts w:ascii="宋体" w:hAnsi="宋体" w:cs="宋体" w:eastAsia="宋体" w:hint="default"/>
                <w:sz w:val="18"/>
                <w:szCs w:val="18"/>
              </w:rPr>
            </w:pPr>
            <w:r>
              <w:rPr>
                <w:rFonts w:ascii="宋体" w:hAnsi="宋体" w:cs="宋体" w:eastAsia="宋体" w:hint="default"/>
                <w:spacing w:val="-3"/>
                <w:sz w:val="18"/>
                <w:szCs w:val="18"/>
              </w:rPr>
              <w:t>其他综合收益转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入留存收益的原</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因</w:t>
            </w:r>
          </w:p>
        </w:tc>
      </w:tr>
      <w:tr>
        <w:trPr>
          <w:trHeight w:val="102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both"/>
              <w:rPr>
                <w:rFonts w:ascii="宋体" w:hAnsi="宋体" w:cs="宋体" w:eastAsia="宋体" w:hint="default"/>
                <w:sz w:val="18"/>
                <w:szCs w:val="18"/>
              </w:rPr>
            </w:pPr>
            <w:r>
              <w:rPr>
                <w:rFonts w:ascii="宋体" w:hAnsi="宋体" w:cs="宋体" w:eastAsia="宋体" w:hint="default"/>
                <w:spacing w:val="-3"/>
                <w:sz w:val="18"/>
                <w:szCs w:val="18"/>
              </w:rPr>
              <w:t>北京华盖映月影</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视文化投资合伙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企业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11,312,795.73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70"/>
              <w:jc w:val="left"/>
              <w:rPr>
                <w:rFonts w:ascii="宋体" w:hAnsi="宋体" w:cs="宋体" w:eastAsia="宋体" w:hint="default"/>
                <w:sz w:val="18"/>
                <w:szCs w:val="18"/>
              </w:rPr>
            </w:pPr>
            <w:r>
              <w:rPr>
                <w:rFonts w:ascii="宋体" w:hAnsi="宋体" w:cs="宋体" w:eastAsia="宋体" w:hint="default"/>
                <w:spacing w:val="-3"/>
                <w:sz w:val="18"/>
                <w:szCs w:val="18"/>
              </w:rPr>
              <w:t>常州合一科文投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资合伙企业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587,258.77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华融创新投资股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份有限公司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7,050,393.23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-7,050,393.23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减资退出</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北京视觉像素网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络科技有限公司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218,143.15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12,118,197.65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8" w:right="0"/>
              <w:jc w:val="left"/>
              <w:rPr>
                <w:rFonts w:ascii="Times New Roman" w:hAnsi="Times New Roman" w:cs="Times New Roman" w:eastAsia="Times New Roman" w:hint="default"/>
                <w:sz w:val="18"/>
                <w:szCs w:val="18"/>
              </w:rPr>
            </w:pPr>
            <w:r>
              <w:rPr>
                <w:rFonts w:ascii="Times New Roman"/>
                <w:sz w:val="18"/>
              </w:rPr>
              <w:t>7,050,393.23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-7,050,393.23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Heading3"/>
        <w:spacing w:line="240" w:lineRule="auto" w:before="159"/>
        <w:ind w:left="153" w:right="0"/>
        <w:jc w:val="left"/>
      </w:pPr>
      <w:r>
        <w:rPr/>
        <w:t>公允价值变动</w:t>
      </w:r>
    </w:p>
    <w:p>
      <w:pPr>
        <w:spacing w:line="240" w:lineRule="auto" w:before="9"/>
        <w:rPr>
          <w:rFonts w:ascii="宋体" w:hAnsi="宋体" w:cs="宋体" w:eastAsia="宋体" w:hint="default"/>
          <w:sz w:val="12"/>
          <w:szCs w:val="12"/>
        </w:rPr>
      </w:pPr>
    </w:p>
    <w:tbl>
      <w:tblPr>
        <w:tblW w:w="0" w:type="auto"/>
        <w:jc w:val="left"/>
        <w:tblInd w:w="143" w:type="dxa"/>
        <w:tblLayout w:type="fixed"/>
        <w:tblCellMar>
          <w:top w:w="0" w:type="dxa"/>
          <w:left w:w="0" w:type="dxa"/>
          <w:bottom w:w="0" w:type="dxa"/>
          <w:right w:w="0" w:type="dxa"/>
        </w:tblCellMar>
        <w:tblLook w:val="01E0"/>
      </w:tblPr>
      <w:tblGrid>
        <w:gridCol w:w="3121"/>
        <w:gridCol w:w="2003"/>
        <w:gridCol w:w="2003"/>
        <w:gridCol w:w="2009"/>
      </w:tblGrid>
      <w:tr>
        <w:trPr>
          <w:trHeight w:val="665" w:hRule="exact"/>
        </w:trPr>
        <w:tc>
          <w:tcPr>
            <w:tcW w:w="31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left="4"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0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left="9" w:right="0"/>
              <w:jc w:val="center"/>
              <w:rPr>
                <w:rFonts w:ascii="宋体" w:hAnsi="宋体" w:cs="宋体" w:eastAsia="宋体" w:hint="default"/>
                <w:sz w:val="20"/>
                <w:szCs w:val="20"/>
              </w:rPr>
            </w:pPr>
            <w:r>
              <w:rPr>
                <w:rFonts w:ascii="宋体" w:hAnsi="宋体" w:cs="宋体" w:eastAsia="宋体" w:hint="default"/>
                <w:sz w:val="20"/>
                <w:szCs w:val="20"/>
              </w:rPr>
              <w:t>成本</w:t>
            </w:r>
          </w:p>
        </w:tc>
        <w:tc>
          <w:tcPr>
            <w:tcW w:w="20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left="595" w:right="0"/>
              <w:jc w:val="left"/>
              <w:rPr>
                <w:rFonts w:ascii="宋体" w:hAnsi="宋体" w:cs="宋体" w:eastAsia="宋体" w:hint="default"/>
                <w:sz w:val="20"/>
                <w:szCs w:val="20"/>
              </w:rPr>
            </w:pPr>
            <w:r>
              <w:rPr>
                <w:rFonts w:ascii="宋体" w:hAnsi="宋体" w:cs="宋体" w:eastAsia="宋体" w:hint="default"/>
                <w:sz w:val="20"/>
                <w:szCs w:val="20"/>
              </w:rPr>
              <w:t>公允价值</w:t>
            </w:r>
          </w:p>
        </w:tc>
        <w:tc>
          <w:tcPr>
            <w:tcW w:w="2009" w:type="dxa"/>
            <w:tcBorders>
              <w:top w:val="single" w:sz="6" w:space="0" w:color="000000"/>
              <w:left w:val="single" w:sz="6" w:space="0" w:color="000000"/>
              <w:bottom w:val="single" w:sz="12" w:space="0" w:color="000000"/>
              <w:right w:val="nil" w:sz="6" w:space="0" w:color="auto"/>
            </w:tcBorders>
          </w:tcPr>
          <w:p>
            <w:pPr>
              <w:pStyle w:val="TableParagraph"/>
              <w:spacing w:line="285" w:lineRule="auto" w:before="1"/>
              <w:ind w:left="201" w:right="95" w:hanging="101"/>
              <w:jc w:val="left"/>
              <w:rPr>
                <w:rFonts w:ascii="宋体" w:hAnsi="宋体" w:cs="宋体" w:eastAsia="宋体" w:hint="default"/>
                <w:sz w:val="20"/>
                <w:szCs w:val="20"/>
              </w:rPr>
            </w:pPr>
            <w:r>
              <w:rPr>
                <w:rFonts w:ascii="宋体" w:hAnsi="宋体" w:cs="宋体" w:eastAsia="宋体" w:hint="default"/>
                <w:spacing w:val="-2"/>
                <w:sz w:val="20"/>
                <w:szCs w:val="20"/>
              </w:rPr>
              <w:t>累计计入其他综合收</w:t>
            </w:r>
            <w:r>
              <w:rPr>
                <w:rFonts w:ascii="宋体" w:hAnsi="宋体" w:cs="宋体" w:eastAsia="宋体" w:hint="default"/>
                <w:spacing w:val="-78"/>
                <w:sz w:val="20"/>
                <w:szCs w:val="20"/>
              </w:rPr>
              <w:t> </w:t>
            </w:r>
            <w:r>
              <w:rPr>
                <w:rFonts w:ascii="宋体" w:hAnsi="宋体" w:cs="宋体" w:eastAsia="宋体" w:hint="default"/>
                <w:spacing w:val="-78"/>
                <w:sz w:val="20"/>
                <w:szCs w:val="20"/>
              </w:rPr>
            </w:r>
            <w:r>
              <w:rPr>
                <w:rFonts w:ascii="宋体" w:hAnsi="宋体" w:cs="宋体" w:eastAsia="宋体" w:hint="default"/>
                <w:sz w:val="20"/>
                <w:szCs w:val="20"/>
              </w:rPr>
              <w:t>益的公允价值变动</w:t>
            </w:r>
          </w:p>
        </w:tc>
      </w:tr>
      <w:tr>
        <w:trPr>
          <w:trHeight w:val="355" w:hRule="exact"/>
        </w:trPr>
        <w:tc>
          <w:tcPr>
            <w:tcW w:w="31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3"/>
                <w:sz w:val="18"/>
                <w:szCs w:val="18"/>
              </w:rPr>
              <w:t>北京华盖映月影视文化投资合伙企业</w:t>
            </w:r>
          </w:p>
        </w:tc>
        <w:tc>
          <w:tcPr>
            <w:tcW w:w="20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26,560,870.24</w:t>
            </w:r>
          </w:p>
        </w:tc>
        <w:tc>
          <w:tcPr>
            <w:tcW w:w="20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11,312,795.73</w:t>
            </w:r>
          </w:p>
        </w:tc>
        <w:tc>
          <w:tcPr>
            <w:tcW w:w="20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11,312,795.73</w:t>
            </w:r>
          </w:p>
        </w:tc>
      </w:tr>
      <w:tr>
        <w:trPr>
          <w:trHeight w:val="350" w:hRule="exact"/>
        </w:trPr>
        <w:tc>
          <w:tcPr>
            <w:tcW w:w="31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3"/>
                <w:sz w:val="18"/>
                <w:szCs w:val="18"/>
              </w:rPr>
              <w:t>常州合一科文投资合伙企业</w:t>
            </w:r>
          </w:p>
        </w:tc>
        <w:tc>
          <w:tcPr>
            <w:tcW w:w="20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20,000,000.00</w:t>
            </w:r>
          </w:p>
        </w:tc>
        <w:tc>
          <w:tcPr>
            <w:tcW w:w="20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587,258.77</w:t>
            </w:r>
          </w:p>
        </w:tc>
        <w:tc>
          <w:tcPr>
            <w:tcW w:w="20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587,258.77</w:t>
            </w:r>
          </w:p>
        </w:tc>
      </w:tr>
      <w:tr>
        <w:trPr>
          <w:trHeight w:val="350" w:hRule="exact"/>
        </w:trPr>
        <w:tc>
          <w:tcPr>
            <w:tcW w:w="31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3"/>
                <w:sz w:val="18"/>
                <w:szCs w:val="18"/>
              </w:rPr>
              <w:t>北京视觉像素网络科技有限公司</w:t>
            </w:r>
          </w:p>
        </w:tc>
        <w:tc>
          <w:tcPr>
            <w:tcW w:w="20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9,500,000.00</w:t>
            </w:r>
          </w:p>
        </w:tc>
        <w:tc>
          <w:tcPr>
            <w:tcW w:w="20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218,143.15</w:t>
            </w:r>
          </w:p>
        </w:tc>
        <w:tc>
          <w:tcPr>
            <w:tcW w:w="20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218,143.15</w:t>
            </w:r>
          </w:p>
        </w:tc>
      </w:tr>
      <w:tr>
        <w:trPr>
          <w:trHeight w:val="356" w:hRule="exact"/>
        </w:trPr>
        <w:tc>
          <w:tcPr>
            <w:tcW w:w="31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56,060,870.24</w:t>
            </w:r>
          </w:p>
        </w:tc>
        <w:tc>
          <w:tcPr>
            <w:tcW w:w="20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12,118,197.65</w:t>
            </w:r>
          </w:p>
        </w:tc>
        <w:tc>
          <w:tcPr>
            <w:tcW w:w="20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12,118,197.65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Heading4"/>
        <w:spacing w:line="240" w:lineRule="auto" w:before="36"/>
        <w:ind w:right="0"/>
        <w:jc w:val="left"/>
        <w:rPr>
          <w:b w:val="0"/>
          <w:bCs w:val="0"/>
        </w:rPr>
      </w:pPr>
      <w:bookmarkStart w:name="11、固定资产" w:id="247"/>
      <w:bookmarkEnd w:id="247"/>
      <w:r>
        <w:rPr>
          <w:b w:val="0"/>
          <w:bCs w:val="0"/>
        </w:rPr>
      </w:r>
      <w:r>
        <w:rPr>
          <w:rFonts w:ascii="Times New Roman" w:hAnsi="Times New Roman" w:cs="Times New Roman" w:eastAsia="Times New Roman" w:hint="default"/>
        </w:rPr>
        <w:t>11</w:t>
      </w:r>
      <w:r>
        <w:rPr/>
        <w:t>、固定资产</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3,101,153.98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4,087,216.32</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3,101,153.98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4,087,216.32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1）固定资产情况" w:id="248"/>
      <w:bookmarkEnd w:id="248"/>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70"/>
        <w:gridCol w:w="1606"/>
        <w:gridCol w:w="1595"/>
        <w:gridCol w:w="1594"/>
        <w:gridCol w:w="1594"/>
        <w:gridCol w:w="1599"/>
      </w:tblGrid>
      <w:tr>
        <w:trPr>
          <w:trHeight w:val="404"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4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一、账面原值：</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614" w:right="0"/>
              <w:jc w:val="left"/>
              <w:rPr>
                <w:rFonts w:ascii="Times New Roman" w:hAnsi="Times New Roman" w:cs="Times New Roman" w:eastAsia="Times New Roman" w:hint="default"/>
                <w:sz w:val="18"/>
                <w:szCs w:val="18"/>
              </w:rPr>
            </w:pPr>
            <w:r>
              <w:rPr>
                <w:rFonts w:ascii="Times New Roman"/>
                <w:sz w:val="18"/>
              </w:rPr>
              <w:t>3,867,821.38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15" w:right="0"/>
              <w:jc w:val="left"/>
              <w:rPr>
                <w:rFonts w:ascii="Times New Roman" w:hAnsi="Times New Roman" w:cs="Times New Roman" w:eastAsia="Times New Roman" w:hint="default"/>
                <w:sz w:val="18"/>
                <w:szCs w:val="18"/>
              </w:rPr>
            </w:pPr>
            <w:r>
              <w:rPr>
                <w:rFonts w:ascii="Times New Roman"/>
                <w:sz w:val="18"/>
              </w:rPr>
              <w:t>5,896,603.36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48" w:right="0"/>
              <w:jc w:val="left"/>
              <w:rPr>
                <w:rFonts w:ascii="Times New Roman" w:hAnsi="Times New Roman" w:cs="Times New Roman" w:eastAsia="Times New Roman" w:hint="default"/>
                <w:sz w:val="18"/>
                <w:szCs w:val="18"/>
              </w:rPr>
            </w:pPr>
            <w:r>
              <w:rPr>
                <w:rFonts w:ascii="Times New Roman"/>
                <w:sz w:val="18"/>
              </w:rPr>
              <w:t>107,244.05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49" w:right="0"/>
              <w:jc w:val="left"/>
              <w:rPr>
                <w:rFonts w:ascii="Times New Roman" w:hAnsi="Times New Roman" w:cs="Times New Roman" w:eastAsia="Times New Roman" w:hint="default"/>
                <w:sz w:val="18"/>
                <w:szCs w:val="18"/>
              </w:rPr>
            </w:pPr>
            <w:r>
              <w:rPr>
                <w:rFonts w:ascii="Times New Roman"/>
                <w:sz w:val="18"/>
              </w:rPr>
              <w:t>943,939.37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3" w:right="0"/>
              <w:jc w:val="left"/>
              <w:rPr>
                <w:rFonts w:ascii="Times New Roman" w:hAnsi="Times New Roman" w:cs="Times New Roman" w:eastAsia="Times New Roman" w:hint="default"/>
                <w:sz w:val="18"/>
                <w:szCs w:val="18"/>
              </w:rPr>
            </w:pPr>
            <w:r>
              <w:rPr>
                <w:rFonts w:ascii="Times New Roman"/>
                <w:sz w:val="18"/>
              </w:rPr>
              <w:t>10,815,608.16</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82"/>
        <w:gridCol w:w="1606"/>
        <w:gridCol w:w="1595"/>
        <w:gridCol w:w="1594"/>
        <w:gridCol w:w="1594"/>
        <w:gridCol w:w="1599"/>
      </w:tblGrid>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4"/>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本期增加金额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146,880.69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742,321.37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118,152.62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1,007,354.68</w:t>
            </w:r>
          </w:p>
        </w:tc>
      </w:tr>
      <w:tr>
        <w:trPr>
          <w:trHeight w:val="398"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135,909.65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742,321.37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116,726.56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994,957.58</w:t>
            </w:r>
          </w:p>
        </w:tc>
      </w:tr>
      <w:tr>
        <w:trPr>
          <w:trHeight w:val="716"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10" w:firstLine="36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）在建工程</w:t>
            </w:r>
            <w:r>
              <w:rPr>
                <w:rFonts w:ascii="宋体" w:hAnsi="宋体" w:cs="宋体" w:eastAsia="宋体" w:hint="default"/>
                <w:w w:val="101"/>
                <w:sz w:val="18"/>
                <w:szCs w:val="18"/>
              </w:rPr>
              <w:t> </w:t>
            </w:r>
            <w:r>
              <w:rPr>
                <w:rFonts w:ascii="宋体" w:hAnsi="宋体" w:cs="宋体" w:eastAsia="宋体" w:hint="default"/>
                <w:sz w:val="18"/>
                <w:szCs w:val="18"/>
              </w:rPr>
              <w:t>转入</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0" w:firstLine="36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w:t>
            </w:r>
            <w:r>
              <w:rPr>
                <w:rFonts w:ascii="宋体" w:hAnsi="宋体" w:cs="宋体" w:eastAsia="宋体" w:hint="default"/>
                <w:w w:val="101"/>
                <w:sz w:val="18"/>
                <w:szCs w:val="18"/>
              </w:rPr>
              <w:t> </w:t>
            </w:r>
            <w:r>
              <w:rPr>
                <w:rFonts w:ascii="宋体" w:hAnsi="宋体" w:cs="宋体" w:eastAsia="宋体" w:hint="default"/>
                <w:sz w:val="18"/>
                <w:szCs w:val="18"/>
              </w:rPr>
              <w:t>增加</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9" w:firstLine="542"/>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）外币财</w:t>
            </w:r>
            <w:r>
              <w:rPr>
                <w:rFonts w:ascii="宋体" w:hAnsi="宋体" w:cs="宋体" w:eastAsia="宋体" w:hint="default"/>
                <w:w w:val="101"/>
                <w:sz w:val="18"/>
                <w:szCs w:val="18"/>
              </w:rPr>
              <w:t> </w:t>
            </w:r>
            <w:r>
              <w:rPr>
                <w:rFonts w:ascii="宋体" w:hAnsi="宋体" w:cs="宋体" w:eastAsia="宋体" w:hint="default"/>
                <w:spacing w:val="-3"/>
                <w:sz w:val="18"/>
                <w:szCs w:val="18"/>
              </w:rPr>
              <w:t>务报表折算差额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10,971.04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1,426.06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12,397.10</w:t>
            </w:r>
          </w:p>
        </w:tc>
      </w:tr>
      <w:tr>
        <w:trPr>
          <w:trHeight w:val="398"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4"/>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834,568.22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1,054,523.91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130,592.31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2,019,684.44</w:t>
            </w:r>
          </w:p>
        </w:tc>
      </w:tr>
      <w:tr>
        <w:trPr>
          <w:trHeight w:val="715"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废</w:t>
            </w:r>
            <w:r>
              <w:rPr>
                <w:rFonts w:ascii="宋体" w:hAnsi="宋体" w:cs="宋体" w:eastAsia="宋体" w:hint="default"/>
                <w:sz w:val="18"/>
                <w:szCs w:val="18"/>
              </w:rPr>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137,880.87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735,401.48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130,592.31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1,003,874.66</w:t>
            </w:r>
          </w:p>
        </w:tc>
      </w:tr>
      <w:tr>
        <w:trPr>
          <w:trHeight w:val="716"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9" w:firstLine="542"/>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）合并报</w:t>
            </w:r>
            <w:r>
              <w:rPr>
                <w:rFonts w:ascii="宋体" w:hAnsi="宋体" w:cs="宋体" w:eastAsia="宋体" w:hint="default"/>
                <w:w w:val="101"/>
                <w:sz w:val="18"/>
                <w:szCs w:val="18"/>
              </w:rPr>
              <w:t> </w:t>
            </w:r>
            <w:r>
              <w:rPr>
                <w:rFonts w:ascii="宋体" w:hAnsi="宋体" w:cs="宋体" w:eastAsia="宋体" w:hint="default"/>
                <w:sz w:val="18"/>
                <w:szCs w:val="18"/>
              </w:rPr>
              <w:t>表范围变动</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696,687.35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319,122.43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1,015,809.78</w:t>
            </w: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3,180,133.85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5,584,400.82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107,244.05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931,499.68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9,803,278.40</w:t>
            </w:r>
          </w:p>
        </w:tc>
      </w:tr>
      <w:tr>
        <w:trPr>
          <w:trHeight w:val="398"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1,960,048.73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4,118,972.34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96,519.64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552,851.13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6,728,391.84</w:t>
            </w:r>
          </w:p>
        </w:tc>
      </w:tr>
      <w:tr>
        <w:trPr>
          <w:trHeight w:val="404"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44"/>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本期增加金额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532,325.35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932,447.45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151,518.40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1,616,291.20</w:t>
            </w: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525,483.74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932,447.45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151,328.07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1,609,259.26</w:t>
            </w:r>
          </w:p>
        </w:tc>
      </w:tr>
      <w:tr>
        <w:trPr>
          <w:trHeight w:val="710"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9" w:firstLine="542"/>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）外币财</w:t>
            </w:r>
            <w:r>
              <w:rPr>
                <w:rFonts w:ascii="宋体" w:hAnsi="宋体" w:cs="宋体" w:eastAsia="宋体" w:hint="default"/>
                <w:w w:val="101"/>
                <w:sz w:val="18"/>
                <w:szCs w:val="18"/>
              </w:rPr>
              <w:t> </w:t>
            </w:r>
            <w:r>
              <w:rPr>
                <w:rFonts w:ascii="宋体" w:hAnsi="宋体" w:cs="宋体" w:eastAsia="宋体" w:hint="default"/>
                <w:spacing w:val="-3"/>
                <w:sz w:val="18"/>
                <w:szCs w:val="18"/>
              </w:rPr>
              <w:t>务报表折算差额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6,841.61</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190.33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7,031.94</w:t>
            </w:r>
          </w:p>
        </w:tc>
      </w:tr>
      <w:tr>
        <w:trPr>
          <w:trHeight w:val="404"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44"/>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540,892.14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863,147.36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238,519.12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1,642,558.62</w:t>
            </w:r>
          </w:p>
        </w:tc>
      </w:tr>
      <w:tr>
        <w:trPr>
          <w:trHeight w:val="715"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废</w:t>
            </w:r>
            <w:r>
              <w:rPr>
                <w:rFonts w:ascii="宋体" w:hAnsi="宋体" w:cs="宋体" w:eastAsia="宋体" w:hint="default"/>
                <w:sz w:val="18"/>
                <w:szCs w:val="18"/>
              </w:rPr>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131,717.55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639,371.78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124,320.27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895,409.60</w:t>
            </w:r>
          </w:p>
        </w:tc>
      </w:tr>
      <w:tr>
        <w:trPr>
          <w:trHeight w:val="715"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9" w:firstLine="542"/>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）合并报</w:t>
            </w:r>
            <w:r>
              <w:rPr>
                <w:rFonts w:ascii="宋体" w:hAnsi="宋体" w:cs="宋体" w:eastAsia="宋体" w:hint="default"/>
                <w:w w:val="101"/>
                <w:sz w:val="18"/>
                <w:szCs w:val="18"/>
              </w:rPr>
              <w:t> </w:t>
            </w:r>
            <w:r>
              <w:rPr>
                <w:rFonts w:ascii="宋体" w:hAnsi="宋体" w:cs="宋体" w:eastAsia="宋体" w:hint="default"/>
                <w:sz w:val="18"/>
                <w:szCs w:val="18"/>
              </w:rPr>
              <w:t>表范围变动</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409,174.59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223,775.58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114,198.85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747,149.02</w:t>
            </w:r>
          </w:p>
        </w:tc>
      </w:tr>
      <w:tr>
        <w:trPr>
          <w:trHeight w:val="399"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1,951,481.94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4,188,272.43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96,519.64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465,850.41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6,702,124.42</w:t>
            </w: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4"/>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本期增加金额</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4"/>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本期减少金额</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废</w:t>
            </w:r>
            <w:r>
              <w:rPr>
                <w:rFonts w:ascii="宋体" w:hAnsi="宋体" w:cs="宋体" w:eastAsia="宋体" w:hint="default"/>
                <w:sz w:val="18"/>
                <w:szCs w:val="18"/>
              </w:rPr>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82"/>
        <w:gridCol w:w="1606"/>
        <w:gridCol w:w="1595"/>
        <w:gridCol w:w="1594"/>
        <w:gridCol w:w="1594"/>
        <w:gridCol w:w="1599"/>
      </w:tblGrid>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4"/>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期末账面价值</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1,228,651.91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1,396,128.39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10,724.41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465,649.27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3,101,153.98</w:t>
            </w:r>
          </w:p>
        </w:tc>
      </w:tr>
      <w:tr>
        <w:trPr>
          <w:trHeight w:val="404"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44"/>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期初账面价值</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1,907,772.65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1,777,631.02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10,724.41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391,088.24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4,087,216.32</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bookmarkStart w:name="12、无形资产" w:id="249"/>
      <w:bookmarkEnd w:id="249"/>
      <w:r>
        <w:rPr>
          <w:b w:val="0"/>
          <w:bCs w:val="0"/>
        </w:rPr>
      </w:r>
      <w:r>
        <w:rPr>
          <w:rFonts w:ascii="Times New Roman" w:hAnsi="Times New Roman" w:cs="Times New Roman" w:eastAsia="Times New Roman" w:hint="default"/>
        </w:rPr>
        <w:t>12</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无形资产情况" w:id="250"/>
      <w:bookmarkEnd w:id="250"/>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74"/>
        <w:gridCol w:w="1205"/>
        <w:gridCol w:w="1201"/>
        <w:gridCol w:w="1196"/>
        <w:gridCol w:w="1196"/>
        <w:gridCol w:w="1196"/>
        <w:gridCol w:w="1196"/>
        <w:gridCol w:w="1195"/>
      </w:tblGrid>
      <w:tr>
        <w:trPr>
          <w:trHeight w:val="158" w:hRule="exact"/>
        </w:trPr>
        <w:tc>
          <w:tcPr>
            <w:tcW w:w="11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12" w:right="46" w:hanging="360"/>
              <w:jc w:val="left"/>
              <w:rPr>
                <w:rFonts w:ascii="宋体" w:hAnsi="宋体" w:cs="宋体" w:eastAsia="宋体" w:hint="default"/>
                <w:sz w:val="18"/>
                <w:szCs w:val="18"/>
              </w:rPr>
            </w:pPr>
            <w:r>
              <w:rPr>
                <w:rFonts w:ascii="宋体" w:hAnsi="宋体" w:cs="宋体" w:eastAsia="宋体" w:hint="default"/>
                <w:spacing w:val="-2"/>
                <w:sz w:val="18"/>
                <w:szCs w:val="18"/>
              </w:rPr>
              <w:t>商标使用权及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域名</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12" w:right="46" w:hanging="360"/>
              <w:jc w:val="left"/>
              <w:rPr>
                <w:rFonts w:ascii="宋体" w:hAnsi="宋体" w:cs="宋体" w:eastAsia="宋体" w:hint="default"/>
                <w:sz w:val="18"/>
                <w:szCs w:val="18"/>
              </w:rPr>
            </w:pPr>
            <w:r>
              <w:rPr>
                <w:rFonts w:ascii="宋体" w:hAnsi="宋体" w:cs="宋体" w:eastAsia="宋体" w:hint="default"/>
                <w:spacing w:val="-2"/>
                <w:sz w:val="18"/>
                <w:szCs w:val="18"/>
              </w:rPr>
              <w:t>计算机软件著</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作权</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1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2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2"/>
                <w:sz w:val="18"/>
                <w:szCs w:val="18"/>
              </w:rPr>
              <w:t>管理系统软件</w:t>
            </w: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58" w:hRule="exact"/>
        </w:trPr>
        <w:tc>
          <w:tcPr>
            <w:tcW w:w="11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53"/>
              <w:jc w:val="center"/>
              <w:rPr>
                <w:rFonts w:ascii="宋体" w:hAnsi="宋体" w:cs="宋体" w:eastAsia="宋体" w:hint="default"/>
                <w:sz w:val="18"/>
                <w:szCs w:val="18"/>
              </w:rPr>
            </w:pPr>
            <w:r>
              <w:rPr>
                <w:rFonts w:ascii="宋体" w:hAnsi="宋体" w:cs="宋体" w:eastAsia="宋体" w:hint="default"/>
                <w:sz w:val="18"/>
                <w:szCs w:val="18"/>
              </w:rPr>
              <w:t>一、账面原值</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30,323,933.71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63,882,536.61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8,547,101.68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102,753,572.00</w:t>
            </w:r>
          </w:p>
        </w:tc>
      </w:tr>
      <w:tr>
        <w:trPr>
          <w:trHeight w:val="715" w:hRule="exact"/>
        </w:trPr>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108" w:firstLine="36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w:t>
            </w:r>
            <w:r>
              <w:rPr>
                <w:rFonts w:ascii="宋体" w:hAnsi="宋体" w:cs="宋体" w:eastAsia="宋体" w:hint="default"/>
                <w:w w:val="101"/>
                <w:sz w:val="18"/>
                <w:szCs w:val="18"/>
              </w:rPr>
              <w:t> </w:t>
            </w:r>
            <w:r>
              <w:rPr>
                <w:rFonts w:ascii="宋体" w:hAnsi="宋体" w:cs="宋体" w:eastAsia="宋体" w:hint="default"/>
                <w:sz w:val="18"/>
                <w:szCs w:val="18"/>
              </w:rPr>
              <w:t>加金额</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12,534,133.86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2,874,427.82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15,438,490.12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30,847,051.80</w:t>
            </w:r>
          </w:p>
        </w:tc>
      </w:tr>
      <w:tr>
        <w:trPr>
          <w:trHeight w:val="711" w:hRule="exact"/>
        </w:trPr>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40" w:right="0"/>
              <w:jc w:val="left"/>
              <w:rPr>
                <w:rFonts w:ascii="宋体" w:hAnsi="宋体" w:cs="宋体" w:eastAsia="宋体"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）购</w:t>
            </w:r>
            <w:r>
              <w:rPr>
                <w:rFonts w:ascii="宋体" w:hAnsi="宋体" w:cs="宋体" w:eastAsia="宋体" w:hint="default"/>
                <w:sz w:val="18"/>
                <w:szCs w:val="18"/>
              </w:rPr>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w w:val="101"/>
                <w:sz w:val="18"/>
                <w:szCs w:val="18"/>
              </w:rPr>
              <w:t>置</w:t>
            </w:r>
            <w:r>
              <w:rPr>
                <w:rFonts w:ascii="宋体" w:hAnsi="宋体" w:cs="宋体" w:eastAsia="宋体" w:hint="default"/>
                <w:sz w:val="18"/>
                <w:szCs w:val="18"/>
              </w:rPr>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539,360.23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539,360.23</w:t>
            </w:r>
          </w:p>
        </w:tc>
      </w:tr>
      <w:tr>
        <w:trPr>
          <w:trHeight w:val="715" w:hRule="exact"/>
        </w:trPr>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11" w:right="26" w:firstLine="528"/>
              <w:jc w:val="left"/>
              <w:rPr>
                <w:rFonts w:ascii="宋体" w:hAnsi="宋体" w:cs="宋体" w:eastAsia="宋体"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）内</w:t>
            </w:r>
            <w:r>
              <w:rPr>
                <w:rFonts w:ascii="宋体" w:hAnsi="宋体" w:cs="宋体" w:eastAsia="宋体" w:hint="default"/>
                <w:spacing w:val="-20"/>
                <w:w w:val="101"/>
                <w:sz w:val="18"/>
                <w:szCs w:val="18"/>
              </w:rPr>
              <w:t> </w:t>
            </w:r>
            <w:r>
              <w:rPr>
                <w:rFonts w:ascii="宋体" w:hAnsi="宋体" w:cs="宋体" w:eastAsia="宋体" w:hint="default"/>
                <w:sz w:val="18"/>
                <w:szCs w:val="18"/>
              </w:rPr>
              <w:t>部研发</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11,994,773.63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14,441,097.55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26,435,871.18</w:t>
            </w:r>
          </w:p>
        </w:tc>
      </w:tr>
      <w:tr>
        <w:trPr>
          <w:trHeight w:val="715" w:hRule="exact"/>
        </w:trPr>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1" w:right="26" w:firstLine="528"/>
              <w:jc w:val="left"/>
              <w:rPr>
                <w:rFonts w:ascii="宋体" w:hAnsi="宋体" w:cs="宋体" w:eastAsia="宋体"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）企</w:t>
            </w:r>
            <w:r>
              <w:rPr>
                <w:rFonts w:ascii="宋体" w:hAnsi="宋体" w:cs="宋体" w:eastAsia="宋体" w:hint="default"/>
                <w:spacing w:val="-20"/>
                <w:w w:val="101"/>
                <w:sz w:val="18"/>
                <w:szCs w:val="18"/>
              </w:rPr>
              <w:t> </w:t>
            </w:r>
            <w:r>
              <w:rPr>
                <w:rFonts w:ascii="宋体" w:hAnsi="宋体" w:cs="宋体" w:eastAsia="宋体" w:hint="default"/>
                <w:sz w:val="18"/>
                <w:szCs w:val="18"/>
              </w:rPr>
              <w:t>业合并增加</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6"/>
              <w:ind w:left="11"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外币财务</w:t>
            </w:r>
            <w:r>
              <w:rPr>
                <w:rFonts w:ascii="宋体" w:hAnsi="宋体" w:cs="宋体" w:eastAsia="宋体" w:hint="default"/>
                <w:w w:val="101"/>
                <w:sz w:val="18"/>
                <w:szCs w:val="18"/>
              </w:rPr>
              <w:t> </w:t>
            </w:r>
            <w:r>
              <w:rPr>
                <w:rFonts w:ascii="宋体" w:hAnsi="宋体" w:cs="宋体" w:eastAsia="宋体" w:hint="default"/>
                <w:sz w:val="18"/>
                <w:szCs w:val="18"/>
              </w:rPr>
              <w:t>报表折算差额</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2,874,427.82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997,392.57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3,871,820.39</w:t>
            </w:r>
          </w:p>
        </w:tc>
      </w:tr>
      <w:tr>
        <w:trPr>
          <w:trHeight w:val="711" w:hRule="exact"/>
        </w:trPr>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108" w:firstLine="18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964,833.99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964,833.99</w:t>
            </w:r>
          </w:p>
        </w:tc>
      </w:tr>
      <w:tr>
        <w:trPr>
          <w:trHeight w:val="715" w:hRule="exact"/>
        </w:trPr>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40" w:right="0"/>
              <w:jc w:val="left"/>
              <w:rPr>
                <w:rFonts w:ascii="宋体" w:hAnsi="宋体" w:cs="宋体" w:eastAsia="宋体"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）处</w:t>
            </w:r>
            <w:r>
              <w:rPr>
                <w:rFonts w:ascii="宋体" w:hAnsi="宋体" w:cs="宋体" w:eastAsia="宋体" w:hint="default"/>
                <w:sz w:val="18"/>
                <w:szCs w:val="18"/>
              </w:rPr>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w w:val="101"/>
                <w:sz w:val="18"/>
                <w:szCs w:val="18"/>
              </w:rPr>
              <w:t>置</w:t>
            </w:r>
            <w:r>
              <w:rPr>
                <w:rFonts w:ascii="宋体" w:hAnsi="宋体" w:cs="宋体" w:eastAsia="宋体" w:hint="default"/>
                <w:sz w:val="18"/>
                <w:szCs w:val="18"/>
              </w:rPr>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30"/>
              <w:ind w:left="11" w:right="6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pacing w:val="3"/>
                <w:sz w:val="18"/>
                <w:szCs w:val="18"/>
              </w:rPr>
              <w:t> </w:t>
            </w:r>
            <w:r>
              <w:rPr>
                <w:rFonts w:ascii="宋体" w:hAnsi="宋体" w:cs="宋体" w:eastAsia="宋体" w:hint="default"/>
                <w:sz w:val="18"/>
                <w:szCs w:val="18"/>
              </w:rPr>
              <w:t>合并范</w:t>
            </w:r>
            <w:r>
              <w:rPr>
                <w:rFonts w:ascii="宋体" w:hAnsi="宋体" w:cs="宋体" w:eastAsia="宋体" w:hint="default"/>
                <w:w w:val="101"/>
                <w:sz w:val="18"/>
                <w:szCs w:val="18"/>
              </w:rPr>
              <w:t> </w:t>
            </w:r>
            <w:r>
              <w:rPr>
                <w:rFonts w:ascii="宋体" w:hAnsi="宋体" w:cs="宋体" w:eastAsia="宋体" w:hint="default"/>
                <w:sz w:val="18"/>
                <w:szCs w:val="18"/>
              </w:rPr>
              <w:t>围变动</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964,833.99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964,833.99</w:t>
            </w:r>
          </w:p>
        </w:tc>
      </w:tr>
      <w:tr>
        <w:trPr>
          <w:trHeight w:val="715" w:hRule="exact"/>
        </w:trPr>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41,893,233.58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66,756,964.43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23,985,591.80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132,635,789.81</w:t>
            </w:r>
          </w:p>
        </w:tc>
      </w:tr>
      <w:tr>
        <w:trPr>
          <w:trHeight w:val="398" w:hRule="exact"/>
        </w:trPr>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3"/>
              <w:jc w:val="center"/>
              <w:rPr>
                <w:rFonts w:ascii="宋体" w:hAnsi="宋体" w:cs="宋体" w:eastAsia="宋体" w:hint="default"/>
                <w:sz w:val="18"/>
                <w:szCs w:val="18"/>
              </w:rPr>
            </w:pPr>
            <w:r>
              <w:rPr>
                <w:rFonts w:ascii="宋体" w:hAnsi="宋体" w:cs="宋体" w:eastAsia="宋体" w:hint="default"/>
                <w:sz w:val="18"/>
                <w:szCs w:val="18"/>
              </w:rPr>
              <w:t>二、累计摊销</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3,702,763.10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4,423,518.56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171,188.57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8,297,470.23</w:t>
            </w:r>
          </w:p>
        </w:tc>
      </w:tr>
      <w:tr>
        <w:trPr>
          <w:trHeight w:val="715" w:hRule="exact"/>
        </w:trPr>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1" w:right="108" w:firstLine="36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w:t>
            </w:r>
            <w:r>
              <w:rPr>
                <w:rFonts w:ascii="宋体" w:hAnsi="宋体" w:cs="宋体" w:eastAsia="宋体" w:hint="default"/>
                <w:w w:val="101"/>
                <w:sz w:val="18"/>
                <w:szCs w:val="18"/>
              </w:rPr>
              <w:t> </w:t>
            </w:r>
            <w:r>
              <w:rPr>
                <w:rFonts w:ascii="宋体" w:hAnsi="宋体" w:cs="宋体" w:eastAsia="宋体" w:hint="default"/>
                <w:sz w:val="18"/>
                <w:szCs w:val="18"/>
              </w:rPr>
              <w:t>加金额</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3,203,024.00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3,552,264.90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1,251,839.16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8,007,128.06</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86"/>
        <w:gridCol w:w="1205"/>
        <w:gridCol w:w="1201"/>
        <w:gridCol w:w="1196"/>
        <w:gridCol w:w="1196"/>
        <w:gridCol w:w="1196"/>
        <w:gridCol w:w="1196"/>
        <w:gridCol w:w="1195"/>
      </w:tblGrid>
      <w:tr>
        <w:trPr>
          <w:trHeight w:val="715"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2" w:right="0"/>
              <w:jc w:val="left"/>
              <w:rPr>
                <w:rFonts w:ascii="宋体" w:hAnsi="宋体" w:cs="宋体" w:eastAsia="宋体"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）计</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提</w:t>
            </w:r>
            <w:r>
              <w:rPr>
                <w:rFonts w:ascii="宋体" w:hAnsi="宋体" w:cs="宋体" w:eastAsia="宋体" w:hint="default"/>
                <w:sz w:val="18"/>
                <w:szCs w:val="18"/>
              </w:rPr>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3,203,024.00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3,368,309.11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1,208,673.06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7,780,006.17</w:t>
            </w:r>
          </w:p>
        </w:tc>
      </w:tr>
      <w:tr>
        <w:trPr>
          <w:trHeight w:val="1023"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6"/>
              <w:ind w:left="24"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外币财务</w:t>
            </w:r>
            <w:r>
              <w:rPr>
                <w:rFonts w:ascii="宋体" w:hAnsi="宋体" w:cs="宋体" w:eastAsia="宋体" w:hint="default"/>
                <w:w w:val="101"/>
                <w:sz w:val="18"/>
                <w:szCs w:val="18"/>
              </w:rPr>
              <w:t> </w:t>
            </w:r>
            <w:r>
              <w:rPr>
                <w:rFonts w:ascii="宋体" w:hAnsi="宋体" w:cs="宋体" w:eastAsia="宋体" w:hint="default"/>
                <w:sz w:val="18"/>
                <w:szCs w:val="18"/>
              </w:rPr>
              <w:t>报表折算差额</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183,955.79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43,166.10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227,121.89</w:t>
            </w:r>
          </w:p>
        </w:tc>
      </w:tr>
      <w:tr>
        <w:trPr>
          <w:trHeight w:val="715"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108" w:firstLine="36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w:t>
            </w:r>
            <w:r>
              <w:rPr>
                <w:rFonts w:ascii="宋体" w:hAnsi="宋体" w:cs="宋体" w:eastAsia="宋体" w:hint="default"/>
                <w:w w:val="101"/>
                <w:sz w:val="18"/>
                <w:szCs w:val="18"/>
              </w:rPr>
              <w:t> </w:t>
            </w:r>
            <w:r>
              <w:rPr>
                <w:rFonts w:ascii="宋体" w:hAnsi="宋体" w:cs="宋体" w:eastAsia="宋体" w:hint="default"/>
                <w:sz w:val="18"/>
                <w:szCs w:val="18"/>
              </w:rPr>
              <w:t>少金额</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2" w:right="0"/>
              <w:jc w:val="left"/>
              <w:rPr>
                <w:rFonts w:ascii="宋体" w:hAnsi="宋体" w:cs="宋体" w:eastAsia="宋体"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）处</w:t>
            </w:r>
            <w:r>
              <w:rPr>
                <w:rFonts w:ascii="宋体" w:hAnsi="宋体" w:cs="宋体" w:eastAsia="宋体" w:hint="default"/>
                <w:sz w:val="18"/>
                <w:szCs w:val="18"/>
              </w:rPr>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w w:val="101"/>
                <w:sz w:val="18"/>
                <w:szCs w:val="18"/>
              </w:rPr>
              <w:t>置</w:t>
            </w:r>
            <w:r>
              <w:rPr>
                <w:rFonts w:ascii="宋体" w:hAnsi="宋体" w:cs="宋体" w:eastAsia="宋体" w:hint="default"/>
                <w:sz w:val="18"/>
                <w:szCs w:val="18"/>
              </w:rPr>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6,905,787.10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7,975,783.46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1,423,027.73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16,304,598.29</w:t>
            </w:r>
          </w:p>
        </w:tc>
      </w:tr>
      <w:tr>
        <w:trPr>
          <w:trHeight w:val="404"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65"/>
              <w:jc w:val="right"/>
              <w:rPr>
                <w:rFonts w:ascii="宋体" w:hAnsi="宋体" w:cs="宋体" w:eastAsia="宋体" w:hint="default"/>
                <w:sz w:val="18"/>
                <w:szCs w:val="18"/>
              </w:rPr>
            </w:pPr>
            <w:r>
              <w:rPr>
                <w:rFonts w:ascii="宋体" w:hAnsi="宋体" w:cs="宋体" w:eastAsia="宋体" w:hint="default"/>
                <w:spacing w:val="-2"/>
                <w:sz w:val="18"/>
                <w:szCs w:val="18"/>
              </w:rPr>
              <w:t>三、减值准备</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08" w:firstLine="36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w:t>
            </w:r>
            <w:r>
              <w:rPr>
                <w:rFonts w:ascii="宋体" w:hAnsi="宋体" w:cs="宋体" w:eastAsia="宋体" w:hint="default"/>
                <w:w w:val="101"/>
                <w:sz w:val="18"/>
                <w:szCs w:val="18"/>
              </w:rPr>
              <w:t> </w:t>
            </w:r>
            <w:r>
              <w:rPr>
                <w:rFonts w:ascii="宋体" w:hAnsi="宋体" w:cs="宋体" w:eastAsia="宋体" w:hint="default"/>
                <w:sz w:val="18"/>
                <w:szCs w:val="18"/>
              </w:rPr>
              <w:t>加金额</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52" w:right="0"/>
              <w:jc w:val="left"/>
              <w:rPr>
                <w:rFonts w:ascii="宋体" w:hAnsi="宋体" w:cs="宋体" w:eastAsia="宋体"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）计</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提</w:t>
            </w:r>
            <w:r>
              <w:rPr>
                <w:rFonts w:ascii="宋体" w:hAnsi="宋体" w:cs="宋体" w:eastAsia="宋体" w:hint="default"/>
                <w:sz w:val="18"/>
                <w:szCs w:val="18"/>
              </w:rPr>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08" w:firstLine="36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w:t>
            </w:r>
            <w:r>
              <w:rPr>
                <w:rFonts w:ascii="宋体" w:hAnsi="宋体" w:cs="宋体" w:eastAsia="宋体" w:hint="default"/>
                <w:w w:val="101"/>
                <w:sz w:val="18"/>
                <w:szCs w:val="18"/>
              </w:rPr>
              <w:t> </w:t>
            </w:r>
            <w:r>
              <w:rPr>
                <w:rFonts w:ascii="宋体" w:hAnsi="宋体" w:cs="宋体" w:eastAsia="宋体" w:hint="default"/>
                <w:sz w:val="18"/>
                <w:szCs w:val="18"/>
              </w:rPr>
              <w:t>少金额</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8"/>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65"/>
              <w:jc w:val="right"/>
              <w:rPr>
                <w:rFonts w:ascii="宋体" w:hAnsi="宋体" w:cs="宋体" w:eastAsia="宋体" w:hint="default"/>
                <w:sz w:val="18"/>
                <w:szCs w:val="18"/>
              </w:rPr>
            </w:pPr>
            <w:r>
              <w:rPr>
                <w:rFonts w:ascii="宋体" w:hAnsi="宋体" w:cs="宋体" w:eastAsia="宋体" w:hint="default"/>
                <w:spacing w:val="-2"/>
                <w:sz w:val="18"/>
                <w:szCs w:val="18"/>
              </w:rPr>
              <w:t>四、账面价值</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08" w:firstLine="36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w:t>
            </w:r>
            <w:r>
              <w:rPr>
                <w:rFonts w:ascii="宋体" w:hAnsi="宋体" w:cs="宋体" w:eastAsia="宋体" w:hint="default"/>
                <w:w w:val="101"/>
                <w:sz w:val="18"/>
                <w:szCs w:val="18"/>
              </w:rPr>
              <w:t> </w:t>
            </w:r>
            <w:r>
              <w:rPr>
                <w:rFonts w:ascii="宋体" w:hAnsi="宋体" w:cs="宋体" w:eastAsia="宋体" w:hint="default"/>
                <w:sz w:val="18"/>
                <w:szCs w:val="18"/>
              </w:rPr>
              <w:t>面价值</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34,987,446.48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58,781,180.97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22,562,564.07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116,331,191.52</w:t>
            </w:r>
          </w:p>
        </w:tc>
      </w:tr>
      <w:tr>
        <w:trPr>
          <w:trHeight w:val="716"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08" w:firstLine="36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w:t>
            </w:r>
            <w:r>
              <w:rPr>
                <w:rFonts w:ascii="宋体" w:hAnsi="宋体" w:cs="宋体" w:eastAsia="宋体" w:hint="default"/>
                <w:w w:val="101"/>
                <w:sz w:val="18"/>
                <w:szCs w:val="18"/>
              </w:rPr>
              <w:t> </w:t>
            </w:r>
            <w:r>
              <w:rPr>
                <w:rFonts w:ascii="宋体" w:hAnsi="宋体" w:cs="宋体" w:eastAsia="宋体" w:hint="default"/>
                <w:sz w:val="18"/>
                <w:szCs w:val="18"/>
              </w:rPr>
              <w:t>面价值</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26,621,170.61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59,459,018.05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8,375,913.11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94,456,101.77</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本期末通过公司内部研发形成的无形资产占无形资产余额的比例</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48.75%</w:t>
      </w:r>
      <w:r>
        <w:rPr>
          <w:rFonts w:ascii="宋体" w:hAnsi="宋体" w:cs="宋体" w:eastAsia="宋体" w:hint="default"/>
          <w:sz w:val="18"/>
          <w:szCs w:val="18"/>
        </w:rPr>
        <w:t>。</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13、开发支出" w:id="251"/>
      <w:bookmarkEnd w:id="251"/>
      <w:r>
        <w:rPr>
          <w:b w:val="0"/>
          <w:bCs w:val="0"/>
        </w:rPr>
      </w:r>
      <w:r>
        <w:rPr>
          <w:rFonts w:ascii="Times New Roman" w:hAnsi="Times New Roman" w:cs="Times New Roman" w:eastAsia="Times New Roman" w:hint="default"/>
        </w:rPr>
        <w:t>13</w:t>
      </w:r>
      <w:r>
        <w:rPr/>
        <w:t>、开发支出</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1"/>
        <w:gridCol w:w="1066"/>
        <w:gridCol w:w="1061"/>
        <w:gridCol w:w="1066"/>
        <w:gridCol w:w="1061"/>
        <w:gridCol w:w="1066"/>
        <w:gridCol w:w="1061"/>
        <w:gridCol w:w="1066"/>
        <w:gridCol w:w="1061"/>
      </w:tblGrid>
      <w:tr>
        <w:trPr>
          <w:trHeight w:val="401"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76" w:right="0"/>
              <w:jc w:val="left"/>
              <w:rPr>
                <w:rFonts w:ascii="宋体" w:hAnsi="宋体" w:cs="宋体" w:eastAsia="宋体" w:hint="default"/>
                <w:sz w:val="18"/>
                <w:szCs w:val="18"/>
              </w:rPr>
            </w:pPr>
            <w:r>
              <w:rPr>
                <w:rFonts w:ascii="宋体" w:hAnsi="宋体" w:cs="宋体" w:eastAsia="宋体" w:hint="default"/>
                <w:sz w:val="18"/>
                <w:szCs w:val="18"/>
              </w:rPr>
              <w:t>内部开发支</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76" w:right="0"/>
              <w:jc w:val="left"/>
              <w:rPr>
                <w:rFonts w:ascii="宋体" w:hAnsi="宋体" w:cs="宋体" w:eastAsia="宋体" w:hint="default"/>
                <w:sz w:val="18"/>
                <w:szCs w:val="18"/>
              </w:rPr>
            </w:pPr>
            <w:r>
              <w:rPr>
                <w:rFonts w:ascii="宋体" w:hAnsi="宋体" w:cs="宋体" w:eastAsia="宋体" w:hint="default"/>
                <w:sz w:val="18"/>
                <w:szCs w:val="18"/>
              </w:rPr>
              <w:t>确认为无形</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76" w:right="0"/>
              <w:jc w:val="left"/>
              <w:rPr>
                <w:rFonts w:ascii="宋体" w:hAnsi="宋体" w:cs="宋体" w:eastAsia="宋体" w:hint="default"/>
                <w:sz w:val="18"/>
                <w:szCs w:val="18"/>
              </w:rPr>
            </w:pPr>
            <w:r>
              <w:rPr>
                <w:rFonts w:ascii="宋体" w:hAnsi="宋体" w:cs="宋体" w:eastAsia="宋体" w:hint="default"/>
                <w:sz w:val="18"/>
                <w:szCs w:val="18"/>
              </w:rPr>
              <w:t>转入当期损</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040"/>
        <w:gridCol w:w="1076"/>
        <w:gridCol w:w="1061"/>
        <w:gridCol w:w="1066"/>
        <w:gridCol w:w="1061"/>
        <w:gridCol w:w="1066"/>
        <w:gridCol w:w="1061"/>
        <w:gridCol w:w="1066"/>
        <w:gridCol w:w="1061"/>
      </w:tblGrid>
      <w:tr>
        <w:trPr>
          <w:trHeight w:val="360"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w w:val="101"/>
                <w:sz w:val="18"/>
                <w:szCs w:val="18"/>
              </w:rPr>
              <w:t>出</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资产</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w w:val="101"/>
                <w:sz w:val="18"/>
                <w:szCs w:val="18"/>
              </w:rPr>
              <w:t>益</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70"/>
              <w:jc w:val="left"/>
              <w:rPr>
                <w:rFonts w:ascii="Times New Roman" w:hAnsi="Times New Roman" w:cs="Times New Roman" w:eastAsia="Times New Roman" w:hint="default"/>
                <w:sz w:val="18"/>
                <w:szCs w:val="18"/>
              </w:rPr>
            </w:pPr>
            <w:r>
              <w:rPr>
                <w:rFonts w:ascii="宋体" w:hAnsi="宋体" w:cs="宋体" w:eastAsia="宋体" w:hint="default"/>
                <w:sz w:val="18"/>
                <w:szCs w:val="18"/>
              </w:rPr>
              <w:t>全新安全审</w:t>
            </w:r>
            <w:r>
              <w:rPr>
                <w:rFonts w:ascii="宋体" w:hAnsi="宋体" w:cs="宋体" w:eastAsia="宋体" w:hint="default"/>
                <w:w w:val="101"/>
                <w:sz w:val="18"/>
                <w:szCs w:val="18"/>
              </w:rPr>
              <w:t> </w:t>
            </w:r>
            <w:r>
              <w:rPr>
                <w:rFonts w:ascii="宋体" w:hAnsi="宋体" w:cs="宋体" w:eastAsia="宋体" w:hint="default"/>
                <w:sz w:val="18"/>
                <w:szCs w:val="18"/>
              </w:rPr>
              <w:t>核平台</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V1.0</w:t>
            </w:r>
          </w:p>
        </w:tc>
        <w:tc>
          <w:tcPr>
            <w:tcW w:w="1076" w:type="dxa"/>
            <w:tcBorders>
              <w:top w:val="single" w:sz="4" w:space="0" w:color="000000"/>
              <w:left w:val="single" w:sz="10" w:space="0" w:color="D2D2D2"/>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5,638,221.59</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5,638,221.59</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40" w:lineRule="auto" w:before="53"/>
              <w:ind w:left="11" w:right="113"/>
              <w:jc w:val="both"/>
              <w:rPr>
                <w:rFonts w:ascii="Times New Roman" w:hAnsi="Times New Roman" w:cs="Times New Roman" w:eastAsia="Times New Roman" w:hint="default"/>
                <w:sz w:val="18"/>
                <w:szCs w:val="18"/>
              </w:rPr>
            </w:pPr>
            <w:r>
              <w:rPr>
                <w:rFonts w:ascii="宋体" w:hAnsi="宋体" w:cs="宋体" w:eastAsia="宋体" w:hint="default"/>
                <w:spacing w:val="-2"/>
                <w:sz w:val="18"/>
                <w:szCs w:val="18"/>
              </w:rPr>
              <w:t>客户自助销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售管理系统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z w:val="18"/>
                <w:szCs w:val="18"/>
              </w:rPr>
              <w:t>V1.0</w:t>
            </w:r>
          </w:p>
        </w:tc>
        <w:tc>
          <w:tcPr>
            <w:tcW w:w="1076" w:type="dxa"/>
            <w:tcBorders>
              <w:top w:val="single" w:sz="4" w:space="0" w:color="000000"/>
              <w:left w:val="single" w:sz="10" w:space="0" w:color="D2D2D2"/>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3,148,639.18</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3,148,639.18</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7"/>
              <w:jc w:val="left"/>
              <w:rPr>
                <w:rFonts w:ascii="宋体" w:hAnsi="宋体" w:cs="宋体" w:eastAsia="宋体" w:hint="default"/>
                <w:sz w:val="18"/>
                <w:szCs w:val="18"/>
              </w:rPr>
            </w:pPr>
            <w:r>
              <w:rPr>
                <w:rFonts w:ascii="宋体" w:hAnsi="宋体" w:cs="宋体" w:eastAsia="宋体" w:hint="default"/>
                <w:sz w:val="18"/>
                <w:szCs w:val="18"/>
              </w:rPr>
              <w:t>订阅工具</w:t>
            </w:r>
            <w:r>
              <w:rPr>
                <w:rFonts w:ascii="Times New Roman" w:hAnsi="Times New Roman" w:cs="Times New Roman" w:eastAsia="Times New Roman" w:hint="default"/>
                <w:sz w:val="18"/>
                <w:szCs w:val="18"/>
              </w:rPr>
              <w:t>+</w:t>
            </w:r>
            <w:r>
              <w:rPr>
                <w:rFonts w:ascii="宋体" w:hAnsi="宋体" w:cs="宋体" w:eastAsia="宋体" w:hint="default"/>
                <w:sz w:val="18"/>
                <w:szCs w:val="18"/>
              </w:rPr>
              <w:t>推</w:t>
            </w:r>
            <w:r>
              <w:rPr>
                <w:rFonts w:ascii="宋体" w:hAnsi="宋体" w:cs="宋体" w:eastAsia="宋体" w:hint="default"/>
                <w:spacing w:val="-85"/>
                <w:sz w:val="18"/>
                <w:szCs w:val="18"/>
              </w:rPr>
              <w:t> </w:t>
            </w:r>
            <w:r>
              <w:rPr>
                <w:rFonts w:ascii="宋体" w:hAnsi="宋体" w:cs="宋体" w:eastAsia="宋体" w:hint="default"/>
                <w:sz w:val="18"/>
                <w:szCs w:val="18"/>
              </w:rPr>
              <w:t>送平台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V1.0</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宋体" w:hAnsi="宋体" w:cs="宋体" w:eastAsia="宋体" w:hint="default"/>
                <w:sz w:val="18"/>
                <w:szCs w:val="18"/>
              </w:rPr>
              <w:t>用图助手</w:t>
            </w:r>
          </w:p>
        </w:tc>
        <w:tc>
          <w:tcPr>
            <w:tcW w:w="1076" w:type="dxa"/>
            <w:tcBorders>
              <w:top w:val="single" w:sz="4" w:space="0" w:color="000000"/>
              <w:left w:val="single" w:sz="10" w:space="0" w:color="D2D2D2"/>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3,207,912.86</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3,207,912.86</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13"/>
              <w:jc w:val="left"/>
              <w:rPr>
                <w:rFonts w:ascii="宋体" w:hAnsi="宋体" w:cs="宋体" w:eastAsia="宋体" w:hint="default"/>
                <w:sz w:val="18"/>
                <w:szCs w:val="18"/>
              </w:rPr>
            </w:pPr>
            <w:r>
              <w:rPr>
                <w:rFonts w:ascii="宋体" w:hAnsi="宋体" w:cs="宋体" w:eastAsia="宋体" w:hint="default"/>
                <w:spacing w:val="-2"/>
                <w:sz w:val="18"/>
                <w:szCs w:val="18"/>
              </w:rPr>
              <w:t>库存提交和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管理系统</w:t>
            </w:r>
          </w:p>
        </w:tc>
        <w:tc>
          <w:tcPr>
            <w:tcW w:w="1076" w:type="dxa"/>
            <w:tcBorders>
              <w:top w:val="single" w:sz="4" w:space="0" w:color="000000"/>
              <w:left w:val="single" w:sz="10" w:space="0" w:color="D2D2D2"/>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10,643,183.4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10,643,183.4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13"/>
              <w:jc w:val="left"/>
              <w:rPr>
                <w:rFonts w:ascii="宋体" w:hAnsi="宋体" w:cs="宋体" w:eastAsia="宋体" w:hint="default"/>
                <w:sz w:val="18"/>
                <w:szCs w:val="18"/>
              </w:rPr>
            </w:pPr>
            <w:r>
              <w:rPr>
                <w:rFonts w:ascii="宋体" w:hAnsi="宋体" w:cs="宋体" w:eastAsia="宋体" w:hint="default"/>
                <w:spacing w:val="-2"/>
                <w:sz w:val="18"/>
                <w:szCs w:val="18"/>
              </w:rPr>
              <w:t>前端迁移项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目</w:t>
            </w:r>
          </w:p>
        </w:tc>
        <w:tc>
          <w:tcPr>
            <w:tcW w:w="1076" w:type="dxa"/>
            <w:tcBorders>
              <w:top w:val="single" w:sz="4" w:space="0" w:color="000000"/>
              <w:left w:val="single" w:sz="10" w:space="0" w:color="D2D2D2"/>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3,797,914.14</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3,797,914.14</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0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6" w:type="dxa"/>
            <w:vMerge w:val="restart"/>
            <w:tcBorders>
              <w:top w:val="single" w:sz="4" w:space="0" w:color="000000"/>
              <w:left w:val="single" w:sz="10" w:space="0" w:color="D2D2D2"/>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26,435,871.1</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66"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26,435,871.1</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61"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r>
      <w:tr>
        <w:trPr>
          <w:trHeight w:val="389" w:hRule="exact"/>
        </w:trPr>
        <w:tc>
          <w:tcPr>
            <w:tcW w:w="10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33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76" w:type="dxa"/>
            <w:vMerge/>
            <w:tcBorders>
              <w:left w:val="single" w:sz="10"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163" w:hRule="exact"/>
        </w:trPr>
        <w:tc>
          <w:tcPr>
            <w:tcW w:w="10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6" w:type="dxa"/>
            <w:vMerge/>
            <w:tcBorders>
              <w:left w:val="single" w:sz="10"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bookmarkStart w:name="14、商誉" w:id="252"/>
      <w:bookmarkEnd w:id="252"/>
      <w:r>
        <w:rPr>
          <w:b w:val="0"/>
          <w:bCs w:val="0"/>
        </w:rPr>
      </w:r>
      <w:r>
        <w:rPr>
          <w:rFonts w:ascii="Times New Roman" w:hAnsi="Times New Roman" w:cs="Times New Roman" w:eastAsia="Times New Roman" w:hint="default"/>
        </w:rPr>
        <w:t>14</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商誉账面原值" w:id="253"/>
      <w:bookmarkEnd w:id="253"/>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5"/>
        <w:gridCol w:w="1380"/>
        <w:gridCol w:w="1364"/>
        <w:gridCol w:w="1368"/>
        <w:gridCol w:w="1368"/>
        <w:gridCol w:w="1369"/>
        <w:gridCol w:w="1369"/>
      </w:tblGrid>
      <w:tr>
        <w:trPr>
          <w:trHeight w:val="317" w:hRule="exact"/>
        </w:trPr>
        <w:tc>
          <w:tcPr>
            <w:tcW w:w="134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35" w:right="34"/>
              <w:jc w:val="center"/>
              <w:rPr>
                <w:rFonts w:ascii="宋体" w:hAnsi="宋体" w:cs="宋体" w:eastAsia="宋体" w:hint="default"/>
                <w:sz w:val="18"/>
                <w:szCs w:val="18"/>
              </w:rPr>
            </w:pPr>
            <w:r>
              <w:rPr>
                <w:rFonts w:ascii="宋体" w:hAnsi="宋体" w:cs="宋体" w:eastAsia="宋体" w:hint="default"/>
                <w:spacing w:val="-3"/>
                <w:sz w:val="18"/>
                <w:szCs w:val="18"/>
              </w:rPr>
              <w:t>被投资单位名称</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或形成商誉的事</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项</w:t>
            </w:r>
          </w:p>
        </w:tc>
        <w:tc>
          <w:tcPr>
            <w:tcW w:w="1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39" w:hRule="exact"/>
        </w:trPr>
        <w:tc>
          <w:tcPr>
            <w:tcW w:w="1345" w:type="dxa"/>
            <w:vMerge/>
            <w:tcBorders>
              <w:left w:val="single" w:sz="4" w:space="0" w:color="000000"/>
              <w:right w:val="single" w:sz="4" w:space="0" w:color="000000"/>
            </w:tcBorders>
            <w:shd w:val="clear" w:color="auto" w:fill="D2D2D2"/>
          </w:tcPr>
          <w:p>
            <w:pPr/>
          </w:p>
        </w:tc>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2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2"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0" w:hRule="exact"/>
        </w:trPr>
        <w:tc>
          <w:tcPr>
            <w:tcW w:w="1345" w:type="dxa"/>
            <w:vMerge/>
            <w:tcBorders>
              <w:left w:val="single" w:sz="4" w:space="0" w:color="000000"/>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1"/>
              <w:ind w:left="48" w:right="0"/>
              <w:jc w:val="left"/>
              <w:rPr>
                <w:rFonts w:ascii="宋体" w:hAnsi="宋体" w:cs="宋体" w:eastAsia="宋体" w:hint="default"/>
                <w:sz w:val="18"/>
                <w:szCs w:val="18"/>
              </w:rPr>
            </w:pPr>
            <w:r>
              <w:rPr>
                <w:rFonts w:ascii="宋体" w:hAnsi="宋体" w:cs="宋体" w:eastAsia="宋体" w:hint="default"/>
                <w:spacing w:val="-3"/>
                <w:sz w:val="18"/>
                <w:szCs w:val="18"/>
              </w:rPr>
              <w:t>企业合并形成的</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1"/>
              <w:ind w:left="139" w:right="0"/>
              <w:jc w:val="left"/>
              <w:rPr>
                <w:rFonts w:ascii="宋体" w:hAnsi="宋体" w:cs="宋体" w:eastAsia="宋体" w:hint="default"/>
                <w:sz w:val="18"/>
                <w:szCs w:val="18"/>
              </w:rPr>
            </w:pPr>
            <w:r>
              <w:rPr>
                <w:rFonts w:ascii="宋体" w:hAnsi="宋体" w:cs="宋体" w:eastAsia="宋体" w:hint="default"/>
                <w:sz w:val="18"/>
                <w:szCs w:val="18"/>
              </w:rPr>
              <w:t>外币报表折算</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1"/>
              <w:ind w:left="5"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5" w:type="dxa"/>
            <w:vMerge/>
            <w:tcBorders>
              <w:left w:val="single" w:sz="4" w:space="0" w:color="000000"/>
              <w:bottom w:val="single" w:sz="4" w:space="0" w:color="000000"/>
              <w:right w:val="single" w:sz="4" w:space="0" w:color="000000"/>
            </w:tcBorders>
            <w:shd w:val="clear" w:color="auto" w:fill="D2D2D2"/>
          </w:tcPr>
          <w:p>
            <w:pPr/>
          </w:p>
        </w:tc>
        <w:tc>
          <w:tcPr>
            <w:tcW w:w="1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5"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58"/>
              <w:jc w:val="left"/>
              <w:rPr>
                <w:rFonts w:ascii="宋体" w:hAnsi="宋体" w:cs="宋体" w:eastAsia="宋体" w:hint="default"/>
                <w:sz w:val="18"/>
                <w:szCs w:val="18"/>
              </w:rPr>
            </w:pPr>
            <w:r>
              <w:rPr>
                <w:rFonts w:ascii="宋体" w:hAnsi="宋体" w:cs="宋体" w:eastAsia="宋体" w:hint="default"/>
                <w:spacing w:val="-3"/>
                <w:sz w:val="18"/>
                <w:szCs w:val="18"/>
              </w:rPr>
              <w:t>非同一控制下企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业合并东星视讯</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90,601,733.37</w:t>
            </w:r>
          </w:p>
        </w:tc>
        <w:tc>
          <w:tcPr>
            <w:tcW w:w="1364" w:type="dxa"/>
            <w:tcBorders>
              <w:top w:val="single" w:sz="48" w:space="0" w:color="D2D2D2"/>
              <w:left w:val="single" w:sz="4" w:space="0" w:color="000000"/>
              <w:bottom w:val="single" w:sz="4" w:space="0" w:color="000000"/>
              <w:right w:val="single" w:sz="4" w:space="0" w:color="000000"/>
            </w:tcBorders>
          </w:tcPr>
          <w:p>
            <w:pPr/>
          </w:p>
        </w:tc>
        <w:tc>
          <w:tcPr>
            <w:tcW w:w="1368" w:type="dxa"/>
            <w:tcBorders>
              <w:top w:val="single" w:sz="48" w:space="0" w:color="D2D2D2"/>
              <w:left w:val="single" w:sz="4" w:space="0" w:color="000000"/>
              <w:bottom w:val="single" w:sz="4" w:space="0" w:color="000000"/>
              <w:right w:val="single" w:sz="4" w:space="0" w:color="000000"/>
            </w:tcBorders>
          </w:tcPr>
          <w:p>
            <w:pPr/>
          </w:p>
        </w:tc>
        <w:tc>
          <w:tcPr>
            <w:tcW w:w="1368" w:type="dxa"/>
            <w:tcBorders>
              <w:top w:val="single" w:sz="48" w:space="0" w:color="D2D2D2"/>
              <w:left w:val="single" w:sz="4" w:space="0" w:color="000000"/>
              <w:bottom w:val="single" w:sz="4" w:space="0" w:color="000000"/>
              <w:right w:val="single" w:sz="4" w:space="0" w:color="000000"/>
            </w:tcBorders>
          </w:tcPr>
          <w:p>
            <w:pPr/>
          </w:p>
        </w:tc>
        <w:tc>
          <w:tcPr>
            <w:tcW w:w="1369" w:type="dxa"/>
            <w:tcBorders>
              <w:top w:val="single" w:sz="48" w:space="0" w:color="D2D2D2"/>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90,601,733.37</w:t>
            </w:r>
          </w:p>
        </w:tc>
      </w:tr>
      <w:tr>
        <w:trPr>
          <w:trHeight w:val="716"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1" w:right="58"/>
              <w:jc w:val="left"/>
              <w:rPr>
                <w:rFonts w:ascii="宋体" w:hAnsi="宋体" w:cs="宋体" w:eastAsia="宋体" w:hint="default"/>
                <w:sz w:val="18"/>
                <w:szCs w:val="18"/>
              </w:rPr>
            </w:pPr>
            <w:r>
              <w:rPr>
                <w:rFonts w:ascii="宋体" w:hAnsi="宋体" w:cs="宋体" w:eastAsia="宋体" w:hint="default"/>
                <w:spacing w:val="-3"/>
                <w:sz w:val="18"/>
                <w:szCs w:val="18"/>
              </w:rPr>
              <w:t>非同一控制下企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业合并上海卓越</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71,694,109.06</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71,694,109.06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8"/>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非同一控制下企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业合并</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500PX</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92,713,795.06</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1,526,497.67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94,240,292.73</w:t>
            </w:r>
          </w:p>
        </w:tc>
      </w:tr>
      <w:tr>
        <w:trPr>
          <w:trHeight w:val="398"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反向收购</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924,317,158.51</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924,317,158.51</w:t>
            </w:r>
          </w:p>
        </w:tc>
      </w:tr>
      <w:tr>
        <w:trPr>
          <w:trHeight w:val="404"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1,179,326,796.00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1,526,497.67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71,694,109.06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1,109,159,184.61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商誉减值准备" w:id="254"/>
      <w:bookmarkEnd w:id="254"/>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4"/>
        <w:gridCol w:w="1368"/>
        <w:gridCol w:w="1368"/>
        <w:gridCol w:w="1369"/>
        <w:gridCol w:w="1369"/>
      </w:tblGrid>
      <w:tr>
        <w:trPr>
          <w:trHeight w:val="404"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48" w:right="46"/>
              <w:jc w:val="center"/>
              <w:rPr>
                <w:rFonts w:ascii="宋体" w:hAnsi="宋体" w:cs="宋体" w:eastAsia="宋体" w:hint="default"/>
                <w:sz w:val="18"/>
                <w:szCs w:val="18"/>
              </w:rPr>
            </w:pPr>
            <w:r>
              <w:rPr>
                <w:rFonts w:ascii="宋体" w:hAnsi="宋体" w:cs="宋体" w:eastAsia="宋体" w:hint="default"/>
                <w:spacing w:val="-3"/>
                <w:sz w:val="18"/>
                <w:szCs w:val="18"/>
              </w:rPr>
              <w:t>被投资单位名称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或形成商誉的事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项</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57"/>
        <w:gridCol w:w="1380"/>
        <w:gridCol w:w="1364"/>
        <w:gridCol w:w="1368"/>
        <w:gridCol w:w="1368"/>
        <w:gridCol w:w="1369"/>
        <w:gridCol w:w="1369"/>
      </w:tblGrid>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bl>
    <w:p>
      <w:pPr>
        <w:spacing w:line="338" w:lineRule="auto"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商誉所在资产组或资产组组合的相关信息</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4"/>
          <w:sz w:val="18"/>
          <w:szCs w:val="18"/>
        </w:rPr>
        <w:t>说明商誉减值测试过程、关键参数（如预计未来现金流量现值时的预测期增长率、稳定期增长率、利润率、折现率、预测期</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3"/>
          <w:sz w:val="18"/>
          <w:szCs w:val="18"/>
        </w:rPr>
        <w:t>等）及商誉减值损失的确认方法：</w:t>
      </w:r>
    </w:p>
    <w:p>
      <w:pPr>
        <w:pStyle w:val="BodyText"/>
        <w:spacing w:line="428" w:lineRule="exact" w:before="0"/>
        <w:ind w:left="652" w:right="0" w:hanging="53"/>
        <w:jc w:val="left"/>
      </w:pPr>
      <w:r>
        <w:rPr/>
        <w:t>采用未来现金流量折现方法的主要假设</w:t>
      </w:r>
      <w:r>
        <w:rPr>
          <w:w w:val="100"/>
        </w:rPr>
        <w:t> </w:t>
      </w:r>
      <w:r>
        <w:rPr>
          <w:spacing w:val="-4"/>
          <w:w w:val="100"/>
        </w:rPr>
        <w:t>本集团期末对与商誉相关的各资产组进行了减值测试，首先将该商誉及归属于少数股东权益的商誉包</w:t>
      </w:r>
    </w:p>
    <w:p>
      <w:pPr>
        <w:pStyle w:val="BodyText"/>
        <w:spacing w:line="256" w:lineRule="exact" w:before="0"/>
        <w:ind w:right="0"/>
        <w:jc w:val="left"/>
      </w:pPr>
      <w:r>
        <w:rPr/>
        <w:t>括在内，调整各资产组的账面价值，然后将调整后的各资产组账面价值与其可收回金额进行比较，以确定</w:t>
      </w:r>
    </w:p>
    <w:p>
      <w:pPr>
        <w:pStyle w:val="BodyText"/>
        <w:spacing w:line="256" w:lineRule="auto" w:before="37"/>
        <w:ind w:left="652" w:right="0" w:hanging="500"/>
        <w:jc w:val="left"/>
      </w:pPr>
      <w:r>
        <w:rPr/>
        <w:t>各资产组</w:t>
      </w:r>
      <w:r>
        <w:rPr>
          <w:rFonts w:ascii="Times New Roman" w:hAnsi="Times New Roman" w:cs="Times New Roman" w:eastAsia="Times New Roman" w:hint="default"/>
        </w:rPr>
        <w:t>(</w:t>
      </w:r>
      <w:r>
        <w:rPr/>
        <w:t>包括商誉</w:t>
      </w:r>
      <w:r>
        <w:rPr>
          <w:rFonts w:ascii="Times New Roman" w:hAnsi="Times New Roman" w:cs="Times New Roman" w:eastAsia="Times New Roman" w:hint="default"/>
        </w:rPr>
        <w:t>)</w:t>
      </w:r>
      <w:r>
        <w:rPr/>
        <w:t>是否发生了减值。</w:t>
      </w:r>
      <w:r>
        <w:rPr>
          <w:w w:val="100"/>
        </w:rPr>
        <w:t> </w:t>
      </w:r>
      <w:r>
        <w:rPr>
          <w:spacing w:val="-2"/>
        </w:rPr>
        <w:t>本集团聘请了沃克森</w:t>
      </w:r>
      <w:r>
        <w:rPr>
          <w:rFonts w:ascii="Times New Roman" w:hAnsi="Times New Roman" w:cs="Times New Roman" w:eastAsia="Times New Roman" w:hint="default"/>
          <w:spacing w:val="-2"/>
        </w:rPr>
        <w:t>(</w:t>
      </w:r>
      <w:r>
        <w:rPr>
          <w:spacing w:val="-2"/>
        </w:rPr>
        <w:t>北京</w:t>
      </w:r>
      <w:r>
        <w:rPr>
          <w:rFonts w:ascii="Times New Roman" w:hAnsi="Times New Roman" w:cs="Times New Roman" w:eastAsia="Times New Roman" w:hint="default"/>
          <w:spacing w:val="-2"/>
        </w:rPr>
        <w:t>)</w:t>
      </w:r>
      <w:r>
        <w:rPr>
          <w:spacing w:val="-2"/>
        </w:rPr>
        <w:t>国际资产评估有限公司，对进行商誉减值测试所涉及的包含商誉资产组在</w:t>
      </w:r>
    </w:p>
    <w:p>
      <w:pPr>
        <w:pStyle w:val="BodyText"/>
        <w:spacing w:line="256" w:lineRule="auto" w:before="5"/>
        <w:ind w:left="652" w:right="0" w:hanging="500"/>
        <w:jc w:val="left"/>
      </w:pPr>
      <w:r>
        <w:rPr/>
        <w:t>基准日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w:t>
      </w:r>
      <w:r>
        <w:rPr/>
        <w:t>的可回收金额进行了测试，并于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日分别出具了商誉减值测试报告。</w:t>
      </w:r>
      <w:r>
        <w:rPr>
          <w:w w:val="100"/>
        </w:rPr>
        <w:t> </w:t>
      </w:r>
      <w:r>
        <w:rPr>
          <w:spacing w:val="-4"/>
        </w:rPr>
        <w:t>在预计可回收金额时，采用了与商誉有关的资产组组合来预计未来现金流量现值。根据资产组的过往</w:t>
      </w:r>
    </w:p>
    <w:p>
      <w:pPr>
        <w:pStyle w:val="BodyText"/>
        <w:spacing w:line="273" w:lineRule="auto" w:before="23"/>
        <w:ind w:right="1127"/>
        <w:jc w:val="left"/>
      </w:pPr>
      <w:r>
        <w:rPr>
          <w:spacing w:val="-2"/>
        </w:rPr>
        <w:t>表现及未来经营的预期，对资产组未来现金流量做出估计，并按照税前折现率折现后计算资产组的可收回</w:t>
      </w:r>
      <w:r>
        <w:rPr>
          <w:spacing w:val="-33"/>
        </w:rPr>
        <w:t> </w:t>
      </w:r>
      <w:r>
        <w:rPr>
          <w:spacing w:val="-33"/>
        </w:rPr>
      </w:r>
      <w:r>
        <w:rPr/>
        <w:t>价值。</w:t>
      </w:r>
    </w:p>
    <w:p>
      <w:pPr>
        <w:pStyle w:val="BodyText"/>
        <w:spacing w:line="256" w:lineRule="auto"/>
        <w:ind w:right="0" w:firstLine="499"/>
        <w:jc w:val="left"/>
      </w:pPr>
      <w:r>
        <w:rPr>
          <w:spacing w:val="-1"/>
        </w:rPr>
        <w:t>经沃克森</w:t>
      </w:r>
      <w:r>
        <w:rPr>
          <w:rFonts w:ascii="Times New Roman" w:hAnsi="Times New Roman" w:cs="Times New Roman" w:eastAsia="Times New Roman" w:hint="default"/>
          <w:spacing w:val="-1"/>
        </w:rPr>
        <w:t>(</w:t>
      </w:r>
      <w:r>
        <w:rPr>
          <w:spacing w:val="-1"/>
        </w:rPr>
        <w:t>北京</w:t>
      </w:r>
      <w:r>
        <w:rPr>
          <w:rFonts w:ascii="Times New Roman" w:hAnsi="Times New Roman" w:cs="Times New Roman" w:eastAsia="Times New Roman" w:hint="default"/>
          <w:spacing w:val="-1"/>
        </w:rPr>
        <w:t>)</w:t>
      </w:r>
      <w:r>
        <w:rPr>
          <w:spacing w:val="-1"/>
        </w:rPr>
        <w:t>国际资产评估有限公司对该商誉评估</w:t>
      </w:r>
      <w:r>
        <w:rPr>
          <w:rFonts w:ascii="Times New Roman" w:hAnsi="Times New Roman" w:cs="Times New Roman" w:eastAsia="Times New Roman" w:hint="default"/>
          <w:spacing w:val="-1"/>
        </w:rPr>
        <w:t>(</w:t>
      </w:r>
      <w:r>
        <w:rPr>
          <w:spacing w:val="-1"/>
        </w:rPr>
        <w:t>税前折现率为</w:t>
      </w:r>
      <w:r>
        <w:rPr>
          <w:rFonts w:ascii="Times New Roman" w:hAnsi="Times New Roman" w:cs="Times New Roman" w:eastAsia="Times New Roman" w:hint="default"/>
          <w:spacing w:val="-1"/>
        </w:rPr>
        <w:t>13.69%)</w:t>
      </w:r>
      <w:r>
        <w:rPr>
          <w:spacing w:val="-1"/>
        </w:rPr>
        <w:t>，并出具了《商誉减值测</w:t>
      </w:r>
      <w:r>
        <w:rPr>
          <w:w w:val="100"/>
        </w:rPr>
        <w:t> </w:t>
      </w:r>
      <w:r>
        <w:rPr/>
        <w:t>试报告书》</w:t>
      </w:r>
      <w:r>
        <w:rPr>
          <w:rFonts w:ascii="Times New Roman" w:hAnsi="Times New Roman" w:cs="Times New Roman" w:eastAsia="Times New Roman" w:hint="default"/>
        </w:rPr>
        <w:t>(</w:t>
      </w:r>
      <w:r>
        <w:rPr/>
        <w:t>沃克森咨报字</w:t>
      </w:r>
      <w:r>
        <w:rPr>
          <w:rFonts w:ascii="Times New Roman" w:hAnsi="Times New Roman" w:cs="Times New Roman" w:eastAsia="Times New Roman" w:hint="default"/>
        </w:rPr>
        <w:t>[2020]</w:t>
      </w:r>
      <w:r>
        <w:rPr/>
        <w:t>第</w:t>
      </w:r>
      <w:r>
        <w:rPr>
          <w:rFonts w:ascii="Times New Roman" w:hAnsi="Times New Roman" w:cs="Times New Roman" w:eastAsia="Times New Roman" w:hint="default"/>
        </w:rPr>
        <w:t>0572</w:t>
      </w:r>
      <w:r>
        <w:rPr/>
        <w:t>号</w:t>
      </w:r>
      <w:r>
        <w:rPr>
          <w:rFonts w:ascii="Times New Roman" w:hAnsi="Times New Roman" w:cs="Times New Roman" w:eastAsia="Times New Roman" w:hint="default"/>
        </w:rPr>
        <w:t>)</w:t>
      </w:r>
      <w:r>
        <w:rPr/>
        <w:t>，本期末因收购东星视讯的商誉不存在减值。</w:t>
      </w:r>
    </w:p>
    <w:p>
      <w:pPr>
        <w:pStyle w:val="BodyText"/>
        <w:spacing w:line="256" w:lineRule="auto" w:before="5"/>
        <w:ind w:right="0" w:firstLine="499"/>
        <w:jc w:val="left"/>
      </w:pPr>
      <w:r>
        <w:rPr>
          <w:spacing w:val="-1"/>
        </w:rPr>
        <w:t>经沃克森</w:t>
      </w:r>
      <w:r>
        <w:rPr>
          <w:rFonts w:ascii="Times New Roman" w:hAnsi="Times New Roman" w:cs="Times New Roman" w:eastAsia="Times New Roman" w:hint="default"/>
          <w:spacing w:val="-1"/>
        </w:rPr>
        <w:t>(</w:t>
      </w:r>
      <w:r>
        <w:rPr>
          <w:spacing w:val="-1"/>
        </w:rPr>
        <w:t>北京</w:t>
      </w:r>
      <w:r>
        <w:rPr>
          <w:rFonts w:ascii="Times New Roman" w:hAnsi="Times New Roman" w:cs="Times New Roman" w:eastAsia="Times New Roman" w:hint="default"/>
          <w:spacing w:val="-1"/>
        </w:rPr>
        <w:t>)</w:t>
      </w:r>
      <w:r>
        <w:rPr>
          <w:spacing w:val="-1"/>
        </w:rPr>
        <w:t>国际资产评估有限公司对该商誉评估</w:t>
      </w:r>
      <w:r>
        <w:rPr>
          <w:rFonts w:ascii="Times New Roman" w:hAnsi="Times New Roman" w:cs="Times New Roman" w:eastAsia="Times New Roman" w:hint="default"/>
          <w:spacing w:val="-1"/>
        </w:rPr>
        <w:t>(</w:t>
      </w:r>
      <w:r>
        <w:rPr>
          <w:spacing w:val="-1"/>
        </w:rPr>
        <w:t>税前折现率为</w:t>
      </w:r>
      <w:r>
        <w:rPr>
          <w:rFonts w:ascii="Times New Roman" w:hAnsi="Times New Roman" w:cs="Times New Roman" w:eastAsia="Times New Roman" w:hint="default"/>
          <w:spacing w:val="-1"/>
        </w:rPr>
        <w:t>13.33%)</w:t>
      </w:r>
      <w:r>
        <w:rPr>
          <w:spacing w:val="-1"/>
        </w:rPr>
        <w:t>，并出具了《商誉减值测</w:t>
      </w:r>
      <w:r>
        <w:rPr>
          <w:w w:val="100"/>
        </w:rPr>
        <w:t> </w:t>
      </w:r>
      <w:r>
        <w:rPr/>
        <w:t>试报告书》</w:t>
      </w:r>
      <w:r>
        <w:rPr>
          <w:rFonts w:ascii="Times New Roman" w:hAnsi="Times New Roman" w:cs="Times New Roman" w:eastAsia="Times New Roman" w:hint="default"/>
        </w:rPr>
        <w:t>(</w:t>
      </w:r>
      <w:r>
        <w:rPr/>
        <w:t>沃克森评报字</w:t>
      </w:r>
      <w:r>
        <w:rPr>
          <w:rFonts w:ascii="Times New Roman" w:hAnsi="Times New Roman" w:cs="Times New Roman" w:eastAsia="Times New Roman" w:hint="default"/>
        </w:rPr>
        <w:t>[2020]</w:t>
      </w:r>
      <w:r>
        <w:rPr/>
        <w:t>第</w:t>
      </w:r>
      <w:r>
        <w:rPr>
          <w:rFonts w:ascii="Times New Roman" w:hAnsi="Times New Roman" w:cs="Times New Roman" w:eastAsia="Times New Roman" w:hint="default"/>
        </w:rPr>
        <w:t>0586</w:t>
      </w:r>
      <w:r>
        <w:rPr/>
        <w:t>号</w:t>
      </w:r>
      <w:r>
        <w:rPr>
          <w:rFonts w:ascii="Times New Roman" w:hAnsi="Times New Roman" w:cs="Times New Roman" w:eastAsia="Times New Roman" w:hint="default"/>
        </w:rPr>
        <w:t>)</w:t>
      </w:r>
      <w:r>
        <w:rPr/>
        <w:t>，本期末因反向收购形成的商誉不存在减值。</w:t>
      </w:r>
    </w:p>
    <w:p>
      <w:pPr>
        <w:pStyle w:val="BodyText"/>
        <w:spacing w:line="256" w:lineRule="auto" w:before="5"/>
        <w:ind w:right="0" w:firstLine="499"/>
        <w:jc w:val="left"/>
      </w:pPr>
      <w:r>
        <w:rPr>
          <w:spacing w:val="-3"/>
        </w:rPr>
        <w:t>经沃克森</w:t>
      </w:r>
      <w:r>
        <w:rPr>
          <w:rFonts w:ascii="Times New Roman" w:hAnsi="Times New Roman" w:cs="Times New Roman" w:eastAsia="Times New Roman" w:hint="default"/>
          <w:spacing w:val="-3"/>
        </w:rPr>
        <w:t>(</w:t>
      </w:r>
      <w:r>
        <w:rPr>
          <w:spacing w:val="-3"/>
        </w:rPr>
        <w:t>北京</w:t>
      </w:r>
      <w:r>
        <w:rPr>
          <w:rFonts w:ascii="Times New Roman" w:hAnsi="Times New Roman" w:cs="Times New Roman" w:eastAsia="Times New Roman" w:hint="default"/>
          <w:spacing w:val="-3"/>
        </w:rPr>
        <w:t>)</w:t>
      </w:r>
      <w:r>
        <w:rPr>
          <w:spacing w:val="-3"/>
        </w:rPr>
        <w:t>国际资产评估有限公司对该商誉评估</w:t>
      </w:r>
      <w:r>
        <w:rPr>
          <w:rFonts w:ascii="Times New Roman" w:hAnsi="Times New Roman" w:cs="Times New Roman" w:eastAsia="Times New Roman" w:hint="default"/>
          <w:spacing w:val="-3"/>
        </w:rPr>
        <w:t>(</w:t>
      </w:r>
      <w:r>
        <w:rPr>
          <w:spacing w:val="-3"/>
        </w:rPr>
        <w:t>税前折现率为</w:t>
      </w:r>
      <w:r>
        <w:rPr>
          <w:rFonts w:ascii="Times New Roman" w:hAnsi="Times New Roman" w:cs="Times New Roman" w:eastAsia="Times New Roman" w:hint="default"/>
          <w:spacing w:val="-3"/>
        </w:rPr>
        <w:t>9.54%)</w:t>
      </w:r>
      <w:r>
        <w:rPr>
          <w:spacing w:val="-3"/>
        </w:rPr>
        <w:t>，并出具了《商誉减值测试</w:t>
      </w:r>
      <w:r>
        <w:rPr>
          <w:w w:val="100"/>
        </w:rPr>
        <w:t> </w:t>
      </w:r>
      <w:r>
        <w:rPr/>
        <w:t>报告书》</w:t>
      </w:r>
      <w:r>
        <w:rPr>
          <w:rFonts w:ascii="Times New Roman" w:hAnsi="Times New Roman" w:cs="Times New Roman" w:eastAsia="Times New Roman" w:hint="default"/>
        </w:rPr>
        <w:t>(</w:t>
      </w:r>
      <w:r>
        <w:rPr/>
        <w:t>沃克森咨报字</w:t>
      </w:r>
      <w:r>
        <w:rPr>
          <w:rFonts w:ascii="Times New Roman" w:hAnsi="Times New Roman" w:cs="Times New Roman" w:eastAsia="Times New Roman" w:hint="default"/>
        </w:rPr>
        <w:t>[2020]</w:t>
      </w:r>
      <w:r>
        <w:rPr/>
        <w:t>第</w:t>
      </w:r>
      <w:r>
        <w:rPr>
          <w:rFonts w:ascii="Times New Roman" w:hAnsi="Times New Roman" w:cs="Times New Roman" w:eastAsia="Times New Roman" w:hint="default"/>
        </w:rPr>
        <w:t>0573</w:t>
      </w:r>
      <w:r>
        <w:rPr/>
        <w:t>号</w:t>
      </w:r>
      <w:r>
        <w:rPr>
          <w:rFonts w:ascii="Times New Roman" w:hAnsi="Times New Roman" w:cs="Times New Roman" w:eastAsia="Times New Roman" w:hint="default"/>
        </w:rPr>
        <w:t>)</w:t>
      </w:r>
      <w:r>
        <w:rPr/>
        <w:t>，本期末因收购</w:t>
      </w:r>
      <w:r>
        <w:rPr>
          <w:rFonts w:ascii="Times New Roman" w:hAnsi="Times New Roman" w:cs="Times New Roman" w:eastAsia="Times New Roman" w:hint="default"/>
        </w:rPr>
        <w:t>500PX</w:t>
      </w:r>
      <w:r>
        <w:rPr/>
        <w:t>的商誉不存在减值。</w:t>
      </w:r>
    </w:p>
    <w:p>
      <w:pPr>
        <w:spacing w:line="362" w:lineRule="auto" w:before="73"/>
        <w:ind w:left="153" w:right="8854" w:firstLine="0"/>
        <w:jc w:val="left"/>
        <w:rPr>
          <w:rFonts w:ascii="宋体" w:hAnsi="宋体" w:cs="宋体" w:eastAsia="宋体" w:hint="default"/>
          <w:sz w:val="18"/>
          <w:szCs w:val="18"/>
        </w:rPr>
      </w:pPr>
      <w:r>
        <w:rPr>
          <w:rFonts w:ascii="宋体" w:hAnsi="宋体" w:cs="宋体" w:eastAsia="宋体" w:hint="default"/>
          <w:spacing w:val="-3"/>
          <w:sz w:val="18"/>
          <w:szCs w:val="18"/>
        </w:rPr>
        <w:t>商誉减值测试的影响</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其他说明</w:t>
      </w:r>
    </w:p>
    <w:p>
      <w:pPr>
        <w:spacing w:line="240" w:lineRule="auto" w:before="4"/>
        <w:rPr>
          <w:rFonts w:ascii="宋体" w:hAnsi="宋体" w:cs="宋体" w:eastAsia="宋体" w:hint="default"/>
          <w:sz w:val="19"/>
          <w:szCs w:val="19"/>
        </w:rPr>
      </w:pPr>
    </w:p>
    <w:p>
      <w:pPr>
        <w:pStyle w:val="Heading4"/>
        <w:spacing w:line="240" w:lineRule="auto"/>
        <w:ind w:right="0"/>
        <w:jc w:val="left"/>
        <w:rPr>
          <w:b w:val="0"/>
          <w:bCs w:val="0"/>
        </w:rPr>
      </w:pPr>
      <w:bookmarkStart w:name="15、长期待摊费用" w:id="255"/>
      <w:bookmarkEnd w:id="255"/>
      <w:r>
        <w:rPr>
          <w:b w:val="0"/>
          <w:bCs w:val="0"/>
        </w:rPr>
      </w:r>
      <w:r>
        <w:rPr>
          <w:rFonts w:ascii="Times New Roman" w:hAnsi="Times New Roman" w:cs="Times New Roman" w:eastAsia="Times New Roman" w:hint="default"/>
        </w:rPr>
        <w:t>15</w:t>
      </w:r>
      <w:r>
        <w:rPr/>
        <w:t>、长期待摊费用</w:t>
      </w:r>
      <w:r>
        <w:rPr>
          <w:b w:val="0"/>
          <w:bCs w:val="0"/>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5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113"/>
              <w:jc w:val="left"/>
              <w:rPr>
                <w:rFonts w:ascii="宋体" w:hAnsi="宋体" w:cs="宋体" w:eastAsia="宋体" w:hint="default"/>
                <w:sz w:val="18"/>
                <w:szCs w:val="18"/>
              </w:rPr>
            </w:pPr>
            <w:r>
              <w:rPr>
                <w:rFonts w:ascii="宋体" w:hAnsi="宋体" w:cs="宋体" w:eastAsia="宋体" w:hint="default"/>
                <w:spacing w:val="-2"/>
                <w:sz w:val="18"/>
                <w:szCs w:val="18"/>
              </w:rPr>
              <w:t>经营租入固定资产</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改良</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6,982,516.86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57,054.03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1,880,199.46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223,636.36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4,935,735.07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6,982,516.86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57,054.03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1,880,199.46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223,636.36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4,935,735.07</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bookmarkStart w:name="16、递延所得税资产/递延所得税负债" w:id="256"/>
      <w:bookmarkEnd w:id="256"/>
      <w:r>
        <w:rPr>
          <w:b w:val="0"/>
          <w:bCs w:val="0"/>
        </w:rPr>
      </w:r>
      <w:r>
        <w:rPr>
          <w:rFonts w:ascii="Times New Roman" w:hAnsi="Times New Roman" w:cs="Times New Roman" w:eastAsia="Times New Roman" w:hint="default"/>
        </w:rPr>
        <w:t>16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1）未经抵销的递延所得税资产" w:id="257"/>
      <w:bookmarkEnd w:id="257"/>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23"/>
        <w:gridCol w:w="1909"/>
        <w:gridCol w:w="1913"/>
        <w:gridCol w:w="1914"/>
        <w:gridCol w:w="1916"/>
      </w:tblGrid>
      <w:tr>
        <w:trPr>
          <w:trHeight w:val="202" w:hRule="exact"/>
        </w:trPr>
        <w:tc>
          <w:tcPr>
            <w:tcW w:w="192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3" w:hRule="exact"/>
        </w:trPr>
        <w:tc>
          <w:tcPr>
            <w:tcW w:w="19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22"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23" w:type="dxa"/>
            <w:vMerge/>
            <w:tcBorders>
              <w:left w:val="single" w:sz="4" w:space="0" w:color="000000"/>
              <w:bottom w:val="nil" w:sz="6" w:space="0" w:color="auto"/>
              <w:right w:val="single" w:sz="4" w:space="0" w:color="000000"/>
            </w:tcBorders>
            <w:shd w:val="clear" w:color="auto" w:fill="D2D2D2"/>
          </w:tcPr>
          <w:p>
            <w:pPr/>
          </w:p>
        </w:tc>
        <w:tc>
          <w:tcPr>
            <w:tcW w:w="19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2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28"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r>
      <w:tr>
        <w:trPr>
          <w:trHeight w:val="206" w:hRule="exact"/>
        </w:trPr>
        <w:tc>
          <w:tcPr>
            <w:tcW w:w="19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9"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830" w:right="0"/>
              <w:jc w:val="left"/>
              <w:rPr>
                <w:rFonts w:ascii="Times New Roman" w:hAnsi="Times New Roman" w:cs="Times New Roman" w:eastAsia="Times New Roman" w:hint="default"/>
                <w:sz w:val="18"/>
                <w:szCs w:val="18"/>
              </w:rPr>
            </w:pPr>
            <w:r>
              <w:rPr>
                <w:rFonts w:ascii="Times New Roman"/>
                <w:sz w:val="18"/>
              </w:rPr>
              <w:t>28,620,751.31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36" w:right="0"/>
              <w:jc w:val="left"/>
              <w:rPr>
                <w:rFonts w:ascii="Times New Roman" w:hAnsi="Times New Roman" w:cs="Times New Roman" w:eastAsia="Times New Roman" w:hint="default"/>
                <w:sz w:val="18"/>
                <w:szCs w:val="18"/>
              </w:rPr>
            </w:pPr>
            <w:r>
              <w:rPr>
                <w:rFonts w:ascii="Times New Roman"/>
                <w:sz w:val="18"/>
              </w:rPr>
              <w:t>6,450,422.77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42" w:right="0"/>
              <w:jc w:val="left"/>
              <w:rPr>
                <w:rFonts w:ascii="Times New Roman" w:hAnsi="Times New Roman" w:cs="Times New Roman" w:eastAsia="Times New Roman" w:hint="default"/>
                <w:sz w:val="18"/>
                <w:szCs w:val="18"/>
              </w:rPr>
            </w:pPr>
            <w:r>
              <w:rPr>
                <w:rFonts w:ascii="Times New Roman"/>
                <w:sz w:val="18"/>
              </w:rPr>
              <w:t>25,282,569.89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36" w:right="0"/>
              <w:jc w:val="left"/>
              <w:rPr>
                <w:rFonts w:ascii="Times New Roman" w:hAnsi="Times New Roman" w:cs="Times New Roman" w:eastAsia="Times New Roman" w:hint="default"/>
                <w:sz w:val="18"/>
                <w:szCs w:val="18"/>
              </w:rPr>
            </w:pPr>
            <w:r>
              <w:rPr>
                <w:rFonts w:ascii="Times New Roman"/>
                <w:sz w:val="18"/>
              </w:rPr>
              <w:t>4,098,545.53</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129,834.47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32,458.62</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852" w:right="0"/>
              <w:jc w:val="left"/>
              <w:rPr>
                <w:rFonts w:ascii="Times New Roman" w:hAnsi="Times New Roman" w:cs="Times New Roman" w:eastAsia="Times New Roman" w:hint="default"/>
                <w:sz w:val="18"/>
                <w:szCs w:val="18"/>
              </w:rPr>
            </w:pPr>
            <w:r>
              <w:rPr>
                <w:rFonts w:ascii="Times New Roman"/>
                <w:sz w:val="18"/>
              </w:rPr>
              <w:t>28,620,751.31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36" w:right="0"/>
              <w:jc w:val="left"/>
              <w:rPr>
                <w:rFonts w:ascii="Times New Roman" w:hAnsi="Times New Roman" w:cs="Times New Roman" w:eastAsia="Times New Roman" w:hint="default"/>
                <w:sz w:val="18"/>
                <w:szCs w:val="18"/>
              </w:rPr>
            </w:pPr>
            <w:r>
              <w:rPr>
                <w:rFonts w:ascii="Times New Roman"/>
                <w:sz w:val="18"/>
              </w:rPr>
              <w:t>6,450,422.77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25,412,404.36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4,131,004.15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未经抵销的递延所得税负债" w:id="258"/>
      <w:bookmarkEnd w:id="258"/>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206" w:hRule="exact"/>
        </w:trPr>
        <w:tc>
          <w:tcPr>
            <w:tcW w:w="191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2"/>
            <w:vMerge/>
            <w:tcBorders>
              <w:left w:val="single" w:sz="4" w:space="0" w:color="000000"/>
              <w:bottom w:val="single" w:sz="4" w:space="0" w:color="000000"/>
              <w:right w:val="single" w:sz="4" w:space="0" w:color="000000"/>
            </w:tcBorders>
            <w:shd w:val="clear" w:color="auto" w:fill="D2D2D2"/>
          </w:tcPr>
          <w:p>
            <w:pPr/>
          </w:p>
        </w:tc>
        <w:tc>
          <w:tcPr>
            <w:tcW w:w="3832"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1" w:type="dxa"/>
            <w:vMerge/>
            <w:tcBorders>
              <w:left w:val="single" w:sz="4" w:space="0" w:color="000000"/>
              <w:bottom w:val="nil" w:sz="6" w:space="0" w:color="auto"/>
              <w:right w:val="single" w:sz="4" w:space="0" w:color="000000"/>
            </w:tcBorders>
            <w:shd w:val="clear" w:color="auto" w:fill="D2D2D2"/>
          </w:tcPr>
          <w:p>
            <w:pPr/>
          </w:p>
        </w:tc>
        <w:tc>
          <w:tcPr>
            <w:tcW w:w="19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3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30"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r>
      <w:tr>
        <w:trPr>
          <w:trHeight w:val="207" w:hRule="exact"/>
        </w:trPr>
        <w:tc>
          <w:tcPr>
            <w:tcW w:w="19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1"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710"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2"/>
                <w:sz w:val="18"/>
                <w:szCs w:val="18"/>
              </w:rPr>
              <w:t>非同一控制企业合并资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产评估增值</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40,674,660.08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4,677,585.91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40,183,640.34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4,622,122.79</w:t>
            </w:r>
          </w:p>
        </w:tc>
      </w:tr>
      <w:tr>
        <w:trPr>
          <w:trHeight w:val="715"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0"/>
              <w:jc w:val="left"/>
              <w:rPr>
                <w:rFonts w:ascii="宋体" w:hAnsi="宋体" w:cs="宋体" w:eastAsia="宋体" w:hint="default"/>
                <w:sz w:val="18"/>
                <w:szCs w:val="18"/>
              </w:rPr>
            </w:pPr>
            <w:r>
              <w:rPr>
                <w:rFonts w:ascii="宋体" w:hAnsi="宋体" w:cs="宋体" w:eastAsia="宋体" w:hint="default"/>
                <w:spacing w:val="-2"/>
                <w:sz w:val="18"/>
                <w:szCs w:val="18"/>
              </w:rPr>
              <w:t>交易性金融资产的公允</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价值变动</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21,253,266.28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5,313,316.57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70"/>
              <w:jc w:val="left"/>
              <w:rPr>
                <w:rFonts w:ascii="宋体" w:hAnsi="宋体" w:cs="宋体" w:eastAsia="宋体" w:hint="default"/>
                <w:sz w:val="18"/>
                <w:szCs w:val="18"/>
              </w:rPr>
            </w:pPr>
            <w:r>
              <w:rPr>
                <w:rFonts w:ascii="宋体" w:hAnsi="宋体" w:cs="宋体" w:eastAsia="宋体" w:hint="default"/>
                <w:spacing w:val="-2"/>
                <w:sz w:val="18"/>
                <w:szCs w:val="18"/>
              </w:rPr>
              <w:t>计入其他综合收益的公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允价值变动</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12,118,197.65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3,029,549.42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11,236,144.80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2,809,036.20</w:t>
            </w:r>
          </w:p>
        </w:tc>
      </w:tr>
      <w:tr>
        <w:trPr>
          <w:trHeight w:val="715"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2"/>
                <w:sz w:val="18"/>
                <w:szCs w:val="18"/>
              </w:rPr>
              <w:t>非同一控制下企业合并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东星形成的无形资产</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64,516.13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16,129.03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322,580.64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80,645.16</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74,110,640.14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13,036,580.93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51,742,365.78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7,511,804.15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未确认递延所得税资产明细" w:id="259"/>
      <w:bookmarkEnd w:id="259"/>
      <w:r>
        <w:rPr>
          <w:b w:val="0"/>
          <w:bCs w:val="0"/>
        </w:rPr>
      </w:r>
      <w:r>
        <w:rPr/>
        <w:t>（</w:t>
      </w:r>
      <w:r>
        <w:rPr>
          <w:rFonts w:ascii="Times New Roman" w:hAnsi="Times New Roman" w:cs="Times New Roman" w:eastAsia="Times New Roman" w:hint="default"/>
        </w:rPr>
        <w:t>3</w:t>
      </w:r>
      <w:r>
        <w:rPr/>
        <w:t>）未确认递延所得税资产明细</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27,556,817.60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15,165,377.85</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572,675,349.81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501,121,967.43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600,232,167.41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516,287,345.28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4）未确认递延所得税资产的可抵扣亏损将于以下年度到期" w:id="260"/>
      <w:bookmarkEnd w:id="260"/>
      <w:r>
        <w:rPr>
          <w:b w:val="0"/>
          <w:bCs w:val="0"/>
        </w:rPr>
      </w:r>
      <w:r>
        <w:rPr/>
        <w:t>（</w:t>
      </w:r>
      <w:r>
        <w:rPr>
          <w:rFonts w:ascii="Times New Roman" w:hAnsi="Times New Roman" w:cs="Times New Roman" w:eastAsia="Times New Roman" w:hint="default"/>
        </w:rPr>
        <w:t>4</w:t>
      </w:r>
      <w:r>
        <w:rPr/>
        <w:t>）未确认递延所得税资产的可抵扣亏损将于以下年度到期</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35,223,622.65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35,893,690.71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28,529,430.01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28,597,399.04</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56,002,460.73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71,379,937.03</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356,160,057.51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359,282,967.32</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96,759,778.91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5,967,973.33</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572,675,349.81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501,121,967.43</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4"/>
        <w:spacing w:line="240" w:lineRule="auto" w:before="36"/>
        <w:ind w:right="0"/>
        <w:jc w:val="left"/>
        <w:rPr>
          <w:b w:val="0"/>
          <w:bCs w:val="0"/>
        </w:rPr>
      </w:pPr>
      <w:bookmarkStart w:name="17、其他非流动资产" w:id="261"/>
      <w:bookmarkEnd w:id="261"/>
      <w:r>
        <w:rPr>
          <w:b w:val="0"/>
          <w:bCs w:val="0"/>
        </w:rPr>
      </w:r>
      <w:r>
        <w:rPr>
          <w:rFonts w:ascii="Times New Roman" w:hAnsi="Times New Roman" w:cs="Times New Roman" w:eastAsia="Times New Roman" w:hint="default"/>
        </w:rPr>
        <w:t>17</w:t>
      </w:r>
      <w:r>
        <w:rPr/>
        <w:t>、其他非流动资产</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是否已执行新收入准则</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9" w:space="6872"/>
            <w:col w:w="2099"/>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Corbis</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图片素材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549,517,443.79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540,782,182.85</w:t>
            </w: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89"/>
              <w:jc w:val="left"/>
              <w:rPr>
                <w:rFonts w:ascii="宋体" w:hAnsi="宋体" w:cs="宋体" w:eastAsia="宋体" w:hint="default"/>
                <w:sz w:val="18"/>
                <w:szCs w:val="18"/>
              </w:rPr>
            </w:pPr>
            <w:r>
              <w:rPr>
                <w:rFonts w:ascii="宋体" w:hAnsi="宋体" w:cs="宋体" w:eastAsia="宋体" w:hint="default"/>
                <w:spacing w:val="-3"/>
                <w:sz w:val="18"/>
                <w:szCs w:val="18"/>
              </w:rPr>
              <w:t>贷款保函保证金（定期存单）及其应计</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190,441,200.00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185,425,875.00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预付的投资款及其应计利息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88,442,672.50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83,583,382.39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预付</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EHR </w:t>
            </w:r>
            <w:r>
              <w:rPr>
                <w:rFonts w:ascii="宋体" w:hAnsi="宋体" w:cs="宋体" w:eastAsia="宋体" w:hint="default"/>
                <w:sz w:val="18"/>
                <w:szCs w:val="18"/>
              </w:rPr>
              <w:t>系统款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42,477.88</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预付用友软件实施款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235,849.06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一年内到期部分</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-185,425,875.00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828,443,794.17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624,601,414.30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Heading3"/>
        <w:spacing w:line="244" w:lineRule="auto" w:before="82"/>
        <w:ind w:left="153" w:right="0"/>
        <w:jc w:val="left"/>
      </w:pPr>
      <w:r>
        <w:rPr>
          <w:spacing w:val="-2"/>
        </w:rPr>
        <w:t>注</w:t>
      </w:r>
      <w:r>
        <w:rPr>
          <w:rFonts w:ascii="Times New Roman" w:hAnsi="Times New Roman" w:cs="Times New Roman" w:eastAsia="Times New Roman" w:hint="default"/>
          <w:spacing w:val="-2"/>
        </w:rPr>
        <w:t>1</w:t>
      </w:r>
      <w:r>
        <w:rPr>
          <w:spacing w:val="-2"/>
        </w:rPr>
        <w:t>：预付投资款系支付富银消费金融有限责任公司投资款</w:t>
      </w:r>
      <w:r>
        <w:rPr>
          <w:rFonts w:ascii="Times New Roman" w:hAnsi="Times New Roman" w:cs="Times New Roman" w:eastAsia="Times New Roman" w:hint="default"/>
          <w:spacing w:val="-2"/>
        </w:rPr>
        <w:t>8,100.00</w:t>
      </w:r>
      <w:r>
        <w:rPr>
          <w:spacing w:val="-2"/>
        </w:rPr>
        <w:t>万元及天津五百像素网络科技有限</w:t>
      </w:r>
      <w:r>
        <w:rPr>
          <w:spacing w:val="-55"/>
        </w:rPr>
        <w:t> </w:t>
      </w:r>
      <w:r>
        <w:rPr>
          <w:spacing w:val="-55"/>
        </w:rPr>
      </w:r>
      <w:r>
        <w:rPr/>
        <w:t>公司</w:t>
      </w:r>
      <w:r>
        <w:rPr>
          <w:rFonts w:ascii="Times New Roman" w:hAnsi="Times New Roman" w:cs="Times New Roman" w:eastAsia="Times New Roman" w:hint="default"/>
        </w:rPr>
        <w:t>640.00</w:t>
      </w:r>
      <w:r>
        <w:rPr/>
        <w:t>万元。</w:t>
      </w:r>
      <w:r>
        <w:rPr>
          <w:spacing w:val="-107"/>
        </w:rPr>
        <w:t> </w:t>
      </w:r>
      <w:r>
        <w:rPr>
          <w:spacing w:val="-107"/>
        </w:rPr>
      </w:r>
      <w:r>
        <w:rPr/>
        <w:t>注</w:t>
      </w:r>
      <w:r>
        <w:rPr>
          <w:rFonts w:ascii="Times New Roman" w:hAnsi="Times New Roman" w:cs="Times New Roman" w:eastAsia="Times New Roman" w:hint="default"/>
        </w:rPr>
        <w:t>2</w:t>
      </w:r>
      <w:r>
        <w:rPr/>
        <w:t>：经沃克森</w:t>
      </w:r>
      <w:r>
        <w:rPr>
          <w:rFonts w:ascii="Times New Roman" w:hAnsi="Times New Roman" w:cs="Times New Roman" w:eastAsia="Times New Roman" w:hint="default"/>
        </w:rPr>
        <w:t>(</w:t>
      </w:r>
      <w:r>
        <w:rPr/>
        <w:t>北京</w:t>
      </w:r>
      <w:r>
        <w:rPr>
          <w:rFonts w:ascii="Times New Roman" w:hAnsi="Times New Roman" w:cs="Times New Roman" w:eastAsia="Times New Roman" w:hint="default"/>
        </w:rPr>
        <w:t>)</w:t>
      </w:r>
      <w:r>
        <w:rPr/>
        <w:t>国际资产评估有限公司对使用寿命不确定的</w:t>
      </w:r>
      <w:r>
        <w:rPr>
          <w:rFonts w:ascii="Times New Roman" w:hAnsi="Times New Roman" w:cs="Times New Roman" w:eastAsia="Times New Roman" w:hint="default"/>
        </w:rPr>
        <w:t>"Corbis</w:t>
      </w:r>
      <w:r>
        <w:rPr/>
        <w:t>图片素材</w:t>
      </w:r>
      <w:r>
        <w:rPr>
          <w:rFonts w:ascii="Times New Roman" w:hAnsi="Times New Roman" w:cs="Times New Roman" w:eastAsia="Times New Roman" w:hint="default"/>
        </w:rPr>
        <w:t>"</w:t>
      </w:r>
      <w:r>
        <w:rPr/>
        <w:t>进行减值测试，并</w:t>
      </w:r>
      <w:r>
        <w:rPr>
          <w:spacing w:val="-82"/>
        </w:rPr>
        <w:t> </w:t>
      </w:r>
      <w:r>
        <w:rPr>
          <w:spacing w:val="-1"/>
        </w:rPr>
        <w:t>出具了《估值报告书》</w:t>
      </w:r>
      <w:r>
        <w:rPr>
          <w:rFonts w:ascii="Times New Roman" w:hAnsi="Times New Roman" w:cs="Times New Roman" w:eastAsia="Times New Roman" w:hint="default"/>
          <w:spacing w:val="-1"/>
        </w:rPr>
        <w:t>(</w:t>
      </w:r>
      <w:r>
        <w:rPr>
          <w:spacing w:val="-1"/>
        </w:rPr>
        <w:t>沃克森评报字</w:t>
      </w:r>
      <w:r>
        <w:rPr>
          <w:rFonts w:ascii="Times New Roman" w:hAnsi="Times New Roman" w:cs="Times New Roman" w:eastAsia="Times New Roman" w:hint="default"/>
          <w:spacing w:val="-1"/>
        </w:rPr>
        <w:t>[2020]</w:t>
      </w:r>
      <w:r>
        <w:rPr>
          <w:spacing w:val="-1"/>
        </w:rPr>
        <w:t>第</w:t>
      </w:r>
      <w:r>
        <w:rPr>
          <w:rFonts w:ascii="Times New Roman" w:hAnsi="Times New Roman" w:cs="Times New Roman" w:eastAsia="Times New Roman" w:hint="default"/>
          <w:spacing w:val="-1"/>
        </w:rPr>
        <w:t>0571</w:t>
      </w:r>
      <w:r>
        <w:rPr>
          <w:spacing w:val="-1"/>
        </w:rPr>
        <w:t>号</w:t>
      </w:r>
      <w:r>
        <w:rPr>
          <w:rFonts w:ascii="Times New Roman" w:hAnsi="Times New Roman" w:cs="Times New Roman" w:eastAsia="Times New Roman" w:hint="default"/>
          <w:spacing w:val="-1"/>
        </w:rPr>
        <w:t>)</w:t>
      </w:r>
      <w:r>
        <w:rPr>
          <w:spacing w:val="-1"/>
        </w:rPr>
        <w:t>，经测试本期末</w:t>
      </w:r>
      <w:r>
        <w:rPr>
          <w:rFonts w:ascii="Times New Roman" w:hAnsi="Times New Roman" w:cs="Times New Roman" w:eastAsia="Times New Roman" w:hint="default"/>
          <w:spacing w:val="-1"/>
        </w:rPr>
        <w:t>"Corbis</w:t>
      </w:r>
      <w:r>
        <w:rPr>
          <w:spacing w:val="-1"/>
        </w:rPr>
        <w:t>图片素材</w:t>
      </w:r>
      <w:r>
        <w:rPr>
          <w:rFonts w:ascii="Times New Roman" w:hAnsi="Times New Roman" w:cs="Times New Roman" w:eastAsia="Times New Roman" w:hint="default"/>
          <w:spacing w:val="-1"/>
        </w:rPr>
        <w:t>"</w:t>
      </w:r>
      <w:r>
        <w:rPr>
          <w:spacing w:val="-1"/>
        </w:rPr>
        <w:t>不存在减值。</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18、 资产减值准备明细表" w:id="262"/>
      <w:bookmarkEnd w:id="262"/>
      <w:r>
        <w:rPr>
          <w:b w:val="0"/>
          <w:bCs w:val="0"/>
        </w:rPr>
      </w:r>
      <w:r>
        <w:rPr>
          <w:rFonts w:ascii="Times New Roman" w:hAnsi="Times New Roman" w:cs="Times New Roman" w:eastAsia="Times New Roman" w:hint="default"/>
        </w:rPr>
        <w:t>18</w:t>
      </w:r>
      <w:r>
        <w:rPr/>
        <w:t>、</w:t>
      </w:r>
      <w:r>
        <w:rPr>
          <w:spacing w:val="4"/>
        </w:rPr>
        <w:t> </w:t>
      </w:r>
      <w:r>
        <w:rPr/>
        <w:t>资产减值准备明细表</w:t>
      </w:r>
      <w:r>
        <w:rPr>
          <w:b w:val="0"/>
          <w:bCs w:val="0"/>
        </w:rPr>
      </w:r>
    </w:p>
    <w:p>
      <w:pPr>
        <w:spacing w:line="240" w:lineRule="auto" w:before="7"/>
        <w:rPr>
          <w:rFonts w:ascii="宋体" w:hAnsi="宋体" w:cs="宋体" w:eastAsia="宋体" w:hint="default"/>
          <w:b/>
          <w:bCs/>
          <w:sz w:val="25"/>
          <w:szCs w:val="25"/>
        </w:rPr>
      </w:pPr>
    </w:p>
    <w:tbl>
      <w:tblPr>
        <w:tblW w:w="0" w:type="auto"/>
        <w:jc w:val="left"/>
        <w:tblInd w:w="143" w:type="dxa"/>
        <w:tblLayout w:type="fixed"/>
        <w:tblCellMar>
          <w:top w:w="0" w:type="dxa"/>
          <w:left w:w="0" w:type="dxa"/>
          <w:bottom w:w="0" w:type="dxa"/>
          <w:right w:w="0" w:type="dxa"/>
        </w:tblCellMar>
        <w:tblLook w:val="01E0"/>
      </w:tblPr>
      <w:tblGrid>
        <w:gridCol w:w="1983"/>
        <w:gridCol w:w="1561"/>
        <w:gridCol w:w="1421"/>
        <w:gridCol w:w="1416"/>
        <w:gridCol w:w="1229"/>
        <w:gridCol w:w="1524"/>
      </w:tblGrid>
      <w:tr>
        <w:trPr>
          <w:trHeight w:val="353" w:hRule="exact"/>
        </w:trPr>
        <w:tc>
          <w:tcPr>
            <w:tcW w:w="1983" w:type="dxa"/>
            <w:vMerge w:val="restart"/>
            <w:tcBorders>
              <w:top w:val="single" w:sz="6" w:space="0" w:color="000000"/>
              <w:left w:val="single" w:sz="6" w:space="0" w:color="000000"/>
              <w:right w:val="single" w:sz="6" w:space="0" w:color="000000"/>
            </w:tcBorders>
          </w:tcPr>
          <w:p>
            <w:pPr>
              <w:pStyle w:val="TableParagraph"/>
              <w:spacing w:line="240" w:lineRule="auto" w:before="1"/>
              <w:ind w:left="10"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561" w:type="dxa"/>
            <w:vMerge w:val="restart"/>
            <w:tcBorders>
              <w:top w:val="single" w:sz="6" w:space="0" w:color="000000"/>
              <w:left w:val="single" w:sz="6" w:space="0" w:color="000000"/>
              <w:right w:val="single" w:sz="6" w:space="0" w:color="000000"/>
            </w:tcBorders>
          </w:tcPr>
          <w:p>
            <w:pPr>
              <w:pStyle w:val="TableParagraph"/>
              <w:spacing w:line="240" w:lineRule="auto" w:before="1"/>
              <w:ind w:left="379" w:right="0"/>
              <w:jc w:val="left"/>
              <w:rPr>
                <w:rFonts w:ascii="宋体" w:hAnsi="宋体" w:cs="宋体" w:eastAsia="宋体" w:hint="default"/>
                <w:sz w:val="20"/>
                <w:szCs w:val="20"/>
              </w:rPr>
            </w:pPr>
            <w:r>
              <w:rPr>
                <w:rFonts w:ascii="宋体" w:hAnsi="宋体" w:cs="宋体" w:eastAsia="宋体" w:hint="default"/>
                <w:sz w:val="20"/>
                <w:szCs w:val="20"/>
              </w:rPr>
              <w:t>期初余额</w:t>
            </w:r>
          </w:p>
        </w:tc>
        <w:tc>
          <w:tcPr>
            <w:tcW w:w="4067"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本期增加</w:t>
            </w:r>
          </w:p>
        </w:tc>
        <w:tc>
          <w:tcPr>
            <w:tcW w:w="152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
              <w:ind w:left="355" w:right="0"/>
              <w:jc w:val="left"/>
              <w:rPr>
                <w:rFonts w:ascii="宋体" w:hAnsi="宋体" w:cs="宋体" w:eastAsia="宋体" w:hint="default"/>
                <w:sz w:val="20"/>
                <w:szCs w:val="20"/>
              </w:rPr>
            </w:pPr>
            <w:r>
              <w:rPr>
                <w:rFonts w:ascii="宋体" w:hAnsi="宋体" w:cs="宋体" w:eastAsia="宋体" w:hint="default"/>
                <w:sz w:val="20"/>
                <w:szCs w:val="20"/>
              </w:rPr>
              <w:t>本期减少</w:t>
            </w:r>
          </w:p>
        </w:tc>
      </w:tr>
      <w:tr>
        <w:trPr>
          <w:trHeight w:val="350" w:hRule="exact"/>
        </w:trPr>
        <w:tc>
          <w:tcPr>
            <w:tcW w:w="1983" w:type="dxa"/>
            <w:vMerge/>
            <w:tcBorders>
              <w:left w:val="single" w:sz="6" w:space="0" w:color="000000"/>
              <w:bottom w:val="single" w:sz="12" w:space="0" w:color="000000"/>
              <w:right w:val="single" w:sz="6" w:space="0" w:color="000000"/>
            </w:tcBorders>
          </w:tcPr>
          <w:p>
            <w:pPr/>
          </w:p>
        </w:tc>
        <w:tc>
          <w:tcPr>
            <w:tcW w:w="1561" w:type="dxa"/>
            <w:vMerge/>
            <w:tcBorders>
              <w:left w:val="single" w:sz="6" w:space="0" w:color="000000"/>
              <w:bottom w:val="single" w:sz="12" w:space="0" w:color="000000"/>
              <w:right w:val="single" w:sz="6" w:space="0" w:color="000000"/>
            </w:tcBorders>
          </w:tcPr>
          <w:p>
            <w:pPr/>
          </w:p>
        </w:tc>
        <w:tc>
          <w:tcPr>
            <w:tcW w:w="1421" w:type="dxa"/>
            <w:tcBorders>
              <w:top w:val="single" w:sz="12" w:space="0" w:color="000000"/>
              <w:left w:val="single" w:sz="6" w:space="0" w:color="000000"/>
              <w:bottom w:val="single" w:sz="12" w:space="0" w:color="000000"/>
              <w:right w:val="single" w:sz="6" w:space="0" w:color="000000"/>
            </w:tcBorders>
          </w:tcPr>
          <w:p>
            <w:pPr>
              <w:pStyle w:val="TableParagraph"/>
              <w:spacing w:line="254" w:lineRule="exact"/>
              <w:ind w:left="403" w:right="0"/>
              <w:jc w:val="left"/>
              <w:rPr>
                <w:rFonts w:ascii="宋体" w:hAnsi="宋体" w:cs="宋体" w:eastAsia="宋体" w:hint="default"/>
                <w:sz w:val="20"/>
                <w:szCs w:val="20"/>
              </w:rPr>
            </w:pPr>
            <w:r>
              <w:rPr>
                <w:rFonts w:ascii="宋体" w:hAnsi="宋体" w:cs="宋体" w:eastAsia="宋体" w:hint="default"/>
                <w:sz w:val="20"/>
                <w:szCs w:val="20"/>
              </w:rPr>
              <w:t>计提数</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54" w:lineRule="exact"/>
              <w:ind w:left="100" w:right="0"/>
              <w:jc w:val="left"/>
              <w:rPr>
                <w:rFonts w:ascii="宋体" w:hAnsi="宋体" w:cs="宋体" w:eastAsia="宋体" w:hint="default"/>
                <w:sz w:val="20"/>
                <w:szCs w:val="20"/>
              </w:rPr>
            </w:pPr>
            <w:r>
              <w:rPr>
                <w:rFonts w:ascii="宋体" w:hAnsi="宋体" w:cs="宋体" w:eastAsia="宋体" w:hint="default"/>
                <w:sz w:val="20"/>
                <w:szCs w:val="20"/>
              </w:rPr>
              <w:t>合并范围变动</w:t>
            </w:r>
          </w:p>
        </w:tc>
        <w:tc>
          <w:tcPr>
            <w:tcW w:w="1229" w:type="dxa"/>
            <w:tcBorders>
              <w:top w:val="single" w:sz="12" w:space="0" w:color="000000"/>
              <w:left w:val="single" w:sz="6" w:space="0" w:color="000000"/>
              <w:bottom w:val="single" w:sz="12" w:space="0" w:color="000000"/>
              <w:right w:val="single" w:sz="6" w:space="0" w:color="000000"/>
            </w:tcBorders>
          </w:tcPr>
          <w:p>
            <w:pPr>
              <w:pStyle w:val="TableParagraph"/>
              <w:spacing w:line="254" w:lineRule="exact"/>
              <w:ind w:left="206" w:right="0"/>
              <w:jc w:val="left"/>
              <w:rPr>
                <w:rFonts w:ascii="宋体" w:hAnsi="宋体" w:cs="宋体" w:eastAsia="宋体" w:hint="default"/>
                <w:sz w:val="20"/>
                <w:szCs w:val="20"/>
              </w:rPr>
            </w:pPr>
            <w:r>
              <w:rPr>
                <w:rFonts w:ascii="宋体" w:hAnsi="宋体" w:cs="宋体" w:eastAsia="宋体" w:hint="default"/>
                <w:sz w:val="20"/>
                <w:szCs w:val="20"/>
              </w:rPr>
              <w:t>增加合计</w:t>
            </w:r>
          </w:p>
        </w:tc>
        <w:tc>
          <w:tcPr>
            <w:tcW w:w="1524" w:type="dxa"/>
            <w:tcBorders>
              <w:top w:val="single" w:sz="12" w:space="0" w:color="000000"/>
              <w:left w:val="single" w:sz="6" w:space="0" w:color="000000"/>
              <w:bottom w:val="single" w:sz="12" w:space="0" w:color="000000"/>
              <w:right w:val="nil" w:sz="6" w:space="0" w:color="auto"/>
            </w:tcBorders>
          </w:tcPr>
          <w:p>
            <w:pPr>
              <w:pStyle w:val="TableParagraph"/>
              <w:spacing w:line="254" w:lineRule="exact"/>
              <w:ind w:right="56"/>
              <w:jc w:val="right"/>
              <w:rPr>
                <w:rFonts w:ascii="宋体" w:hAnsi="宋体" w:cs="宋体" w:eastAsia="宋体" w:hint="default"/>
                <w:sz w:val="20"/>
                <w:szCs w:val="20"/>
              </w:rPr>
            </w:pPr>
            <w:r>
              <w:rPr>
                <w:rFonts w:ascii="宋体" w:hAnsi="宋体" w:cs="宋体" w:eastAsia="宋体" w:hint="default"/>
                <w:spacing w:val="-1"/>
                <w:sz w:val="20"/>
                <w:szCs w:val="20"/>
              </w:rPr>
              <w:t>本期转回或收回</w:t>
            </w:r>
          </w:p>
        </w:tc>
      </w:tr>
      <w:tr>
        <w:trPr>
          <w:trHeight w:val="355" w:hRule="exact"/>
        </w:trPr>
        <w:tc>
          <w:tcPr>
            <w:tcW w:w="19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9"/>
              <w:jc w:val="right"/>
              <w:rPr>
                <w:rFonts w:ascii="Times New Roman" w:hAnsi="Times New Roman" w:cs="Times New Roman" w:eastAsia="Times New Roman" w:hint="default"/>
                <w:sz w:val="18"/>
                <w:szCs w:val="18"/>
              </w:rPr>
            </w:pPr>
            <w:r>
              <w:rPr>
                <w:rFonts w:ascii="Times New Roman"/>
                <w:spacing w:val="-2"/>
                <w:sz w:val="18"/>
              </w:rPr>
              <w:t>40,447,947.74</w:t>
            </w:r>
          </w:p>
        </w:tc>
        <w:tc>
          <w:tcPr>
            <w:tcW w:w="14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6,986,961.58</w:t>
            </w:r>
          </w:p>
        </w:tc>
        <w:tc>
          <w:tcPr>
            <w:tcW w:w="1416" w:type="dxa"/>
            <w:tcBorders>
              <w:top w:val="single" w:sz="12" w:space="0" w:color="000000"/>
              <w:left w:val="single" w:sz="6" w:space="0" w:color="000000"/>
              <w:bottom w:val="single" w:sz="12" w:space="0" w:color="000000"/>
              <w:right w:val="single" w:sz="6" w:space="0" w:color="000000"/>
            </w:tcBorders>
          </w:tcPr>
          <w:p>
            <w:pPr/>
          </w:p>
        </w:tc>
        <w:tc>
          <w:tcPr>
            <w:tcW w:w="12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4"/>
              <w:jc w:val="right"/>
              <w:rPr>
                <w:rFonts w:ascii="Times New Roman" w:hAnsi="Times New Roman" w:cs="Times New Roman" w:eastAsia="Times New Roman" w:hint="default"/>
                <w:sz w:val="18"/>
                <w:szCs w:val="18"/>
              </w:rPr>
            </w:pPr>
            <w:r>
              <w:rPr>
                <w:rFonts w:ascii="Times New Roman"/>
                <w:spacing w:val="-1"/>
                <w:sz w:val="18"/>
              </w:rPr>
              <w:t>6,986,961.58</w:t>
            </w:r>
          </w:p>
        </w:tc>
        <w:tc>
          <w:tcPr>
            <w:tcW w:w="152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7"/>
              <w:ind w:right="3"/>
              <w:jc w:val="right"/>
              <w:rPr>
                <w:rFonts w:ascii="Times New Roman" w:hAnsi="Times New Roman" w:cs="Times New Roman" w:eastAsia="Times New Roman" w:hint="default"/>
                <w:sz w:val="18"/>
                <w:szCs w:val="18"/>
              </w:rPr>
            </w:pPr>
            <w:r>
              <w:rPr>
                <w:rFonts w:ascii="Times New Roman"/>
                <w:spacing w:val="-1"/>
                <w:sz w:val="18"/>
              </w:rPr>
              <w:t>59,980.00</w:t>
            </w:r>
          </w:p>
        </w:tc>
      </w:tr>
      <w:tr>
        <w:trPr>
          <w:trHeight w:val="351" w:hRule="exact"/>
        </w:trPr>
        <w:tc>
          <w:tcPr>
            <w:tcW w:w="19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长期股权投资减值准备</w:t>
            </w:r>
          </w:p>
        </w:tc>
        <w:tc>
          <w:tcPr>
            <w:tcW w:w="1561" w:type="dxa"/>
            <w:tcBorders>
              <w:top w:val="single" w:sz="12" w:space="0" w:color="000000"/>
              <w:left w:val="single" w:sz="6" w:space="0" w:color="000000"/>
              <w:bottom w:val="single" w:sz="12" w:space="0" w:color="000000"/>
              <w:right w:val="single" w:sz="6" w:space="0" w:color="000000"/>
            </w:tcBorders>
          </w:tcPr>
          <w:p>
            <w:pPr/>
          </w:p>
        </w:tc>
        <w:tc>
          <w:tcPr>
            <w:tcW w:w="14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13,241,024.97</w:t>
            </w:r>
          </w:p>
        </w:tc>
        <w:tc>
          <w:tcPr>
            <w:tcW w:w="1416" w:type="dxa"/>
            <w:tcBorders>
              <w:top w:val="single" w:sz="12" w:space="0" w:color="000000"/>
              <w:left w:val="single" w:sz="6" w:space="0" w:color="000000"/>
              <w:bottom w:val="single" w:sz="12" w:space="0" w:color="000000"/>
              <w:right w:val="single" w:sz="6" w:space="0" w:color="000000"/>
            </w:tcBorders>
          </w:tcPr>
          <w:p>
            <w:pPr/>
          </w:p>
        </w:tc>
        <w:tc>
          <w:tcPr>
            <w:tcW w:w="12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13,241,024.97</w:t>
            </w:r>
          </w:p>
        </w:tc>
        <w:tc>
          <w:tcPr>
            <w:tcW w:w="1524" w:type="dxa"/>
            <w:tcBorders>
              <w:top w:val="single" w:sz="12" w:space="0" w:color="000000"/>
              <w:left w:val="single" w:sz="6" w:space="0" w:color="000000"/>
              <w:bottom w:val="single" w:sz="12" w:space="0" w:color="000000"/>
              <w:right w:val="nil" w:sz="6" w:space="0" w:color="auto"/>
            </w:tcBorders>
          </w:tcPr>
          <w:p>
            <w:pPr/>
          </w:p>
        </w:tc>
      </w:tr>
      <w:tr>
        <w:trPr>
          <w:trHeight w:val="355" w:hRule="exact"/>
        </w:trPr>
        <w:tc>
          <w:tcPr>
            <w:tcW w:w="19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9"/>
              <w:jc w:val="right"/>
              <w:rPr>
                <w:rFonts w:ascii="Times New Roman" w:hAnsi="Times New Roman" w:cs="Times New Roman" w:eastAsia="Times New Roman" w:hint="default"/>
                <w:sz w:val="18"/>
                <w:szCs w:val="18"/>
              </w:rPr>
            </w:pPr>
            <w:r>
              <w:rPr>
                <w:rFonts w:ascii="Times New Roman"/>
                <w:spacing w:val="-1"/>
                <w:sz w:val="18"/>
              </w:rPr>
              <w:t>40,447,947.74</w:t>
            </w:r>
          </w:p>
        </w:tc>
        <w:tc>
          <w:tcPr>
            <w:tcW w:w="14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20,227,986.55</w:t>
            </w:r>
          </w:p>
        </w:tc>
        <w:tc>
          <w:tcPr>
            <w:tcW w:w="1416" w:type="dxa"/>
            <w:tcBorders>
              <w:top w:val="single" w:sz="12" w:space="0" w:color="000000"/>
              <w:left w:val="single" w:sz="6" w:space="0" w:color="000000"/>
              <w:bottom w:val="single" w:sz="12" w:space="0" w:color="000000"/>
              <w:right w:val="single" w:sz="6" w:space="0" w:color="000000"/>
            </w:tcBorders>
          </w:tcPr>
          <w:p>
            <w:pPr/>
          </w:p>
        </w:tc>
        <w:tc>
          <w:tcPr>
            <w:tcW w:w="12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20,227,986.55</w:t>
            </w:r>
          </w:p>
        </w:tc>
        <w:tc>
          <w:tcPr>
            <w:tcW w:w="152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59,980.00</w:t>
            </w:r>
          </w:p>
        </w:tc>
      </w:tr>
    </w:tbl>
    <w:p>
      <w:pPr>
        <w:spacing w:line="240" w:lineRule="auto" w:before="0"/>
        <w:rPr>
          <w:rFonts w:ascii="宋体" w:hAnsi="宋体" w:cs="宋体" w:eastAsia="宋体" w:hint="default"/>
          <w:b/>
          <w:bCs/>
          <w:sz w:val="5"/>
          <w:szCs w:val="5"/>
        </w:rPr>
      </w:pPr>
    </w:p>
    <w:p>
      <w:pPr>
        <w:pStyle w:val="Heading3"/>
        <w:spacing w:line="240" w:lineRule="auto"/>
        <w:ind w:right="0"/>
        <w:jc w:val="left"/>
      </w:pPr>
      <w:r>
        <w:rPr>
          <w:w w:val="100"/>
        </w:rPr>
        <w:t>续</w:t>
      </w:r>
    </w:p>
    <w:p>
      <w:pPr>
        <w:spacing w:line="240" w:lineRule="auto" w:before="9"/>
        <w:rPr>
          <w:rFonts w:ascii="宋体" w:hAnsi="宋体" w:cs="宋体" w:eastAsia="宋体" w:hint="default"/>
          <w:sz w:val="12"/>
          <w:szCs w:val="12"/>
        </w:rPr>
      </w:pPr>
    </w:p>
    <w:tbl>
      <w:tblPr>
        <w:tblW w:w="0" w:type="auto"/>
        <w:jc w:val="left"/>
        <w:tblInd w:w="143" w:type="dxa"/>
        <w:tblLayout w:type="fixed"/>
        <w:tblCellMar>
          <w:top w:w="0" w:type="dxa"/>
          <w:left w:w="0" w:type="dxa"/>
          <w:bottom w:w="0" w:type="dxa"/>
          <w:right w:w="0" w:type="dxa"/>
        </w:tblCellMar>
        <w:tblLook w:val="01E0"/>
      </w:tblPr>
      <w:tblGrid>
        <w:gridCol w:w="1844"/>
        <w:gridCol w:w="1200"/>
        <w:gridCol w:w="1638"/>
        <w:gridCol w:w="1560"/>
        <w:gridCol w:w="1369"/>
        <w:gridCol w:w="1524"/>
      </w:tblGrid>
      <w:tr>
        <w:trPr>
          <w:trHeight w:val="353" w:hRule="exact"/>
        </w:trPr>
        <w:tc>
          <w:tcPr>
            <w:tcW w:w="1844" w:type="dxa"/>
            <w:vMerge w:val="restart"/>
            <w:tcBorders>
              <w:top w:val="single" w:sz="6" w:space="0" w:color="000000"/>
              <w:left w:val="single" w:sz="6" w:space="0" w:color="000000"/>
              <w:right w:val="single" w:sz="6" w:space="0" w:color="000000"/>
            </w:tcBorders>
          </w:tcPr>
          <w:p>
            <w:pPr>
              <w:pStyle w:val="TableParagraph"/>
              <w:spacing w:line="240" w:lineRule="auto" w:before="1"/>
              <w:ind w:left="4"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5767" w:type="dxa"/>
            <w:gridSpan w:val="4"/>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left="9" w:right="0"/>
              <w:jc w:val="center"/>
              <w:rPr>
                <w:rFonts w:ascii="宋体" w:hAnsi="宋体" w:cs="宋体" w:eastAsia="宋体" w:hint="default"/>
                <w:sz w:val="20"/>
                <w:szCs w:val="20"/>
              </w:rPr>
            </w:pPr>
            <w:r>
              <w:rPr>
                <w:rFonts w:ascii="宋体" w:hAnsi="宋体" w:cs="宋体" w:eastAsia="宋体" w:hint="default"/>
                <w:sz w:val="20"/>
                <w:szCs w:val="20"/>
              </w:rPr>
              <w:t>本期减少</w:t>
            </w:r>
          </w:p>
        </w:tc>
        <w:tc>
          <w:tcPr>
            <w:tcW w:w="1524" w:type="dxa"/>
            <w:vMerge w:val="restart"/>
            <w:tcBorders>
              <w:top w:val="single" w:sz="6" w:space="0" w:color="000000"/>
              <w:left w:val="single" w:sz="6" w:space="0" w:color="000000"/>
              <w:right w:val="nil" w:sz="6" w:space="0" w:color="auto"/>
            </w:tcBorders>
          </w:tcPr>
          <w:p>
            <w:pPr>
              <w:pStyle w:val="TableParagraph"/>
              <w:spacing w:line="240" w:lineRule="auto" w:before="1"/>
              <w:ind w:left="355" w:right="0"/>
              <w:jc w:val="left"/>
              <w:rPr>
                <w:rFonts w:ascii="宋体" w:hAnsi="宋体" w:cs="宋体" w:eastAsia="宋体" w:hint="default"/>
                <w:sz w:val="20"/>
                <w:szCs w:val="20"/>
              </w:rPr>
            </w:pPr>
            <w:r>
              <w:rPr>
                <w:rFonts w:ascii="宋体" w:hAnsi="宋体" w:cs="宋体" w:eastAsia="宋体" w:hint="default"/>
                <w:sz w:val="20"/>
                <w:szCs w:val="20"/>
              </w:rPr>
              <w:t>期末余额</w:t>
            </w:r>
          </w:p>
        </w:tc>
      </w:tr>
      <w:tr>
        <w:trPr>
          <w:trHeight w:val="350" w:hRule="exact"/>
        </w:trPr>
        <w:tc>
          <w:tcPr>
            <w:tcW w:w="1844" w:type="dxa"/>
            <w:vMerge/>
            <w:tcBorders>
              <w:left w:val="single" w:sz="6" w:space="0" w:color="000000"/>
              <w:bottom w:val="single" w:sz="12" w:space="0" w:color="000000"/>
              <w:right w:val="single" w:sz="6" w:space="0" w:color="000000"/>
            </w:tcBorders>
          </w:tcPr>
          <w:p>
            <w:pPr/>
          </w:p>
        </w:tc>
        <w:tc>
          <w:tcPr>
            <w:tcW w:w="1200" w:type="dxa"/>
            <w:tcBorders>
              <w:top w:val="single" w:sz="12" w:space="0" w:color="000000"/>
              <w:left w:val="single" w:sz="6" w:space="0" w:color="000000"/>
              <w:bottom w:val="single" w:sz="12" w:space="0" w:color="000000"/>
              <w:right w:val="single" w:sz="6" w:space="0" w:color="000000"/>
            </w:tcBorders>
          </w:tcPr>
          <w:p>
            <w:pPr>
              <w:pStyle w:val="TableParagraph"/>
              <w:spacing w:line="254" w:lineRule="exact"/>
              <w:ind w:left="192" w:right="0"/>
              <w:jc w:val="left"/>
              <w:rPr>
                <w:rFonts w:ascii="宋体" w:hAnsi="宋体" w:cs="宋体" w:eastAsia="宋体" w:hint="default"/>
                <w:sz w:val="20"/>
                <w:szCs w:val="20"/>
              </w:rPr>
            </w:pPr>
            <w:r>
              <w:rPr>
                <w:rFonts w:ascii="宋体" w:hAnsi="宋体" w:cs="宋体" w:eastAsia="宋体" w:hint="default"/>
                <w:sz w:val="20"/>
                <w:szCs w:val="20"/>
              </w:rPr>
              <w:t>本期转销</w:t>
            </w:r>
          </w:p>
        </w:tc>
        <w:tc>
          <w:tcPr>
            <w:tcW w:w="1638" w:type="dxa"/>
            <w:tcBorders>
              <w:top w:val="single" w:sz="12" w:space="0" w:color="000000"/>
              <w:left w:val="single" w:sz="6" w:space="0" w:color="000000"/>
              <w:bottom w:val="single" w:sz="12" w:space="0" w:color="000000"/>
              <w:right w:val="single" w:sz="6" w:space="0" w:color="000000"/>
            </w:tcBorders>
          </w:tcPr>
          <w:p>
            <w:pPr>
              <w:pStyle w:val="TableParagraph"/>
              <w:spacing w:line="254" w:lineRule="exact"/>
              <w:ind w:right="3"/>
              <w:jc w:val="right"/>
              <w:rPr>
                <w:rFonts w:ascii="宋体" w:hAnsi="宋体" w:cs="宋体" w:eastAsia="宋体" w:hint="default"/>
                <w:sz w:val="20"/>
                <w:szCs w:val="20"/>
              </w:rPr>
            </w:pPr>
            <w:r>
              <w:rPr>
                <w:rFonts w:ascii="宋体" w:hAnsi="宋体" w:cs="宋体" w:eastAsia="宋体" w:hint="default"/>
                <w:spacing w:val="-2"/>
                <w:sz w:val="20"/>
                <w:szCs w:val="20"/>
              </w:rPr>
              <w:t>外币报表折算差异</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54" w:lineRule="exact"/>
              <w:ind w:left="172" w:right="0"/>
              <w:jc w:val="left"/>
              <w:rPr>
                <w:rFonts w:ascii="宋体" w:hAnsi="宋体" w:cs="宋体" w:eastAsia="宋体" w:hint="default"/>
                <w:sz w:val="20"/>
                <w:szCs w:val="20"/>
              </w:rPr>
            </w:pPr>
            <w:r>
              <w:rPr>
                <w:rFonts w:ascii="宋体" w:hAnsi="宋体" w:cs="宋体" w:eastAsia="宋体" w:hint="default"/>
                <w:sz w:val="20"/>
                <w:szCs w:val="20"/>
              </w:rPr>
              <w:t>合并报表变动</w:t>
            </w:r>
          </w:p>
        </w:tc>
        <w:tc>
          <w:tcPr>
            <w:tcW w:w="1369" w:type="dxa"/>
            <w:tcBorders>
              <w:top w:val="single" w:sz="12" w:space="0" w:color="000000"/>
              <w:left w:val="single" w:sz="6" w:space="0" w:color="000000"/>
              <w:bottom w:val="single" w:sz="12" w:space="0" w:color="000000"/>
              <w:right w:val="single" w:sz="6" w:space="0" w:color="000000"/>
            </w:tcBorders>
          </w:tcPr>
          <w:p>
            <w:pPr>
              <w:pStyle w:val="TableParagraph"/>
              <w:spacing w:line="254" w:lineRule="exact"/>
              <w:ind w:left="76" w:right="0"/>
              <w:jc w:val="left"/>
              <w:rPr>
                <w:rFonts w:ascii="宋体" w:hAnsi="宋体" w:cs="宋体" w:eastAsia="宋体" w:hint="default"/>
                <w:sz w:val="20"/>
                <w:szCs w:val="20"/>
              </w:rPr>
            </w:pPr>
            <w:r>
              <w:rPr>
                <w:rFonts w:ascii="宋体" w:hAnsi="宋体" w:cs="宋体" w:eastAsia="宋体" w:hint="default"/>
                <w:sz w:val="20"/>
                <w:szCs w:val="20"/>
              </w:rPr>
              <w:t>本期减少合计</w:t>
            </w:r>
          </w:p>
        </w:tc>
        <w:tc>
          <w:tcPr>
            <w:tcW w:w="1524" w:type="dxa"/>
            <w:vMerge/>
            <w:tcBorders>
              <w:left w:val="single" w:sz="6" w:space="0" w:color="000000"/>
              <w:bottom w:val="single" w:sz="12" w:space="0" w:color="000000"/>
              <w:right w:val="nil" w:sz="6" w:space="0" w:color="auto"/>
            </w:tcBorders>
          </w:tcPr>
          <w:p>
            <w:pPr/>
          </w:p>
        </w:tc>
      </w:tr>
      <w:tr>
        <w:trPr>
          <w:trHeight w:val="356" w:hRule="exact"/>
        </w:trPr>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8"/>
              <w:ind w:left="235" w:right="0"/>
              <w:jc w:val="left"/>
              <w:rPr>
                <w:rFonts w:ascii="Times New Roman" w:hAnsi="Times New Roman" w:cs="Times New Roman" w:eastAsia="Times New Roman" w:hint="default"/>
                <w:sz w:val="18"/>
                <w:szCs w:val="18"/>
              </w:rPr>
            </w:pPr>
            <w:r>
              <w:rPr>
                <w:rFonts w:ascii="Times New Roman"/>
                <w:sz w:val="18"/>
              </w:rPr>
              <w:t>3,945,774.40</w:t>
            </w:r>
          </w:p>
        </w:tc>
        <w:tc>
          <w:tcPr>
            <w:tcW w:w="16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8"/>
              <w:ind w:right="-5"/>
              <w:jc w:val="right"/>
              <w:rPr>
                <w:rFonts w:ascii="Times New Roman" w:hAnsi="Times New Roman" w:cs="Times New Roman" w:eastAsia="Times New Roman" w:hint="default"/>
                <w:sz w:val="18"/>
                <w:szCs w:val="18"/>
              </w:rPr>
            </w:pPr>
            <w:r>
              <w:rPr>
                <w:rFonts w:ascii="Times New Roman"/>
                <w:spacing w:val="-1"/>
                <w:sz w:val="18"/>
              </w:rPr>
              <w:t>-36,607.55</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8"/>
              <w:ind w:right="-5"/>
              <w:jc w:val="right"/>
              <w:rPr>
                <w:rFonts w:ascii="Times New Roman" w:hAnsi="Times New Roman" w:cs="Times New Roman" w:eastAsia="Times New Roman" w:hint="default"/>
                <w:sz w:val="18"/>
                <w:szCs w:val="18"/>
              </w:rPr>
            </w:pPr>
            <w:r>
              <w:rPr>
                <w:rFonts w:ascii="Times New Roman"/>
                <w:spacing w:val="-1"/>
                <w:sz w:val="18"/>
              </w:rPr>
              <w:t>529,218.53</w:t>
            </w:r>
          </w:p>
        </w:tc>
        <w:tc>
          <w:tcPr>
            <w:tcW w:w="1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8"/>
              <w:ind w:right="-4"/>
              <w:jc w:val="right"/>
              <w:rPr>
                <w:rFonts w:ascii="Times New Roman" w:hAnsi="Times New Roman" w:cs="Times New Roman" w:eastAsia="Times New Roman" w:hint="default"/>
                <w:sz w:val="18"/>
                <w:szCs w:val="18"/>
              </w:rPr>
            </w:pPr>
            <w:r>
              <w:rPr>
                <w:rFonts w:ascii="Times New Roman"/>
                <w:spacing w:val="-1"/>
                <w:sz w:val="18"/>
              </w:rPr>
              <w:t>4,498,365.38</w:t>
            </w:r>
          </w:p>
        </w:tc>
        <w:tc>
          <w:tcPr>
            <w:tcW w:w="152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8"/>
              <w:ind w:right="3"/>
              <w:jc w:val="right"/>
              <w:rPr>
                <w:rFonts w:ascii="Times New Roman" w:hAnsi="Times New Roman" w:cs="Times New Roman" w:eastAsia="Times New Roman" w:hint="default"/>
                <w:sz w:val="18"/>
                <w:szCs w:val="18"/>
              </w:rPr>
            </w:pPr>
            <w:r>
              <w:rPr>
                <w:rFonts w:ascii="Times New Roman"/>
                <w:spacing w:val="-1"/>
                <w:sz w:val="18"/>
              </w:rPr>
              <w:t>42,936,543.95</w:t>
            </w:r>
          </w:p>
        </w:tc>
      </w:tr>
      <w:tr>
        <w:trPr>
          <w:trHeight w:val="350" w:hRule="exact"/>
        </w:trPr>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长期股权投资减值准备</w:t>
            </w:r>
          </w:p>
        </w:tc>
        <w:tc>
          <w:tcPr>
            <w:tcW w:w="1200" w:type="dxa"/>
            <w:tcBorders>
              <w:top w:val="single" w:sz="12" w:space="0" w:color="000000"/>
              <w:left w:val="single" w:sz="6" w:space="0" w:color="000000"/>
              <w:bottom w:val="single" w:sz="12" w:space="0" w:color="000000"/>
              <w:right w:val="single" w:sz="6" w:space="0" w:color="000000"/>
            </w:tcBorders>
          </w:tcPr>
          <w:p>
            <w:pPr/>
          </w:p>
        </w:tc>
        <w:tc>
          <w:tcPr>
            <w:tcW w:w="1638" w:type="dxa"/>
            <w:tcBorders>
              <w:top w:val="single" w:sz="12" w:space="0" w:color="000000"/>
              <w:left w:val="single" w:sz="6" w:space="0" w:color="000000"/>
              <w:bottom w:val="single" w:sz="12" w:space="0" w:color="000000"/>
              <w:right w:val="single" w:sz="6" w:space="0" w:color="000000"/>
            </w:tcBorders>
          </w:tcPr>
          <w:p>
            <w:pPr/>
          </w:p>
        </w:tc>
        <w:tc>
          <w:tcPr>
            <w:tcW w:w="1560" w:type="dxa"/>
            <w:tcBorders>
              <w:top w:val="single" w:sz="12" w:space="0" w:color="000000"/>
              <w:left w:val="single" w:sz="6" w:space="0" w:color="000000"/>
              <w:bottom w:val="single" w:sz="12" w:space="0" w:color="000000"/>
              <w:right w:val="single" w:sz="6" w:space="0" w:color="000000"/>
            </w:tcBorders>
          </w:tcPr>
          <w:p>
            <w:pPr/>
          </w:p>
        </w:tc>
        <w:tc>
          <w:tcPr>
            <w:tcW w:w="1369" w:type="dxa"/>
            <w:tcBorders>
              <w:top w:val="single" w:sz="12" w:space="0" w:color="000000"/>
              <w:left w:val="single" w:sz="6" w:space="0" w:color="000000"/>
              <w:bottom w:val="single" w:sz="12" w:space="0" w:color="000000"/>
              <w:right w:val="single" w:sz="6" w:space="0" w:color="000000"/>
            </w:tcBorders>
          </w:tcPr>
          <w:p>
            <w:pPr/>
          </w:p>
        </w:tc>
        <w:tc>
          <w:tcPr>
            <w:tcW w:w="152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13,241,024.97</w:t>
            </w:r>
          </w:p>
        </w:tc>
      </w:tr>
      <w:tr>
        <w:trPr>
          <w:trHeight w:val="355" w:hRule="exact"/>
        </w:trPr>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35" w:right="0"/>
              <w:jc w:val="left"/>
              <w:rPr>
                <w:rFonts w:ascii="Times New Roman" w:hAnsi="Times New Roman" w:cs="Times New Roman" w:eastAsia="Times New Roman" w:hint="default"/>
                <w:sz w:val="18"/>
                <w:szCs w:val="18"/>
              </w:rPr>
            </w:pPr>
            <w:r>
              <w:rPr>
                <w:rFonts w:ascii="Times New Roman"/>
                <w:sz w:val="18"/>
              </w:rPr>
              <w:t>3,945,774.40</w:t>
            </w:r>
          </w:p>
        </w:tc>
        <w:tc>
          <w:tcPr>
            <w:tcW w:w="16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-36,607.55</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529,218.53</w:t>
            </w:r>
          </w:p>
        </w:tc>
        <w:tc>
          <w:tcPr>
            <w:tcW w:w="1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4,498,365.38</w:t>
            </w:r>
          </w:p>
        </w:tc>
        <w:tc>
          <w:tcPr>
            <w:tcW w:w="152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56,177,568.92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5"/>
          <w:szCs w:val="25"/>
        </w:rPr>
      </w:pPr>
    </w:p>
    <w:p>
      <w:pPr>
        <w:pStyle w:val="Heading4"/>
        <w:spacing w:line="240" w:lineRule="auto" w:before="36"/>
        <w:ind w:right="0"/>
        <w:jc w:val="left"/>
        <w:rPr>
          <w:b w:val="0"/>
          <w:bCs w:val="0"/>
        </w:rPr>
      </w:pPr>
      <w:bookmarkStart w:name="19、短期借款" w:id="263"/>
      <w:bookmarkEnd w:id="263"/>
      <w:r>
        <w:rPr>
          <w:b w:val="0"/>
          <w:bCs w:val="0"/>
        </w:rPr>
      </w:r>
      <w:r>
        <w:rPr>
          <w:rFonts w:ascii="Times New Roman" w:hAnsi="Times New Roman" w:cs="Times New Roman" w:eastAsia="Times New Roman" w:hint="default"/>
        </w:rPr>
        <w:t>19</w:t>
      </w:r>
      <w:r>
        <w:rPr/>
        <w:t>、短期借款</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1）短期借款分类" w:id="264"/>
      <w:bookmarkEnd w:id="264"/>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90,000,000.00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80,000,000.00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77,526,476.53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30,457,863.70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100,144,728.07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短期借款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应计利息</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233,650.03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537,167.82</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200,691,513.73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178,208,372.42</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bookmarkStart w:name="20、应付账款" w:id="265"/>
      <w:bookmarkEnd w:id="265"/>
      <w:r>
        <w:rPr>
          <w:b w:val="0"/>
          <w:bCs w:val="0"/>
        </w:rPr>
      </w:r>
      <w:r>
        <w:rPr>
          <w:rFonts w:ascii="Times New Roman" w:hAnsi="Times New Roman" w:cs="Times New Roman" w:eastAsia="Times New Roman" w:hint="default"/>
        </w:rPr>
        <w:t>20</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付账款列示" w:id="266"/>
      <w:bookmarkEnd w:id="266"/>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116,140,169.46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122,548,683.15</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8,145,448.55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15,462,825.77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2,651,531.61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1,934,863.10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1,206,080.77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880,292.48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128,143,230.39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140,826,664.50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账龄超过1年的重要应付账款" w:id="267"/>
      <w:bookmarkEnd w:id="267"/>
      <w:r>
        <w:rPr>
          <w:b w:val="0"/>
          <w:bCs w:val="0"/>
        </w:rPr>
      </w:r>
      <w:r>
        <w:rPr/>
        <w:t>（</w:t>
      </w:r>
      <w:r>
        <w:rPr>
          <w:rFonts w:ascii="Times New Roman" w:hAnsi="Times New Roman" w:cs="Times New Roman" w:eastAsia="Times New Roman" w:hint="default"/>
        </w:rPr>
        <w:t>2</w:t>
      </w:r>
      <w:r>
        <w:rPr/>
        <w:t>）账龄超过</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Getty </w:t>
            </w:r>
            <w:r>
              <w:rPr>
                <w:rFonts w:ascii="Times New Roman"/>
                <w:spacing w:val="-3"/>
                <w:sz w:val="18"/>
              </w:rPr>
              <w:t>Images </w:t>
            </w:r>
            <w:r>
              <w:rPr>
                <w:rFonts w:ascii="Times New Roman"/>
                <w:sz w:val="18"/>
              </w:rPr>
              <w:t>SEA Holdings Co.,Limited</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3,313,914.44</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3,313,914.44</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21、预收款项" w:id="268"/>
      <w:bookmarkEnd w:id="268"/>
      <w:r>
        <w:rPr>
          <w:b w:val="0"/>
          <w:bCs w:val="0"/>
        </w:rPr>
      </w:r>
      <w:r>
        <w:rPr>
          <w:rFonts w:ascii="Times New Roman" w:hAnsi="Times New Roman" w:cs="Times New Roman" w:eastAsia="Times New Roman" w:hint="default"/>
        </w:rPr>
        <w:t>21</w:t>
      </w:r>
      <w:r>
        <w:rPr/>
        <w:t>、预收款项</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2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4"/>
        <w:spacing w:line="240" w:lineRule="auto" w:before="36"/>
        <w:ind w:right="0"/>
        <w:jc w:val="left"/>
        <w:rPr>
          <w:b w:val="0"/>
          <w:bCs w:val="0"/>
        </w:rPr>
      </w:pPr>
      <w:bookmarkStart w:name="（1）预收款项列示" w:id="269"/>
      <w:bookmarkEnd w:id="269"/>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73,489,302.88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125,764,574.02</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16,120,890.44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6,276,471.44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958,844.11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2,961,507.62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451,578.84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1,243,101.65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91,020,616.27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136,245,654.73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账龄超过1年的重要预收款项" w:id="270"/>
      <w:bookmarkEnd w:id="270"/>
      <w:r>
        <w:rPr>
          <w:b w:val="0"/>
          <w:bCs w:val="0"/>
        </w:rPr>
      </w:r>
      <w:r>
        <w:rPr/>
        <w:t>（</w:t>
      </w:r>
      <w:r>
        <w:rPr>
          <w:rFonts w:ascii="Times New Roman" w:hAnsi="Times New Roman" w:cs="Times New Roman" w:eastAsia="Times New Roman" w:hint="default"/>
        </w:rPr>
        <w:t>2</w:t>
      </w:r>
      <w:r>
        <w:rPr/>
        <w:t>）账龄超过</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中国共产党武汉市武昌区委员会宣传部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764,350.00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商品尚未提供</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光大证券股份有限公司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490,690.03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商品尚未提供</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上海东方报业有限公司澎湃新闻</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455,322.71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商品尚未提供</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兄弟</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商业有限公司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433,250.00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商品尚未提供</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宁波舟山港股份有限公司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399,650.35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商品尚未提供</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2,543,263.09</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2、应付职工薪酬" w:id="271"/>
      <w:bookmarkEnd w:id="271"/>
      <w:r>
        <w:rPr>
          <w:b w:val="0"/>
          <w:bCs w:val="0"/>
        </w:rPr>
      </w:r>
      <w:r>
        <w:rPr>
          <w:rFonts w:ascii="Times New Roman" w:hAnsi="Times New Roman" w:cs="Times New Roman" w:eastAsia="Times New Roman" w:hint="default"/>
        </w:rPr>
        <w:t>22</w:t>
      </w:r>
      <w:r>
        <w:rPr/>
        <w:t>、应付职工薪酬</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1）应付职工薪酬列示" w:id="272"/>
      <w:bookmarkEnd w:id="272"/>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15,262,304.67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139,151,296.74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138,069,676.40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16,343,925.01</w:t>
            </w:r>
          </w:p>
        </w:tc>
      </w:tr>
      <w:tr>
        <w:trPr>
          <w:trHeight w:val="715"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2"/>
              <w:jc w:val="left"/>
              <w:rPr>
                <w:rFonts w:ascii="宋体" w:hAnsi="宋体" w:cs="宋体" w:eastAsia="宋体" w:hint="default"/>
                <w:sz w:val="18"/>
                <w:szCs w:val="18"/>
              </w:rPr>
            </w:pPr>
            <w:r>
              <w:rPr>
                <w:rFonts w:ascii="宋体" w:hAnsi="宋体" w:cs="宋体" w:eastAsia="宋体" w:hint="default"/>
                <w:spacing w:val="-3"/>
                <w:sz w:val="18"/>
                <w:szCs w:val="18"/>
              </w:rPr>
              <w:t>二、离职后福利</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设定提</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存计划</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339,004.49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10,128,293.61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10,223,329.62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243,968.48</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692,382.86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538,378.01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154,004.85</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15,601,309.16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149,971,973.21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148,831,384.03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16,741,898.34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短期薪酬列示" w:id="273"/>
      <w:bookmarkEnd w:id="273"/>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8" w:right="0"/>
              <w:jc w:val="center"/>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、工资、奖金、津贴和</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852" w:right="0"/>
              <w:jc w:val="left"/>
              <w:rPr>
                <w:rFonts w:ascii="Times New Roman" w:hAnsi="Times New Roman" w:cs="Times New Roman" w:eastAsia="Times New Roman" w:hint="default"/>
                <w:sz w:val="18"/>
                <w:szCs w:val="18"/>
              </w:rPr>
            </w:pPr>
            <w:r>
              <w:rPr>
                <w:rFonts w:ascii="Times New Roman"/>
                <w:sz w:val="18"/>
              </w:rPr>
              <w:t>15,030,589.13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58" w:right="0"/>
              <w:jc w:val="left"/>
              <w:rPr>
                <w:rFonts w:ascii="Times New Roman" w:hAnsi="Times New Roman" w:cs="Times New Roman" w:eastAsia="Times New Roman" w:hint="default"/>
                <w:sz w:val="18"/>
                <w:szCs w:val="18"/>
              </w:rPr>
            </w:pPr>
            <w:r>
              <w:rPr>
                <w:rFonts w:ascii="Times New Roman"/>
                <w:sz w:val="18"/>
              </w:rPr>
              <w:t>124,128,890.21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58" w:right="0"/>
              <w:jc w:val="left"/>
              <w:rPr>
                <w:rFonts w:ascii="Times New Roman" w:hAnsi="Times New Roman" w:cs="Times New Roman" w:eastAsia="Times New Roman" w:hint="default"/>
                <w:sz w:val="18"/>
                <w:szCs w:val="18"/>
              </w:rPr>
            </w:pPr>
            <w:r>
              <w:rPr>
                <w:rFonts w:ascii="Times New Roman"/>
                <w:sz w:val="18"/>
              </w:rPr>
              <w:t>123,099,135.58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45" w:right="0"/>
              <w:jc w:val="left"/>
              <w:rPr>
                <w:rFonts w:ascii="Times New Roman" w:hAnsi="Times New Roman" w:cs="Times New Roman" w:eastAsia="Times New Roman" w:hint="default"/>
                <w:sz w:val="18"/>
                <w:szCs w:val="18"/>
              </w:rPr>
            </w:pPr>
            <w:r>
              <w:rPr>
                <w:rFonts w:ascii="Times New Roman"/>
                <w:sz w:val="18"/>
              </w:rPr>
              <w:t>16,060,343.76</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360"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补贴</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872,770.70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872,770.70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189,604.10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7,149,500.62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7,120,275.72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218,829.00</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0"/>
              <w:jc w:val="right"/>
              <w:rPr>
                <w:rFonts w:ascii="宋体" w:hAnsi="宋体" w:cs="宋体" w:eastAsia="宋体" w:hint="default"/>
                <w:sz w:val="18"/>
                <w:szCs w:val="18"/>
              </w:rPr>
            </w:pPr>
            <w:r>
              <w:rPr>
                <w:rFonts w:ascii="宋体" w:hAnsi="宋体" w:cs="宋体" w:eastAsia="宋体" w:hint="default"/>
                <w:spacing w:val="-2"/>
                <w:sz w:val="18"/>
                <w:szCs w:val="18"/>
              </w:rPr>
              <w:t>其中：医疗保险费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170,526.16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6,477,767.35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6,451,442.27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196,851.24</w:t>
            </w: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0"/>
              <w:jc w:val="right"/>
              <w:rPr>
                <w:rFonts w:ascii="宋体" w:hAnsi="宋体" w:cs="宋体" w:eastAsia="宋体" w:hint="default"/>
                <w:sz w:val="18"/>
                <w:szCs w:val="18"/>
              </w:rPr>
            </w:pPr>
            <w:r>
              <w:rPr>
                <w:rFonts w:ascii="宋体" w:hAnsi="宋体" w:cs="宋体" w:eastAsia="宋体" w:hint="default"/>
                <w:spacing w:val="-2"/>
                <w:sz w:val="18"/>
                <w:szCs w:val="18"/>
              </w:rPr>
              <w:t>工伤保险费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4,653.97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190,524.00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190,113.45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5,064.52</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0"/>
              <w:jc w:val="right"/>
              <w:rPr>
                <w:rFonts w:ascii="宋体" w:hAnsi="宋体" w:cs="宋体" w:eastAsia="宋体" w:hint="default"/>
                <w:sz w:val="18"/>
                <w:szCs w:val="18"/>
              </w:rPr>
            </w:pPr>
            <w:r>
              <w:rPr>
                <w:rFonts w:ascii="宋体" w:hAnsi="宋体" w:cs="宋体" w:eastAsia="宋体" w:hint="default"/>
                <w:spacing w:val="-2"/>
                <w:sz w:val="18"/>
                <w:szCs w:val="18"/>
              </w:rPr>
              <w:t>生育保险费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14,423.97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481,209.27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478,720.00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16,913.24</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37,714.08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6,974,553.87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6,957,173.61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55,094.34</w:t>
            </w:r>
          </w:p>
        </w:tc>
      </w:tr>
      <w:tr>
        <w:trPr>
          <w:trHeight w:val="715"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3"/>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、工会经费和职工教育</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经费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4,397.36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25,581.34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20,320.79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9,657.91</w:t>
            </w: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15,262,304.67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139,151,296.74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138,069,676.40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16,343,925.01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设定提存计划列示" w:id="274"/>
      <w:bookmarkEnd w:id="274"/>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326,385.49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9,723,318.55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9,820,221.60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229,482.44</w:t>
            </w:r>
          </w:p>
        </w:tc>
      </w:tr>
      <w:tr>
        <w:trPr>
          <w:trHeight w:val="399"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12,619.00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404,975.06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403,108.02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14,486.04</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339,004.49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10,128,293.61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10,223,329.62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243,968.48</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bookmarkStart w:name="23、应交税费" w:id="275"/>
      <w:bookmarkEnd w:id="275"/>
      <w:r>
        <w:rPr>
          <w:b w:val="0"/>
          <w:bCs w:val="0"/>
        </w:rPr>
      </w:r>
      <w:r>
        <w:rPr>
          <w:rFonts w:ascii="Times New Roman" w:hAnsi="Times New Roman" w:cs="Times New Roman" w:eastAsia="Times New Roman" w:hint="default"/>
        </w:rPr>
        <w:t>23</w:t>
      </w:r>
      <w:r>
        <w:rPr/>
        <w:t>、应交税费</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6"/>
        <w:gridCol w:w="3193"/>
        <w:gridCol w:w="3193"/>
      </w:tblGrid>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618,009.23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5,420,196.71</w:t>
            </w:r>
          </w:p>
        </w:tc>
      </w:tr>
      <w:tr>
        <w:trPr>
          <w:trHeight w:val="399"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19,861,194.85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37,773,942.57</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3,409,135.98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757,371.52</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119,782.89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447,549.02</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51,335.53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194,418.71</w:t>
            </w:r>
          </w:p>
        </w:tc>
      </w:tr>
      <w:tr>
        <w:trPr>
          <w:trHeight w:val="399"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34,223.69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126,565.16</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4,025.19</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114,407.61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100,535.19</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24,208,089.78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44,824,604.07</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4"/>
        <w:spacing w:line="240" w:lineRule="auto" w:before="36"/>
        <w:ind w:right="0"/>
        <w:jc w:val="left"/>
        <w:rPr>
          <w:b w:val="0"/>
          <w:bCs w:val="0"/>
        </w:rPr>
      </w:pPr>
      <w:bookmarkStart w:name="24、其他应付款" w:id="276"/>
      <w:bookmarkEnd w:id="276"/>
      <w:r>
        <w:rPr>
          <w:b w:val="0"/>
          <w:bCs w:val="0"/>
        </w:rPr>
      </w:r>
      <w:r>
        <w:rPr>
          <w:rFonts w:ascii="Times New Roman" w:hAnsi="Times New Roman" w:cs="Times New Roman" w:eastAsia="Times New Roman" w:hint="default"/>
        </w:rPr>
        <w:t>24</w:t>
      </w:r>
      <w:r>
        <w:rPr/>
        <w:t>、其他应付款</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1,055,030.82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1,037,941.23</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8,429,810.71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9,226,605.76</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9,484,841.53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10,264,546.99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1）应付利息" w:id="277"/>
      <w:bookmarkEnd w:id="277"/>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9"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分期付息到期还本的长期借款利息</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1,055,030.82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1,037,941.23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1,055,030.82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1,037,941.23</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重要的已逾期未支付的利息情况：</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bookmarkStart w:name="（2）其他应付款" w:id="278"/>
      <w:bookmarkEnd w:id="278"/>
      <w:r>
        <w:rPr>
          <w:b w:val="0"/>
          <w:bCs w:val="0"/>
        </w:rPr>
      </w:r>
      <w:r>
        <w:rPr/>
        <w:t>（</w:t>
      </w:r>
      <w:r>
        <w:rPr>
          <w:rFonts w:ascii="Times New Roman" w:hAnsi="Times New Roman" w:cs="Times New Roman" w:eastAsia="Times New Roman" w:hint="default"/>
        </w:rPr>
        <w:t>2</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按款项性质列示其他应付款" w:id="279"/>
      <w:bookmarkEnd w:id="279"/>
      <w:r>
        <w:rPr>
          <w:b w:val="0"/>
          <w:bCs w:val="0"/>
        </w:rPr>
      </w:r>
      <w:r>
        <w:rPr>
          <w:rFonts w:ascii="Times New Roman" w:hAnsi="Times New Roman" w:cs="Times New Roman" w:eastAsia="Times New Roman" w:hint="default"/>
        </w:rPr>
        <w:t>1</w:t>
      </w:r>
      <w:r>
        <w:rPr/>
        <w:t>）按款项性质列示其他应付款</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关联方款项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891,351.00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代付费用款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6,838,459.71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3,702,555.55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保证金及其他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5,524,050.21</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8,429,810.71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9,226,605.76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账龄超过1年的重要其他应付款" w:id="280"/>
      <w:bookmarkEnd w:id="280"/>
      <w:r>
        <w:rPr>
          <w:b w:val="0"/>
          <w:bCs w:val="0"/>
        </w:rPr>
      </w:r>
      <w:r>
        <w:rPr>
          <w:rFonts w:ascii="Times New Roman" w:hAnsi="Times New Roman" w:cs="Times New Roman" w:eastAsia="Times New Roman" w:hint="default"/>
        </w:rPr>
        <w:t>2</w:t>
      </w:r>
      <w:r>
        <w:rPr/>
        <w:t>）账龄超过</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远东实业股份（香港）有限公司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770,961.45</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上海银行浦西支行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313,693.33</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1,084,654.78</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4"/>
        <w:spacing w:line="240" w:lineRule="auto" w:before="36"/>
        <w:ind w:right="0"/>
        <w:jc w:val="left"/>
        <w:rPr>
          <w:b w:val="0"/>
          <w:bCs w:val="0"/>
        </w:rPr>
      </w:pPr>
      <w:bookmarkStart w:name="25、一年内到期的非流动负债" w:id="281"/>
      <w:bookmarkEnd w:id="281"/>
      <w:r>
        <w:rPr>
          <w:b w:val="0"/>
          <w:bCs w:val="0"/>
        </w:rPr>
      </w:r>
      <w:r>
        <w:rPr>
          <w:rFonts w:ascii="Times New Roman" w:hAnsi="Times New Roman" w:cs="Times New Roman" w:eastAsia="Times New Roman" w:hint="default"/>
        </w:rPr>
        <w:t>25</w:t>
      </w:r>
      <w:r>
        <w:rPr/>
        <w:t>、一年内到期的非流动负债</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155,522,662.23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201,588,211.28</w:t>
            </w:r>
          </w:p>
        </w:tc>
      </w:tr>
      <w:tr>
        <w:trPr>
          <w:trHeight w:val="7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132"/>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pacing w:val="-3"/>
                <w:sz w:val="18"/>
                <w:szCs w:val="18"/>
              </w:rPr>
              <w:t>年内应支付的广东易教优培教育科技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有限公司股权转让款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19,000,000.00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34,000,000.00</w:t>
            </w: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4" w:right="132"/>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pacing w:val="-3"/>
                <w:sz w:val="18"/>
                <w:szCs w:val="18"/>
              </w:rPr>
              <w:t>年内应支付的湖北司马彦文化科技有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限公司股权转让款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85,710,000.00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年内应支付的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500PX,Inc.</w:t>
            </w:r>
            <w:r>
              <w:rPr>
                <w:rFonts w:ascii="宋体" w:hAnsi="宋体" w:cs="宋体" w:eastAsia="宋体" w:hint="default"/>
                <w:sz w:val="18"/>
                <w:szCs w:val="18"/>
              </w:rPr>
              <w:t>股权转让款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6,232,528.85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6,131,574.78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180,755,191.08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327,429,786.06</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26、长期借款" w:id="282"/>
      <w:bookmarkEnd w:id="282"/>
      <w:r>
        <w:rPr>
          <w:b w:val="0"/>
          <w:bCs w:val="0"/>
        </w:rPr>
      </w:r>
      <w:r>
        <w:rPr>
          <w:rFonts w:ascii="Times New Roman" w:hAnsi="Times New Roman" w:cs="Times New Roman" w:eastAsia="Times New Roman" w:hint="default"/>
        </w:rPr>
        <w:t>26</w:t>
      </w:r>
      <w:r>
        <w:rPr/>
        <w:t>、长期借款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长期借款分类" w:id="283"/>
      <w:bookmarkEnd w:id="283"/>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358,685,220.03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478,052,531.28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长期借款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应计利息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307,144.48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1,372,359.47</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一年内到期的长期借款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附注七、</w:t>
            </w:r>
            <w:r>
              <w:rPr>
                <w:rFonts w:ascii="Times New Roman" w:hAnsi="Times New Roman" w:cs="Times New Roman" w:eastAsia="Times New Roman" w:hint="default"/>
                <w:spacing w:val="-3"/>
                <w:sz w:val="18"/>
                <w:szCs w:val="18"/>
              </w:rPr>
              <w:t>25)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-155,515,840.70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-201,588,211.28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203,476,523.81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277,836,679.47</w:t>
            </w:r>
          </w:p>
        </w:tc>
      </w:tr>
    </w:tbl>
    <w:p>
      <w:pPr>
        <w:spacing w:line="350" w:lineRule="auto" w:before="53"/>
        <w:ind w:left="153" w:right="2115" w:firstLine="0"/>
        <w:jc w:val="left"/>
        <w:rPr>
          <w:rFonts w:ascii="宋体" w:hAnsi="宋体" w:cs="宋体" w:eastAsia="宋体" w:hint="default"/>
          <w:sz w:val="18"/>
          <w:szCs w:val="18"/>
        </w:rPr>
      </w:pPr>
      <w:r>
        <w:rPr>
          <w:rFonts w:ascii="宋体" w:hAnsi="宋体" w:cs="宋体" w:eastAsia="宋体" w:hint="default"/>
          <w:sz w:val="18"/>
          <w:szCs w:val="18"/>
        </w:rPr>
        <w:t>长期借款分类的说明：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注：保证借款为本公司为子公司提供连带保证责任从银行取得的长期借款。详见附注十二、</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w:t>
      </w:r>
      <w:r>
        <w:rPr>
          <w:rFonts w:ascii="宋体" w:hAnsi="宋体" w:cs="宋体" w:eastAsia="宋体" w:hint="default"/>
          <w:spacing w:val="36"/>
          <w:sz w:val="18"/>
          <w:szCs w:val="18"/>
        </w:rPr>
        <w:t> </w:t>
      </w:r>
      <w:r>
        <w:rPr>
          <w:rFonts w:ascii="宋体" w:hAnsi="宋体" w:cs="宋体" w:eastAsia="宋体" w:hint="default"/>
          <w:spacing w:val="-3"/>
          <w:sz w:val="18"/>
          <w:szCs w:val="18"/>
        </w:rPr>
        <w:t>其他说明，包括利率区间：</w:t>
      </w:r>
    </w:p>
    <w:p>
      <w:pPr>
        <w:spacing w:line="240" w:lineRule="auto" w:before="5"/>
        <w:rPr>
          <w:rFonts w:ascii="宋体" w:hAnsi="宋体" w:cs="宋体" w:eastAsia="宋体" w:hint="default"/>
          <w:sz w:val="20"/>
          <w:szCs w:val="20"/>
        </w:rPr>
      </w:pPr>
    </w:p>
    <w:p>
      <w:pPr>
        <w:pStyle w:val="Heading4"/>
        <w:spacing w:line="240" w:lineRule="auto"/>
        <w:ind w:right="0"/>
        <w:jc w:val="left"/>
        <w:rPr>
          <w:b w:val="0"/>
          <w:bCs w:val="0"/>
        </w:rPr>
      </w:pPr>
      <w:bookmarkStart w:name="27、长期应付款" w:id="284"/>
      <w:bookmarkEnd w:id="284"/>
      <w:r>
        <w:rPr>
          <w:b w:val="0"/>
          <w:bCs w:val="0"/>
        </w:rPr>
      </w:r>
      <w:r>
        <w:rPr>
          <w:rFonts w:ascii="Times New Roman" w:hAnsi="Times New Roman" w:cs="Times New Roman" w:eastAsia="Times New Roman" w:hint="default"/>
        </w:rPr>
        <w:t>27</w:t>
      </w:r>
      <w:r>
        <w:rPr/>
        <w:t>、长期应付款</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9"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172,428,800.00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174,716,800.00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172,428,800.00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174,716,800.00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1）按款项性质列示长期应付款" w:id="285"/>
      <w:bookmarkEnd w:id="285"/>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Getty </w:t>
            </w:r>
            <w:r>
              <w:rPr>
                <w:rFonts w:ascii="Times New Roman"/>
                <w:spacing w:val="-3"/>
                <w:sz w:val="18"/>
              </w:rPr>
              <w:t>Images </w:t>
            </w:r>
            <w:r>
              <w:rPr>
                <w:rFonts w:ascii="Times New Roman"/>
                <w:sz w:val="18"/>
              </w:rPr>
              <w:t>SEA Holding</w:t>
            </w:r>
            <w:r>
              <w:rPr>
                <w:rFonts w:ascii="Times New Roman"/>
                <w:spacing w:val="-2"/>
                <w:sz w:val="18"/>
              </w:rPr>
              <w:t> </w:t>
            </w:r>
            <w:r>
              <w:rPr>
                <w:rFonts w:ascii="Times New Roman"/>
                <w:sz w:val="18"/>
              </w:rPr>
              <w:t>Co.,Limite</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41" w:right="0"/>
              <w:jc w:val="left"/>
              <w:rPr>
                <w:rFonts w:ascii="Times New Roman" w:hAnsi="Times New Roman" w:cs="Times New Roman" w:eastAsia="Times New Roman" w:hint="default"/>
                <w:sz w:val="18"/>
                <w:szCs w:val="18"/>
              </w:rPr>
            </w:pPr>
            <w:r>
              <w:rPr>
                <w:rFonts w:ascii="Times New Roman"/>
                <w:sz w:val="18"/>
              </w:rPr>
              <w:t>167,428,800.00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36" w:right="0"/>
              <w:jc w:val="left"/>
              <w:rPr>
                <w:rFonts w:ascii="Times New Roman" w:hAnsi="Times New Roman" w:cs="Times New Roman" w:eastAsia="Times New Roman" w:hint="default"/>
                <w:sz w:val="18"/>
                <w:szCs w:val="18"/>
              </w:rPr>
            </w:pPr>
            <w:r>
              <w:rPr>
                <w:rFonts w:ascii="Times New Roman"/>
                <w:sz w:val="18"/>
              </w:rPr>
              <w:t>164,716,800.00</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89"/>
              <w:jc w:val="left"/>
              <w:rPr>
                <w:rFonts w:ascii="宋体" w:hAnsi="宋体" w:cs="宋体" w:eastAsia="宋体" w:hint="default"/>
                <w:sz w:val="18"/>
                <w:szCs w:val="18"/>
              </w:rPr>
            </w:pPr>
            <w:r>
              <w:rPr>
                <w:rFonts w:ascii="宋体" w:hAnsi="宋体" w:cs="宋体" w:eastAsia="宋体" w:hint="default"/>
                <w:spacing w:val="-3"/>
                <w:sz w:val="18"/>
                <w:szCs w:val="18"/>
              </w:rPr>
              <w:t>应支付的广东易教优培教育科技有限公</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司股权转让款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24,000,000.00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44,000,000.00</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应支付的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500PX,Inc.</w:t>
            </w:r>
            <w:r>
              <w:rPr>
                <w:rFonts w:ascii="宋体" w:hAnsi="宋体" w:cs="宋体" w:eastAsia="宋体" w:hint="default"/>
                <w:sz w:val="18"/>
                <w:szCs w:val="18"/>
              </w:rPr>
              <w:t>股权转让款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6,232,528.85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6,131,574.78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一年内到期部分</w:t>
            </w:r>
            <w:r>
              <w:rPr>
                <w:rFonts w:ascii="Times New Roman" w:hAnsi="Times New Roman" w:cs="Times New Roman" w:eastAsia="Times New Roman" w:hint="default"/>
                <w:sz w:val="18"/>
                <w:szCs w:val="18"/>
              </w:rPr>
              <w:t>(</w:t>
            </w:r>
            <w:r>
              <w:rPr>
                <w:rFonts w:ascii="宋体" w:hAnsi="宋体" w:cs="宋体" w:eastAsia="宋体" w:hint="default"/>
                <w:sz w:val="18"/>
                <w:szCs w:val="18"/>
              </w:rPr>
              <w:t>附注七、</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-25,232,528.85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-40,131,574.78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172,428,800.00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174,716,800.00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bookmarkStart w:name="28、递延收益" w:id="286"/>
      <w:bookmarkEnd w:id="286"/>
      <w:r>
        <w:rPr>
          <w:b w:val="0"/>
          <w:bCs w:val="0"/>
        </w:rPr>
      </w:r>
      <w:r>
        <w:rPr>
          <w:rFonts w:ascii="Times New Roman" w:hAnsi="Times New Roman" w:cs="Times New Roman" w:eastAsia="Times New Roman" w:hint="default"/>
        </w:rPr>
        <w:t>28</w:t>
      </w:r>
      <w:r>
        <w:rPr/>
        <w:t>、递延收益</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70"/>
        <w:gridCol w:w="1611"/>
        <w:gridCol w:w="1595"/>
        <w:gridCol w:w="1594"/>
        <w:gridCol w:w="1594"/>
        <w:gridCol w:w="1594"/>
      </w:tblGrid>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3,500,000.00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3,500,000.00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3,500,000.00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pacing w:val="-1"/>
                <w:sz w:val="18"/>
              </w:rPr>
              <w:t>3,500,000.00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08"/>
        <w:gridCol w:w="1013"/>
        <w:gridCol w:w="1008"/>
        <w:gridCol w:w="1013"/>
        <w:gridCol w:w="1009"/>
        <w:gridCol w:w="1248"/>
        <w:gridCol w:w="1013"/>
      </w:tblGrid>
      <w:tr>
        <w:trPr>
          <w:trHeight w:val="1028" w:hRule="exact"/>
        </w:trPr>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39"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30" w:right="41" w:hanging="178"/>
              <w:jc w:val="left"/>
              <w:rPr>
                <w:rFonts w:ascii="宋体" w:hAnsi="宋体" w:cs="宋体" w:eastAsia="宋体" w:hint="default"/>
                <w:sz w:val="18"/>
                <w:szCs w:val="18"/>
              </w:rPr>
            </w:pPr>
            <w:r>
              <w:rPr>
                <w:rFonts w:ascii="宋体" w:hAnsi="宋体" w:cs="宋体" w:eastAsia="宋体" w:hint="default"/>
                <w:spacing w:val="-2"/>
                <w:sz w:val="18"/>
                <w:szCs w:val="18"/>
              </w:rPr>
              <w:t>本期新增补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助金额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58" w:right="41"/>
              <w:jc w:val="center"/>
              <w:rPr>
                <w:rFonts w:ascii="宋体" w:hAnsi="宋体" w:cs="宋体" w:eastAsia="宋体" w:hint="default"/>
                <w:sz w:val="18"/>
                <w:szCs w:val="18"/>
              </w:rPr>
            </w:pPr>
            <w:r>
              <w:rPr>
                <w:rFonts w:ascii="宋体" w:hAnsi="宋体" w:cs="宋体" w:eastAsia="宋体" w:hint="default"/>
                <w:spacing w:val="-2"/>
                <w:sz w:val="18"/>
                <w:szCs w:val="18"/>
              </w:rPr>
              <w:t>本期计入营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业外收入金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52" w:right="41"/>
              <w:jc w:val="left"/>
              <w:rPr>
                <w:rFonts w:ascii="宋体" w:hAnsi="宋体" w:cs="宋体" w:eastAsia="宋体" w:hint="default"/>
                <w:sz w:val="18"/>
                <w:szCs w:val="18"/>
              </w:rPr>
            </w:pPr>
            <w:r>
              <w:rPr>
                <w:rFonts w:ascii="宋体" w:hAnsi="宋体" w:cs="宋体" w:eastAsia="宋体" w:hint="default"/>
                <w:spacing w:val="-2"/>
                <w:sz w:val="18"/>
                <w:szCs w:val="18"/>
              </w:rPr>
              <w:t>本期计入其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他收益金额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52" w:right="46"/>
              <w:jc w:val="left"/>
              <w:rPr>
                <w:rFonts w:ascii="宋体" w:hAnsi="宋体" w:cs="宋体" w:eastAsia="宋体" w:hint="default"/>
                <w:sz w:val="18"/>
                <w:szCs w:val="18"/>
              </w:rPr>
            </w:pPr>
            <w:r>
              <w:rPr>
                <w:rFonts w:ascii="宋体" w:hAnsi="宋体" w:cs="宋体" w:eastAsia="宋体" w:hint="default"/>
                <w:spacing w:val="-2"/>
                <w:sz w:val="18"/>
                <w:szCs w:val="18"/>
              </w:rPr>
              <w:t>本期冲减成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本费用金额</w:t>
            </w: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3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00" w:lineRule="auto"/>
              <w:ind w:left="52" w:right="24" w:hanging="29"/>
              <w:jc w:val="left"/>
              <w:rPr>
                <w:rFonts w:ascii="宋体" w:hAnsi="宋体" w:cs="宋体" w:eastAsia="宋体" w:hint="default"/>
                <w:sz w:val="18"/>
                <w:szCs w:val="18"/>
              </w:rPr>
            </w:pPr>
            <w:r>
              <w:rPr>
                <w:rFonts w:ascii="宋体" w:hAnsi="宋体" w:cs="宋体" w:eastAsia="宋体" w:hint="default"/>
                <w:spacing w:val="-2"/>
                <w:sz w:val="18"/>
                <w:szCs w:val="18"/>
              </w:rPr>
              <w:t>与资产相关</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与收益相关</w:t>
            </w:r>
          </w:p>
        </w:tc>
      </w:tr>
      <w:tr>
        <w:trPr>
          <w:trHeight w:val="1652"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2"/>
                <w:sz w:val="18"/>
                <w:szCs w:val="18"/>
              </w:rPr>
              <w:t>数字图像篡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改鉴别技术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的数字版权</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保护技术方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案研发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3,500,000.00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3,500,000.00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73" w:right="0"/>
              <w:jc w:val="left"/>
              <w:rPr>
                <w:rFonts w:ascii="Times New Roman" w:hAnsi="Times New Roman" w:cs="Times New Roman" w:eastAsia="Times New Roman" w:hint="default"/>
                <w:sz w:val="18"/>
                <w:szCs w:val="18"/>
              </w:rPr>
            </w:pPr>
            <w:r>
              <w:rPr>
                <w:rFonts w:ascii="Times New Roman"/>
                <w:sz w:val="18"/>
              </w:rPr>
              <w:t>3,500,000.00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8" w:right="0"/>
              <w:jc w:val="left"/>
              <w:rPr>
                <w:rFonts w:ascii="Times New Roman" w:hAnsi="Times New Roman" w:cs="Times New Roman" w:eastAsia="Times New Roman" w:hint="default"/>
                <w:sz w:val="18"/>
                <w:szCs w:val="18"/>
              </w:rPr>
            </w:pPr>
            <w:r>
              <w:rPr>
                <w:rFonts w:ascii="Times New Roman"/>
                <w:sz w:val="18"/>
              </w:rPr>
              <w:t>3,500,000.00</w:t>
            </w:r>
          </w:p>
        </w:tc>
        <w:tc>
          <w:tcPr>
            <w:tcW w:w="1013" w:type="dxa"/>
            <w:tcBorders>
              <w:top w:val="single" w:sz="4" w:space="0" w:color="000000"/>
              <w:left w:val="single" w:sz="4" w:space="0" w:color="000000"/>
              <w:bottom w:val="single" w:sz="4" w:space="0" w:color="000000"/>
              <w:right w:val="single" w:sz="4" w:space="0" w:color="000000"/>
            </w:tcBorders>
          </w:tcPr>
          <w:p>
            <w:pP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29、其他非流动负债" w:id="287"/>
      <w:bookmarkEnd w:id="287"/>
      <w:r>
        <w:rPr>
          <w:b w:val="0"/>
          <w:bCs w:val="0"/>
        </w:rPr>
      </w:r>
      <w:r>
        <w:rPr>
          <w:rFonts w:ascii="Times New Roman" w:hAnsi="Times New Roman" w:cs="Times New Roman" w:eastAsia="Times New Roman" w:hint="default"/>
        </w:rPr>
        <w:t>29</w:t>
      </w:r>
      <w:r>
        <w:rPr/>
        <w:t>、其他非流动负债</w:t>
      </w:r>
      <w:r>
        <w:rPr>
          <w:b w:val="0"/>
          <w:bCs w:val="0"/>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是否已执行新收入准则</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9" w:space="6872"/>
            <w:col w:w="2099"/>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应付股权收购款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131,973,149.56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一年内到期的其他非流动负债</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-125,841,574.78</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6,131,574.78</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2"/>
        <w:rPr>
          <w:rFonts w:ascii="宋体" w:hAnsi="宋体" w:cs="宋体" w:eastAsia="宋体" w:hint="default"/>
          <w:sz w:val="24"/>
          <w:szCs w:val="24"/>
        </w:rPr>
      </w:pPr>
    </w:p>
    <w:p>
      <w:pPr>
        <w:pStyle w:val="Heading4"/>
        <w:spacing w:line="240" w:lineRule="auto" w:before="36"/>
        <w:ind w:right="0"/>
        <w:jc w:val="left"/>
        <w:rPr>
          <w:b w:val="0"/>
          <w:bCs w:val="0"/>
        </w:rPr>
      </w:pPr>
      <w:bookmarkStart w:name="30、股本" w:id="288"/>
      <w:bookmarkEnd w:id="288"/>
      <w:r>
        <w:rPr>
          <w:b w:val="0"/>
          <w:bCs w:val="0"/>
        </w:rPr>
      </w:r>
      <w:r>
        <w:rPr>
          <w:rFonts w:ascii="Times New Roman" w:hAnsi="Times New Roman" w:cs="Times New Roman" w:eastAsia="Times New Roman" w:hint="default"/>
        </w:rPr>
        <w:t>30</w:t>
      </w:r>
      <w:r>
        <w:rPr/>
        <w:t>、股本</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9"/>
        <w:gridCol w:w="1196"/>
        <w:gridCol w:w="1196"/>
        <w:gridCol w:w="1196"/>
        <w:gridCol w:w="1186"/>
        <w:gridCol w:w="1205"/>
      </w:tblGrid>
      <w:tr>
        <w:trPr>
          <w:trHeight w:val="207"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2" w:type="dxa"/>
            <w:gridSpan w:val="5"/>
            <w:vMerge/>
            <w:tcBorders>
              <w:left w:val="single" w:sz="4" w:space="0" w:color="000000"/>
              <w:bottom w:val="single" w:sz="4" w:space="0" w:color="000000"/>
              <w:right w:val="single" w:sz="4" w:space="0" w:color="000000"/>
            </w:tcBorders>
            <w:shd w:val="clear" w:color="auto" w:fill="D2D2D2"/>
          </w:tcPr>
          <w:p>
            <w:pPr/>
          </w:p>
        </w:tc>
        <w:tc>
          <w:tcPr>
            <w:tcW w:w="12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2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5"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9"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6" w:type="dxa"/>
            <w:vMerge/>
            <w:tcBorders>
              <w:left w:val="single" w:sz="4" w:space="0" w:color="000000"/>
              <w:bottom w:val="single" w:sz="4" w:space="0" w:color="000000"/>
              <w:right w:val="single" w:sz="4" w:space="0" w:color="000000"/>
            </w:tcBorders>
            <w:shd w:val="clear" w:color="auto" w:fill="D2D2D2"/>
          </w:tcPr>
          <w:p>
            <w:pPr/>
          </w:p>
        </w:tc>
        <w:tc>
          <w:tcPr>
            <w:tcW w:w="12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122" w:right="0"/>
              <w:jc w:val="left"/>
              <w:rPr>
                <w:rFonts w:ascii="Times New Roman" w:hAnsi="Times New Roman" w:cs="Times New Roman" w:eastAsia="Times New Roman" w:hint="default"/>
                <w:sz w:val="18"/>
                <w:szCs w:val="18"/>
              </w:rPr>
            </w:pPr>
            <w:r>
              <w:rPr>
                <w:rFonts w:ascii="Times New Roman"/>
                <w:sz w:val="18"/>
              </w:rPr>
              <w:t>73,892,895.00</w:t>
            </w:r>
          </w:p>
        </w:tc>
        <w:tc>
          <w:tcPr>
            <w:tcW w:w="1189"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9" w:right="0"/>
              <w:jc w:val="left"/>
              <w:rPr>
                <w:rFonts w:ascii="Times New Roman" w:hAnsi="Times New Roman" w:cs="Times New Roman" w:eastAsia="Times New Roman" w:hint="default"/>
                <w:sz w:val="18"/>
                <w:szCs w:val="18"/>
              </w:rPr>
            </w:pPr>
            <w:r>
              <w:rPr>
                <w:rFonts w:ascii="Times New Roman"/>
                <w:sz w:val="18"/>
              </w:rPr>
              <w:t>73,892,895.00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bookmarkStart w:name="31、资本公积" w:id="289"/>
      <w:bookmarkEnd w:id="289"/>
      <w:r>
        <w:rPr>
          <w:b w:val="0"/>
          <w:bCs w:val="0"/>
        </w:rPr>
      </w:r>
      <w:r>
        <w:rPr>
          <w:rFonts w:ascii="Times New Roman" w:hAnsi="Times New Roman" w:cs="Times New Roman" w:eastAsia="Times New Roman" w:hint="default"/>
        </w:rPr>
        <w:t>31</w:t>
      </w:r>
      <w:r>
        <w:rPr/>
        <w:t>、资本公积</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594,971,082.45</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594,971,082.45</w:t>
            </w:r>
          </w:p>
        </w:tc>
      </w:tr>
      <w:tr>
        <w:trPr>
          <w:trHeight w:val="715"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2"/>
                <w:sz w:val="18"/>
                <w:szCs w:val="18"/>
              </w:rPr>
              <w:t>反向购买模拟发行股份</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调整</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1,005,383,192.86</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1,005,383,192.86</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13,191,378.48</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13,191,378.48</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1,613,545,653.79</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1,613,545,653.79</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其他说明，包括本期增减变动情况、变动原因说明：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bookmarkStart w:name="32、 其他综合收益" w:id="290"/>
      <w:bookmarkEnd w:id="290"/>
      <w:r>
        <w:rPr>
          <w:b w:val="0"/>
          <w:bCs w:val="0"/>
        </w:rPr>
      </w:r>
      <w:r>
        <w:rPr>
          <w:rFonts w:ascii="Times New Roman" w:hAnsi="Times New Roman" w:cs="Times New Roman" w:eastAsia="Times New Roman" w:hint="default"/>
        </w:rPr>
        <w:t>32</w:t>
      </w:r>
      <w:r>
        <w:rPr/>
        <w:t>、</w:t>
      </w:r>
      <w:r>
        <w:rPr>
          <w:spacing w:val="2"/>
        </w:rPr>
        <w:t> </w:t>
      </w:r>
      <w:r>
        <w:rPr/>
        <w:t>其他综合收益</w:t>
      </w:r>
      <w:r>
        <w:rPr>
          <w:b w:val="0"/>
          <w:bCs w:val="0"/>
        </w:rPr>
      </w:r>
    </w:p>
    <w:p>
      <w:pPr>
        <w:spacing w:line="240" w:lineRule="auto" w:before="11"/>
        <w:rPr>
          <w:rFonts w:ascii="宋体" w:hAnsi="宋体" w:cs="宋体" w:eastAsia="宋体" w:hint="default"/>
          <w:b/>
          <w:bCs/>
          <w:sz w:val="25"/>
          <w:szCs w:val="25"/>
        </w:rPr>
      </w:pPr>
    </w:p>
    <w:tbl>
      <w:tblPr>
        <w:tblW w:w="0" w:type="auto"/>
        <w:jc w:val="left"/>
        <w:tblInd w:w="143" w:type="dxa"/>
        <w:tblLayout w:type="fixed"/>
        <w:tblCellMar>
          <w:top w:w="0" w:type="dxa"/>
          <w:left w:w="0" w:type="dxa"/>
          <w:bottom w:w="0" w:type="dxa"/>
          <w:right w:w="0" w:type="dxa"/>
        </w:tblCellMar>
        <w:tblLook w:val="01E0"/>
      </w:tblPr>
      <w:tblGrid>
        <w:gridCol w:w="1417"/>
        <w:gridCol w:w="984"/>
        <w:gridCol w:w="835"/>
        <w:gridCol w:w="994"/>
        <w:gridCol w:w="869"/>
        <w:gridCol w:w="1100"/>
        <w:gridCol w:w="830"/>
        <w:gridCol w:w="1009"/>
        <w:gridCol w:w="944"/>
      </w:tblGrid>
      <w:tr>
        <w:trPr>
          <w:trHeight w:val="353" w:hRule="exact"/>
        </w:trPr>
        <w:tc>
          <w:tcPr>
            <w:tcW w:w="141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7"/>
                <w:szCs w:val="2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98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7"/>
                <w:szCs w:val="27"/>
              </w:rPr>
            </w:pPr>
          </w:p>
          <w:p>
            <w:pPr>
              <w:pStyle w:val="TableParagraph"/>
              <w:spacing w:line="240" w:lineRule="auto"/>
              <w:ind w:left="86" w:right="0"/>
              <w:jc w:val="left"/>
              <w:rPr>
                <w:rFonts w:ascii="宋体" w:hAnsi="宋体" w:cs="宋体" w:eastAsia="宋体" w:hint="default"/>
                <w:sz w:val="20"/>
                <w:szCs w:val="20"/>
              </w:rPr>
            </w:pPr>
            <w:r>
              <w:rPr>
                <w:rFonts w:ascii="宋体" w:hAnsi="宋体" w:cs="宋体" w:eastAsia="宋体" w:hint="default"/>
                <w:sz w:val="20"/>
                <w:szCs w:val="20"/>
              </w:rPr>
              <w:t>期初余额</w:t>
            </w:r>
          </w:p>
        </w:tc>
        <w:tc>
          <w:tcPr>
            <w:tcW w:w="5637" w:type="dxa"/>
            <w:gridSpan w:val="6"/>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left="9" w:right="0"/>
              <w:jc w:val="center"/>
              <w:rPr>
                <w:rFonts w:ascii="宋体" w:hAnsi="宋体" w:cs="宋体" w:eastAsia="宋体" w:hint="default"/>
                <w:sz w:val="20"/>
                <w:szCs w:val="20"/>
              </w:rPr>
            </w:pPr>
            <w:r>
              <w:rPr>
                <w:rFonts w:ascii="宋体" w:hAnsi="宋体" w:cs="宋体" w:eastAsia="宋体" w:hint="default"/>
                <w:sz w:val="20"/>
                <w:szCs w:val="20"/>
              </w:rPr>
              <w:t>本期发生额</w:t>
            </w:r>
          </w:p>
        </w:tc>
        <w:tc>
          <w:tcPr>
            <w:tcW w:w="944" w:type="dxa"/>
            <w:vMerge w:val="restart"/>
            <w:tcBorders>
              <w:top w:val="single" w:sz="6" w:space="0" w:color="000000"/>
              <w:left w:val="single" w:sz="6"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7"/>
                <w:szCs w:val="27"/>
              </w:rPr>
            </w:pPr>
          </w:p>
          <w:p>
            <w:pPr>
              <w:pStyle w:val="TableParagraph"/>
              <w:spacing w:line="240" w:lineRule="auto"/>
              <w:ind w:left="62" w:right="0"/>
              <w:jc w:val="left"/>
              <w:rPr>
                <w:rFonts w:ascii="宋体" w:hAnsi="宋体" w:cs="宋体" w:eastAsia="宋体" w:hint="default"/>
                <w:sz w:val="20"/>
                <w:szCs w:val="20"/>
              </w:rPr>
            </w:pPr>
            <w:r>
              <w:rPr>
                <w:rFonts w:ascii="宋体" w:hAnsi="宋体" w:cs="宋体" w:eastAsia="宋体" w:hint="default"/>
                <w:sz w:val="20"/>
                <w:szCs w:val="20"/>
              </w:rPr>
              <w:t>期末余额</w:t>
            </w:r>
          </w:p>
        </w:tc>
      </w:tr>
      <w:tr>
        <w:trPr>
          <w:trHeight w:val="1599" w:hRule="exact"/>
        </w:trPr>
        <w:tc>
          <w:tcPr>
            <w:tcW w:w="1417" w:type="dxa"/>
            <w:vMerge/>
            <w:tcBorders>
              <w:left w:val="single" w:sz="6" w:space="0" w:color="000000"/>
              <w:bottom w:val="single" w:sz="12" w:space="0" w:color="000000"/>
              <w:right w:val="single" w:sz="6" w:space="0" w:color="000000"/>
            </w:tcBorders>
          </w:tcPr>
          <w:p>
            <w:pPr/>
          </w:p>
        </w:tc>
        <w:tc>
          <w:tcPr>
            <w:tcW w:w="984" w:type="dxa"/>
            <w:vMerge/>
            <w:tcBorders>
              <w:left w:val="single" w:sz="6" w:space="0" w:color="000000"/>
              <w:bottom w:val="single" w:sz="12" w:space="0" w:color="000000"/>
              <w:right w:val="single" w:sz="6" w:space="0" w:color="000000"/>
            </w:tcBorders>
          </w:tcPr>
          <w:p>
            <w:pPr/>
          </w:p>
        </w:tc>
        <w:tc>
          <w:tcPr>
            <w:tcW w:w="835"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ind w:left="9" w:right="2"/>
              <w:jc w:val="center"/>
              <w:rPr>
                <w:rFonts w:ascii="宋体" w:hAnsi="宋体" w:cs="宋体" w:eastAsia="宋体" w:hint="default"/>
                <w:sz w:val="20"/>
                <w:szCs w:val="20"/>
              </w:rPr>
            </w:pPr>
            <w:r>
              <w:rPr>
                <w:rFonts w:ascii="宋体" w:hAnsi="宋体" w:cs="宋体" w:eastAsia="宋体" w:hint="default"/>
                <w:sz w:val="20"/>
                <w:szCs w:val="20"/>
              </w:rPr>
              <w:t>本年所得</w:t>
            </w:r>
            <w:r>
              <w:rPr>
                <w:rFonts w:ascii="宋体" w:hAnsi="宋体" w:cs="宋体" w:eastAsia="宋体" w:hint="default"/>
                <w:w w:val="100"/>
                <w:sz w:val="20"/>
                <w:szCs w:val="20"/>
              </w:rPr>
              <w:t> </w:t>
            </w:r>
            <w:r>
              <w:rPr>
                <w:rFonts w:ascii="宋体" w:hAnsi="宋体" w:cs="宋体" w:eastAsia="宋体" w:hint="default"/>
                <w:sz w:val="20"/>
                <w:szCs w:val="20"/>
              </w:rPr>
              <w:t>税前发生</w:t>
            </w:r>
            <w:r>
              <w:rPr>
                <w:rFonts w:ascii="宋体" w:hAnsi="宋体" w:cs="宋体" w:eastAsia="宋体" w:hint="default"/>
                <w:w w:val="100"/>
                <w:sz w:val="20"/>
                <w:szCs w:val="20"/>
              </w:rPr>
              <w:t> </w:t>
            </w:r>
            <w:r>
              <w:rPr>
                <w:rFonts w:ascii="宋体" w:hAnsi="宋体" w:cs="宋体" w:eastAsia="宋体" w:hint="default"/>
                <w:sz w:val="20"/>
                <w:szCs w:val="20"/>
              </w:rPr>
              <w:t>额</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ind w:left="9" w:right="-5"/>
              <w:jc w:val="center"/>
              <w:rPr>
                <w:rFonts w:ascii="宋体" w:hAnsi="宋体" w:cs="宋体" w:eastAsia="宋体" w:hint="default"/>
                <w:sz w:val="20"/>
                <w:szCs w:val="20"/>
              </w:rPr>
            </w:pPr>
            <w:r>
              <w:rPr>
                <w:rFonts w:ascii="宋体" w:hAnsi="宋体" w:cs="宋体" w:eastAsia="宋体" w:hint="default"/>
                <w:spacing w:val="-7"/>
                <w:sz w:val="20"/>
                <w:szCs w:val="20"/>
              </w:rPr>
              <w:t>减：前期计</w:t>
            </w:r>
            <w:r>
              <w:rPr>
                <w:rFonts w:ascii="宋体" w:hAnsi="宋体" w:cs="宋体" w:eastAsia="宋体" w:hint="default"/>
                <w:w w:val="100"/>
                <w:sz w:val="20"/>
                <w:szCs w:val="20"/>
              </w:rPr>
              <w:t> </w:t>
            </w:r>
            <w:r>
              <w:rPr>
                <w:rFonts w:ascii="宋体" w:hAnsi="宋体" w:cs="宋体" w:eastAsia="宋体" w:hint="default"/>
                <w:sz w:val="20"/>
                <w:szCs w:val="20"/>
              </w:rPr>
              <w:t>入其他综</w:t>
            </w:r>
            <w:r>
              <w:rPr>
                <w:rFonts w:ascii="宋体" w:hAnsi="宋体" w:cs="宋体" w:eastAsia="宋体" w:hint="default"/>
                <w:w w:val="100"/>
                <w:sz w:val="20"/>
                <w:szCs w:val="20"/>
              </w:rPr>
              <w:t> </w:t>
            </w:r>
            <w:r>
              <w:rPr>
                <w:rFonts w:ascii="宋体" w:hAnsi="宋体" w:cs="宋体" w:eastAsia="宋体" w:hint="default"/>
                <w:sz w:val="20"/>
                <w:szCs w:val="20"/>
              </w:rPr>
              <w:t>合收益当</w:t>
            </w:r>
            <w:r>
              <w:rPr>
                <w:rFonts w:ascii="宋体" w:hAnsi="宋体" w:cs="宋体" w:eastAsia="宋体" w:hint="default"/>
                <w:w w:val="100"/>
                <w:sz w:val="20"/>
                <w:szCs w:val="20"/>
              </w:rPr>
              <w:t> </w:t>
            </w:r>
            <w:r>
              <w:rPr>
                <w:rFonts w:ascii="宋体" w:hAnsi="宋体" w:cs="宋体" w:eastAsia="宋体" w:hint="default"/>
                <w:sz w:val="20"/>
                <w:szCs w:val="20"/>
              </w:rPr>
              <w:t>期转入损</w:t>
            </w:r>
            <w:r>
              <w:rPr>
                <w:rFonts w:ascii="宋体" w:hAnsi="宋体" w:cs="宋体" w:eastAsia="宋体" w:hint="default"/>
                <w:w w:val="100"/>
                <w:sz w:val="20"/>
                <w:szCs w:val="20"/>
              </w:rPr>
              <w:t> </w:t>
            </w:r>
            <w:r>
              <w:rPr>
                <w:rFonts w:ascii="宋体" w:hAnsi="宋体" w:cs="宋体" w:eastAsia="宋体" w:hint="default"/>
                <w:sz w:val="20"/>
                <w:szCs w:val="20"/>
              </w:rPr>
              <w:t>益</w:t>
            </w:r>
          </w:p>
        </w:tc>
        <w:tc>
          <w:tcPr>
            <w:tcW w:w="869"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ind w:left="129" w:right="17" w:hanging="101"/>
              <w:jc w:val="left"/>
              <w:rPr>
                <w:rFonts w:ascii="宋体" w:hAnsi="宋体" w:cs="宋体" w:eastAsia="宋体" w:hint="default"/>
                <w:sz w:val="20"/>
                <w:szCs w:val="20"/>
              </w:rPr>
            </w:pPr>
            <w:r>
              <w:rPr>
                <w:rFonts w:ascii="宋体" w:hAnsi="宋体" w:cs="宋体" w:eastAsia="宋体" w:hint="default"/>
                <w:sz w:val="20"/>
                <w:szCs w:val="20"/>
              </w:rPr>
              <w:t>减：所得</w:t>
            </w:r>
            <w:r>
              <w:rPr>
                <w:rFonts w:ascii="宋体" w:hAnsi="宋体" w:cs="宋体" w:eastAsia="宋体" w:hint="default"/>
                <w:spacing w:val="-94"/>
                <w:sz w:val="20"/>
                <w:szCs w:val="20"/>
              </w:rPr>
              <w:t> </w:t>
            </w:r>
            <w:r>
              <w:rPr>
                <w:rFonts w:ascii="宋体" w:hAnsi="宋体" w:cs="宋体" w:eastAsia="宋体" w:hint="default"/>
                <w:sz w:val="20"/>
                <w:szCs w:val="20"/>
              </w:rPr>
              <w:t>税费用</w:t>
            </w:r>
          </w:p>
        </w:tc>
        <w:tc>
          <w:tcPr>
            <w:tcW w:w="1100"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ind w:left="249" w:right="32" w:hanging="202"/>
              <w:jc w:val="left"/>
              <w:rPr>
                <w:rFonts w:ascii="宋体" w:hAnsi="宋体" w:cs="宋体" w:eastAsia="宋体" w:hint="default"/>
                <w:sz w:val="20"/>
                <w:szCs w:val="20"/>
              </w:rPr>
            </w:pPr>
            <w:r>
              <w:rPr>
                <w:rFonts w:ascii="宋体" w:hAnsi="宋体" w:cs="宋体" w:eastAsia="宋体" w:hint="default"/>
                <w:sz w:val="20"/>
                <w:szCs w:val="20"/>
              </w:rPr>
              <w:t>税后归属于</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母公司</w:t>
            </w:r>
          </w:p>
        </w:tc>
        <w:tc>
          <w:tcPr>
            <w:tcW w:w="830"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ind w:left="14" w:right="-5"/>
              <w:jc w:val="center"/>
              <w:rPr>
                <w:rFonts w:ascii="宋体" w:hAnsi="宋体" w:cs="宋体" w:eastAsia="宋体" w:hint="default"/>
                <w:sz w:val="20"/>
                <w:szCs w:val="20"/>
              </w:rPr>
            </w:pPr>
            <w:r>
              <w:rPr>
                <w:rFonts w:ascii="宋体" w:hAnsi="宋体" w:cs="宋体" w:eastAsia="宋体" w:hint="default"/>
                <w:sz w:val="20"/>
                <w:szCs w:val="20"/>
              </w:rPr>
              <w:t>税后归属</w:t>
            </w:r>
            <w:r>
              <w:rPr>
                <w:rFonts w:ascii="宋体" w:hAnsi="宋体" w:cs="宋体" w:eastAsia="宋体" w:hint="default"/>
                <w:w w:val="100"/>
                <w:sz w:val="20"/>
                <w:szCs w:val="20"/>
              </w:rPr>
              <w:t> </w:t>
            </w:r>
            <w:r>
              <w:rPr>
                <w:rFonts w:ascii="宋体" w:hAnsi="宋体" w:cs="宋体" w:eastAsia="宋体" w:hint="default"/>
                <w:sz w:val="20"/>
                <w:szCs w:val="20"/>
              </w:rPr>
              <w:t>于少数股</w:t>
            </w:r>
            <w:r>
              <w:rPr>
                <w:rFonts w:ascii="宋体" w:hAnsi="宋体" w:cs="宋体" w:eastAsia="宋体" w:hint="default"/>
                <w:w w:val="100"/>
                <w:sz w:val="20"/>
                <w:szCs w:val="20"/>
              </w:rPr>
              <w:t> </w:t>
            </w:r>
            <w:r>
              <w:rPr>
                <w:rFonts w:ascii="宋体" w:hAnsi="宋体" w:cs="宋体" w:eastAsia="宋体" w:hint="default"/>
                <w:sz w:val="20"/>
                <w:szCs w:val="20"/>
              </w:rPr>
              <w:t>东</w:t>
            </w:r>
          </w:p>
        </w:tc>
        <w:tc>
          <w:tcPr>
            <w:tcW w:w="1009"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ind w:left="101" w:right="84"/>
              <w:jc w:val="both"/>
              <w:rPr>
                <w:rFonts w:ascii="宋体" w:hAnsi="宋体" w:cs="宋体" w:eastAsia="宋体" w:hint="default"/>
                <w:sz w:val="20"/>
                <w:szCs w:val="20"/>
              </w:rPr>
            </w:pPr>
            <w:r>
              <w:rPr>
                <w:rFonts w:ascii="宋体" w:hAnsi="宋体" w:cs="宋体" w:eastAsia="宋体" w:hint="default"/>
                <w:sz w:val="20"/>
                <w:szCs w:val="20"/>
              </w:rPr>
              <w:t>其他综合</w:t>
            </w:r>
            <w:r>
              <w:rPr>
                <w:rFonts w:ascii="宋体" w:hAnsi="宋体" w:cs="宋体" w:eastAsia="宋体" w:hint="default"/>
                <w:spacing w:val="-94"/>
                <w:sz w:val="20"/>
                <w:szCs w:val="20"/>
              </w:rPr>
              <w:t> </w:t>
            </w:r>
            <w:r>
              <w:rPr>
                <w:rFonts w:ascii="宋体" w:hAnsi="宋体" w:cs="宋体" w:eastAsia="宋体" w:hint="default"/>
                <w:sz w:val="20"/>
                <w:szCs w:val="20"/>
              </w:rPr>
              <w:t>收益结转</w:t>
            </w:r>
            <w:r>
              <w:rPr>
                <w:rFonts w:ascii="宋体" w:hAnsi="宋体" w:cs="宋体" w:eastAsia="宋体" w:hint="default"/>
                <w:spacing w:val="-94"/>
                <w:sz w:val="20"/>
                <w:szCs w:val="20"/>
              </w:rPr>
              <w:t> </w:t>
            </w:r>
            <w:r>
              <w:rPr>
                <w:rFonts w:ascii="宋体" w:hAnsi="宋体" w:cs="宋体" w:eastAsia="宋体" w:hint="default"/>
                <w:sz w:val="20"/>
                <w:szCs w:val="20"/>
              </w:rPr>
              <w:t>留存收益</w:t>
            </w:r>
          </w:p>
        </w:tc>
        <w:tc>
          <w:tcPr>
            <w:tcW w:w="944" w:type="dxa"/>
            <w:vMerge/>
            <w:tcBorders>
              <w:left w:val="single" w:sz="6" w:space="0" w:color="000000"/>
              <w:bottom w:val="single" w:sz="12" w:space="0" w:color="000000"/>
              <w:right w:val="nil" w:sz="6" w:space="0" w:color="auto"/>
            </w:tcBorders>
          </w:tcPr>
          <w:p>
            <w:pPr/>
          </w:p>
        </w:tc>
      </w:tr>
      <w:tr>
        <w:trPr>
          <w:trHeight w:val="980" w:hRule="exact"/>
        </w:trPr>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ind w:left="4" w:right="0"/>
              <w:jc w:val="both"/>
              <w:rPr>
                <w:rFonts w:ascii="宋体" w:hAnsi="宋体" w:cs="宋体" w:eastAsia="宋体" w:hint="default"/>
                <w:sz w:val="20"/>
                <w:szCs w:val="20"/>
              </w:rPr>
            </w:pPr>
            <w:r>
              <w:rPr>
                <w:rFonts w:ascii="宋体" w:hAnsi="宋体" w:cs="宋体" w:eastAsia="宋体" w:hint="default"/>
                <w:spacing w:val="-3"/>
                <w:sz w:val="20"/>
                <w:szCs w:val="20"/>
              </w:rPr>
              <w:t>一、不能重分类</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进</w:t>
            </w:r>
            <w:r>
              <w:rPr>
                <w:rFonts w:ascii="宋体" w:hAnsi="宋体" w:cs="宋体" w:eastAsia="宋体" w:hint="default"/>
                <w:spacing w:val="-61"/>
                <w:sz w:val="20"/>
                <w:szCs w:val="20"/>
              </w:rPr>
              <w:t> </w:t>
            </w:r>
            <w:r>
              <w:rPr>
                <w:rFonts w:ascii="宋体" w:hAnsi="宋体" w:cs="宋体" w:eastAsia="宋体" w:hint="default"/>
                <w:sz w:val="20"/>
                <w:szCs w:val="20"/>
              </w:rPr>
              <w:t>损</w:t>
            </w:r>
            <w:r>
              <w:rPr>
                <w:rFonts w:ascii="宋体" w:hAnsi="宋体" w:cs="宋体" w:eastAsia="宋体" w:hint="default"/>
                <w:spacing w:val="-61"/>
                <w:sz w:val="20"/>
                <w:szCs w:val="20"/>
              </w:rPr>
              <w:t> </w:t>
            </w:r>
            <w:r>
              <w:rPr>
                <w:rFonts w:ascii="宋体" w:hAnsi="宋体" w:cs="宋体" w:eastAsia="宋体" w:hint="default"/>
                <w:sz w:val="20"/>
                <w:szCs w:val="20"/>
              </w:rPr>
              <w:t>益</w:t>
            </w:r>
            <w:r>
              <w:rPr>
                <w:rFonts w:ascii="宋体" w:hAnsi="宋体" w:cs="宋体" w:eastAsia="宋体" w:hint="default"/>
                <w:spacing w:val="-61"/>
                <w:sz w:val="20"/>
                <w:szCs w:val="20"/>
              </w:rPr>
              <w:t> </w:t>
            </w:r>
            <w:r>
              <w:rPr>
                <w:rFonts w:ascii="宋体" w:hAnsi="宋体" w:cs="宋体" w:eastAsia="宋体" w:hint="default"/>
                <w:sz w:val="20"/>
                <w:szCs w:val="20"/>
              </w:rPr>
              <w:t>的</w:t>
            </w:r>
            <w:r>
              <w:rPr>
                <w:rFonts w:ascii="宋体" w:hAnsi="宋体" w:cs="宋体" w:eastAsia="宋体" w:hint="default"/>
                <w:spacing w:val="-61"/>
                <w:sz w:val="20"/>
                <w:szCs w:val="20"/>
              </w:rPr>
              <w:t> </w:t>
            </w:r>
            <w:r>
              <w:rPr>
                <w:rFonts w:ascii="宋体" w:hAnsi="宋体" w:cs="宋体" w:eastAsia="宋体" w:hint="default"/>
                <w:sz w:val="20"/>
                <w:szCs w:val="20"/>
              </w:rPr>
              <w:t>其</w:t>
            </w:r>
            <w:r>
              <w:rPr>
                <w:rFonts w:ascii="宋体" w:hAnsi="宋体" w:cs="宋体" w:eastAsia="宋体" w:hint="default"/>
                <w:spacing w:val="-66"/>
                <w:sz w:val="20"/>
                <w:szCs w:val="20"/>
              </w:rPr>
              <w:t> </w:t>
            </w:r>
            <w:r>
              <w:rPr>
                <w:rFonts w:ascii="宋体" w:hAnsi="宋体" w:cs="宋体" w:eastAsia="宋体" w:hint="default"/>
                <w:sz w:val="20"/>
                <w:szCs w:val="20"/>
              </w:rPr>
              <w:t>他</w:t>
            </w:r>
            <w:r>
              <w:rPr>
                <w:rFonts w:ascii="宋体" w:hAnsi="宋体" w:cs="宋体" w:eastAsia="宋体" w:hint="default"/>
                <w:w w:val="100"/>
                <w:sz w:val="20"/>
                <w:szCs w:val="20"/>
              </w:rPr>
              <w:t> </w:t>
            </w:r>
            <w:r>
              <w:rPr>
                <w:rFonts w:ascii="宋体" w:hAnsi="宋体" w:cs="宋体" w:eastAsia="宋体" w:hint="default"/>
                <w:sz w:val="20"/>
                <w:szCs w:val="20"/>
              </w:rPr>
              <w:t>综合收益</w:t>
            </w:r>
          </w:p>
        </w:tc>
        <w:tc>
          <w:tcPr>
            <w:tcW w:w="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4"/>
              <w:ind w:right="-4"/>
              <w:jc w:val="right"/>
              <w:rPr>
                <w:rFonts w:ascii="Times New Roman" w:hAnsi="Times New Roman" w:cs="Times New Roman" w:eastAsia="Times New Roman" w:hint="default"/>
                <w:sz w:val="20"/>
                <w:szCs w:val="20"/>
              </w:rPr>
            </w:pPr>
            <w:r>
              <w:rPr>
                <w:rFonts w:ascii="Times New Roman"/>
                <w:spacing w:val="-1"/>
                <w:sz w:val="20"/>
              </w:rPr>
              <w:t>8,427,108.6</w:t>
            </w:r>
          </w:p>
          <w:p>
            <w:pPr>
              <w:pStyle w:val="TableParagraph"/>
              <w:spacing w:line="240" w:lineRule="auto" w:before="82"/>
              <w:ind w:right="-1"/>
              <w:jc w:val="right"/>
              <w:rPr>
                <w:rFonts w:ascii="Times New Roman" w:hAnsi="Times New Roman" w:cs="Times New Roman" w:eastAsia="Times New Roman" w:hint="default"/>
                <w:sz w:val="20"/>
                <w:szCs w:val="20"/>
              </w:rPr>
            </w:pPr>
            <w:r>
              <w:rPr>
                <w:rFonts w:ascii="Times New Roman"/>
                <w:w w:val="100"/>
                <w:sz w:val="20"/>
              </w:rPr>
              <w:t>0</w:t>
            </w:r>
          </w:p>
        </w:tc>
        <w:tc>
          <w:tcPr>
            <w:tcW w:w="8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4"/>
              <w:ind w:left="52" w:right="-5"/>
              <w:jc w:val="left"/>
              <w:rPr>
                <w:rFonts w:ascii="Times New Roman" w:hAnsi="Times New Roman" w:cs="Times New Roman" w:eastAsia="Times New Roman" w:hint="default"/>
                <w:sz w:val="20"/>
                <w:szCs w:val="20"/>
              </w:rPr>
            </w:pPr>
            <w:r>
              <w:rPr>
                <w:rFonts w:ascii="Times New Roman"/>
                <w:sz w:val="20"/>
              </w:rPr>
              <w:t>-6,168,34</w:t>
            </w:r>
          </w:p>
          <w:p>
            <w:pPr>
              <w:pStyle w:val="TableParagraph"/>
              <w:spacing w:line="240" w:lineRule="auto" w:before="82"/>
              <w:ind w:left="470" w:right="-5"/>
              <w:jc w:val="left"/>
              <w:rPr>
                <w:rFonts w:ascii="Times New Roman" w:hAnsi="Times New Roman" w:cs="Times New Roman" w:eastAsia="Times New Roman" w:hint="default"/>
                <w:sz w:val="20"/>
                <w:szCs w:val="20"/>
              </w:rPr>
            </w:pPr>
            <w:r>
              <w:rPr>
                <w:rFonts w:ascii="Times New Roman"/>
                <w:sz w:val="20"/>
              </w:rPr>
              <w:t>0.38</w:t>
            </w:r>
          </w:p>
        </w:tc>
        <w:tc>
          <w:tcPr>
            <w:tcW w:w="994" w:type="dxa"/>
            <w:tcBorders>
              <w:top w:val="single" w:sz="12" w:space="0" w:color="000000"/>
              <w:left w:val="single" w:sz="6" w:space="0" w:color="000000"/>
              <w:bottom w:val="single" w:sz="12" w:space="0" w:color="000000"/>
              <w:right w:val="single" w:sz="6" w:space="0" w:color="000000"/>
            </w:tcBorders>
          </w:tcPr>
          <w:p>
            <w:pPr/>
          </w:p>
        </w:tc>
        <w:tc>
          <w:tcPr>
            <w:tcW w:w="8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4"/>
              <w:ind w:left="86" w:right="-4"/>
              <w:jc w:val="left"/>
              <w:rPr>
                <w:rFonts w:ascii="Times New Roman" w:hAnsi="Times New Roman" w:cs="Times New Roman" w:eastAsia="Times New Roman" w:hint="default"/>
                <w:sz w:val="20"/>
                <w:szCs w:val="20"/>
              </w:rPr>
            </w:pPr>
            <w:r>
              <w:rPr>
                <w:rFonts w:ascii="Times New Roman"/>
                <w:sz w:val="20"/>
              </w:rPr>
              <w:t>-1,542,08</w:t>
            </w:r>
          </w:p>
          <w:p>
            <w:pPr>
              <w:pStyle w:val="TableParagraph"/>
              <w:spacing w:line="240" w:lineRule="auto" w:before="82"/>
              <w:ind w:left="504" w:right="-5"/>
              <w:jc w:val="left"/>
              <w:rPr>
                <w:rFonts w:ascii="Times New Roman" w:hAnsi="Times New Roman" w:cs="Times New Roman" w:eastAsia="Times New Roman" w:hint="default"/>
                <w:sz w:val="20"/>
                <w:szCs w:val="20"/>
              </w:rPr>
            </w:pPr>
            <w:r>
              <w:rPr>
                <w:rFonts w:ascii="Times New Roman"/>
                <w:sz w:val="20"/>
              </w:rPr>
              <w:t>5.09</w:t>
            </w:r>
          </w:p>
        </w:tc>
        <w:tc>
          <w:tcPr>
            <w:tcW w:w="11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4"/>
              <w:ind w:right="-9"/>
              <w:jc w:val="right"/>
              <w:rPr>
                <w:rFonts w:ascii="Times New Roman" w:hAnsi="Times New Roman" w:cs="Times New Roman" w:eastAsia="Times New Roman" w:hint="default"/>
                <w:sz w:val="20"/>
                <w:szCs w:val="20"/>
              </w:rPr>
            </w:pPr>
            <w:r>
              <w:rPr>
                <w:rFonts w:ascii="Times New Roman"/>
                <w:spacing w:val="-1"/>
                <w:sz w:val="20"/>
              </w:rPr>
              <w:t>-4,626,255.2</w:t>
            </w:r>
          </w:p>
          <w:p>
            <w:pPr>
              <w:pStyle w:val="TableParagraph"/>
              <w:spacing w:line="240" w:lineRule="auto" w:before="82"/>
              <w:ind w:right="-5"/>
              <w:jc w:val="right"/>
              <w:rPr>
                <w:rFonts w:ascii="Times New Roman" w:hAnsi="Times New Roman" w:cs="Times New Roman" w:eastAsia="Times New Roman" w:hint="default"/>
                <w:sz w:val="20"/>
                <w:szCs w:val="20"/>
              </w:rPr>
            </w:pPr>
            <w:r>
              <w:rPr>
                <w:rFonts w:ascii="Times New Roman"/>
                <w:w w:val="100"/>
                <w:sz w:val="20"/>
              </w:rPr>
              <w:t>9</w:t>
            </w:r>
          </w:p>
        </w:tc>
        <w:tc>
          <w:tcPr>
            <w:tcW w:w="830" w:type="dxa"/>
            <w:tcBorders>
              <w:top w:val="single" w:sz="12" w:space="0" w:color="000000"/>
              <w:left w:val="single" w:sz="6" w:space="0" w:color="000000"/>
              <w:bottom w:val="single" w:sz="12" w:space="0" w:color="000000"/>
              <w:right w:val="single" w:sz="6" w:space="0" w:color="000000"/>
            </w:tcBorders>
          </w:tcPr>
          <w:p>
            <w:pPr/>
          </w:p>
        </w:tc>
        <w:tc>
          <w:tcPr>
            <w:tcW w:w="10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4"/>
              <w:ind w:right="-5"/>
              <w:jc w:val="right"/>
              <w:rPr>
                <w:rFonts w:ascii="Times New Roman" w:hAnsi="Times New Roman" w:cs="Times New Roman" w:eastAsia="Times New Roman" w:hint="default"/>
                <w:sz w:val="20"/>
                <w:szCs w:val="20"/>
              </w:rPr>
            </w:pPr>
            <w:r>
              <w:rPr>
                <w:rFonts w:ascii="Times New Roman"/>
                <w:spacing w:val="-1"/>
                <w:sz w:val="20"/>
              </w:rPr>
              <w:t>5,287,794.9</w:t>
            </w:r>
          </w:p>
          <w:p>
            <w:pPr>
              <w:pStyle w:val="TableParagraph"/>
              <w:spacing w:line="240" w:lineRule="auto" w:before="82"/>
              <w:ind w:right="-1"/>
              <w:jc w:val="right"/>
              <w:rPr>
                <w:rFonts w:ascii="Times New Roman" w:hAnsi="Times New Roman" w:cs="Times New Roman" w:eastAsia="Times New Roman" w:hint="default"/>
                <w:sz w:val="20"/>
                <w:szCs w:val="20"/>
              </w:rPr>
            </w:pPr>
            <w:r>
              <w:rPr>
                <w:rFonts w:ascii="Times New Roman"/>
                <w:w w:val="100"/>
                <w:sz w:val="20"/>
              </w:rPr>
              <w:t>2</w:t>
            </w:r>
          </w:p>
        </w:tc>
        <w:tc>
          <w:tcPr>
            <w:tcW w:w="9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4"/>
              <w:ind w:right="6"/>
              <w:jc w:val="right"/>
              <w:rPr>
                <w:rFonts w:ascii="Times New Roman" w:hAnsi="Times New Roman" w:cs="Times New Roman" w:eastAsia="Times New Roman" w:hint="default"/>
                <w:sz w:val="20"/>
                <w:szCs w:val="20"/>
              </w:rPr>
            </w:pPr>
            <w:r>
              <w:rPr>
                <w:rFonts w:ascii="Times New Roman"/>
                <w:spacing w:val="-1"/>
                <w:sz w:val="20"/>
              </w:rPr>
              <w:t>9,088,648.</w:t>
            </w:r>
          </w:p>
          <w:p>
            <w:pPr>
              <w:pStyle w:val="TableParagraph"/>
              <w:spacing w:line="240" w:lineRule="auto" w:before="82"/>
              <w:ind w:right="7"/>
              <w:jc w:val="right"/>
              <w:rPr>
                <w:rFonts w:ascii="Times New Roman" w:hAnsi="Times New Roman" w:cs="Times New Roman" w:eastAsia="Times New Roman" w:hint="default"/>
                <w:sz w:val="20"/>
                <w:szCs w:val="20"/>
              </w:rPr>
            </w:pPr>
            <w:r>
              <w:rPr>
                <w:rFonts w:ascii="Times New Roman"/>
                <w:sz w:val="20"/>
              </w:rPr>
              <w:t>23</w:t>
            </w:r>
          </w:p>
        </w:tc>
      </w:tr>
      <w:tr>
        <w:trPr>
          <w:trHeight w:val="975" w:hRule="exact"/>
        </w:trPr>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ind w:left="4" w:right="1"/>
              <w:jc w:val="both"/>
              <w:rPr>
                <w:rFonts w:ascii="宋体" w:hAnsi="宋体" w:cs="宋体" w:eastAsia="宋体" w:hint="default"/>
                <w:sz w:val="20"/>
                <w:szCs w:val="20"/>
              </w:rPr>
            </w:pPr>
            <w:r>
              <w:rPr>
                <w:rFonts w:ascii="宋体" w:hAnsi="宋体" w:cs="宋体" w:eastAsia="宋体" w:hint="default"/>
                <w:sz w:val="20"/>
                <w:szCs w:val="20"/>
              </w:rPr>
              <w:t>其</w:t>
            </w:r>
            <w:r>
              <w:rPr>
                <w:rFonts w:ascii="宋体" w:hAnsi="宋体" w:cs="宋体" w:eastAsia="宋体" w:hint="default"/>
                <w:spacing w:val="-61"/>
                <w:sz w:val="20"/>
                <w:szCs w:val="20"/>
              </w:rPr>
              <w:t> </w:t>
            </w:r>
            <w:r>
              <w:rPr>
                <w:rFonts w:ascii="宋体" w:hAnsi="宋体" w:cs="宋体" w:eastAsia="宋体" w:hint="default"/>
                <w:sz w:val="20"/>
                <w:szCs w:val="20"/>
              </w:rPr>
              <w:t>他</w:t>
            </w:r>
            <w:r>
              <w:rPr>
                <w:rFonts w:ascii="宋体" w:hAnsi="宋体" w:cs="宋体" w:eastAsia="宋体" w:hint="default"/>
                <w:spacing w:val="-61"/>
                <w:sz w:val="20"/>
                <w:szCs w:val="20"/>
              </w:rPr>
              <w:t> </w:t>
            </w:r>
            <w:r>
              <w:rPr>
                <w:rFonts w:ascii="宋体" w:hAnsi="宋体" w:cs="宋体" w:eastAsia="宋体" w:hint="default"/>
                <w:sz w:val="20"/>
                <w:szCs w:val="20"/>
              </w:rPr>
              <w:t>权</w:t>
            </w:r>
            <w:r>
              <w:rPr>
                <w:rFonts w:ascii="宋体" w:hAnsi="宋体" w:cs="宋体" w:eastAsia="宋体" w:hint="default"/>
                <w:spacing w:val="-61"/>
                <w:sz w:val="20"/>
                <w:szCs w:val="20"/>
              </w:rPr>
              <w:t> </w:t>
            </w:r>
            <w:r>
              <w:rPr>
                <w:rFonts w:ascii="宋体" w:hAnsi="宋体" w:cs="宋体" w:eastAsia="宋体" w:hint="default"/>
                <w:sz w:val="20"/>
                <w:szCs w:val="20"/>
              </w:rPr>
              <w:t>益</w:t>
            </w:r>
            <w:r>
              <w:rPr>
                <w:rFonts w:ascii="宋体" w:hAnsi="宋体" w:cs="宋体" w:eastAsia="宋体" w:hint="default"/>
                <w:spacing w:val="-61"/>
                <w:sz w:val="20"/>
                <w:szCs w:val="20"/>
              </w:rPr>
              <w:t> </w:t>
            </w:r>
            <w:r>
              <w:rPr>
                <w:rFonts w:ascii="宋体" w:hAnsi="宋体" w:cs="宋体" w:eastAsia="宋体" w:hint="default"/>
                <w:sz w:val="20"/>
                <w:szCs w:val="20"/>
              </w:rPr>
              <w:t>工</w:t>
            </w:r>
            <w:r>
              <w:rPr>
                <w:rFonts w:ascii="宋体" w:hAnsi="宋体" w:cs="宋体" w:eastAsia="宋体" w:hint="default"/>
                <w:spacing w:val="-66"/>
                <w:sz w:val="20"/>
                <w:szCs w:val="20"/>
              </w:rPr>
              <w:t> </w:t>
            </w:r>
            <w:r>
              <w:rPr>
                <w:rFonts w:ascii="宋体" w:hAnsi="宋体" w:cs="宋体" w:eastAsia="宋体" w:hint="default"/>
                <w:sz w:val="20"/>
                <w:szCs w:val="20"/>
              </w:rPr>
              <w:t>具</w:t>
            </w:r>
            <w:r>
              <w:rPr>
                <w:rFonts w:ascii="宋体" w:hAnsi="宋体" w:cs="宋体" w:eastAsia="宋体" w:hint="default"/>
                <w:w w:val="100"/>
                <w:sz w:val="20"/>
                <w:szCs w:val="20"/>
              </w:rPr>
              <w:t> </w:t>
            </w:r>
            <w:r>
              <w:rPr>
                <w:rFonts w:ascii="宋体" w:hAnsi="宋体" w:cs="宋体" w:eastAsia="宋体" w:hint="default"/>
                <w:sz w:val="20"/>
                <w:szCs w:val="20"/>
              </w:rPr>
              <w:t>投</w:t>
            </w:r>
            <w:r>
              <w:rPr>
                <w:rFonts w:ascii="宋体" w:hAnsi="宋体" w:cs="宋体" w:eastAsia="宋体" w:hint="default"/>
                <w:spacing w:val="-61"/>
                <w:sz w:val="20"/>
                <w:szCs w:val="20"/>
              </w:rPr>
              <w:t> </w:t>
            </w:r>
            <w:r>
              <w:rPr>
                <w:rFonts w:ascii="宋体" w:hAnsi="宋体" w:cs="宋体" w:eastAsia="宋体" w:hint="default"/>
                <w:sz w:val="20"/>
                <w:szCs w:val="20"/>
              </w:rPr>
              <w:t>资</w:t>
            </w:r>
            <w:r>
              <w:rPr>
                <w:rFonts w:ascii="宋体" w:hAnsi="宋体" w:cs="宋体" w:eastAsia="宋体" w:hint="default"/>
                <w:spacing w:val="-61"/>
                <w:sz w:val="20"/>
                <w:szCs w:val="20"/>
              </w:rPr>
              <w:t> </w:t>
            </w:r>
            <w:r>
              <w:rPr>
                <w:rFonts w:ascii="宋体" w:hAnsi="宋体" w:cs="宋体" w:eastAsia="宋体" w:hint="default"/>
                <w:sz w:val="20"/>
                <w:szCs w:val="20"/>
              </w:rPr>
              <w:t>公</w:t>
            </w:r>
            <w:r>
              <w:rPr>
                <w:rFonts w:ascii="宋体" w:hAnsi="宋体" w:cs="宋体" w:eastAsia="宋体" w:hint="default"/>
                <w:spacing w:val="-61"/>
                <w:sz w:val="20"/>
                <w:szCs w:val="20"/>
              </w:rPr>
              <w:t> </w:t>
            </w:r>
            <w:r>
              <w:rPr>
                <w:rFonts w:ascii="宋体" w:hAnsi="宋体" w:cs="宋体" w:eastAsia="宋体" w:hint="default"/>
                <w:sz w:val="20"/>
                <w:szCs w:val="20"/>
              </w:rPr>
              <w:t>允</w:t>
            </w:r>
            <w:r>
              <w:rPr>
                <w:rFonts w:ascii="宋体" w:hAnsi="宋体" w:cs="宋体" w:eastAsia="宋体" w:hint="default"/>
                <w:spacing w:val="-61"/>
                <w:sz w:val="20"/>
                <w:szCs w:val="20"/>
              </w:rPr>
              <w:t> </w:t>
            </w:r>
            <w:r>
              <w:rPr>
                <w:rFonts w:ascii="宋体" w:hAnsi="宋体" w:cs="宋体" w:eastAsia="宋体" w:hint="default"/>
                <w:sz w:val="20"/>
                <w:szCs w:val="20"/>
              </w:rPr>
              <w:t>价</w:t>
            </w:r>
            <w:r>
              <w:rPr>
                <w:rFonts w:ascii="宋体" w:hAnsi="宋体" w:cs="宋体" w:eastAsia="宋体" w:hint="default"/>
                <w:spacing w:val="-66"/>
                <w:sz w:val="20"/>
                <w:szCs w:val="20"/>
              </w:rPr>
              <w:t> </w:t>
            </w:r>
            <w:r>
              <w:rPr>
                <w:rFonts w:ascii="宋体" w:hAnsi="宋体" w:cs="宋体" w:eastAsia="宋体" w:hint="default"/>
                <w:sz w:val="20"/>
                <w:szCs w:val="20"/>
              </w:rPr>
              <w:t>值</w:t>
            </w:r>
            <w:r>
              <w:rPr>
                <w:rFonts w:ascii="宋体" w:hAnsi="宋体" w:cs="宋体" w:eastAsia="宋体" w:hint="default"/>
                <w:w w:val="100"/>
                <w:sz w:val="20"/>
                <w:szCs w:val="20"/>
              </w:rPr>
              <w:t> </w:t>
            </w:r>
            <w:r>
              <w:rPr>
                <w:rFonts w:ascii="宋体" w:hAnsi="宋体" w:cs="宋体" w:eastAsia="宋体" w:hint="default"/>
                <w:sz w:val="20"/>
                <w:szCs w:val="20"/>
              </w:rPr>
              <w:t>变动</w:t>
            </w:r>
          </w:p>
        </w:tc>
        <w:tc>
          <w:tcPr>
            <w:tcW w:w="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4"/>
              <w:jc w:val="right"/>
              <w:rPr>
                <w:rFonts w:ascii="Times New Roman" w:hAnsi="Times New Roman" w:cs="Times New Roman" w:eastAsia="Times New Roman" w:hint="default"/>
                <w:sz w:val="20"/>
                <w:szCs w:val="20"/>
              </w:rPr>
            </w:pPr>
            <w:r>
              <w:rPr>
                <w:rFonts w:ascii="Times New Roman"/>
                <w:spacing w:val="-1"/>
                <w:sz w:val="20"/>
              </w:rPr>
              <w:t>8,427,108.6</w:t>
            </w:r>
          </w:p>
          <w:p>
            <w:pPr>
              <w:pStyle w:val="TableParagraph"/>
              <w:spacing w:line="240" w:lineRule="auto" w:before="82"/>
              <w:ind w:right="-1"/>
              <w:jc w:val="right"/>
              <w:rPr>
                <w:rFonts w:ascii="Times New Roman" w:hAnsi="Times New Roman" w:cs="Times New Roman" w:eastAsia="Times New Roman" w:hint="default"/>
                <w:sz w:val="20"/>
                <w:szCs w:val="20"/>
              </w:rPr>
            </w:pPr>
            <w:r>
              <w:rPr>
                <w:rFonts w:ascii="Times New Roman"/>
                <w:w w:val="100"/>
                <w:sz w:val="20"/>
              </w:rPr>
              <w:t>0</w:t>
            </w:r>
          </w:p>
        </w:tc>
        <w:tc>
          <w:tcPr>
            <w:tcW w:w="8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left="52" w:right="-5"/>
              <w:jc w:val="left"/>
              <w:rPr>
                <w:rFonts w:ascii="Times New Roman" w:hAnsi="Times New Roman" w:cs="Times New Roman" w:eastAsia="Times New Roman" w:hint="default"/>
                <w:sz w:val="20"/>
                <w:szCs w:val="20"/>
              </w:rPr>
            </w:pPr>
            <w:r>
              <w:rPr>
                <w:rFonts w:ascii="Times New Roman"/>
                <w:sz w:val="20"/>
              </w:rPr>
              <w:t>-6,168,34</w:t>
            </w:r>
          </w:p>
          <w:p>
            <w:pPr>
              <w:pStyle w:val="TableParagraph"/>
              <w:spacing w:line="240" w:lineRule="auto" w:before="82"/>
              <w:ind w:left="470" w:right="-5"/>
              <w:jc w:val="left"/>
              <w:rPr>
                <w:rFonts w:ascii="Times New Roman" w:hAnsi="Times New Roman" w:cs="Times New Roman" w:eastAsia="Times New Roman" w:hint="default"/>
                <w:sz w:val="20"/>
                <w:szCs w:val="20"/>
              </w:rPr>
            </w:pPr>
            <w:r>
              <w:rPr>
                <w:rFonts w:ascii="Times New Roman"/>
                <w:sz w:val="20"/>
              </w:rPr>
              <w:t>0.38</w:t>
            </w:r>
          </w:p>
        </w:tc>
        <w:tc>
          <w:tcPr>
            <w:tcW w:w="994" w:type="dxa"/>
            <w:tcBorders>
              <w:top w:val="single" w:sz="12" w:space="0" w:color="000000"/>
              <w:left w:val="single" w:sz="6" w:space="0" w:color="000000"/>
              <w:bottom w:val="single" w:sz="12" w:space="0" w:color="000000"/>
              <w:right w:val="single" w:sz="6" w:space="0" w:color="000000"/>
            </w:tcBorders>
          </w:tcPr>
          <w:p>
            <w:pPr/>
          </w:p>
        </w:tc>
        <w:tc>
          <w:tcPr>
            <w:tcW w:w="8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left="86" w:right="-4"/>
              <w:jc w:val="left"/>
              <w:rPr>
                <w:rFonts w:ascii="Times New Roman" w:hAnsi="Times New Roman" w:cs="Times New Roman" w:eastAsia="Times New Roman" w:hint="default"/>
                <w:sz w:val="20"/>
                <w:szCs w:val="20"/>
              </w:rPr>
            </w:pPr>
            <w:r>
              <w:rPr>
                <w:rFonts w:ascii="Times New Roman"/>
                <w:sz w:val="20"/>
              </w:rPr>
              <w:t>-1,542,08</w:t>
            </w:r>
          </w:p>
          <w:p>
            <w:pPr>
              <w:pStyle w:val="TableParagraph"/>
              <w:spacing w:line="240" w:lineRule="auto" w:before="82"/>
              <w:ind w:left="504" w:right="-5"/>
              <w:jc w:val="left"/>
              <w:rPr>
                <w:rFonts w:ascii="Times New Roman" w:hAnsi="Times New Roman" w:cs="Times New Roman" w:eastAsia="Times New Roman" w:hint="default"/>
                <w:sz w:val="20"/>
                <w:szCs w:val="20"/>
              </w:rPr>
            </w:pPr>
            <w:r>
              <w:rPr>
                <w:rFonts w:ascii="Times New Roman"/>
                <w:sz w:val="20"/>
              </w:rPr>
              <w:t>5.09</w:t>
            </w:r>
          </w:p>
        </w:tc>
        <w:tc>
          <w:tcPr>
            <w:tcW w:w="11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9"/>
              <w:jc w:val="right"/>
              <w:rPr>
                <w:rFonts w:ascii="Times New Roman" w:hAnsi="Times New Roman" w:cs="Times New Roman" w:eastAsia="Times New Roman" w:hint="default"/>
                <w:sz w:val="20"/>
                <w:szCs w:val="20"/>
              </w:rPr>
            </w:pPr>
            <w:r>
              <w:rPr>
                <w:rFonts w:ascii="Times New Roman"/>
                <w:spacing w:val="-1"/>
                <w:sz w:val="20"/>
              </w:rPr>
              <w:t>-4,626,255.2</w:t>
            </w:r>
          </w:p>
          <w:p>
            <w:pPr>
              <w:pStyle w:val="TableParagraph"/>
              <w:spacing w:line="240" w:lineRule="auto" w:before="82"/>
              <w:ind w:right="-5"/>
              <w:jc w:val="right"/>
              <w:rPr>
                <w:rFonts w:ascii="Times New Roman" w:hAnsi="Times New Roman" w:cs="Times New Roman" w:eastAsia="Times New Roman" w:hint="default"/>
                <w:sz w:val="20"/>
                <w:szCs w:val="20"/>
              </w:rPr>
            </w:pPr>
            <w:r>
              <w:rPr>
                <w:rFonts w:ascii="Times New Roman"/>
                <w:w w:val="100"/>
                <w:sz w:val="20"/>
              </w:rPr>
              <w:t>9</w:t>
            </w:r>
          </w:p>
        </w:tc>
        <w:tc>
          <w:tcPr>
            <w:tcW w:w="830" w:type="dxa"/>
            <w:tcBorders>
              <w:top w:val="single" w:sz="12" w:space="0" w:color="000000"/>
              <w:left w:val="single" w:sz="6" w:space="0" w:color="000000"/>
              <w:bottom w:val="single" w:sz="12" w:space="0" w:color="000000"/>
              <w:right w:val="single" w:sz="6" w:space="0" w:color="000000"/>
            </w:tcBorders>
          </w:tcPr>
          <w:p>
            <w:pPr/>
          </w:p>
        </w:tc>
        <w:tc>
          <w:tcPr>
            <w:tcW w:w="10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0"/>
                <w:szCs w:val="20"/>
              </w:rPr>
            </w:pPr>
            <w:r>
              <w:rPr>
                <w:rFonts w:ascii="Times New Roman"/>
                <w:spacing w:val="-1"/>
                <w:sz w:val="20"/>
              </w:rPr>
              <w:t>5,287,794.9</w:t>
            </w:r>
          </w:p>
          <w:p>
            <w:pPr>
              <w:pStyle w:val="TableParagraph"/>
              <w:spacing w:line="240" w:lineRule="auto" w:before="82"/>
              <w:ind w:right="-1"/>
              <w:jc w:val="right"/>
              <w:rPr>
                <w:rFonts w:ascii="Times New Roman" w:hAnsi="Times New Roman" w:cs="Times New Roman" w:eastAsia="Times New Roman" w:hint="default"/>
                <w:sz w:val="20"/>
                <w:szCs w:val="20"/>
              </w:rPr>
            </w:pPr>
            <w:r>
              <w:rPr>
                <w:rFonts w:ascii="Times New Roman"/>
                <w:w w:val="100"/>
                <w:sz w:val="20"/>
              </w:rPr>
              <w:t>2</w:t>
            </w:r>
          </w:p>
        </w:tc>
        <w:tc>
          <w:tcPr>
            <w:tcW w:w="9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6"/>
              <w:jc w:val="right"/>
              <w:rPr>
                <w:rFonts w:ascii="Times New Roman" w:hAnsi="Times New Roman" w:cs="Times New Roman" w:eastAsia="Times New Roman" w:hint="default"/>
                <w:sz w:val="20"/>
                <w:szCs w:val="20"/>
              </w:rPr>
            </w:pPr>
            <w:r>
              <w:rPr>
                <w:rFonts w:ascii="Times New Roman"/>
                <w:spacing w:val="-1"/>
                <w:sz w:val="20"/>
              </w:rPr>
              <w:t>9,088,648.</w:t>
            </w:r>
          </w:p>
          <w:p>
            <w:pPr>
              <w:pStyle w:val="TableParagraph"/>
              <w:spacing w:line="240" w:lineRule="auto" w:before="82"/>
              <w:ind w:right="7"/>
              <w:jc w:val="right"/>
              <w:rPr>
                <w:rFonts w:ascii="Times New Roman" w:hAnsi="Times New Roman" w:cs="Times New Roman" w:eastAsia="Times New Roman" w:hint="default"/>
                <w:sz w:val="20"/>
                <w:szCs w:val="20"/>
              </w:rPr>
            </w:pPr>
            <w:r>
              <w:rPr>
                <w:rFonts w:ascii="Times New Roman"/>
                <w:sz w:val="20"/>
              </w:rPr>
              <w:t>23</w:t>
            </w:r>
          </w:p>
        </w:tc>
      </w:tr>
      <w:tr>
        <w:trPr>
          <w:trHeight w:val="974" w:hRule="exact"/>
        </w:trPr>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ind w:left="4" w:right="0"/>
              <w:jc w:val="both"/>
              <w:rPr>
                <w:rFonts w:ascii="宋体" w:hAnsi="宋体" w:cs="宋体" w:eastAsia="宋体" w:hint="default"/>
                <w:sz w:val="20"/>
                <w:szCs w:val="20"/>
              </w:rPr>
            </w:pPr>
            <w:r>
              <w:rPr>
                <w:rFonts w:ascii="宋体" w:hAnsi="宋体" w:cs="宋体" w:eastAsia="宋体" w:hint="default"/>
                <w:spacing w:val="-3"/>
                <w:sz w:val="20"/>
                <w:szCs w:val="20"/>
              </w:rPr>
              <w:t>二、将重分类进</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损</w:t>
            </w:r>
            <w:r>
              <w:rPr>
                <w:rFonts w:ascii="宋体" w:hAnsi="宋体" w:cs="宋体" w:eastAsia="宋体" w:hint="default"/>
                <w:spacing w:val="-61"/>
                <w:sz w:val="20"/>
                <w:szCs w:val="20"/>
              </w:rPr>
              <w:t> </w:t>
            </w:r>
            <w:r>
              <w:rPr>
                <w:rFonts w:ascii="宋体" w:hAnsi="宋体" w:cs="宋体" w:eastAsia="宋体" w:hint="default"/>
                <w:sz w:val="20"/>
                <w:szCs w:val="20"/>
              </w:rPr>
              <w:t>益</w:t>
            </w:r>
            <w:r>
              <w:rPr>
                <w:rFonts w:ascii="宋体" w:hAnsi="宋体" w:cs="宋体" w:eastAsia="宋体" w:hint="default"/>
                <w:spacing w:val="-61"/>
                <w:sz w:val="20"/>
                <w:szCs w:val="20"/>
              </w:rPr>
              <w:t> </w:t>
            </w:r>
            <w:r>
              <w:rPr>
                <w:rFonts w:ascii="宋体" w:hAnsi="宋体" w:cs="宋体" w:eastAsia="宋体" w:hint="default"/>
                <w:sz w:val="20"/>
                <w:szCs w:val="20"/>
              </w:rPr>
              <w:t>的</w:t>
            </w:r>
            <w:r>
              <w:rPr>
                <w:rFonts w:ascii="宋体" w:hAnsi="宋体" w:cs="宋体" w:eastAsia="宋体" w:hint="default"/>
                <w:spacing w:val="-61"/>
                <w:sz w:val="20"/>
                <w:szCs w:val="20"/>
              </w:rPr>
              <w:t> </w:t>
            </w:r>
            <w:r>
              <w:rPr>
                <w:rFonts w:ascii="宋体" w:hAnsi="宋体" w:cs="宋体" w:eastAsia="宋体" w:hint="default"/>
                <w:sz w:val="20"/>
                <w:szCs w:val="20"/>
              </w:rPr>
              <w:t>其</w:t>
            </w:r>
            <w:r>
              <w:rPr>
                <w:rFonts w:ascii="宋体" w:hAnsi="宋体" w:cs="宋体" w:eastAsia="宋体" w:hint="default"/>
                <w:spacing w:val="-61"/>
                <w:sz w:val="20"/>
                <w:szCs w:val="20"/>
              </w:rPr>
              <w:t> </w:t>
            </w:r>
            <w:r>
              <w:rPr>
                <w:rFonts w:ascii="宋体" w:hAnsi="宋体" w:cs="宋体" w:eastAsia="宋体" w:hint="default"/>
                <w:sz w:val="20"/>
                <w:szCs w:val="20"/>
              </w:rPr>
              <w:t>他</w:t>
            </w:r>
            <w:r>
              <w:rPr>
                <w:rFonts w:ascii="宋体" w:hAnsi="宋体" w:cs="宋体" w:eastAsia="宋体" w:hint="default"/>
                <w:spacing w:val="-66"/>
                <w:sz w:val="20"/>
                <w:szCs w:val="20"/>
              </w:rPr>
              <w:t> </w:t>
            </w:r>
            <w:r>
              <w:rPr>
                <w:rFonts w:ascii="宋体" w:hAnsi="宋体" w:cs="宋体" w:eastAsia="宋体" w:hint="default"/>
                <w:sz w:val="20"/>
                <w:szCs w:val="20"/>
              </w:rPr>
              <w:t>综</w:t>
            </w:r>
            <w:r>
              <w:rPr>
                <w:rFonts w:ascii="宋体" w:hAnsi="宋体" w:cs="宋体" w:eastAsia="宋体" w:hint="default"/>
                <w:w w:val="100"/>
                <w:sz w:val="20"/>
                <w:szCs w:val="20"/>
              </w:rPr>
              <w:t> </w:t>
            </w:r>
            <w:r>
              <w:rPr>
                <w:rFonts w:ascii="宋体" w:hAnsi="宋体" w:cs="宋体" w:eastAsia="宋体" w:hint="default"/>
                <w:sz w:val="20"/>
                <w:szCs w:val="20"/>
              </w:rPr>
              <w:t>合收益</w:t>
            </w:r>
          </w:p>
        </w:tc>
        <w:tc>
          <w:tcPr>
            <w:tcW w:w="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4"/>
              <w:jc w:val="right"/>
              <w:rPr>
                <w:rFonts w:ascii="Times New Roman" w:hAnsi="Times New Roman" w:cs="Times New Roman" w:eastAsia="Times New Roman" w:hint="default"/>
                <w:sz w:val="20"/>
                <w:szCs w:val="20"/>
              </w:rPr>
            </w:pPr>
            <w:r>
              <w:rPr>
                <w:rFonts w:ascii="Times New Roman"/>
                <w:spacing w:val="-1"/>
                <w:sz w:val="20"/>
              </w:rPr>
              <w:t>6,390,577.6</w:t>
            </w:r>
          </w:p>
          <w:p>
            <w:pPr>
              <w:pStyle w:val="TableParagraph"/>
              <w:spacing w:line="240" w:lineRule="auto" w:before="82"/>
              <w:ind w:right="-1"/>
              <w:jc w:val="right"/>
              <w:rPr>
                <w:rFonts w:ascii="Times New Roman" w:hAnsi="Times New Roman" w:cs="Times New Roman" w:eastAsia="Times New Roman" w:hint="default"/>
                <w:sz w:val="20"/>
                <w:szCs w:val="20"/>
              </w:rPr>
            </w:pPr>
            <w:r>
              <w:rPr>
                <w:rFonts w:ascii="Times New Roman"/>
                <w:w w:val="100"/>
                <w:sz w:val="20"/>
              </w:rPr>
              <w:t>6</w:t>
            </w:r>
          </w:p>
        </w:tc>
        <w:tc>
          <w:tcPr>
            <w:tcW w:w="8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left="19" w:right="-5"/>
              <w:jc w:val="left"/>
              <w:rPr>
                <w:rFonts w:ascii="Times New Roman" w:hAnsi="Times New Roman" w:cs="Times New Roman" w:eastAsia="Times New Roman" w:hint="default"/>
                <w:sz w:val="20"/>
                <w:szCs w:val="20"/>
              </w:rPr>
            </w:pPr>
            <w:r>
              <w:rPr>
                <w:rFonts w:ascii="Times New Roman"/>
                <w:sz w:val="20"/>
              </w:rPr>
              <w:t>13,473,61</w:t>
            </w:r>
          </w:p>
          <w:p>
            <w:pPr>
              <w:pStyle w:val="TableParagraph"/>
              <w:spacing w:line="240" w:lineRule="auto" w:before="82"/>
              <w:ind w:left="470" w:right="-5"/>
              <w:jc w:val="left"/>
              <w:rPr>
                <w:rFonts w:ascii="Times New Roman" w:hAnsi="Times New Roman" w:cs="Times New Roman" w:eastAsia="Times New Roman" w:hint="default"/>
                <w:sz w:val="20"/>
                <w:szCs w:val="20"/>
              </w:rPr>
            </w:pPr>
            <w:r>
              <w:rPr>
                <w:rFonts w:ascii="Times New Roman"/>
                <w:sz w:val="20"/>
              </w:rPr>
              <w:t>9.64</w:t>
            </w:r>
          </w:p>
        </w:tc>
        <w:tc>
          <w:tcPr>
            <w:tcW w:w="994" w:type="dxa"/>
            <w:tcBorders>
              <w:top w:val="single" w:sz="12" w:space="0" w:color="000000"/>
              <w:left w:val="single" w:sz="6" w:space="0" w:color="000000"/>
              <w:bottom w:val="single" w:sz="12" w:space="0" w:color="000000"/>
              <w:right w:val="single" w:sz="6" w:space="0" w:color="000000"/>
            </w:tcBorders>
          </w:tcPr>
          <w:p>
            <w:pPr/>
          </w:p>
        </w:tc>
        <w:tc>
          <w:tcPr>
            <w:tcW w:w="869" w:type="dxa"/>
            <w:tcBorders>
              <w:top w:val="single" w:sz="12" w:space="0" w:color="000000"/>
              <w:left w:val="single" w:sz="6" w:space="0" w:color="000000"/>
              <w:bottom w:val="single" w:sz="12" w:space="0" w:color="000000"/>
              <w:right w:val="single" w:sz="6" w:space="0" w:color="000000"/>
            </w:tcBorders>
          </w:tcPr>
          <w:p>
            <w:pPr/>
          </w:p>
        </w:tc>
        <w:tc>
          <w:tcPr>
            <w:tcW w:w="11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9"/>
              <w:jc w:val="right"/>
              <w:rPr>
                <w:rFonts w:ascii="Times New Roman" w:hAnsi="Times New Roman" w:cs="Times New Roman" w:eastAsia="Times New Roman" w:hint="default"/>
                <w:sz w:val="20"/>
                <w:szCs w:val="20"/>
              </w:rPr>
            </w:pPr>
            <w:r>
              <w:rPr>
                <w:rFonts w:ascii="Times New Roman"/>
                <w:spacing w:val="-1"/>
                <w:sz w:val="20"/>
              </w:rPr>
              <w:t>13,473,619.6</w:t>
            </w:r>
          </w:p>
          <w:p>
            <w:pPr>
              <w:pStyle w:val="TableParagraph"/>
              <w:spacing w:line="240" w:lineRule="auto" w:before="82"/>
              <w:ind w:right="-5"/>
              <w:jc w:val="right"/>
              <w:rPr>
                <w:rFonts w:ascii="Times New Roman" w:hAnsi="Times New Roman" w:cs="Times New Roman" w:eastAsia="Times New Roman" w:hint="default"/>
                <w:sz w:val="20"/>
                <w:szCs w:val="20"/>
              </w:rPr>
            </w:pPr>
            <w:r>
              <w:rPr>
                <w:rFonts w:ascii="Times New Roman"/>
                <w:w w:val="100"/>
                <w:sz w:val="20"/>
              </w:rPr>
              <w:t>4</w:t>
            </w:r>
          </w:p>
        </w:tc>
        <w:tc>
          <w:tcPr>
            <w:tcW w:w="830" w:type="dxa"/>
            <w:tcBorders>
              <w:top w:val="single" w:sz="12" w:space="0" w:color="000000"/>
              <w:left w:val="single" w:sz="6" w:space="0" w:color="000000"/>
              <w:bottom w:val="single" w:sz="12" w:space="0" w:color="000000"/>
              <w:right w:val="single" w:sz="6" w:space="0" w:color="000000"/>
            </w:tcBorders>
          </w:tcPr>
          <w:p>
            <w:pPr/>
          </w:p>
        </w:tc>
        <w:tc>
          <w:tcPr>
            <w:tcW w:w="1009" w:type="dxa"/>
            <w:tcBorders>
              <w:top w:val="single" w:sz="12" w:space="0" w:color="000000"/>
              <w:left w:val="single" w:sz="6" w:space="0" w:color="000000"/>
              <w:bottom w:val="single" w:sz="12" w:space="0" w:color="000000"/>
              <w:right w:val="single" w:sz="6" w:space="0" w:color="000000"/>
            </w:tcBorders>
          </w:tcPr>
          <w:p>
            <w:pPr/>
          </w:p>
        </w:tc>
        <w:tc>
          <w:tcPr>
            <w:tcW w:w="9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0"/>
                <w:szCs w:val="20"/>
              </w:rPr>
            </w:pPr>
            <w:r>
              <w:rPr>
                <w:rFonts w:ascii="Times New Roman"/>
                <w:spacing w:val="-1"/>
                <w:sz w:val="20"/>
              </w:rPr>
              <w:t>19,864,197</w:t>
            </w:r>
          </w:p>
          <w:p>
            <w:pPr>
              <w:pStyle w:val="TableParagraph"/>
              <w:spacing w:line="240" w:lineRule="auto" w:before="82"/>
              <w:ind w:right="3"/>
              <w:jc w:val="right"/>
              <w:rPr>
                <w:rFonts w:ascii="Times New Roman" w:hAnsi="Times New Roman" w:cs="Times New Roman" w:eastAsia="Times New Roman" w:hint="default"/>
                <w:sz w:val="20"/>
                <w:szCs w:val="20"/>
              </w:rPr>
            </w:pPr>
            <w:r>
              <w:rPr>
                <w:rFonts w:ascii="Times New Roman"/>
                <w:sz w:val="20"/>
              </w:rPr>
              <w:t>.30</w:t>
            </w:r>
          </w:p>
        </w:tc>
      </w:tr>
      <w:tr>
        <w:trPr>
          <w:trHeight w:val="980" w:hRule="exact"/>
        </w:trPr>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78" w:lineRule="auto"/>
              <w:ind w:left="4" w:right="1"/>
              <w:jc w:val="both"/>
              <w:rPr>
                <w:rFonts w:ascii="宋体" w:hAnsi="宋体" w:cs="宋体" w:eastAsia="宋体" w:hint="default"/>
                <w:sz w:val="20"/>
                <w:szCs w:val="20"/>
              </w:rPr>
            </w:pPr>
            <w:r>
              <w:rPr>
                <w:rFonts w:ascii="Times New Roman" w:hAnsi="Times New Roman" w:cs="Times New Roman" w:eastAsia="Times New Roman" w:hint="default"/>
                <w:spacing w:val="3"/>
                <w:sz w:val="20"/>
                <w:szCs w:val="20"/>
              </w:rPr>
              <w:t>1.</w:t>
            </w:r>
            <w:r>
              <w:rPr>
                <w:rFonts w:ascii="宋体" w:hAnsi="宋体" w:cs="宋体" w:eastAsia="宋体" w:hint="default"/>
                <w:spacing w:val="3"/>
                <w:sz w:val="20"/>
                <w:szCs w:val="20"/>
              </w:rPr>
              <w:t>权益法下可转</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损</w:t>
            </w:r>
            <w:r>
              <w:rPr>
                <w:rFonts w:ascii="宋体" w:hAnsi="宋体" w:cs="宋体" w:eastAsia="宋体" w:hint="default"/>
                <w:spacing w:val="-61"/>
                <w:sz w:val="20"/>
                <w:szCs w:val="20"/>
              </w:rPr>
              <w:t> </w:t>
            </w:r>
            <w:r>
              <w:rPr>
                <w:rFonts w:ascii="宋体" w:hAnsi="宋体" w:cs="宋体" w:eastAsia="宋体" w:hint="default"/>
                <w:sz w:val="20"/>
                <w:szCs w:val="20"/>
              </w:rPr>
              <w:t>益</w:t>
            </w:r>
            <w:r>
              <w:rPr>
                <w:rFonts w:ascii="宋体" w:hAnsi="宋体" w:cs="宋体" w:eastAsia="宋体" w:hint="default"/>
                <w:spacing w:val="-61"/>
                <w:sz w:val="20"/>
                <w:szCs w:val="20"/>
              </w:rPr>
              <w:t> </w:t>
            </w:r>
            <w:r>
              <w:rPr>
                <w:rFonts w:ascii="宋体" w:hAnsi="宋体" w:cs="宋体" w:eastAsia="宋体" w:hint="default"/>
                <w:sz w:val="20"/>
                <w:szCs w:val="20"/>
              </w:rPr>
              <w:t>的</w:t>
            </w:r>
            <w:r>
              <w:rPr>
                <w:rFonts w:ascii="宋体" w:hAnsi="宋体" w:cs="宋体" w:eastAsia="宋体" w:hint="default"/>
                <w:spacing w:val="-61"/>
                <w:sz w:val="20"/>
                <w:szCs w:val="20"/>
              </w:rPr>
              <w:t> </w:t>
            </w:r>
            <w:r>
              <w:rPr>
                <w:rFonts w:ascii="宋体" w:hAnsi="宋体" w:cs="宋体" w:eastAsia="宋体" w:hint="default"/>
                <w:sz w:val="20"/>
                <w:szCs w:val="20"/>
              </w:rPr>
              <w:t>其</w:t>
            </w:r>
            <w:r>
              <w:rPr>
                <w:rFonts w:ascii="宋体" w:hAnsi="宋体" w:cs="宋体" w:eastAsia="宋体" w:hint="default"/>
                <w:spacing w:val="-61"/>
                <w:sz w:val="20"/>
                <w:szCs w:val="20"/>
              </w:rPr>
              <w:t> </w:t>
            </w:r>
            <w:r>
              <w:rPr>
                <w:rFonts w:ascii="宋体" w:hAnsi="宋体" w:cs="宋体" w:eastAsia="宋体" w:hint="default"/>
                <w:sz w:val="20"/>
                <w:szCs w:val="20"/>
              </w:rPr>
              <w:t>他</w:t>
            </w:r>
            <w:r>
              <w:rPr>
                <w:rFonts w:ascii="宋体" w:hAnsi="宋体" w:cs="宋体" w:eastAsia="宋体" w:hint="default"/>
                <w:spacing w:val="-66"/>
                <w:sz w:val="20"/>
                <w:szCs w:val="20"/>
              </w:rPr>
              <w:t> </w:t>
            </w:r>
            <w:r>
              <w:rPr>
                <w:rFonts w:ascii="宋体" w:hAnsi="宋体" w:cs="宋体" w:eastAsia="宋体" w:hint="default"/>
                <w:sz w:val="20"/>
                <w:szCs w:val="20"/>
              </w:rPr>
              <w:t>综</w:t>
            </w:r>
            <w:r>
              <w:rPr>
                <w:rFonts w:ascii="宋体" w:hAnsi="宋体" w:cs="宋体" w:eastAsia="宋体" w:hint="default"/>
                <w:w w:val="100"/>
                <w:sz w:val="20"/>
                <w:szCs w:val="20"/>
              </w:rPr>
              <w:t> </w:t>
            </w:r>
            <w:r>
              <w:rPr>
                <w:rFonts w:ascii="宋体" w:hAnsi="宋体" w:cs="宋体" w:eastAsia="宋体" w:hint="default"/>
                <w:sz w:val="20"/>
                <w:szCs w:val="20"/>
              </w:rPr>
              <w:t>合收益</w:t>
            </w:r>
          </w:p>
        </w:tc>
        <w:tc>
          <w:tcPr>
            <w:tcW w:w="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3"/>
              <w:ind w:right="-2"/>
              <w:jc w:val="right"/>
              <w:rPr>
                <w:rFonts w:ascii="Times New Roman" w:hAnsi="Times New Roman" w:cs="Times New Roman" w:eastAsia="Times New Roman" w:hint="default"/>
                <w:sz w:val="20"/>
                <w:szCs w:val="20"/>
              </w:rPr>
            </w:pPr>
            <w:r>
              <w:rPr>
                <w:rFonts w:ascii="Times New Roman"/>
                <w:spacing w:val="-1"/>
                <w:sz w:val="20"/>
              </w:rPr>
              <w:t>-1,402,338.</w:t>
            </w:r>
          </w:p>
          <w:p>
            <w:pPr>
              <w:pStyle w:val="TableParagraph"/>
              <w:spacing w:line="240" w:lineRule="auto" w:before="82"/>
              <w:ind w:right="-1"/>
              <w:jc w:val="right"/>
              <w:rPr>
                <w:rFonts w:ascii="Times New Roman" w:hAnsi="Times New Roman" w:cs="Times New Roman" w:eastAsia="Times New Roman" w:hint="default"/>
                <w:sz w:val="20"/>
                <w:szCs w:val="20"/>
              </w:rPr>
            </w:pPr>
            <w:r>
              <w:rPr>
                <w:rFonts w:ascii="Times New Roman"/>
                <w:sz w:val="20"/>
              </w:rPr>
              <w:t>73</w:t>
            </w:r>
          </w:p>
        </w:tc>
        <w:tc>
          <w:tcPr>
            <w:tcW w:w="8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3"/>
              <w:ind w:right="-5"/>
              <w:jc w:val="right"/>
              <w:rPr>
                <w:rFonts w:ascii="Times New Roman" w:hAnsi="Times New Roman" w:cs="Times New Roman" w:eastAsia="Times New Roman" w:hint="default"/>
                <w:sz w:val="20"/>
                <w:szCs w:val="20"/>
              </w:rPr>
            </w:pPr>
            <w:r>
              <w:rPr>
                <w:rFonts w:ascii="Times New Roman"/>
                <w:spacing w:val="-1"/>
                <w:sz w:val="20"/>
              </w:rPr>
              <w:t>897,282.7</w:t>
            </w:r>
          </w:p>
          <w:p>
            <w:pPr>
              <w:pStyle w:val="TableParagraph"/>
              <w:spacing w:line="240" w:lineRule="auto" w:before="82"/>
              <w:ind w:right="-1"/>
              <w:jc w:val="right"/>
              <w:rPr>
                <w:rFonts w:ascii="Times New Roman" w:hAnsi="Times New Roman" w:cs="Times New Roman" w:eastAsia="Times New Roman" w:hint="default"/>
                <w:sz w:val="20"/>
                <w:szCs w:val="20"/>
              </w:rPr>
            </w:pPr>
            <w:r>
              <w:rPr>
                <w:rFonts w:ascii="Times New Roman"/>
                <w:w w:val="100"/>
                <w:sz w:val="20"/>
              </w:rPr>
              <w:t>1</w:t>
            </w:r>
          </w:p>
        </w:tc>
        <w:tc>
          <w:tcPr>
            <w:tcW w:w="994" w:type="dxa"/>
            <w:tcBorders>
              <w:top w:val="single" w:sz="12" w:space="0" w:color="000000"/>
              <w:left w:val="single" w:sz="6" w:space="0" w:color="000000"/>
              <w:bottom w:val="single" w:sz="12" w:space="0" w:color="000000"/>
              <w:right w:val="single" w:sz="6" w:space="0" w:color="000000"/>
            </w:tcBorders>
          </w:tcPr>
          <w:p>
            <w:pPr/>
          </w:p>
        </w:tc>
        <w:tc>
          <w:tcPr>
            <w:tcW w:w="869" w:type="dxa"/>
            <w:tcBorders>
              <w:top w:val="single" w:sz="12" w:space="0" w:color="000000"/>
              <w:left w:val="single" w:sz="6" w:space="0" w:color="000000"/>
              <w:bottom w:val="single" w:sz="12" w:space="0" w:color="000000"/>
              <w:right w:val="single" w:sz="6" w:space="0" w:color="000000"/>
            </w:tcBorders>
          </w:tcPr>
          <w:p>
            <w:pPr/>
          </w:p>
        </w:tc>
        <w:tc>
          <w:tcPr>
            <w:tcW w:w="11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3"/>
              <w:ind w:left="191" w:right="-9"/>
              <w:jc w:val="left"/>
              <w:rPr>
                <w:rFonts w:ascii="Times New Roman" w:hAnsi="Times New Roman" w:cs="Times New Roman" w:eastAsia="Times New Roman" w:hint="default"/>
                <w:sz w:val="20"/>
                <w:szCs w:val="20"/>
              </w:rPr>
            </w:pPr>
            <w:r>
              <w:rPr>
                <w:rFonts w:ascii="Times New Roman"/>
                <w:sz w:val="20"/>
              </w:rPr>
              <w:t>897,282.71</w:t>
            </w:r>
          </w:p>
        </w:tc>
        <w:tc>
          <w:tcPr>
            <w:tcW w:w="830" w:type="dxa"/>
            <w:tcBorders>
              <w:top w:val="single" w:sz="12" w:space="0" w:color="000000"/>
              <w:left w:val="single" w:sz="6" w:space="0" w:color="000000"/>
              <w:bottom w:val="single" w:sz="12" w:space="0" w:color="000000"/>
              <w:right w:val="single" w:sz="6" w:space="0" w:color="000000"/>
            </w:tcBorders>
          </w:tcPr>
          <w:p>
            <w:pPr/>
          </w:p>
        </w:tc>
        <w:tc>
          <w:tcPr>
            <w:tcW w:w="1009" w:type="dxa"/>
            <w:tcBorders>
              <w:top w:val="single" w:sz="12" w:space="0" w:color="000000"/>
              <w:left w:val="single" w:sz="6" w:space="0" w:color="000000"/>
              <w:bottom w:val="single" w:sz="12" w:space="0" w:color="000000"/>
              <w:right w:val="single" w:sz="6" w:space="0" w:color="000000"/>
            </w:tcBorders>
          </w:tcPr>
          <w:p>
            <w:pPr/>
          </w:p>
        </w:tc>
        <w:tc>
          <w:tcPr>
            <w:tcW w:w="9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3"/>
              <w:ind w:right="3"/>
              <w:jc w:val="right"/>
              <w:rPr>
                <w:rFonts w:ascii="Times New Roman" w:hAnsi="Times New Roman" w:cs="Times New Roman" w:eastAsia="Times New Roman" w:hint="default"/>
                <w:sz w:val="20"/>
                <w:szCs w:val="20"/>
              </w:rPr>
            </w:pPr>
            <w:r>
              <w:rPr>
                <w:rFonts w:ascii="Times New Roman"/>
                <w:spacing w:val="-1"/>
                <w:sz w:val="20"/>
              </w:rPr>
              <w:t>-505,056.0</w:t>
            </w:r>
          </w:p>
          <w:p>
            <w:pPr>
              <w:pStyle w:val="TableParagraph"/>
              <w:spacing w:line="240" w:lineRule="auto" w:before="82"/>
              <w:ind w:right="7"/>
              <w:jc w:val="right"/>
              <w:rPr>
                <w:rFonts w:ascii="Times New Roman" w:hAnsi="Times New Roman" w:cs="Times New Roman" w:eastAsia="Times New Roman" w:hint="default"/>
                <w:sz w:val="20"/>
                <w:szCs w:val="20"/>
              </w:rPr>
            </w:pPr>
            <w:r>
              <w:rPr>
                <w:rFonts w:ascii="Times New Roman"/>
                <w:w w:val="100"/>
                <w:sz w:val="20"/>
              </w:rPr>
              <w:t>2</w:t>
            </w:r>
          </w:p>
        </w:tc>
      </w:tr>
      <w:tr>
        <w:trPr>
          <w:trHeight w:val="662" w:hRule="exact"/>
        </w:trPr>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71" w:lineRule="auto"/>
              <w:ind w:left="4" w:right="1"/>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w:t>
            </w:r>
            <w:r>
              <w:rPr>
                <w:rFonts w:ascii="宋体" w:hAnsi="宋体" w:cs="宋体" w:eastAsia="宋体" w:hint="default"/>
                <w:spacing w:val="3"/>
                <w:sz w:val="20"/>
                <w:szCs w:val="20"/>
              </w:rPr>
              <w:t>外币财务报表</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折算差额</w:t>
            </w:r>
          </w:p>
        </w:tc>
        <w:tc>
          <w:tcPr>
            <w:tcW w:w="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4"/>
              <w:jc w:val="right"/>
              <w:rPr>
                <w:rFonts w:ascii="Times New Roman" w:hAnsi="Times New Roman" w:cs="Times New Roman" w:eastAsia="Times New Roman" w:hint="default"/>
                <w:sz w:val="20"/>
                <w:szCs w:val="20"/>
              </w:rPr>
            </w:pPr>
            <w:r>
              <w:rPr>
                <w:rFonts w:ascii="Times New Roman"/>
                <w:spacing w:val="-1"/>
                <w:sz w:val="20"/>
              </w:rPr>
              <w:t>7,792,916.3</w:t>
            </w:r>
          </w:p>
          <w:p>
            <w:pPr>
              <w:pStyle w:val="TableParagraph"/>
              <w:spacing w:line="240" w:lineRule="auto" w:before="82"/>
              <w:ind w:right="-1"/>
              <w:jc w:val="right"/>
              <w:rPr>
                <w:rFonts w:ascii="Times New Roman" w:hAnsi="Times New Roman" w:cs="Times New Roman" w:eastAsia="Times New Roman" w:hint="default"/>
                <w:sz w:val="20"/>
                <w:szCs w:val="20"/>
              </w:rPr>
            </w:pPr>
            <w:r>
              <w:rPr>
                <w:rFonts w:ascii="Times New Roman"/>
                <w:w w:val="100"/>
                <w:sz w:val="20"/>
              </w:rPr>
              <w:t>9</w:t>
            </w:r>
          </w:p>
        </w:tc>
        <w:tc>
          <w:tcPr>
            <w:tcW w:w="8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left="19" w:right="-5"/>
              <w:jc w:val="left"/>
              <w:rPr>
                <w:rFonts w:ascii="Times New Roman" w:hAnsi="Times New Roman" w:cs="Times New Roman" w:eastAsia="Times New Roman" w:hint="default"/>
                <w:sz w:val="20"/>
                <w:szCs w:val="20"/>
              </w:rPr>
            </w:pPr>
            <w:r>
              <w:rPr>
                <w:rFonts w:ascii="Times New Roman"/>
                <w:sz w:val="20"/>
              </w:rPr>
              <w:t>12,576,33</w:t>
            </w:r>
          </w:p>
          <w:p>
            <w:pPr>
              <w:pStyle w:val="TableParagraph"/>
              <w:spacing w:line="240" w:lineRule="auto" w:before="82"/>
              <w:ind w:left="470" w:right="-5"/>
              <w:jc w:val="left"/>
              <w:rPr>
                <w:rFonts w:ascii="Times New Roman" w:hAnsi="Times New Roman" w:cs="Times New Roman" w:eastAsia="Times New Roman" w:hint="default"/>
                <w:sz w:val="20"/>
                <w:szCs w:val="20"/>
              </w:rPr>
            </w:pPr>
            <w:r>
              <w:rPr>
                <w:rFonts w:ascii="Times New Roman"/>
                <w:sz w:val="20"/>
              </w:rPr>
              <w:t>6.93</w:t>
            </w:r>
          </w:p>
        </w:tc>
        <w:tc>
          <w:tcPr>
            <w:tcW w:w="994" w:type="dxa"/>
            <w:tcBorders>
              <w:top w:val="single" w:sz="12" w:space="0" w:color="000000"/>
              <w:left w:val="single" w:sz="6" w:space="0" w:color="000000"/>
              <w:bottom w:val="single" w:sz="12" w:space="0" w:color="000000"/>
              <w:right w:val="single" w:sz="6" w:space="0" w:color="000000"/>
            </w:tcBorders>
          </w:tcPr>
          <w:p>
            <w:pPr/>
          </w:p>
        </w:tc>
        <w:tc>
          <w:tcPr>
            <w:tcW w:w="869" w:type="dxa"/>
            <w:tcBorders>
              <w:top w:val="single" w:sz="12" w:space="0" w:color="000000"/>
              <w:left w:val="single" w:sz="6" w:space="0" w:color="000000"/>
              <w:bottom w:val="single" w:sz="12" w:space="0" w:color="000000"/>
              <w:right w:val="single" w:sz="6" w:space="0" w:color="000000"/>
            </w:tcBorders>
          </w:tcPr>
          <w:p>
            <w:pPr/>
          </w:p>
        </w:tc>
        <w:tc>
          <w:tcPr>
            <w:tcW w:w="11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9"/>
              <w:jc w:val="right"/>
              <w:rPr>
                <w:rFonts w:ascii="Times New Roman" w:hAnsi="Times New Roman" w:cs="Times New Roman" w:eastAsia="Times New Roman" w:hint="default"/>
                <w:sz w:val="20"/>
                <w:szCs w:val="20"/>
              </w:rPr>
            </w:pPr>
            <w:r>
              <w:rPr>
                <w:rFonts w:ascii="Times New Roman"/>
                <w:spacing w:val="-1"/>
                <w:sz w:val="20"/>
              </w:rPr>
              <w:t>12,576,336.9</w:t>
            </w:r>
          </w:p>
          <w:p>
            <w:pPr>
              <w:pStyle w:val="TableParagraph"/>
              <w:spacing w:line="240" w:lineRule="auto" w:before="82"/>
              <w:ind w:right="-5"/>
              <w:jc w:val="right"/>
              <w:rPr>
                <w:rFonts w:ascii="Times New Roman" w:hAnsi="Times New Roman" w:cs="Times New Roman" w:eastAsia="Times New Roman" w:hint="default"/>
                <w:sz w:val="20"/>
                <w:szCs w:val="20"/>
              </w:rPr>
            </w:pPr>
            <w:r>
              <w:rPr>
                <w:rFonts w:ascii="Times New Roman"/>
                <w:w w:val="100"/>
                <w:sz w:val="20"/>
              </w:rPr>
              <w:t>3</w:t>
            </w:r>
          </w:p>
        </w:tc>
        <w:tc>
          <w:tcPr>
            <w:tcW w:w="830" w:type="dxa"/>
            <w:tcBorders>
              <w:top w:val="single" w:sz="12" w:space="0" w:color="000000"/>
              <w:left w:val="single" w:sz="6" w:space="0" w:color="000000"/>
              <w:bottom w:val="single" w:sz="12" w:space="0" w:color="000000"/>
              <w:right w:val="single" w:sz="6" w:space="0" w:color="000000"/>
            </w:tcBorders>
          </w:tcPr>
          <w:p>
            <w:pPr/>
          </w:p>
        </w:tc>
        <w:tc>
          <w:tcPr>
            <w:tcW w:w="1009" w:type="dxa"/>
            <w:tcBorders>
              <w:top w:val="single" w:sz="12" w:space="0" w:color="000000"/>
              <w:left w:val="single" w:sz="6" w:space="0" w:color="000000"/>
              <w:bottom w:val="single" w:sz="12" w:space="0" w:color="000000"/>
              <w:right w:val="single" w:sz="6" w:space="0" w:color="000000"/>
            </w:tcBorders>
          </w:tcPr>
          <w:p>
            <w:pPr/>
          </w:p>
        </w:tc>
        <w:tc>
          <w:tcPr>
            <w:tcW w:w="9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0"/>
                <w:szCs w:val="20"/>
              </w:rPr>
            </w:pPr>
            <w:r>
              <w:rPr>
                <w:rFonts w:ascii="Times New Roman"/>
                <w:spacing w:val="-1"/>
                <w:sz w:val="20"/>
              </w:rPr>
              <w:t>20,369,253</w:t>
            </w:r>
          </w:p>
          <w:p>
            <w:pPr>
              <w:pStyle w:val="TableParagraph"/>
              <w:spacing w:line="240" w:lineRule="auto" w:before="82"/>
              <w:ind w:right="3"/>
              <w:jc w:val="right"/>
              <w:rPr>
                <w:rFonts w:ascii="Times New Roman" w:hAnsi="Times New Roman" w:cs="Times New Roman" w:eastAsia="Times New Roman" w:hint="default"/>
                <w:sz w:val="20"/>
                <w:szCs w:val="20"/>
              </w:rPr>
            </w:pPr>
            <w:r>
              <w:rPr>
                <w:rFonts w:ascii="Times New Roman"/>
                <w:sz w:val="20"/>
              </w:rPr>
              <w:t>.32</w:t>
            </w:r>
          </w:p>
        </w:tc>
      </w:tr>
    </w:tbl>
    <w:p>
      <w:pPr>
        <w:spacing w:after="0" w:line="240" w:lineRule="auto"/>
        <w:jc w:val="right"/>
        <w:rPr>
          <w:rFonts w:ascii="Times New Roman" w:hAnsi="Times New Roman" w:cs="Times New Roman" w:eastAsia="Times New Roman" w:hint="default"/>
          <w:sz w:val="20"/>
          <w:szCs w:val="20"/>
        </w:rPr>
        <w:sectPr>
          <w:pgSz w:w="11910" w:h="16840"/>
          <w:pgMar w:header="741" w:footer="979" w:top="1060" w:bottom="1160" w:left="980" w:right="0"/>
        </w:sectPr>
      </w:pPr>
    </w:p>
    <w:p>
      <w:pPr>
        <w:spacing w:line="240" w:lineRule="auto" w:before="11"/>
        <w:rPr>
          <w:rFonts w:ascii="宋体" w:hAnsi="宋体" w:cs="宋体" w:eastAsia="宋体" w:hint="default"/>
          <w:b/>
          <w:bCs/>
          <w:sz w:val="28"/>
          <w:szCs w:val="28"/>
        </w:rPr>
      </w:pPr>
    </w:p>
    <w:tbl>
      <w:tblPr>
        <w:tblW w:w="0" w:type="auto"/>
        <w:jc w:val="left"/>
        <w:tblInd w:w="143" w:type="dxa"/>
        <w:tblLayout w:type="fixed"/>
        <w:tblCellMar>
          <w:top w:w="0" w:type="dxa"/>
          <w:left w:w="0" w:type="dxa"/>
          <w:bottom w:w="0" w:type="dxa"/>
          <w:right w:w="0" w:type="dxa"/>
        </w:tblCellMar>
        <w:tblLook w:val="01E0"/>
      </w:tblPr>
      <w:tblGrid>
        <w:gridCol w:w="1417"/>
        <w:gridCol w:w="984"/>
        <w:gridCol w:w="835"/>
        <w:gridCol w:w="994"/>
        <w:gridCol w:w="869"/>
        <w:gridCol w:w="1100"/>
        <w:gridCol w:w="830"/>
        <w:gridCol w:w="1009"/>
        <w:gridCol w:w="944"/>
      </w:tblGrid>
      <w:tr>
        <w:trPr>
          <w:trHeight w:val="670" w:hRule="exact"/>
        </w:trPr>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85" w:lineRule="auto" w:before="1"/>
              <w:ind w:left="4" w:right="1"/>
              <w:jc w:val="left"/>
              <w:rPr>
                <w:rFonts w:ascii="宋体" w:hAnsi="宋体" w:cs="宋体" w:eastAsia="宋体" w:hint="default"/>
                <w:sz w:val="20"/>
                <w:szCs w:val="20"/>
              </w:rPr>
            </w:pPr>
            <w:r>
              <w:rPr>
                <w:rFonts w:ascii="宋体" w:hAnsi="宋体" w:cs="宋体" w:eastAsia="宋体" w:hint="default"/>
                <w:sz w:val="20"/>
                <w:szCs w:val="20"/>
              </w:rPr>
              <w:t>其</w:t>
            </w:r>
            <w:r>
              <w:rPr>
                <w:rFonts w:ascii="宋体" w:hAnsi="宋体" w:cs="宋体" w:eastAsia="宋体" w:hint="default"/>
                <w:spacing w:val="-61"/>
                <w:sz w:val="20"/>
                <w:szCs w:val="20"/>
              </w:rPr>
              <w:t> </w:t>
            </w:r>
            <w:r>
              <w:rPr>
                <w:rFonts w:ascii="宋体" w:hAnsi="宋体" w:cs="宋体" w:eastAsia="宋体" w:hint="default"/>
                <w:sz w:val="20"/>
                <w:szCs w:val="20"/>
              </w:rPr>
              <w:t>他</w:t>
            </w:r>
            <w:r>
              <w:rPr>
                <w:rFonts w:ascii="宋体" w:hAnsi="宋体" w:cs="宋体" w:eastAsia="宋体" w:hint="default"/>
                <w:spacing w:val="-61"/>
                <w:sz w:val="20"/>
                <w:szCs w:val="20"/>
              </w:rPr>
              <w:t> </w:t>
            </w:r>
            <w:r>
              <w:rPr>
                <w:rFonts w:ascii="宋体" w:hAnsi="宋体" w:cs="宋体" w:eastAsia="宋体" w:hint="default"/>
                <w:sz w:val="20"/>
                <w:szCs w:val="20"/>
              </w:rPr>
              <w:t>综</w:t>
            </w:r>
            <w:r>
              <w:rPr>
                <w:rFonts w:ascii="宋体" w:hAnsi="宋体" w:cs="宋体" w:eastAsia="宋体" w:hint="default"/>
                <w:spacing w:val="-61"/>
                <w:sz w:val="20"/>
                <w:szCs w:val="20"/>
              </w:rPr>
              <w:t> </w:t>
            </w:r>
            <w:r>
              <w:rPr>
                <w:rFonts w:ascii="宋体" w:hAnsi="宋体" w:cs="宋体" w:eastAsia="宋体" w:hint="default"/>
                <w:sz w:val="20"/>
                <w:szCs w:val="20"/>
              </w:rPr>
              <w:t>合</w:t>
            </w:r>
            <w:r>
              <w:rPr>
                <w:rFonts w:ascii="宋体" w:hAnsi="宋体" w:cs="宋体" w:eastAsia="宋体" w:hint="default"/>
                <w:spacing w:val="-61"/>
                <w:sz w:val="20"/>
                <w:szCs w:val="20"/>
              </w:rPr>
              <w:t> </w:t>
            </w:r>
            <w:r>
              <w:rPr>
                <w:rFonts w:ascii="宋体" w:hAnsi="宋体" w:cs="宋体" w:eastAsia="宋体" w:hint="default"/>
                <w:sz w:val="20"/>
                <w:szCs w:val="20"/>
              </w:rPr>
              <w:t>收</w:t>
            </w:r>
            <w:r>
              <w:rPr>
                <w:rFonts w:ascii="宋体" w:hAnsi="宋体" w:cs="宋体" w:eastAsia="宋体" w:hint="default"/>
                <w:spacing w:val="-66"/>
                <w:sz w:val="20"/>
                <w:szCs w:val="20"/>
              </w:rPr>
              <w:t> </w:t>
            </w:r>
            <w:r>
              <w:rPr>
                <w:rFonts w:ascii="宋体" w:hAnsi="宋体" w:cs="宋体" w:eastAsia="宋体" w:hint="default"/>
                <w:sz w:val="20"/>
                <w:szCs w:val="20"/>
              </w:rPr>
              <w:t>益</w:t>
            </w:r>
            <w:r>
              <w:rPr>
                <w:rFonts w:ascii="宋体" w:hAnsi="宋体" w:cs="宋体" w:eastAsia="宋体" w:hint="default"/>
                <w:w w:val="100"/>
                <w:sz w:val="20"/>
                <w:szCs w:val="20"/>
              </w:rPr>
              <w:t> </w:t>
            </w:r>
            <w:r>
              <w:rPr>
                <w:rFonts w:ascii="宋体" w:hAnsi="宋体" w:cs="宋体" w:eastAsia="宋体" w:hint="default"/>
                <w:sz w:val="20"/>
                <w:szCs w:val="20"/>
              </w:rPr>
              <w:t>合计</w:t>
            </w:r>
          </w:p>
        </w:tc>
        <w:tc>
          <w:tcPr>
            <w:tcW w:w="9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spacing w:val="-1"/>
                <w:sz w:val="20"/>
              </w:rPr>
              <w:t>14,817,686.</w:t>
            </w:r>
          </w:p>
          <w:p>
            <w:pPr>
              <w:pStyle w:val="TableParagraph"/>
              <w:spacing w:line="240" w:lineRule="auto" w:before="82"/>
              <w:ind w:right="-1"/>
              <w:jc w:val="right"/>
              <w:rPr>
                <w:rFonts w:ascii="Times New Roman" w:hAnsi="Times New Roman" w:cs="Times New Roman" w:eastAsia="Times New Roman" w:hint="default"/>
                <w:sz w:val="20"/>
                <w:szCs w:val="20"/>
              </w:rPr>
            </w:pPr>
            <w:r>
              <w:rPr>
                <w:rFonts w:ascii="Times New Roman"/>
                <w:sz w:val="20"/>
              </w:rPr>
              <w:t>26</w:t>
            </w:r>
          </w:p>
        </w:tc>
        <w:tc>
          <w:tcPr>
            <w:tcW w:w="8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spacing w:val="-1"/>
                <w:sz w:val="20"/>
              </w:rPr>
              <w:t>7,305,279</w:t>
            </w:r>
          </w:p>
          <w:p>
            <w:pPr>
              <w:pStyle w:val="TableParagraph"/>
              <w:spacing w:line="240" w:lineRule="auto" w:before="82"/>
              <w:ind w:right="-5"/>
              <w:jc w:val="right"/>
              <w:rPr>
                <w:rFonts w:ascii="Times New Roman" w:hAnsi="Times New Roman" w:cs="Times New Roman" w:eastAsia="Times New Roman" w:hint="default"/>
                <w:sz w:val="20"/>
                <w:szCs w:val="20"/>
              </w:rPr>
            </w:pPr>
            <w:r>
              <w:rPr>
                <w:rFonts w:ascii="Times New Roman"/>
                <w:sz w:val="20"/>
              </w:rPr>
              <w:t>.26</w:t>
            </w:r>
          </w:p>
        </w:tc>
        <w:tc>
          <w:tcPr>
            <w:tcW w:w="994" w:type="dxa"/>
            <w:tcBorders>
              <w:top w:val="single" w:sz="6" w:space="0" w:color="000000"/>
              <w:left w:val="single" w:sz="6" w:space="0" w:color="000000"/>
              <w:bottom w:val="single" w:sz="12" w:space="0" w:color="000000"/>
              <w:right w:val="single" w:sz="6" w:space="0" w:color="000000"/>
            </w:tcBorders>
          </w:tcPr>
          <w:p>
            <w:pPr/>
          </w:p>
        </w:tc>
        <w:tc>
          <w:tcPr>
            <w:tcW w:w="8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86" w:right="-4"/>
              <w:jc w:val="left"/>
              <w:rPr>
                <w:rFonts w:ascii="Times New Roman" w:hAnsi="Times New Roman" w:cs="Times New Roman" w:eastAsia="Times New Roman" w:hint="default"/>
                <w:sz w:val="20"/>
                <w:szCs w:val="20"/>
              </w:rPr>
            </w:pPr>
            <w:r>
              <w:rPr>
                <w:rFonts w:ascii="Times New Roman"/>
                <w:sz w:val="20"/>
              </w:rPr>
              <w:t>-1,542,08</w:t>
            </w:r>
          </w:p>
          <w:p>
            <w:pPr>
              <w:pStyle w:val="TableParagraph"/>
              <w:spacing w:line="240" w:lineRule="auto" w:before="82"/>
              <w:ind w:left="504" w:right="-5"/>
              <w:jc w:val="left"/>
              <w:rPr>
                <w:rFonts w:ascii="Times New Roman" w:hAnsi="Times New Roman" w:cs="Times New Roman" w:eastAsia="Times New Roman" w:hint="default"/>
                <w:sz w:val="20"/>
                <w:szCs w:val="20"/>
              </w:rPr>
            </w:pPr>
            <w:r>
              <w:rPr>
                <w:rFonts w:ascii="Times New Roman"/>
                <w:sz w:val="20"/>
              </w:rPr>
              <w:t>5.09</w:t>
            </w:r>
          </w:p>
        </w:tc>
        <w:tc>
          <w:tcPr>
            <w:tcW w:w="11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38" w:right="-9"/>
              <w:jc w:val="left"/>
              <w:rPr>
                <w:rFonts w:ascii="Times New Roman" w:hAnsi="Times New Roman" w:cs="Times New Roman" w:eastAsia="Times New Roman" w:hint="default"/>
                <w:sz w:val="20"/>
                <w:szCs w:val="20"/>
              </w:rPr>
            </w:pPr>
            <w:r>
              <w:rPr>
                <w:rFonts w:ascii="Times New Roman"/>
                <w:sz w:val="20"/>
              </w:rPr>
              <w:t>8,847,364.35</w:t>
            </w:r>
          </w:p>
        </w:tc>
        <w:tc>
          <w:tcPr>
            <w:tcW w:w="830" w:type="dxa"/>
            <w:tcBorders>
              <w:top w:val="single" w:sz="6" w:space="0" w:color="000000"/>
              <w:left w:val="single" w:sz="6" w:space="0" w:color="000000"/>
              <w:bottom w:val="single" w:sz="12" w:space="0" w:color="000000"/>
              <w:right w:val="single" w:sz="6" w:space="0" w:color="000000"/>
            </w:tcBorders>
          </w:tcPr>
          <w:p>
            <w:pPr/>
          </w:p>
        </w:tc>
        <w:tc>
          <w:tcPr>
            <w:tcW w:w="10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spacing w:val="-1"/>
                <w:sz w:val="20"/>
              </w:rPr>
              <w:t>5,287,794.9</w:t>
            </w:r>
          </w:p>
          <w:p>
            <w:pPr>
              <w:pStyle w:val="TableParagraph"/>
              <w:spacing w:line="240" w:lineRule="auto" w:before="82"/>
              <w:ind w:right="-1"/>
              <w:jc w:val="right"/>
              <w:rPr>
                <w:rFonts w:ascii="Times New Roman" w:hAnsi="Times New Roman" w:cs="Times New Roman" w:eastAsia="Times New Roman" w:hint="default"/>
                <w:sz w:val="20"/>
                <w:szCs w:val="20"/>
              </w:rPr>
            </w:pPr>
            <w:r>
              <w:rPr>
                <w:rFonts w:ascii="Times New Roman"/>
                <w:w w:val="100"/>
                <w:sz w:val="20"/>
              </w:rPr>
              <w:t>2</w:t>
            </w:r>
          </w:p>
        </w:tc>
        <w:tc>
          <w:tcPr>
            <w:tcW w:w="94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spacing w:val="-1"/>
                <w:sz w:val="20"/>
              </w:rPr>
              <w:t>28,952,845</w:t>
            </w:r>
          </w:p>
          <w:p>
            <w:pPr>
              <w:pStyle w:val="TableParagraph"/>
              <w:spacing w:line="240" w:lineRule="auto" w:before="82"/>
              <w:ind w:right="3"/>
              <w:jc w:val="right"/>
              <w:rPr>
                <w:rFonts w:ascii="Times New Roman" w:hAnsi="Times New Roman" w:cs="Times New Roman" w:eastAsia="Times New Roman" w:hint="default"/>
                <w:sz w:val="20"/>
                <w:szCs w:val="20"/>
              </w:rPr>
            </w:pPr>
            <w:r>
              <w:rPr>
                <w:rFonts w:ascii="Times New Roman"/>
                <w:sz w:val="20"/>
              </w:rPr>
              <w:t>.53</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bookmarkStart w:name="33、盈余公积" w:id="291"/>
      <w:bookmarkEnd w:id="291"/>
      <w:r>
        <w:rPr>
          <w:b w:val="0"/>
          <w:bCs w:val="0"/>
        </w:rPr>
      </w:r>
      <w:r>
        <w:rPr>
          <w:rFonts w:ascii="Times New Roman" w:hAnsi="Times New Roman" w:cs="Times New Roman" w:eastAsia="Times New Roman" w:hint="default"/>
        </w:rPr>
        <w:t>33</w:t>
      </w:r>
      <w:r>
        <w:rPr/>
        <w:t>、盈余公积</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12,105,259.52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6,960,030.99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19,065,290.51</w:t>
            </w:r>
          </w:p>
        </w:tc>
      </w:tr>
      <w:tr>
        <w:trPr>
          <w:trHeight w:val="399"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12,105,259.52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6,960,030.99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19,065,290.51</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盈余公积说明，包括本期增减变动情况、变动原因说明：</w:t>
      </w:r>
    </w:p>
    <w:p>
      <w:pPr>
        <w:spacing w:line="300" w:lineRule="auto" w:before="115"/>
        <w:ind w:left="153"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：本期增加中本期计提金额为 </w:t>
      </w:r>
      <w:r>
        <w:rPr>
          <w:rFonts w:ascii="Times New Roman" w:hAnsi="Times New Roman" w:cs="Times New Roman" w:eastAsia="Times New Roman" w:hint="default"/>
          <w:spacing w:val="-3"/>
          <w:sz w:val="18"/>
          <w:szCs w:val="18"/>
        </w:rPr>
        <w:t>7,665,070.31</w:t>
      </w:r>
      <w:r>
        <w:rPr>
          <w:rFonts w:ascii="宋体" w:hAnsi="宋体" w:cs="宋体" w:eastAsia="宋体" w:hint="default"/>
          <w:spacing w:val="-3"/>
          <w:sz w:val="18"/>
          <w:szCs w:val="18"/>
        </w:rPr>
        <w:t>元，其余为其他权益工具结转留存收益对盈余公积的影响金额。</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pacing w:val="-3"/>
          <w:sz w:val="18"/>
          <w:szCs w:val="18"/>
        </w:rPr>
        <w:t>注</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：根据公司法、章程的规定，本公司按净利润的</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提取法定盈余公积金。法定盈余公积累计额为本公司注册资本</w:t>
      </w:r>
      <w:r>
        <w:rPr>
          <w:rFonts w:ascii="Times New Roman" w:hAnsi="Times New Roman" w:cs="Times New Roman" w:eastAsia="Times New Roman" w:hint="default"/>
          <w:spacing w:val="-3"/>
          <w:sz w:val="18"/>
          <w:szCs w:val="18"/>
        </w:rPr>
        <w:t>50%</w:t>
      </w:r>
      <w:r>
        <w:rPr>
          <w:rFonts w:ascii="Times New Roman" w:hAnsi="Times New Roman" w:cs="Times New Roman" w:eastAsia="Times New Roman" w:hint="default"/>
          <w:spacing w:val="34"/>
          <w:sz w:val="18"/>
          <w:szCs w:val="18"/>
        </w:rPr>
        <w:t> </w:t>
      </w:r>
      <w:r>
        <w:rPr>
          <w:rFonts w:ascii="Times New Roman" w:hAnsi="Times New Roman" w:cs="Times New Roman" w:eastAsia="Times New Roman" w:hint="default"/>
          <w:spacing w:val="34"/>
          <w:sz w:val="18"/>
          <w:szCs w:val="18"/>
        </w:rPr>
      </w:r>
      <w:r>
        <w:rPr>
          <w:rFonts w:ascii="宋体" w:hAnsi="宋体" w:cs="宋体" w:eastAsia="宋体" w:hint="default"/>
          <w:sz w:val="18"/>
          <w:szCs w:val="18"/>
        </w:rPr>
        <w:t>以上的，可不再提取。</w:t>
      </w: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bookmarkStart w:name="34、未分配利润" w:id="292"/>
      <w:bookmarkEnd w:id="292"/>
      <w:r>
        <w:rPr>
          <w:b w:val="0"/>
          <w:bCs w:val="0"/>
        </w:rPr>
      </w:r>
      <w:r>
        <w:rPr>
          <w:rFonts w:ascii="Times New Roman" w:hAnsi="Times New Roman" w:cs="Times New Roman" w:eastAsia="Times New Roman" w:hint="default"/>
        </w:rPr>
        <w:t>34</w:t>
      </w:r>
      <w:r>
        <w:rPr/>
        <w:t>、未分配利润</w:t>
      </w:r>
      <w:r>
        <w:rPr>
          <w:b w:val="0"/>
          <w:bCs w:val="0"/>
        </w:rPr>
      </w:r>
    </w:p>
    <w:p>
      <w:pPr>
        <w:spacing w:line="240" w:lineRule="auto" w:before="9"/>
        <w:rPr>
          <w:rFonts w:ascii="宋体" w:hAnsi="宋体" w:cs="宋体" w:eastAsia="宋体" w:hint="default"/>
          <w:b/>
          <w:bCs/>
          <w:sz w:val="26"/>
          <w:szCs w:val="26"/>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702"/>
        <w:gridCol w:w="2936"/>
        <w:gridCol w:w="2919"/>
      </w:tblGrid>
      <w:tr>
        <w:trPr>
          <w:trHeight w:val="401"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pacing w:val="-3"/>
                <w:sz w:val="18"/>
                <w:szCs w:val="18"/>
              </w:rPr>
              <w:t>调整前上期末未分配利润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2"/>
                <w:sz w:val="18"/>
              </w:rPr>
              <w:t>1,183,914,073.79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901,523,172.91</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调整期初未分配利润合计数（调增</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，调减</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-18,482,495.47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-6,086,256.37</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1,165,431,578.32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895,436,916.54</w:t>
            </w:r>
          </w:p>
        </w:tc>
      </w:tr>
      <w:tr>
        <w:trPr>
          <w:trHeight w:val="401"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加：本期归属于母公司所有者的净利润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219,048,159.38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321,211,367.56</w:t>
            </w:r>
          </w:p>
        </w:tc>
      </w:tr>
      <w:tr>
        <w:trPr>
          <w:trHeight w:val="401"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7,665,070.31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3,309,958.01</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应付普通股股利</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32,226,562.06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29,424,252.30</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45" w:right="0"/>
              <w:jc w:val="left"/>
              <w:rPr>
                <w:rFonts w:ascii="宋体" w:hAnsi="宋体" w:cs="宋体" w:eastAsia="宋体" w:hint="default"/>
                <w:sz w:val="18"/>
                <w:szCs w:val="18"/>
              </w:rPr>
            </w:pPr>
            <w:r>
              <w:rPr>
                <w:rFonts w:ascii="宋体" w:hAnsi="宋体" w:cs="宋体" w:eastAsia="宋体" w:hint="default"/>
                <w:spacing w:val="-3"/>
                <w:sz w:val="18"/>
                <w:szCs w:val="18"/>
              </w:rPr>
              <w:t>处置（退出）其他权益工具</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6,345,353.91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期末未分配利润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1,338,242,751.42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1,183,914,073.79</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调整期初未分配利润明细：</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、由于《企业会计准则》及其相关新规定进行追溯调整，影响期初未分配利润元。</w:t>
      </w:r>
    </w:p>
    <w:p>
      <w:pPr>
        <w:spacing w:before="10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、由于会计政策变更，影响期初未分配利润</w:t>
      </w:r>
      <w:r>
        <w:rPr>
          <w:rFonts w:ascii="Times New Roman" w:hAnsi="Times New Roman" w:cs="Times New Roman" w:eastAsia="Times New Roman" w:hint="default"/>
          <w:spacing w:val="-2"/>
          <w:sz w:val="18"/>
          <w:szCs w:val="18"/>
        </w:rPr>
        <w:t>-18,482,495.47</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8"/>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p>
      <w:pPr>
        <w:spacing w:before="10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、由于重大会计差错更正，影响期初未分配利润元。</w:t>
      </w:r>
    </w:p>
    <w:p>
      <w:pPr>
        <w:spacing w:before="10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、由于同一控制导致的合并范围变更，影响期初未分配利润元。</w:t>
      </w:r>
    </w:p>
    <w:p>
      <w:pPr>
        <w:spacing w:before="10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、其他调整合计影响期初未分配利润元。</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35、营业收入和营业成本" w:id="293"/>
      <w:bookmarkEnd w:id="293"/>
      <w:r>
        <w:rPr>
          <w:b w:val="0"/>
          <w:bCs w:val="0"/>
        </w:rPr>
      </w:r>
      <w:r>
        <w:rPr>
          <w:rFonts w:ascii="Times New Roman" w:hAnsi="Times New Roman" w:cs="Times New Roman" w:eastAsia="Times New Roman" w:hint="default"/>
        </w:rPr>
        <w:t>35</w:t>
      </w:r>
      <w:r>
        <w:rPr/>
        <w:t>、营业收入和营业成本</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4"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717,136,361.31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266,467,244.32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987,837,517.43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349,166,381.63</w:t>
            </w: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4,970,667.32</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722,107,028.63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266,467,244.32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987,837,517.43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349,166,381.63</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338" w:lineRule="auto" w:before="119"/>
        <w:ind w:left="153" w:right="93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r>
        <w:rPr>
          <w:rFonts w:ascii="宋体" w:hAnsi="宋体" w:cs="宋体" w:eastAsia="宋体" w:hint="default"/>
          <w:w w:val="101"/>
          <w:sz w:val="18"/>
          <w:szCs w:val="18"/>
        </w:rPr>
        <w:t> </w:t>
      </w:r>
      <w:r>
        <w:rPr>
          <w:rFonts w:ascii="宋体" w:hAnsi="宋体" w:cs="宋体" w:eastAsia="宋体" w:hint="default"/>
          <w:sz w:val="18"/>
          <w:szCs w:val="18"/>
        </w:rPr>
        <w:t>其他说明</w:t>
      </w:r>
    </w:p>
    <w:p>
      <w:pPr>
        <w:pStyle w:val="Heading3"/>
        <w:spacing w:line="242" w:lineRule="auto" w:before="90"/>
        <w:ind w:left="153" w:right="0" w:firstLine="441"/>
        <w:jc w:val="left"/>
      </w:pPr>
      <w:r>
        <w:rPr>
          <w:spacing w:val="-1"/>
        </w:rPr>
        <w:t>注：营业收入本年较上年减少</w:t>
      </w:r>
      <w:r>
        <w:rPr>
          <w:rFonts w:ascii="Times New Roman" w:hAnsi="Times New Roman" w:cs="Times New Roman" w:eastAsia="Times New Roman" w:hint="default"/>
          <w:spacing w:val="-1"/>
        </w:rPr>
        <w:t>265,730,488.80</w:t>
      </w:r>
      <w:r>
        <w:rPr>
          <w:spacing w:val="-1"/>
        </w:rPr>
        <w:t>元，减幅</w:t>
      </w:r>
      <w:r>
        <w:rPr>
          <w:rFonts w:ascii="Times New Roman" w:hAnsi="Times New Roman" w:cs="Times New Roman" w:eastAsia="Times New Roman" w:hint="default"/>
          <w:spacing w:val="-1"/>
        </w:rPr>
        <w:t>26.90%</w:t>
      </w:r>
      <w:r>
        <w:rPr>
          <w:spacing w:val="-1"/>
        </w:rPr>
        <w:t>，主要系合并报表范围变动及受到</w:t>
      </w:r>
      <w:r>
        <w:rPr>
          <w:w w:val="100"/>
        </w:rPr>
        <w:t> </w:t>
      </w:r>
      <w:r>
        <w:rPr/>
        <w:t>两次网站整改所致。</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4"/>
        <w:spacing w:line="240" w:lineRule="auto" w:before="187"/>
        <w:ind w:right="0"/>
        <w:jc w:val="left"/>
        <w:rPr>
          <w:b w:val="0"/>
          <w:bCs w:val="0"/>
        </w:rPr>
      </w:pPr>
      <w:bookmarkStart w:name="36、税金及附加" w:id="294"/>
      <w:bookmarkEnd w:id="294"/>
      <w:r>
        <w:rPr>
          <w:b w:val="0"/>
          <w:bCs w:val="0"/>
        </w:rPr>
      </w:r>
      <w:r>
        <w:rPr>
          <w:rFonts w:ascii="Times New Roman" w:hAnsi="Times New Roman" w:cs="Times New Roman" w:eastAsia="Times New Roman" w:hint="default"/>
        </w:rPr>
        <w:t>36</w:t>
      </w:r>
      <w:r>
        <w:rPr/>
        <w:t>、税金及附加</w:t>
      </w:r>
      <w:r>
        <w:rPr>
          <w:b w:val="0"/>
          <w:bCs w:val="0"/>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1,712,007.81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3,039,853.96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733,663.12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1,314,853.14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440,320.04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1,457,948.07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489,108.78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871,120.09</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残疾人保障基金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141,771.72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167,164.78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文化教育事业费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419,347.50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681,730.44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209,741.85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13,583.51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3,936,218.97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7,755,995.84</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37、销售费用" w:id="295"/>
      <w:bookmarkEnd w:id="295"/>
      <w:r>
        <w:rPr>
          <w:b w:val="0"/>
          <w:bCs w:val="0"/>
        </w:rPr>
      </w:r>
      <w:r>
        <w:rPr>
          <w:rFonts w:ascii="Times New Roman" w:hAnsi="Times New Roman" w:cs="Times New Roman" w:eastAsia="Times New Roman" w:hint="default"/>
        </w:rPr>
        <w:t>37</w:t>
      </w:r>
      <w:r>
        <w:rPr/>
        <w:t>、销售费用</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63,834,086.22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56,147,122.49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515,413.68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7,794,152.36</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4,447,043.14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4,911,619.61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4,688,475.79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3,341,146.91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1,688,617.67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2,751,721.03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197,258.13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1,624,782.80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212,230.05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1,388,018.95</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1,195,765.54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1,098,619.93</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1,150,389.71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656,686.09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维保费</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596,400.00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184,417.39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396,307.83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78,113,697.32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80,706,578.00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38、管理费用" w:id="296"/>
      <w:bookmarkEnd w:id="296"/>
      <w:r>
        <w:rPr>
          <w:b w:val="0"/>
          <w:bCs w:val="0"/>
        </w:rPr>
      </w:r>
      <w:r>
        <w:rPr>
          <w:rFonts w:ascii="Times New Roman" w:hAnsi="Times New Roman" w:cs="Times New Roman" w:eastAsia="Times New Roman" w:hint="default"/>
        </w:rPr>
        <w:t>38</w:t>
      </w:r>
      <w:r>
        <w:rPr/>
        <w:t>、管理费用</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50,591,861.83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44,610,290.91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2,818,237.27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14,573,225.05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19,051,310.91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15,714,399.99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14,589,924.07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10,430,683.88</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折旧费及摊销费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6,776,986.29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10,874,384.15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1,909,297.78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5,817,169.18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品牌推广费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1,684,912.09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4,633,800.47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5,170,971.70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3,204,118.78</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756,229.85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1,259,559.65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1,416,312.53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1,255,809.89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107,092.38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718,433.28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660,261.49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800,853.14</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105,533,398.19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113,892,728.37</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bookmarkStart w:name="39、研发费用" w:id="297"/>
      <w:bookmarkEnd w:id="297"/>
      <w:r>
        <w:rPr>
          <w:b w:val="0"/>
          <w:bCs w:val="0"/>
        </w:rPr>
      </w:r>
      <w:r>
        <w:rPr>
          <w:rFonts w:ascii="Times New Roman" w:hAnsi="Times New Roman" w:cs="Times New Roman" w:eastAsia="Times New Roman" w:hint="default"/>
        </w:rPr>
        <w:t>39</w:t>
      </w:r>
      <w:r>
        <w:rPr/>
        <w:t>、研发费用</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14,301,099.68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30,070,820.95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自行开发无形资产的摊销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6,364,518.56</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228,996.60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101,072.52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1,006,292.12</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1,284,403.45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1,838,117.20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技术服务费用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20,846,433.56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12,489,314.89</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44,031,743.97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44,499,325.56</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40、财务费用" w:id="298"/>
      <w:bookmarkEnd w:id="298"/>
      <w:r>
        <w:rPr>
          <w:b w:val="0"/>
          <w:bCs w:val="0"/>
        </w:rPr>
      </w:r>
      <w:r>
        <w:rPr>
          <w:rFonts w:ascii="Times New Roman" w:hAnsi="Times New Roman" w:cs="Times New Roman" w:eastAsia="Times New Roman" w:hint="default"/>
        </w:rPr>
        <w:t>40</w:t>
      </w:r>
      <w:r>
        <w:rPr/>
        <w:t>、财务费用</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28,109,113.17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34,947,864.42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8,476,826.16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9,275,630.21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-2,054,002.29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-3,557,625.00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5,096,265.44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4,210,294.02</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22,674,550.16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26,324,903.23</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bookmarkStart w:name="41、其他收益" w:id="299"/>
      <w:bookmarkEnd w:id="299"/>
      <w:r>
        <w:rPr>
          <w:b w:val="0"/>
          <w:bCs w:val="0"/>
        </w:rPr>
      </w:r>
      <w:r>
        <w:rPr>
          <w:rFonts w:ascii="Times New Roman" w:hAnsi="Times New Roman" w:cs="Times New Roman" w:eastAsia="Times New Roman" w:hint="default"/>
        </w:rPr>
        <w:t>41</w:t>
      </w:r>
      <w:r>
        <w:rPr/>
        <w:t>、其他收益</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82" w:right="0"/>
              <w:jc w:val="left"/>
              <w:rPr>
                <w:rFonts w:ascii="宋体" w:hAnsi="宋体" w:cs="宋体" w:eastAsia="宋体" w:hint="default"/>
                <w:sz w:val="18"/>
                <w:szCs w:val="18"/>
              </w:rPr>
            </w:pPr>
            <w:r>
              <w:rPr>
                <w:rFonts w:ascii="宋体" w:hAnsi="宋体" w:cs="宋体" w:eastAsia="宋体" w:hint="default"/>
                <w:spacing w:val="-3"/>
                <w:sz w:val="18"/>
                <w:szCs w:val="18"/>
              </w:rPr>
              <w:t>产生其他收益的来源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代扣代缴税费手续费返还</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586,697.42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21,732.93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公共旅游智慧平台项目</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800,000.00</w:t>
            </w:r>
          </w:p>
        </w:tc>
      </w:tr>
      <w:tr>
        <w:trPr>
          <w:trHeight w:val="71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89"/>
              <w:jc w:val="left"/>
              <w:rPr>
                <w:rFonts w:ascii="宋体" w:hAnsi="宋体" w:cs="宋体" w:eastAsia="宋体" w:hint="default"/>
                <w:sz w:val="18"/>
                <w:szCs w:val="18"/>
              </w:rPr>
            </w:pPr>
            <w:r>
              <w:rPr>
                <w:rFonts w:ascii="宋体" w:hAnsi="宋体" w:cs="宋体" w:eastAsia="宋体" w:hint="default"/>
                <w:spacing w:val="-3"/>
                <w:sz w:val="18"/>
                <w:szCs w:val="18"/>
              </w:rPr>
              <w:t>互联网图片深度标引及侵权追踪技术研</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究</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梅龙镇企业扶持资金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450,000.00</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89"/>
              <w:jc w:val="left"/>
              <w:rPr>
                <w:rFonts w:ascii="宋体" w:hAnsi="宋体" w:cs="宋体" w:eastAsia="宋体" w:hint="default"/>
                <w:sz w:val="18"/>
                <w:szCs w:val="18"/>
              </w:rPr>
            </w:pPr>
            <w:r>
              <w:rPr>
                <w:rFonts w:ascii="宋体" w:hAnsi="宋体" w:cs="宋体" w:eastAsia="宋体" w:hint="default"/>
                <w:spacing w:val="-3"/>
                <w:sz w:val="18"/>
                <w:szCs w:val="18"/>
              </w:rPr>
              <w:t>深度学习技术的新闻图像自动索引与分</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发系统</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450,000.00</w:t>
            </w: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89"/>
              <w:jc w:val="left"/>
              <w:rPr>
                <w:rFonts w:ascii="宋体" w:hAnsi="宋体" w:cs="宋体" w:eastAsia="宋体" w:hint="default"/>
                <w:sz w:val="18"/>
                <w:szCs w:val="18"/>
              </w:rPr>
            </w:pPr>
            <w:r>
              <w:rPr>
                <w:rFonts w:ascii="宋体" w:hAnsi="宋体" w:cs="宋体" w:eastAsia="宋体" w:hint="default"/>
                <w:spacing w:val="-3"/>
                <w:sz w:val="18"/>
                <w:szCs w:val="18"/>
              </w:rPr>
              <w:t>中国传统文化设计素材公共服务平台建</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增值税即征即退</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6,305,215.48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专利资助经费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天津市武清区大良镇企业服务资金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89"/>
              <w:jc w:val="left"/>
              <w:rPr>
                <w:rFonts w:ascii="宋体" w:hAnsi="宋体" w:cs="宋体" w:eastAsia="宋体" w:hint="default"/>
                <w:sz w:val="18"/>
                <w:szCs w:val="18"/>
              </w:rPr>
            </w:pPr>
            <w:r>
              <w:rPr>
                <w:rFonts w:ascii="宋体" w:hAnsi="宋体" w:cs="宋体" w:eastAsia="宋体" w:hint="default"/>
                <w:spacing w:val="-3"/>
                <w:sz w:val="18"/>
                <w:szCs w:val="18"/>
              </w:rPr>
              <w:t>天津市财政局服务出口企业财政扶持资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10,758.94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1,738,197.42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10,737,707.35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42、投资收益" w:id="300"/>
      <w:bookmarkEnd w:id="300"/>
      <w:r>
        <w:rPr>
          <w:b w:val="0"/>
          <w:bCs w:val="0"/>
        </w:rPr>
      </w:r>
      <w:r>
        <w:rPr>
          <w:rFonts w:ascii="Times New Roman" w:hAnsi="Times New Roman" w:cs="Times New Roman" w:eastAsia="Times New Roman" w:hint="default"/>
        </w:rPr>
        <w:t>42</w:t>
      </w:r>
      <w:r>
        <w:rPr/>
        <w:t>、投资收益</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438"/>
        <w:gridCol w:w="3200"/>
        <w:gridCol w:w="2919"/>
      </w:tblGrid>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权益法核算的长期股权投资收益</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56,666,640.48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48,212,867.99</w:t>
            </w:r>
          </w:p>
        </w:tc>
      </w:tr>
      <w:tr>
        <w:trPr>
          <w:trHeight w:val="404"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处置长期股权投资产生的投资收益</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1,583,818.63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-18,757,617.29</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处置可供出售金融资产取得的投资收益</w:t>
            </w:r>
          </w:p>
        </w:tc>
        <w:tc>
          <w:tcPr>
            <w:tcW w:w="3200"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3,564,359.03</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0"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-179,484.50</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58,250,459.11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32,840,125.23</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43、公允价值变动收益" w:id="301"/>
      <w:bookmarkEnd w:id="301"/>
      <w:r>
        <w:rPr>
          <w:b w:val="0"/>
          <w:bCs w:val="0"/>
        </w:rPr>
      </w:r>
      <w:r>
        <w:rPr>
          <w:rFonts w:ascii="Times New Roman" w:hAnsi="Times New Roman" w:cs="Times New Roman" w:eastAsia="Times New Roman" w:hint="default"/>
        </w:rPr>
        <w:t>43</w:t>
      </w:r>
      <w:r>
        <w:rPr/>
        <w:t>、公允价值变动收益</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05" w:right="0"/>
              <w:jc w:val="left"/>
              <w:rPr>
                <w:rFonts w:ascii="宋体" w:hAnsi="宋体" w:cs="宋体" w:eastAsia="宋体" w:hint="default"/>
                <w:sz w:val="18"/>
                <w:szCs w:val="18"/>
              </w:rPr>
            </w:pPr>
            <w:r>
              <w:rPr>
                <w:rFonts w:ascii="宋体" w:hAnsi="宋体" w:cs="宋体" w:eastAsia="宋体" w:hint="default"/>
                <w:spacing w:val="-3"/>
                <w:sz w:val="18"/>
                <w:szCs w:val="18"/>
              </w:rPr>
              <w:t>产生公允价值变动收益的来源</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21,253,266.28</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77" w:firstLine="360"/>
              <w:jc w:val="left"/>
              <w:rPr>
                <w:rFonts w:ascii="宋体" w:hAnsi="宋体" w:cs="宋体" w:eastAsia="宋体" w:hint="default"/>
                <w:sz w:val="18"/>
                <w:szCs w:val="18"/>
              </w:rPr>
            </w:pPr>
            <w:r>
              <w:rPr>
                <w:rFonts w:ascii="宋体" w:hAnsi="宋体" w:cs="宋体" w:eastAsia="宋体" w:hint="default"/>
                <w:spacing w:val="-3"/>
                <w:sz w:val="18"/>
                <w:szCs w:val="18"/>
              </w:rPr>
              <w:t>其中：衍生金融工具产生的公允价</w:t>
            </w:r>
            <w:r>
              <w:rPr>
                <w:rFonts w:ascii="宋体" w:hAnsi="宋体" w:cs="宋体" w:eastAsia="宋体" w:hint="default"/>
                <w:w w:val="101"/>
                <w:sz w:val="18"/>
                <w:szCs w:val="18"/>
              </w:rPr>
              <w:t> </w:t>
            </w:r>
            <w:r>
              <w:rPr>
                <w:rFonts w:ascii="宋体" w:hAnsi="宋体" w:cs="宋体" w:eastAsia="宋体" w:hint="default"/>
                <w:sz w:val="18"/>
                <w:szCs w:val="18"/>
              </w:rPr>
              <w:t>值变动收益</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21,253,266.28</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21,253,266.28</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44、信用减值损失" w:id="302"/>
      <w:bookmarkEnd w:id="302"/>
      <w:r>
        <w:rPr>
          <w:b w:val="0"/>
          <w:bCs w:val="0"/>
        </w:rPr>
      </w:r>
      <w:r>
        <w:rPr>
          <w:rFonts w:ascii="Times New Roman" w:hAnsi="Times New Roman" w:cs="Times New Roman" w:eastAsia="Times New Roman" w:hint="default"/>
        </w:rPr>
        <w:t>44</w:t>
      </w:r>
      <w:r>
        <w:rPr/>
        <w:t>、信用减值损失</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其他应收款坏账损失</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4,586,580.39</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-7,108,310.32</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应收股利坏账损失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-4,405,251.65</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-6,926,981.58</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bookmarkStart w:name="45、资产减值损失" w:id="303"/>
      <w:bookmarkEnd w:id="303"/>
      <w:r>
        <w:rPr>
          <w:b w:val="0"/>
          <w:bCs w:val="0"/>
        </w:rPr>
      </w:r>
      <w:r>
        <w:rPr>
          <w:rFonts w:ascii="Times New Roman" w:hAnsi="Times New Roman" w:cs="Times New Roman" w:eastAsia="Times New Roman" w:hint="default"/>
        </w:rPr>
        <w:t>45</w:t>
      </w:r>
      <w:r>
        <w:rPr/>
        <w:t>、资产减值损失</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是否已执行新收入准则</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9" w:space="6872"/>
            <w:col w:w="2099"/>
          </w:cols>
        </w:sectPr>
      </w:pP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5" w:type="dxa"/>
            <w:tcBorders>
              <w:top w:val="single" w:sz="4" w:space="0" w:color="000000"/>
              <w:left w:val="single" w:sz="13"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-16,906,739.29</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pacing w:val="-3"/>
                <w:sz w:val="18"/>
                <w:szCs w:val="18"/>
              </w:rPr>
              <w:t>五、长期股权投资减值损失</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-13,241,024.97</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-13,241,024.97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-16,906,739.29</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2"/>
        <w:rPr>
          <w:rFonts w:ascii="宋体" w:hAnsi="宋体" w:cs="宋体" w:eastAsia="宋体" w:hint="default"/>
          <w:sz w:val="24"/>
          <w:szCs w:val="24"/>
        </w:rPr>
      </w:pPr>
    </w:p>
    <w:p>
      <w:pPr>
        <w:pStyle w:val="Heading4"/>
        <w:spacing w:line="240" w:lineRule="auto" w:before="36"/>
        <w:ind w:right="0"/>
        <w:jc w:val="left"/>
        <w:rPr>
          <w:b w:val="0"/>
          <w:bCs w:val="0"/>
        </w:rPr>
      </w:pPr>
      <w:bookmarkStart w:name="46、资产处置收益" w:id="304"/>
      <w:bookmarkEnd w:id="304"/>
      <w:r>
        <w:rPr>
          <w:b w:val="0"/>
          <w:bCs w:val="0"/>
        </w:rPr>
      </w:r>
      <w:r>
        <w:rPr>
          <w:rFonts w:ascii="Times New Roman" w:hAnsi="Times New Roman" w:cs="Times New Roman" w:eastAsia="Times New Roman" w:hint="default"/>
        </w:rPr>
        <w:t>46</w:t>
      </w:r>
      <w:r>
        <w:rPr/>
        <w:t>、资产处置收益</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82" w:right="0"/>
              <w:jc w:val="left"/>
              <w:rPr>
                <w:rFonts w:ascii="宋体" w:hAnsi="宋体" w:cs="宋体" w:eastAsia="宋体" w:hint="default"/>
                <w:sz w:val="18"/>
                <w:szCs w:val="18"/>
              </w:rPr>
            </w:pPr>
            <w:r>
              <w:rPr>
                <w:rFonts w:ascii="宋体" w:hAnsi="宋体" w:cs="宋体" w:eastAsia="宋体" w:hint="default"/>
                <w:spacing w:val="-3"/>
                <w:sz w:val="18"/>
                <w:szCs w:val="18"/>
              </w:rPr>
              <w:t>资产处置收益的来源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89"/>
              <w:jc w:val="both"/>
              <w:rPr>
                <w:rFonts w:ascii="宋体" w:hAnsi="宋体" w:cs="宋体" w:eastAsia="宋体" w:hint="default"/>
                <w:sz w:val="18"/>
                <w:szCs w:val="18"/>
              </w:rPr>
            </w:pPr>
            <w:r>
              <w:rPr>
                <w:rFonts w:ascii="宋体" w:hAnsi="宋体" w:cs="宋体" w:eastAsia="宋体" w:hint="default"/>
                <w:spacing w:val="-3"/>
                <w:sz w:val="18"/>
                <w:szCs w:val="18"/>
              </w:rPr>
              <w:t>处置未划分为持有待售的固定资产、在</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建工程、生产性生物资产及无形资产而</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产生的处置利得或损失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41,675.71</w:t>
            </w:r>
          </w:p>
        </w:tc>
      </w:tr>
      <w:tr>
        <w:trPr>
          <w:trHeight w:val="71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89"/>
              <w:jc w:val="left"/>
              <w:rPr>
                <w:rFonts w:ascii="宋体" w:hAnsi="宋体" w:cs="宋体" w:eastAsia="宋体" w:hint="default"/>
                <w:sz w:val="18"/>
                <w:szCs w:val="18"/>
              </w:rPr>
            </w:pPr>
            <w:r>
              <w:rPr>
                <w:rFonts w:ascii="宋体" w:hAnsi="宋体" w:cs="宋体" w:eastAsia="宋体" w:hint="default"/>
                <w:spacing w:val="-3"/>
                <w:sz w:val="18"/>
                <w:szCs w:val="18"/>
              </w:rPr>
              <w:t>其中：处置未划分为持有待售的固定资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产</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41,675.71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41,675.71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47、营业外收入" w:id="305"/>
      <w:bookmarkEnd w:id="305"/>
      <w:r>
        <w:rPr>
          <w:b w:val="0"/>
          <w:bCs w:val="0"/>
        </w:rPr>
      </w:r>
      <w:r>
        <w:rPr>
          <w:rFonts w:ascii="Times New Roman" w:hAnsi="Times New Roman" w:cs="Times New Roman" w:eastAsia="Times New Roman" w:hint="default"/>
        </w:rPr>
        <w:t>47</w:t>
      </w:r>
      <w:r>
        <w:rPr/>
        <w:t>、营业外收入</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04" w:right="103"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117,595.87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156,569.49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117,595.87</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117,595.87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156,569.49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117,595.87</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6"/>
        <w:gridCol w:w="1061"/>
        <w:gridCol w:w="1066"/>
        <w:gridCol w:w="1061"/>
        <w:gridCol w:w="1066"/>
        <w:gridCol w:w="1061"/>
        <w:gridCol w:w="1066"/>
        <w:gridCol w:w="1061"/>
        <w:gridCol w:w="1066"/>
      </w:tblGrid>
      <w:tr>
        <w:trPr>
          <w:trHeight w:val="715"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76" w:right="75"/>
              <w:jc w:val="left"/>
              <w:rPr>
                <w:rFonts w:ascii="宋体" w:hAnsi="宋体" w:cs="宋体" w:eastAsia="宋体" w:hint="default"/>
                <w:sz w:val="18"/>
                <w:szCs w:val="18"/>
              </w:rPr>
            </w:pPr>
            <w:r>
              <w:rPr>
                <w:rFonts w:ascii="宋体" w:hAnsi="宋体" w:cs="宋体" w:eastAsia="宋体" w:hint="default"/>
                <w:spacing w:val="-2"/>
                <w:sz w:val="18"/>
                <w:szCs w:val="18"/>
              </w:rPr>
              <w:t>补贴是否影</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响当年盈亏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是否特殊补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贴</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436" w:right="75" w:hanging="360"/>
              <w:jc w:val="left"/>
              <w:rPr>
                <w:rFonts w:ascii="宋体" w:hAnsi="宋体" w:cs="宋体" w:eastAsia="宋体" w:hint="default"/>
                <w:sz w:val="18"/>
                <w:szCs w:val="18"/>
              </w:rPr>
            </w:pPr>
            <w:r>
              <w:rPr>
                <w:rFonts w:ascii="宋体" w:hAnsi="宋体" w:cs="宋体" w:eastAsia="宋体" w:hint="default"/>
                <w:spacing w:val="-2"/>
                <w:sz w:val="18"/>
                <w:szCs w:val="18"/>
              </w:rPr>
              <w:t>本期发生金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上期发生金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76" w:right="48" w:hanging="24"/>
              <w:jc w:val="left"/>
              <w:rPr>
                <w:rFonts w:ascii="宋体" w:hAnsi="宋体" w:cs="宋体" w:eastAsia="宋体" w:hint="default"/>
                <w:sz w:val="18"/>
                <w:szCs w:val="18"/>
              </w:rPr>
            </w:pPr>
            <w:r>
              <w:rPr>
                <w:rFonts w:ascii="宋体" w:hAnsi="宋体" w:cs="宋体" w:eastAsia="宋体" w:hint="default"/>
                <w:spacing w:val="-2"/>
                <w:sz w:val="18"/>
                <w:szCs w:val="18"/>
              </w:rPr>
              <w:t>与资产相关</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与收益相关</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bookmarkStart w:name="48、营业外支出" w:id="306"/>
      <w:bookmarkEnd w:id="306"/>
      <w:r>
        <w:rPr>
          <w:b w:val="0"/>
          <w:bCs w:val="0"/>
        </w:rPr>
      </w:r>
      <w:r>
        <w:rPr>
          <w:rFonts w:ascii="Times New Roman" w:hAnsi="Times New Roman" w:cs="Times New Roman" w:eastAsia="Times New Roman" w:hint="default"/>
        </w:rPr>
        <w:t>48</w:t>
      </w:r>
      <w:r>
        <w:rPr/>
        <w:t>、营业外支出</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71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04" w:right="103"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710"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非流动资产毁损报废损失合</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48,950.35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208,348.55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48,950.35</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其中：固定资产毁损报废损失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48,950.35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208,348.55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48,950.35</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574,976.28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351,145.33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574,976.28</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623,926.63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559,493.88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623,926.63</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4"/>
        <w:spacing w:line="240" w:lineRule="auto" w:before="36"/>
        <w:ind w:right="0"/>
        <w:jc w:val="left"/>
        <w:rPr>
          <w:b w:val="0"/>
          <w:bCs w:val="0"/>
        </w:rPr>
      </w:pPr>
      <w:bookmarkStart w:name="49、所得税费用" w:id="307"/>
      <w:bookmarkEnd w:id="307"/>
      <w:r>
        <w:rPr>
          <w:b w:val="0"/>
          <w:bCs w:val="0"/>
        </w:rPr>
      </w:r>
      <w:r>
        <w:rPr>
          <w:rFonts w:ascii="Times New Roman" w:hAnsi="Times New Roman" w:cs="Times New Roman" w:eastAsia="Times New Roman" w:hint="default"/>
        </w:rPr>
        <w:t>49</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所得税费用表" w:id="308"/>
      <w:bookmarkEnd w:id="308"/>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当期所得税费用</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41,777,430.31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58,086,957.77</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递延所得税费用</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2,680,613.15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-1,535,758.61</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44,458,043.46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56,551,199.16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会计利润与所得税费用调整过程" w:id="309"/>
      <w:bookmarkEnd w:id="309"/>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9"/>
        <w:gridCol w:w="4799"/>
      </w:tblGrid>
      <w:tr>
        <w:trPr>
          <w:trHeight w:val="398"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3"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261,917,761.20</w:t>
            </w:r>
          </w:p>
        </w:tc>
      </w:tr>
      <w:tr>
        <w:trPr>
          <w:trHeight w:val="403"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按法定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适用税率计算的所得税费用</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65,479,440.30</w:t>
            </w:r>
          </w:p>
        </w:tc>
      </w:tr>
      <w:tr>
        <w:trPr>
          <w:trHeight w:val="403"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子公司适用不同税率的影响</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-845,994.67</w:t>
            </w:r>
          </w:p>
        </w:tc>
      </w:tr>
      <w:tr>
        <w:trPr>
          <w:trHeight w:val="399"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调整以前期间所得税的影响</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-420,560.49</w:t>
            </w:r>
          </w:p>
        </w:tc>
      </w:tr>
      <w:tr>
        <w:trPr>
          <w:trHeight w:val="403"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-39,846,968.97</w:t>
            </w:r>
          </w:p>
        </w:tc>
      </w:tr>
      <w:tr>
        <w:trPr>
          <w:trHeight w:val="403"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不可抵扣的成本、费用和损失的影响</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624,530.72</w:t>
            </w:r>
          </w:p>
        </w:tc>
      </w:tr>
      <w:tr>
        <w:trPr>
          <w:trHeight w:val="403"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使用前期未确认递延所得税资产的可抵扣亏损的影响</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-5,728,584.44</w:t>
            </w:r>
          </w:p>
        </w:tc>
      </w:tr>
      <w:tr>
        <w:trPr>
          <w:trHeight w:val="711"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49"/>
              <w:jc w:val="left"/>
              <w:rPr>
                <w:rFonts w:ascii="宋体" w:hAnsi="宋体" w:cs="宋体" w:eastAsia="宋体" w:hint="default"/>
                <w:sz w:val="18"/>
                <w:szCs w:val="18"/>
              </w:rPr>
            </w:pPr>
            <w:r>
              <w:rPr>
                <w:rFonts w:ascii="宋体" w:hAnsi="宋体" w:cs="宋体" w:eastAsia="宋体" w:hint="default"/>
                <w:spacing w:val="-3"/>
                <w:sz w:val="18"/>
                <w:szCs w:val="18"/>
              </w:rPr>
              <w:t>本期未确认递延所得税资产的可抵扣暂时性差异或可抵扣亏</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损的影响</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28,254,670.05</w:t>
            </w:r>
          </w:p>
        </w:tc>
      </w:tr>
      <w:tr>
        <w:trPr>
          <w:trHeight w:val="403" w:hRule="exact"/>
        </w:trPr>
        <w:tc>
          <w:tcPr>
            <w:tcW w:w="4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税率调整导致期初递延所得税资产</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负债余额的变化</w:t>
            </w:r>
          </w:p>
        </w:tc>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-1,569,275.97</w:t>
            </w:r>
          </w:p>
        </w:tc>
      </w:tr>
      <w:tr>
        <w:trPr>
          <w:trHeight w:val="403"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44,458,043.46</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spacing w:line="544" w:lineRule="auto" w:before="0"/>
        <w:ind w:left="153" w:right="8854" w:firstLine="0"/>
        <w:jc w:val="left"/>
        <w:rPr>
          <w:rFonts w:ascii="宋体" w:hAnsi="宋体" w:cs="宋体" w:eastAsia="宋体" w:hint="default"/>
          <w:sz w:val="21"/>
          <w:szCs w:val="21"/>
        </w:rPr>
      </w:pPr>
      <w:bookmarkStart w:name="50、其他综合收益" w:id="310"/>
      <w:bookmarkEnd w:id="310"/>
      <w:r>
        <w:rPr/>
      </w:r>
      <w:r>
        <w:rPr>
          <w:rFonts w:ascii="Times New Roman" w:hAnsi="Times New Roman" w:cs="Times New Roman" w:eastAsia="Times New Roman" w:hint="default"/>
          <w:b/>
          <w:bCs/>
          <w:sz w:val="21"/>
          <w:szCs w:val="21"/>
        </w:rPr>
        <w:t>50</w:t>
      </w:r>
      <w:r>
        <w:rPr>
          <w:rFonts w:ascii="宋体" w:hAnsi="宋体" w:cs="宋体" w:eastAsia="宋体" w:hint="default"/>
          <w:b/>
          <w:bCs/>
          <w:sz w:val="21"/>
          <w:szCs w:val="21"/>
        </w:rPr>
        <w:t>、其他综合收益</w:t>
      </w:r>
      <w:r>
        <w:rPr>
          <w:rFonts w:ascii="宋体" w:hAnsi="宋体" w:cs="宋体" w:eastAsia="宋体" w:hint="default"/>
          <w:b/>
          <w:bCs/>
          <w:spacing w:val="-102"/>
          <w:sz w:val="21"/>
          <w:szCs w:val="21"/>
        </w:rPr>
        <w:t> </w:t>
      </w:r>
      <w:r>
        <w:rPr>
          <w:rFonts w:ascii="宋体" w:hAnsi="宋体" w:cs="宋体" w:eastAsia="宋体" w:hint="default"/>
          <w:sz w:val="18"/>
          <w:szCs w:val="18"/>
        </w:rPr>
        <w:t>详见附注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32</w:t>
      </w:r>
      <w:r>
        <w:rPr>
          <w:rFonts w:ascii="宋体" w:hAnsi="宋体" w:cs="宋体" w:eastAsia="宋体" w:hint="default"/>
          <w:sz w:val="18"/>
          <w:szCs w:val="18"/>
        </w:rPr>
        <w:t>。</w:t>
      </w:r>
      <w:r>
        <w:rPr>
          <w:rFonts w:ascii="宋体" w:hAnsi="宋体" w:cs="宋体" w:eastAsia="宋体" w:hint="default"/>
          <w:spacing w:val="-86"/>
          <w:sz w:val="18"/>
          <w:szCs w:val="18"/>
        </w:rPr>
        <w:t> </w:t>
      </w:r>
      <w:bookmarkStart w:name="51、现金流量表项目" w:id="311"/>
      <w:bookmarkEnd w:id="311"/>
      <w:r>
        <w:rPr>
          <w:rFonts w:ascii="宋体" w:hAnsi="宋体" w:cs="宋体" w:eastAsia="宋体" w:hint="default"/>
          <w:spacing w:val="-86"/>
          <w:sz w:val="18"/>
          <w:szCs w:val="18"/>
        </w:rPr>
      </w:r>
      <w:r>
        <w:rPr>
          <w:rFonts w:ascii="Times New Roman" w:hAnsi="Times New Roman" w:cs="Times New Roman" w:eastAsia="Times New Roman" w:hint="default"/>
          <w:b/>
          <w:bCs/>
          <w:sz w:val="21"/>
          <w:szCs w:val="21"/>
        </w:rPr>
        <w:t>51</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4"/>
        <w:spacing w:line="240" w:lineRule="auto" w:before="28"/>
        <w:ind w:right="0"/>
        <w:jc w:val="left"/>
        <w:rPr>
          <w:b w:val="0"/>
          <w:bCs w:val="0"/>
        </w:rPr>
      </w:pPr>
      <w:bookmarkStart w:name="（1）收到的其他与经营活动有关的现金" w:id="312"/>
      <w:bookmarkEnd w:id="312"/>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政府补助款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1,151,500.00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1,641,351.00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46,350,150.98</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5,002,211.05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9,275,630.21</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1,851,875.00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合作意向金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396,358.90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674,841.45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10,043,295.95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63,200,622.64</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收到的其他与经营活动有关的现金说明：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2）支付的其他与经营活动有关的现金" w:id="313"/>
      <w:bookmarkEnd w:id="313"/>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2,821,997.92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1,222,346.78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5,096,265.44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4,210,294.02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付现的费用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74,908,584.88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88,299,437.33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7,430,697.60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387,709.07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90,257,545.84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94,119,787.20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支付的其他与经营活动有关的现金说明：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bookmarkStart w:name="（3）支付的其他与筹资活动有关的现金" w:id="314"/>
      <w:bookmarkEnd w:id="314"/>
      <w:r>
        <w:rPr>
          <w:b w:val="0"/>
          <w:bCs w:val="0"/>
        </w:rPr>
      </w:r>
      <w:r>
        <w:rPr/>
        <w:t>（</w:t>
      </w:r>
      <w:r>
        <w:rPr>
          <w:rFonts w:ascii="Times New Roman" w:hAnsi="Times New Roman" w:cs="Times New Roman" w:eastAsia="Times New Roman" w:hint="default"/>
        </w:rPr>
        <w:t>3</w:t>
      </w:r>
      <w:r>
        <w:rPr/>
        <w:t>）支付的其他与筹资活动有关的现金</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500px</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股权收购款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6,157,621.70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保函手续费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4,322,358.80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3,060,516.89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用于借款的质押存款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102,690,800.00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归还股东借款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113,170,780.50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8,060,516.89</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支付的其他与筹资活动有关的现金说明：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52、现金流量表补充资料" w:id="315"/>
      <w:bookmarkEnd w:id="315"/>
      <w:r>
        <w:rPr>
          <w:b w:val="0"/>
          <w:bCs w:val="0"/>
        </w:rPr>
      </w:r>
      <w:r>
        <w:rPr>
          <w:rFonts w:ascii="Times New Roman" w:hAnsi="Times New Roman" w:cs="Times New Roman" w:eastAsia="Times New Roman" w:hint="default"/>
        </w:rPr>
        <w:t>52</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现金流量表补充资料" w:id="316"/>
      <w:bookmarkEnd w:id="316"/>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18"/>
        <w:gridCol w:w="3056"/>
        <w:gridCol w:w="3174"/>
      </w:tblGrid>
      <w:tr>
        <w:trPr>
          <w:trHeight w:val="404" w:hRule="exact"/>
        </w:trPr>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2"/>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9"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．将净利润调节为经营活动现金流量：</w:t>
            </w:r>
          </w:p>
        </w:tc>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5"/>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6"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893" w:right="0"/>
              <w:jc w:val="left"/>
              <w:rPr>
                <w:rFonts w:ascii="Times New Roman" w:hAnsi="Times New Roman" w:cs="Times New Roman" w:eastAsia="Times New Roman" w:hint="default"/>
                <w:sz w:val="18"/>
                <w:szCs w:val="18"/>
              </w:rPr>
            </w:pPr>
            <w:r>
              <w:rPr>
                <w:rFonts w:ascii="Times New Roman"/>
                <w:sz w:val="18"/>
              </w:rPr>
              <w:t>217,459,717.74</w:t>
            </w:r>
          </w:p>
        </w:tc>
        <w:tc>
          <w:tcPr>
            <w:tcW w:w="3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31" w:right="0"/>
              <w:jc w:val="left"/>
              <w:rPr>
                <w:rFonts w:ascii="Times New Roman" w:hAnsi="Times New Roman" w:cs="Times New Roman" w:eastAsia="Times New Roman" w:hint="default"/>
                <w:sz w:val="18"/>
                <w:szCs w:val="18"/>
              </w:rPr>
            </w:pPr>
            <w:r>
              <w:rPr>
                <w:rFonts w:ascii="Times New Roman"/>
                <w:spacing w:val="-1"/>
                <w:sz w:val="18"/>
              </w:rPr>
              <w:t>335,250,250.25</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r>
        <w:rPr/>
        <w:pict>
          <v:group style="position:absolute;margin-left:223.300003pt;margin-top:406.799988pt;width:151.25pt;height:20.9pt;mso-position-horizontal-relative:page;mso-position-vertical-relative:page;z-index:-1167352" coordorigin="4466,8136" coordsize="3025,418">
            <v:group style="position:absolute;left:4478;top:8148;width:2;height:394" coordorigin="4478,8148" coordsize="2,394">
              <v:shape style="position:absolute;left:4478;top:8148;width:2;height:394" coordorigin="4478,8148" coordsize="0,394" path="m4478,8148l4478,8542e" filled="false" stroked="true" strokeweight="1.2pt" strokecolor="#ffffff">
                <v:path arrowok="t"/>
              </v:shape>
            </v:group>
            <v:group style="position:absolute;left:4490;top:8148;width:3001;height:394" coordorigin="4490,8148" coordsize="3001,394">
              <v:shape style="position:absolute;left:4490;top:8148;width:3001;height:394" coordorigin="4490,8148" coordsize="3001,394" path="m4490,8542l7491,8542,7491,8148,4490,8148,4490,8542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6"/>
        <w:gridCol w:w="3068"/>
        <w:gridCol w:w="3183"/>
      </w:tblGrid>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13,241,024.97</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16,906,739.29</w:t>
            </w:r>
          </w:p>
        </w:tc>
      </w:tr>
      <w:tr>
        <w:trPr>
          <w:trHeight w:val="398"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6,926,981.58</w:t>
            </w:r>
          </w:p>
        </w:tc>
        <w:tc>
          <w:tcPr>
            <w:tcW w:w="318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1" w:right="37" w:firstLine="720"/>
              <w:jc w:val="left"/>
              <w:rPr>
                <w:rFonts w:ascii="宋体" w:hAnsi="宋体" w:cs="宋体" w:eastAsia="宋体" w:hint="default"/>
                <w:sz w:val="18"/>
                <w:szCs w:val="18"/>
              </w:rPr>
            </w:pPr>
            <w:r>
              <w:rPr>
                <w:rFonts w:ascii="宋体" w:hAnsi="宋体" w:cs="宋体" w:eastAsia="宋体" w:hint="default"/>
                <w:spacing w:val="-3"/>
                <w:sz w:val="18"/>
                <w:szCs w:val="18"/>
              </w:rPr>
              <w:t>固定资产折旧、油气资产折耗、</w:t>
            </w:r>
            <w:r>
              <w:rPr>
                <w:rFonts w:ascii="宋体" w:hAnsi="宋体" w:cs="宋体" w:eastAsia="宋体" w:hint="default"/>
                <w:w w:val="101"/>
                <w:sz w:val="18"/>
                <w:szCs w:val="18"/>
              </w:rPr>
              <w:t> </w:t>
            </w:r>
            <w:r>
              <w:rPr>
                <w:rFonts w:ascii="宋体" w:hAnsi="宋体" w:cs="宋体" w:eastAsia="宋体" w:hint="default"/>
                <w:spacing w:val="-3"/>
                <w:sz w:val="18"/>
                <w:szCs w:val="18"/>
              </w:rPr>
              <w:t>生产性生物资产折旧</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1,609,259.26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2,727,189.87</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7,780,006.17</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4,985,490.42</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1,880,199.46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1,699,440.52</w:t>
            </w:r>
          </w:p>
        </w:tc>
      </w:tr>
      <w:tr>
        <w:trPr>
          <w:trHeight w:val="711"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37" w:firstLine="72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长期资产的损失（收益以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8" w:type="dxa"/>
            <w:tcBorders>
              <w:top w:val="single" w:sz="4" w:space="0" w:color="000000"/>
              <w:left w:val="single" w:sz="8" w:space="0" w:color="D2D2D2"/>
              <w:bottom w:val="single" w:sz="4" w:space="0" w:color="000000"/>
              <w:right w:val="single" w:sz="4" w:space="0" w:color="000000"/>
            </w:tcBorders>
          </w:tcPr>
          <w:p>
            <w:pP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-41,675.71</w:t>
            </w:r>
          </w:p>
        </w:tc>
      </w:tr>
      <w:tr>
        <w:trPr>
          <w:trHeight w:val="715"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11" w:right="56" w:firstLine="720"/>
              <w:jc w:val="left"/>
              <w:rPr>
                <w:rFonts w:ascii="宋体" w:hAnsi="宋体" w:cs="宋体" w:eastAsia="宋体" w:hint="default"/>
                <w:sz w:val="18"/>
                <w:szCs w:val="18"/>
              </w:rPr>
            </w:pPr>
            <w:r>
              <w:rPr>
                <w:rFonts w:ascii="宋体" w:hAnsi="宋体" w:cs="宋体" w:eastAsia="宋体" w:hint="default"/>
                <w:spacing w:val="-2"/>
                <w:sz w:val="18"/>
                <w:szCs w:val="18"/>
              </w:rPr>
              <w:t>固定资产报废损失（收益以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号填列）</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48,950.35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208,348.55</w:t>
            </w:r>
          </w:p>
        </w:tc>
      </w:tr>
      <w:tr>
        <w:trPr>
          <w:trHeight w:val="716"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1" w:right="56" w:firstLine="720"/>
              <w:jc w:val="left"/>
              <w:rPr>
                <w:rFonts w:ascii="宋体" w:hAnsi="宋体" w:cs="宋体" w:eastAsia="宋体" w:hint="default"/>
                <w:sz w:val="18"/>
                <w:szCs w:val="18"/>
              </w:rPr>
            </w:pPr>
            <w:r>
              <w:rPr>
                <w:rFonts w:ascii="宋体" w:hAnsi="宋体" w:cs="宋体" w:eastAsia="宋体" w:hint="default"/>
                <w:spacing w:val="-2"/>
                <w:sz w:val="18"/>
                <w:szCs w:val="18"/>
              </w:rPr>
              <w:t>公允价值变动损失（收益以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号填列）</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-21,253,266.28</w:t>
            </w:r>
          </w:p>
        </w:tc>
        <w:tc>
          <w:tcPr>
            <w:tcW w:w="31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6"/>
              <w:jc w:val="right"/>
              <w:rPr>
                <w:rFonts w:ascii="宋体" w:hAnsi="宋体" w:cs="宋体" w:eastAsia="宋体" w:hint="default"/>
                <w:sz w:val="18"/>
                <w:szCs w:val="18"/>
              </w:rPr>
            </w:pPr>
            <w:r>
              <w:rPr>
                <w:rFonts w:ascii="宋体" w:hAnsi="宋体" w:cs="宋体" w:eastAsia="宋体" w:hint="default"/>
                <w:spacing w:val="-2"/>
                <w:sz w:val="18"/>
                <w:szCs w:val="18"/>
              </w:rPr>
              <w:t>财务费用（收益以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号填列）</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29,424,213.77</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28,858,939.08</w:t>
            </w:r>
          </w:p>
        </w:tc>
      </w:tr>
      <w:tr>
        <w:trPr>
          <w:trHeight w:val="398"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6"/>
              <w:jc w:val="right"/>
              <w:rPr>
                <w:rFonts w:ascii="宋体" w:hAnsi="宋体" w:cs="宋体" w:eastAsia="宋体" w:hint="default"/>
                <w:sz w:val="18"/>
                <w:szCs w:val="18"/>
              </w:rPr>
            </w:pPr>
            <w:r>
              <w:rPr>
                <w:rFonts w:ascii="宋体" w:hAnsi="宋体" w:cs="宋体" w:eastAsia="宋体" w:hint="default"/>
                <w:spacing w:val="-2"/>
                <w:sz w:val="18"/>
                <w:szCs w:val="18"/>
              </w:rPr>
              <w:t>投资损失（收益以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号填列）</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-58,250,459.11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-32,840,125.24</w:t>
            </w:r>
          </w:p>
        </w:tc>
      </w:tr>
      <w:tr>
        <w:trPr>
          <w:trHeight w:val="715"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3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-2,319,576.12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-1,289,461.19</w:t>
            </w:r>
          </w:p>
        </w:tc>
      </w:tr>
      <w:tr>
        <w:trPr>
          <w:trHeight w:val="716"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3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p>
          <w:p>
            <w:pPr>
              <w:pStyle w:val="TableParagraph"/>
              <w:spacing w:line="240" w:lineRule="auto" w:before="8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4,223,899.32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4,586,653.63</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4"/>
              <w:jc w:val="right"/>
              <w:rPr>
                <w:rFonts w:ascii="宋体" w:hAnsi="宋体" w:cs="宋体" w:eastAsia="宋体" w:hint="default"/>
                <w:sz w:val="18"/>
                <w:szCs w:val="18"/>
              </w:rPr>
            </w:pPr>
            <w:r>
              <w:rPr>
                <w:rFonts w:ascii="宋体" w:hAnsi="宋体" w:cs="宋体" w:eastAsia="宋体" w:hint="default"/>
                <w:spacing w:val="-5"/>
                <w:sz w:val="18"/>
                <w:szCs w:val="18"/>
              </w:rPr>
              <w:t>存货的减少（增加以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号填列</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left="-116"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1,224,810.55</w:t>
            </w:r>
          </w:p>
        </w:tc>
      </w:tr>
      <w:tr>
        <w:trPr>
          <w:trHeight w:val="711"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经营性应收项目的减少（增加以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287,435,141.26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320,132,902.56</w:t>
            </w:r>
          </w:p>
        </w:tc>
      </w:tr>
      <w:tr>
        <w:trPr>
          <w:trHeight w:val="715"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31" w:right="0"/>
              <w:jc w:val="left"/>
              <w:rPr>
                <w:rFonts w:ascii="宋体" w:hAnsi="宋体" w:cs="宋体" w:eastAsia="宋体" w:hint="default"/>
                <w:sz w:val="18"/>
                <w:szCs w:val="18"/>
              </w:rPr>
            </w:pPr>
            <w:r>
              <w:rPr>
                <w:rFonts w:ascii="宋体" w:hAnsi="宋体" w:cs="宋体" w:eastAsia="宋体" w:hint="default"/>
                <w:spacing w:val="-3"/>
                <w:sz w:val="18"/>
                <w:szCs w:val="18"/>
              </w:rPr>
              <w:t>经营性应付项目的增加（减少以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-395,584,632.96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-391,360,019.47</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19"/>
              <w:jc w:val="righ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92,621,459.41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291,049,483.11</w:t>
            </w:r>
          </w:p>
        </w:tc>
      </w:tr>
      <w:tr>
        <w:trPr>
          <w:trHeight w:val="163" w:hRule="exact"/>
        </w:trPr>
        <w:tc>
          <w:tcPr>
            <w:tcW w:w="3306"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3"/>
              <w:ind w:left="11" w:right="12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动：</w:t>
            </w:r>
          </w:p>
        </w:tc>
        <w:tc>
          <w:tcPr>
            <w:tcW w:w="3068"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89" w:hRule="exact"/>
        </w:trPr>
        <w:tc>
          <w:tcPr>
            <w:tcW w:w="3306" w:type="dxa"/>
            <w:vMerge/>
            <w:tcBorders>
              <w:left w:val="single" w:sz="4" w:space="0" w:color="000000"/>
              <w:right w:val="single" w:sz="4" w:space="0" w:color="000000"/>
            </w:tcBorders>
            <w:shd w:val="clear" w:color="auto" w:fill="D2D2D2"/>
          </w:tcPr>
          <w:p>
            <w:pPr/>
          </w:p>
        </w:tc>
        <w:tc>
          <w:tcPr>
            <w:tcW w:w="30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152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164" w:hRule="exact"/>
        </w:trPr>
        <w:tc>
          <w:tcPr>
            <w:tcW w:w="3306" w:type="dxa"/>
            <w:vMerge/>
            <w:tcBorders>
              <w:left w:val="single" w:sz="4" w:space="0" w:color="000000"/>
              <w:bottom w:val="single" w:sz="4" w:space="0" w:color="000000"/>
              <w:right w:val="single" w:sz="4" w:space="0" w:color="000000"/>
            </w:tcBorders>
            <w:shd w:val="clear" w:color="auto" w:fill="D2D2D2"/>
          </w:tcPr>
          <w:p>
            <w:pPr/>
          </w:p>
        </w:tc>
        <w:tc>
          <w:tcPr>
            <w:tcW w:w="3068"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．现金及现金等价物净变动情况：</w:t>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52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现金的期末余额</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255,227,303.94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408,091,001.60</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减：现金的期初余额</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408,091,001.60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380,004,762.13</w:t>
            </w:r>
          </w:p>
        </w:tc>
      </w:tr>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-152,863,697.66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28,086,239.47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本期支付的取得子公司的现金净额" w:id="317"/>
      <w:bookmarkEnd w:id="317"/>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9"/>
        <w:gridCol w:w="4581"/>
      </w:tblGrid>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989"/>
        <w:gridCol w:w="4581"/>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加：以前期间发生的企业合并于本期支付的现金或现金等价物</w:t>
            </w:r>
          </w:p>
        </w:tc>
        <w:tc>
          <w:tcPr>
            <w:tcW w:w="45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6,157,621.70</w:t>
            </w:r>
          </w:p>
        </w:tc>
      </w:tr>
      <w:tr>
        <w:trPr>
          <w:trHeight w:val="398"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4"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500PX,Inc</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6,157,621.70</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取得子公司支付的现金净额</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6,157,621.70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bookmarkStart w:name="（3）本期收到的处置子公司的现金净额" w:id="318"/>
      <w:bookmarkEnd w:id="318"/>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9"/>
        <w:gridCol w:w="4581"/>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本期处置子公司于本期收到的现金或现金等价物</w:t>
            </w:r>
          </w:p>
        </w:tc>
        <w:tc>
          <w:tcPr>
            <w:tcW w:w="45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92,000,000.00</w:t>
            </w:r>
          </w:p>
        </w:tc>
      </w:tr>
      <w:tr>
        <w:trPr>
          <w:trHeight w:val="398"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4"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上海卓越形象广告传播有限公司</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92,000,000.00</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减：丧失控制权日子公司持有的现金及现金等价物</w:t>
            </w:r>
          </w:p>
        </w:tc>
        <w:tc>
          <w:tcPr>
            <w:tcW w:w="45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5,120,712.28</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8"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上海卓越形象广告传播有限公司</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5,120,712.28</w:t>
            </w:r>
          </w:p>
        </w:tc>
      </w:tr>
      <w:tr>
        <w:trPr>
          <w:trHeight w:val="404"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加：以前期间处置子公司于本期收到的现金或现金等价物</w:t>
            </w:r>
          </w:p>
        </w:tc>
        <w:tc>
          <w:tcPr>
            <w:tcW w:w="45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95,739,880.00</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亿迅资产组</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86,739,880.00</w:t>
            </w:r>
          </w:p>
        </w:tc>
      </w:tr>
      <w:tr>
        <w:trPr>
          <w:trHeight w:val="398"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深圳艾特凡斯</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9,000,000.00</w:t>
            </w:r>
          </w:p>
        </w:tc>
      </w:tr>
      <w:tr>
        <w:trPr>
          <w:trHeight w:val="404"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处置子公司收到的现金净额</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182,619,167.72</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bookmarkStart w:name="（4）现金和现金等价物的构成" w:id="319"/>
      <w:bookmarkEnd w:id="319"/>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6"/>
        <w:gridCol w:w="3068"/>
        <w:gridCol w:w="3183"/>
      </w:tblGrid>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255,227,303.94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408,091,001.60</w:t>
            </w:r>
          </w:p>
        </w:tc>
      </w:tr>
      <w:tr>
        <w:trPr>
          <w:trHeight w:val="398"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其中：库存现金</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10,000.00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47,998.35</w:t>
            </w:r>
          </w:p>
        </w:tc>
      </w:tr>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可随时用于支付的银行存款</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255,184,054.65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408,007,031.73</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可随时用于支付的其他货币资金</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33,249.29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35,971.52</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三、期末现金及现金等价物余额</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255,227,303.94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408,091,001.60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53、所有权或使用权受到限制的资产" w:id="320"/>
      <w:bookmarkEnd w:id="320"/>
      <w:r>
        <w:rPr>
          <w:b w:val="0"/>
          <w:bCs w:val="0"/>
        </w:rPr>
      </w:r>
      <w:r>
        <w:rPr>
          <w:rFonts w:ascii="Times New Roman" w:hAnsi="Times New Roman" w:cs="Times New Roman" w:eastAsia="Times New Roman" w:hint="default"/>
        </w:rPr>
        <w:t>53</w:t>
      </w:r>
      <w:r>
        <w:rPr/>
        <w:t>、所有权或使用权受到限制的资产</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28"/>
        <w:gridCol w:w="3058"/>
        <w:gridCol w:w="3183"/>
      </w:tblGrid>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158" w:hRule="exact"/>
        </w:trPr>
        <w:tc>
          <w:tcPr>
            <w:tcW w:w="3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8" w:type="dxa"/>
            <w:vMerge w:val="restart"/>
            <w:tcBorders>
              <w:top w:val="single" w:sz="4" w:space="0" w:color="000000"/>
              <w:left w:val="single" w:sz="8"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01" w:right="0"/>
              <w:jc w:val="left"/>
              <w:rPr>
                <w:rFonts w:ascii="Times New Roman" w:hAnsi="Times New Roman" w:cs="Times New Roman" w:eastAsia="Times New Roman" w:hint="default"/>
                <w:sz w:val="18"/>
                <w:szCs w:val="18"/>
              </w:rPr>
            </w:pPr>
            <w:r>
              <w:rPr>
                <w:rFonts w:ascii="Times New Roman"/>
                <w:sz w:val="18"/>
              </w:rPr>
              <w:t>118,077,396.25</w:t>
            </w:r>
          </w:p>
        </w:tc>
        <w:tc>
          <w:tcPr>
            <w:tcW w:w="3183" w:type="dxa"/>
            <w:vMerge w:val="restart"/>
            <w:tcBorders>
              <w:top w:val="single" w:sz="4" w:space="0" w:color="000000"/>
              <w:left w:val="single" w:sz="4" w:space="0" w:color="000000"/>
              <w:right w:val="single" w:sz="4" w:space="0" w:color="000000"/>
            </w:tcBorders>
          </w:tcPr>
          <w:p>
            <w:pPr>
              <w:pStyle w:val="TableParagraph"/>
              <w:spacing w:line="316" w:lineRule="auto" w:before="53"/>
              <w:ind w:left="23" w:right="84"/>
              <w:jc w:val="left"/>
              <w:rPr>
                <w:rFonts w:ascii="宋体" w:hAnsi="宋体" w:cs="宋体" w:eastAsia="宋体" w:hint="default"/>
                <w:sz w:val="18"/>
                <w:szCs w:val="18"/>
              </w:rPr>
            </w:pPr>
            <w:r>
              <w:rPr>
                <w:rFonts w:ascii="宋体" w:hAnsi="宋体" w:cs="宋体" w:eastAsia="宋体" w:hint="default"/>
                <w:spacing w:val="-3"/>
                <w:sz w:val="18"/>
                <w:szCs w:val="18"/>
              </w:rPr>
              <w:t>履约保证金及用于借款抵押的存款借款</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保证金及履约保证金</w:t>
            </w:r>
          </w:p>
        </w:tc>
      </w:tr>
      <w:tr>
        <w:trPr>
          <w:trHeight w:val="394" w:hRule="exact"/>
        </w:trPr>
        <w:tc>
          <w:tcPr>
            <w:tcW w:w="33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vMerge/>
            <w:tcBorders>
              <w:left w:val="single" w:sz="8" w:space="0" w:color="D2D2D2"/>
              <w:right w:val="single" w:sz="4" w:space="0" w:color="000000"/>
            </w:tcBorders>
          </w:tcPr>
          <w:p>
            <w:pPr/>
          </w:p>
        </w:tc>
        <w:tc>
          <w:tcPr>
            <w:tcW w:w="3183" w:type="dxa"/>
            <w:vMerge/>
            <w:tcBorders>
              <w:left w:val="single" w:sz="4" w:space="0" w:color="000000"/>
              <w:right w:val="single" w:sz="4" w:space="0" w:color="000000"/>
            </w:tcBorders>
          </w:tcPr>
          <w:p>
            <w:pPr/>
          </w:p>
        </w:tc>
      </w:tr>
      <w:tr>
        <w:trPr>
          <w:trHeight w:val="159" w:hRule="exact"/>
        </w:trPr>
        <w:tc>
          <w:tcPr>
            <w:tcW w:w="3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8" w:type="dxa"/>
            <w:vMerge/>
            <w:tcBorders>
              <w:left w:val="single" w:sz="8" w:space="0" w:color="D2D2D2"/>
              <w:bottom w:val="single" w:sz="4" w:space="0" w:color="000000"/>
              <w:right w:val="single" w:sz="4" w:space="0" w:color="000000"/>
            </w:tcBorders>
          </w:tcPr>
          <w:p>
            <w:pPr/>
          </w:p>
        </w:tc>
        <w:tc>
          <w:tcPr>
            <w:tcW w:w="3183" w:type="dxa"/>
            <w:vMerge/>
            <w:tcBorders>
              <w:left w:val="single" w:sz="4" w:space="0" w:color="000000"/>
              <w:bottom w:val="single" w:sz="4" w:space="0" w:color="000000"/>
              <w:right w:val="single" w:sz="4" w:space="0" w:color="000000"/>
            </w:tcBorders>
          </w:tcPr>
          <w:p>
            <w:pP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190,441,200.00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借款保函保证金（定期存单）</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308,518,596.25</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bookmarkStart w:name="54、外币货币性项目" w:id="321"/>
      <w:bookmarkEnd w:id="321"/>
      <w:r>
        <w:rPr>
          <w:b w:val="0"/>
          <w:bCs w:val="0"/>
        </w:rPr>
      </w:r>
      <w:r>
        <w:rPr>
          <w:rFonts w:ascii="Times New Roman" w:hAnsi="Times New Roman" w:cs="Times New Roman" w:eastAsia="Times New Roman" w:hint="default"/>
        </w:rPr>
        <w:t>54</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外币货币性项目" w:id="322"/>
      <w:bookmarkEnd w:id="322"/>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497"/>
        <w:gridCol w:w="2295"/>
        <w:gridCol w:w="2387"/>
        <w:gridCol w:w="2391"/>
      </w:tblGrid>
      <w:tr>
        <w:trPr>
          <w:trHeight w:val="404"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0"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9" w:right="0"/>
              <w:jc w:val="left"/>
              <w:rPr>
                <w:rFonts w:ascii="宋体" w:hAnsi="宋体" w:cs="宋体" w:eastAsia="宋体" w:hint="default"/>
                <w:sz w:val="18"/>
                <w:szCs w:val="18"/>
              </w:rPr>
            </w:pPr>
            <w:r>
              <w:rPr>
                <w:rFonts w:ascii="宋体" w:hAnsi="宋体" w:cs="宋体" w:eastAsia="宋体" w:hint="default"/>
                <w:spacing w:val="-3"/>
                <w:sz w:val="18"/>
                <w:szCs w:val="18"/>
              </w:rPr>
              <w:t>期末折算人民币余额</w:t>
            </w: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183,489,320.78</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25,911,732.12</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180,765,425.62</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43,939.97</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343,412.84</w:t>
            </w: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77,696.59</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0.8958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69,599.05</w:t>
            </w: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76"/>
              <w:jc w:val="center"/>
              <w:rPr>
                <w:rFonts w:ascii="宋体" w:hAnsi="宋体" w:cs="宋体" w:eastAsia="宋体" w:hint="default"/>
                <w:sz w:val="18"/>
                <w:szCs w:val="18"/>
              </w:rPr>
            </w:pPr>
            <w:r>
              <w:rPr>
                <w:rFonts w:ascii="宋体" w:hAnsi="宋体" w:cs="宋体" w:eastAsia="宋体" w:hint="default"/>
                <w:spacing w:val="-5"/>
                <w:sz w:val="18"/>
                <w:szCs w:val="18"/>
              </w:rPr>
              <w:t>加元</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432,579.56</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5.3421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2,310,883.27</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14,455,351.68</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2,062,046.89</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14,385,251.51</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6,956.72</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54,370.25</w:t>
            </w:r>
          </w:p>
        </w:tc>
      </w:tr>
      <w:tr>
        <w:trPr>
          <w:trHeight w:val="399"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66" w:right="0"/>
              <w:jc w:val="left"/>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295" w:type="dxa"/>
            <w:tcBorders>
              <w:top w:val="single" w:sz="4" w:space="0" w:color="000000"/>
              <w:left w:val="single" w:sz="13" w:space="0" w:color="D2D2D2"/>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76"/>
              <w:jc w:val="center"/>
              <w:rPr>
                <w:rFonts w:ascii="宋体" w:hAnsi="宋体" w:cs="宋体" w:eastAsia="宋体" w:hint="default"/>
                <w:sz w:val="18"/>
                <w:szCs w:val="18"/>
              </w:rPr>
            </w:pPr>
            <w:r>
              <w:rPr>
                <w:rFonts w:ascii="宋体" w:hAnsi="宋体" w:cs="宋体" w:eastAsia="宋体" w:hint="default"/>
                <w:spacing w:val="-5"/>
                <w:sz w:val="18"/>
                <w:szCs w:val="18"/>
              </w:rPr>
              <w:t>加元</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2,944.52</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5.3421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15,729.92</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143,813,111.19</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20,614,820.56</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143,813,111.19</w:t>
            </w:r>
          </w:p>
        </w:tc>
      </w:tr>
      <w:tr>
        <w:trPr>
          <w:trHeight w:val="399"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66" w:right="0"/>
              <w:jc w:val="lef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295" w:type="dxa"/>
            <w:tcBorders>
              <w:top w:val="single" w:sz="4" w:space="0" w:color="000000"/>
              <w:left w:val="single" w:sz="13" w:space="0" w:color="D2D2D2"/>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295" w:type="dxa"/>
            <w:tcBorders>
              <w:top w:val="single" w:sz="4" w:space="0" w:color="000000"/>
              <w:left w:val="single" w:sz="13" w:space="0" w:color="D2D2D2"/>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82,190,755.36</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11,763,846.07</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82,066,942.95</w:t>
            </w:r>
          </w:p>
        </w:tc>
      </w:tr>
      <w:tr>
        <w:trPr>
          <w:trHeight w:val="399"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76"/>
              <w:jc w:val="center"/>
              <w:rPr>
                <w:rFonts w:ascii="宋体" w:hAnsi="宋体" w:cs="宋体" w:eastAsia="宋体" w:hint="default"/>
                <w:sz w:val="18"/>
                <w:szCs w:val="18"/>
              </w:rPr>
            </w:pPr>
            <w:r>
              <w:rPr>
                <w:rFonts w:ascii="宋体" w:hAnsi="宋体" w:cs="宋体" w:eastAsia="宋体" w:hint="default"/>
                <w:spacing w:val="-5"/>
                <w:sz w:val="18"/>
                <w:szCs w:val="18"/>
              </w:rPr>
              <w:t>加元</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23,176.73</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5.3421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123,812.41</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32,146,398.70</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4,452,080.44</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31,058,603.57</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76"/>
              <w:jc w:val="center"/>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70,323.35</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549,612.14</w:t>
            </w:r>
          </w:p>
        </w:tc>
      </w:tr>
      <w:tr>
        <w:trPr>
          <w:trHeight w:val="399"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76"/>
              <w:jc w:val="center"/>
              <w:rPr>
                <w:rFonts w:ascii="宋体" w:hAnsi="宋体" w:cs="宋体" w:eastAsia="宋体" w:hint="default"/>
                <w:sz w:val="18"/>
                <w:szCs w:val="18"/>
              </w:rPr>
            </w:pPr>
            <w:r>
              <w:rPr>
                <w:rFonts w:ascii="宋体" w:hAnsi="宋体" w:cs="宋体" w:eastAsia="宋体" w:hint="default"/>
                <w:spacing w:val="-5"/>
                <w:sz w:val="18"/>
                <w:szCs w:val="18"/>
              </w:rPr>
              <w:t>英镑</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58,817.17</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9.1501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538,182.99</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215,525,691.38</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30,760,508.72</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214,591,460.93</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7"/>
        <w:gridCol w:w="2295"/>
        <w:gridCol w:w="2387"/>
        <w:gridCol w:w="2391"/>
      </w:tblGrid>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76"/>
              <w:jc w:val="center"/>
              <w:rPr>
                <w:rFonts w:ascii="宋体" w:hAnsi="宋体" w:cs="宋体" w:eastAsia="宋体" w:hint="default"/>
                <w:sz w:val="18"/>
                <w:szCs w:val="18"/>
              </w:rPr>
            </w:pPr>
            <w:r>
              <w:rPr>
                <w:rFonts w:ascii="宋体" w:hAnsi="宋体" w:cs="宋体" w:eastAsia="宋体" w:hint="default"/>
                <w:spacing w:val="-5"/>
                <w:sz w:val="18"/>
                <w:szCs w:val="18"/>
              </w:rPr>
              <w:t>加元</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174,880.75</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5.3421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934,230.45</w:t>
            </w: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455,402.06</w:t>
            </w: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其中：加元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85,247.76</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5.3421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455,402.06</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167,428,800.00</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24,000,000.00</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167,428,800.00</w:t>
            </w: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1,055,030.82</w:t>
            </w: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151,232.88</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1,055,030.82</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157,048,369.55</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22,512,022.24</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157,048,369.55</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pStyle w:val="Heading4"/>
        <w:spacing w:line="256" w:lineRule="auto"/>
        <w:ind w:right="0"/>
        <w:jc w:val="left"/>
        <w:rPr>
          <w:b w:val="0"/>
          <w:bCs w:val="0"/>
        </w:rPr>
      </w:pPr>
      <w:bookmarkStart w:name="（2）境外经营实体说明，包括对于重要的境外经营实体，应披露其境外主要经营地、记账" w:id="323"/>
      <w:bookmarkEnd w:id="323"/>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6"/>
        </w:rPr>
        <w:t> </w:t>
      </w:r>
      <w:r>
        <w:rPr>
          <w:spacing w:val="-66"/>
        </w:rPr>
      </w:r>
      <w:r>
        <w:rPr/>
        <w:t>依据，记账本位币发生变化的还应披露原因。</w:t>
      </w:r>
      <w:r>
        <w:rPr>
          <w:b w:val="0"/>
          <w:bCs w:val="0"/>
        </w:rPr>
      </w:r>
    </w:p>
    <w:p>
      <w:pPr>
        <w:spacing w:line="240" w:lineRule="auto" w:before="2"/>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43" w:type="dxa"/>
        <w:tblLayout w:type="fixed"/>
        <w:tblCellMar>
          <w:top w:w="0" w:type="dxa"/>
          <w:left w:w="0" w:type="dxa"/>
          <w:bottom w:w="0" w:type="dxa"/>
          <w:right w:w="0" w:type="dxa"/>
        </w:tblCellMar>
        <w:tblLook w:val="01E0"/>
      </w:tblPr>
      <w:tblGrid>
        <w:gridCol w:w="2411"/>
        <w:gridCol w:w="1277"/>
        <w:gridCol w:w="1133"/>
        <w:gridCol w:w="1421"/>
        <w:gridCol w:w="1369"/>
        <w:gridCol w:w="1524"/>
      </w:tblGrid>
      <w:tr>
        <w:trPr>
          <w:trHeight w:val="977" w:hRule="exact"/>
        </w:trPr>
        <w:tc>
          <w:tcPr>
            <w:tcW w:w="24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left="4"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85" w:lineRule="auto" w:before="1"/>
              <w:ind w:left="532" w:right="22" w:hanging="500"/>
              <w:jc w:val="left"/>
              <w:rPr>
                <w:rFonts w:ascii="宋体" w:hAnsi="宋体" w:cs="宋体" w:eastAsia="宋体" w:hint="default"/>
                <w:sz w:val="20"/>
                <w:szCs w:val="20"/>
              </w:rPr>
            </w:pPr>
            <w:r>
              <w:rPr>
                <w:rFonts w:ascii="宋体" w:hAnsi="宋体" w:cs="宋体" w:eastAsia="宋体" w:hint="default"/>
                <w:sz w:val="20"/>
                <w:szCs w:val="20"/>
              </w:rPr>
              <w:t>境外主要经营</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地</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85" w:lineRule="auto" w:before="1"/>
              <w:ind w:left="62" w:right="51"/>
              <w:jc w:val="left"/>
              <w:rPr>
                <w:rFonts w:ascii="宋体" w:hAnsi="宋体" w:cs="宋体" w:eastAsia="宋体" w:hint="default"/>
                <w:sz w:val="20"/>
                <w:szCs w:val="20"/>
              </w:rPr>
            </w:pPr>
            <w:r>
              <w:rPr>
                <w:rFonts w:ascii="宋体" w:hAnsi="宋体" w:cs="宋体" w:eastAsia="宋体" w:hint="default"/>
                <w:sz w:val="20"/>
                <w:szCs w:val="20"/>
              </w:rPr>
              <w:t>记账本位币</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及选择依据</w:t>
            </w:r>
          </w:p>
        </w:tc>
        <w:tc>
          <w:tcPr>
            <w:tcW w:w="1421" w:type="dxa"/>
            <w:tcBorders>
              <w:top w:val="single" w:sz="6" w:space="0" w:color="000000"/>
              <w:left w:val="single" w:sz="6" w:space="0" w:color="000000"/>
              <w:bottom w:val="single" w:sz="12" w:space="0" w:color="000000"/>
              <w:right w:val="single" w:sz="6" w:space="0" w:color="000000"/>
            </w:tcBorders>
          </w:tcPr>
          <w:p>
            <w:pPr>
              <w:pStyle w:val="TableParagraph"/>
              <w:spacing w:line="285" w:lineRule="auto" w:before="1"/>
              <w:ind w:left="100" w:right="99"/>
              <w:jc w:val="center"/>
              <w:rPr>
                <w:rFonts w:ascii="宋体" w:hAnsi="宋体" w:cs="宋体" w:eastAsia="宋体" w:hint="default"/>
                <w:sz w:val="20"/>
                <w:szCs w:val="20"/>
              </w:rPr>
            </w:pPr>
            <w:r>
              <w:rPr>
                <w:rFonts w:ascii="宋体" w:hAnsi="宋体" w:cs="宋体" w:eastAsia="宋体" w:hint="default"/>
                <w:sz w:val="20"/>
                <w:szCs w:val="20"/>
              </w:rPr>
              <w:t>记账本位币本</w:t>
            </w:r>
            <w:r>
              <w:rPr>
                <w:rFonts w:ascii="宋体" w:hAnsi="宋体" w:cs="宋体" w:eastAsia="宋体" w:hint="default"/>
                <w:w w:val="100"/>
                <w:sz w:val="20"/>
                <w:szCs w:val="20"/>
              </w:rPr>
              <w:t> </w:t>
            </w:r>
            <w:r>
              <w:rPr>
                <w:rFonts w:ascii="宋体" w:hAnsi="宋体" w:cs="宋体" w:eastAsia="宋体" w:hint="default"/>
                <w:sz w:val="20"/>
                <w:szCs w:val="20"/>
              </w:rPr>
              <w:t>期是否发生变</w:t>
            </w:r>
            <w:r>
              <w:rPr>
                <w:rFonts w:ascii="宋体" w:hAnsi="宋体" w:cs="宋体" w:eastAsia="宋体" w:hint="default"/>
                <w:w w:val="100"/>
                <w:sz w:val="20"/>
                <w:szCs w:val="20"/>
              </w:rPr>
              <w:t> </w:t>
            </w:r>
            <w:r>
              <w:rPr>
                <w:rFonts w:ascii="宋体" w:hAnsi="宋体" w:cs="宋体" w:eastAsia="宋体" w:hint="default"/>
                <w:sz w:val="20"/>
                <w:szCs w:val="20"/>
              </w:rPr>
              <w:t>化</w:t>
            </w:r>
          </w:p>
        </w:tc>
        <w:tc>
          <w:tcPr>
            <w:tcW w:w="1369" w:type="dxa"/>
            <w:tcBorders>
              <w:top w:val="single" w:sz="6" w:space="0" w:color="000000"/>
              <w:left w:val="single" w:sz="6" w:space="0" w:color="000000"/>
              <w:bottom w:val="single" w:sz="12" w:space="0" w:color="000000"/>
              <w:right w:val="single" w:sz="6" w:space="0" w:color="000000"/>
            </w:tcBorders>
          </w:tcPr>
          <w:p>
            <w:pPr>
              <w:pStyle w:val="TableParagraph"/>
              <w:spacing w:line="285" w:lineRule="auto" w:before="1"/>
              <w:ind w:left="76" w:right="70"/>
              <w:jc w:val="left"/>
              <w:rPr>
                <w:rFonts w:ascii="宋体" w:hAnsi="宋体" w:cs="宋体" w:eastAsia="宋体" w:hint="default"/>
                <w:sz w:val="20"/>
                <w:szCs w:val="20"/>
              </w:rPr>
            </w:pPr>
            <w:r>
              <w:rPr>
                <w:rFonts w:ascii="宋体" w:hAnsi="宋体" w:cs="宋体" w:eastAsia="宋体" w:hint="default"/>
                <w:sz w:val="20"/>
                <w:szCs w:val="20"/>
              </w:rPr>
              <w:t>记账本位币发</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生变化的原因</w:t>
            </w:r>
          </w:p>
        </w:tc>
        <w:tc>
          <w:tcPr>
            <w:tcW w:w="1524" w:type="dxa"/>
            <w:tcBorders>
              <w:top w:val="single" w:sz="6" w:space="0" w:color="000000"/>
              <w:left w:val="single" w:sz="6" w:space="0" w:color="000000"/>
              <w:bottom w:val="single" w:sz="12" w:space="0" w:color="000000"/>
              <w:right w:val="nil" w:sz="6" w:space="0" w:color="auto"/>
            </w:tcBorders>
          </w:tcPr>
          <w:p>
            <w:pPr>
              <w:pStyle w:val="TableParagraph"/>
              <w:spacing w:line="285" w:lineRule="auto" w:before="1"/>
              <w:ind w:left="52" w:right="56"/>
              <w:jc w:val="left"/>
              <w:rPr>
                <w:rFonts w:ascii="宋体" w:hAnsi="宋体" w:cs="宋体" w:eastAsia="宋体" w:hint="default"/>
                <w:sz w:val="20"/>
                <w:szCs w:val="20"/>
              </w:rPr>
            </w:pPr>
            <w:r>
              <w:rPr>
                <w:rFonts w:ascii="宋体" w:hAnsi="宋体" w:cs="宋体" w:eastAsia="宋体" w:hint="default"/>
                <w:sz w:val="20"/>
                <w:szCs w:val="20"/>
              </w:rPr>
              <w:t>记账本位币发生</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变化的会计处理</w:t>
            </w:r>
          </w:p>
        </w:tc>
      </w:tr>
      <w:tr>
        <w:trPr>
          <w:trHeight w:val="667" w:hRule="exact"/>
        </w:trPr>
        <w:tc>
          <w:tcPr>
            <w:tcW w:w="2411"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ind w:left="4" w:right="-2"/>
              <w:jc w:val="left"/>
              <w:rPr>
                <w:rFonts w:ascii="宋体" w:hAnsi="宋体" w:cs="宋体" w:eastAsia="宋体" w:hint="default"/>
                <w:sz w:val="20"/>
                <w:szCs w:val="20"/>
              </w:rPr>
            </w:pPr>
            <w:r>
              <w:rPr>
                <w:rFonts w:ascii="宋体" w:hAnsi="宋体" w:cs="宋体" w:eastAsia="宋体" w:hint="default"/>
                <w:spacing w:val="14"/>
                <w:sz w:val="20"/>
                <w:szCs w:val="20"/>
              </w:rPr>
              <w:t>视觉中国集团控股有限公</w:t>
            </w:r>
            <w:r>
              <w:rPr>
                <w:rFonts w:ascii="宋体" w:hAnsi="宋体" w:cs="宋体" w:eastAsia="宋体" w:hint="default"/>
                <w:spacing w:val="-69"/>
                <w:sz w:val="20"/>
                <w:szCs w:val="20"/>
              </w:rPr>
              <w:t> </w:t>
            </w:r>
            <w:r>
              <w:rPr>
                <w:rFonts w:ascii="宋体" w:hAnsi="宋体" w:cs="宋体" w:eastAsia="宋体" w:hint="default"/>
                <w:spacing w:val="-69"/>
                <w:sz w:val="20"/>
                <w:szCs w:val="20"/>
              </w:rPr>
            </w:r>
            <w:r>
              <w:rPr>
                <w:rFonts w:ascii="宋体" w:hAnsi="宋体" w:cs="宋体" w:eastAsia="宋体" w:hint="default"/>
                <w:sz w:val="20"/>
                <w:szCs w:val="20"/>
              </w:rPr>
              <w:t>司</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59" w:lineRule="exact"/>
              <w:ind w:left="4" w:right="0"/>
              <w:jc w:val="center"/>
              <w:rPr>
                <w:rFonts w:ascii="宋体" w:hAnsi="宋体" w:cs="宋体" w:eastAsia="宋体" w:hint="default"/>
                <w:sz w:val="20"/>
                <w:szCs w:val="20"/>
              </w:rPr>
            </w:pPr>
            <w:r>
              <w:rPr>
                <w:rFonts w:ascii="宋体" w:hAnsi="宋体" w:cs="宋体" w:eastAsia="宋体" w:hint="default"/>
                <w:sz w:val="20"/>
                <w:szCs w:val="20"/>
              </w:rPr>
              <w:t>香港</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59" w:lineRule="exact"/>
              <w:ind w:right="353"/>
              <w:jc w:val="right"/>
              <w:rPr>
                <w:rFonts w:ascii="宋体" w:hAnsi="宋体" w:cs="宋体" w:eastAsia="宋体" w:hint="default"/>
                <w:sz w:val="20"/>
                <w:szCs w:val="20"/>
              </w:rPr>
            </w:pPr>
            <w:r>
              <w:rPr>
                <w:rFonts w:ascii="宋体" w:hAnsi="宋体" w:cs="宋体" w:eastAsia="宋体" w:hint="default"/>
                <w:sz w:val="20"/>
                <w:szCs w:val="20"/>
              </w:rPr>
              <w:t>美元</w:t>
            </w:r>
          </w:p>
        </w:tc>
        <w:tc>
          <w:tcPr>
            <w:tcW w:w="1421" w:type="dxa"/>
            <w:tcBorders>
              <w:top w:val="single" w:sz="12" w:space="0" w:color="000000"/>
              <w:left w:val="single" w:sz="6" w:space="0" w:color="000000"/>
              <w:bottom w:val="single" w:sz="12" w:space="0" w:color="000000"/>
              <w:right w:val="single" w:sz="6" w:space="0" w:color="000000"/>
            </w:tcBorders>
          </w:tcPr>
          <w:p>
            <w:pPr>
              <w:pStyle w:val="TableParagraph"/>
              <w:spacing w:line="259" w:lineRule="exact"/>
              <w:ind w:right="603"/>
              <w:jc w:val="right"/>
              <w:rPr>
                <w:rFonts w:ascii="宋体" w:hAnsi="宋体" w:cs="宋体" w:eastAsia="宋体" w:hint="default"/>
                <w:sz w:val="20"/>
                <w:szCs w:val="20"/>
              </w:rPr>
            </w:pPr>
            <w:r>
              <w:rPr>
                <w:rFonts w:ascii="宋体" w:hAnsi="宋体" w:cs="宋体" w:eastAsia="宋体" w:hint="default"/>
                <w:w w:val="100"/>
                <w:sz w:val="20"/>
                <w:szCs w:val="20"/>
              </w:rPr>
              <w:t>否</w:t>
            </w:r>
          </w:p>
        </w:tc>
        <w:tc>
          <w:tcPr>
            <w:tcW w:w="1369" w:type="dxa"/>
            <w:tcBorders>
              <w:top w:val="single" w:sz="12" w:space="0" w:color="000000"/>
              <w:left w:val="single" w:sz="6" w:space="0" w:color="000000"/>
              <w:bottom w:val="single" w:sz="12" w:space="0" w:color="000000"/>
              <w:right w:val="single" w:sz="6" w:space="0" w:color="000000"/>
            </w:tcBorders>
          </w:tcPr>
          <w:p>
            <w:pPr/>
          </w:p>
        </w:tc>
        <w:tc>
          <w:tcPr>
            <w:tcW w:w="1524"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2411" w:type="dxa"/>
            <w:tcBorders>
              <w:top w:val="single" w:sz="12" w:space="0" w:color="000000"/>
              <w:left w:val="single" w:sz="6" w:space="0" w:color="000000"/>
              <w:bottom w:val="single" w:sz="12" w:space="0" w:color="000000"/>
              <w:right w:val="single" w:sz="6" w:space="0" w:color="000000"/>
            </w:tcBorders>
          </w:tcPr>
          <w:p>
            <w:pPr>
              <w:pStyle w:val="TableParagraph"/>
              <w:spacing w:line="254" w:lineRule="exact"/>
              <w:ind w:left="4" w:right="0"/>
              <w:jc w:val="left"/>
              <w:rPr>
                <w:rFonts w:ascii="宋体" w:hAnsi="宋体" w:cs="宋体" w:eastAsia="宋体" w:hint="default"/>
                <w:sz w:val="20"/>
                <w:szCs w:val="20"/>
              </w:rPr>
            </w:pPr>
            <w:r>
              <w:rPr>
                <w:rFonts w:ascii="宋体" w:hAnsi="宋体" w:cs="宋体" w:eastAsia="宋体" w:hint="default"/>
                <w:sz w:val="20"/>
                <w:szCs w:val="20"/>
              </w:rPr>
              <w:t>视觉中国香港有限公司</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54" w:lineRule="exact"/>
              <w:ind w:left="4" w:right="0"/>
              <w:jc w:val="center"/>
              <w:rPr>
                <w:rFonts w:ascii="宋体" w:hAnsi="宋体" w:cs="宋体" w:eastAsia="宋体" w:hint="default"/>
                <w:sz w:val="20"/>
                <w:szCs w:val="20"/>
              </w:rPr>
            </w:pPr>
            <w:r>
              <w:rPr>
                <w:rFonts w:ascii="宋体" w:hAnsi="宋体" w:cs="宋体" w:eastAsia="宋体" w:hint="default"/>
                <w:sz w:val="20"/>
                <w:szCs w:val="20"/>
              </w:rPr>
              <w:t>香港</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54" w:lineRule="exact"/>
              <w:ind w:right="353"/>
              <w:jc w:val="right"/>
              <w:rPr>
                <w:rFonts w:ascii="宋体" w:hAnsi="宋体" w:cs="宋体" w:eastAsia="宋体" w:hint="default"/>
                <w:sz w:val="20"/>
                <w:szCs w:val="20"/>
              </w:rPr>
            </w:pPr>
            <w:r>
              <w:rPr>
                <w:rFonts w:ascii="宋体" w:hAnsi="宋体" w:cs="宋体" w:eastAsia="宋体" w:hint="default"/>
                <w:sz w:val="20"/>
                <w:szCs w:val="20"/>
              </w:rPr>
              <w:t>港币</w:t>
            </w:r>
          </w:p>
        </w:tc>
        <w:tc>
          <w:tcPr>
            <w:tcW w:w="1421" w:type="dxa"/>
            <w:tcBorders>
              <w:top w:val="single" w:sz="12" w:space="0" w:color="000000"/>
              <w:left w:val="single" w:sz="6" w:space="0" w:color="000000"/>
              <w:bottom w:val="single" w:sz="12" w:space="0" w:color="000000"/>
              <w:right w:val="single" w:sz="6" w:space="0" w:color="000000"/>
            </w:tcBorders>
          </w:tcPr>
          <w:p>
            <w:pPr>
              <w:pStyle w:val="TableParagraph"/>
              <w:spacing w:line="254" w:lineRule="exact"/>
              <w:ind w:right="603"/>
              <w:jc w:val="right"/>
              <w:rPr>
                <w:rFonts w:ascii="宋体" w:hAnsi="宋体" w:cs="宋体" w:eastAsia="宋体" w:hint="default"/>
                <w:sz w:val="20"/>
                <w:szCs w:val="20"/>
              </w:rPr>
            </w:pPr>
            <w:r>
              <w:rPr>
                <w:rFonts w:ascii="宋体" w:hAnsi="宋体" w:cs="宋体" w:eastAsia="宋体" w:hint="default"/>
                <w:w w:val="100"/>
                <w:sz w:val="20"/>
                <w:szCs w:val="20"/>
              </w:rPr>
              <w:t>否</w:t>
            </w:r>
          </w:p>
        </w:tc>
        <w:tc>
          <w:tcPr>
            <w:tcW w:w="1369" w:type="dxa"/>
            <w:tcBorders>
              <w:top w:val="single" w:sz="12" w:space="0" w:color="000000"/>
              <w:left w:val="single" w:sz="6" w:space="0" w:color="000000"/>
              <w:bottom w:val="single" w:sz="12" w:space="0" w:color="000000"/>
              <w:right w:val="single" w:sz="6" w:space="0" w:color="000000"/>
            </w:tcBorders>
          </w:tcPr>
          <w:p>
            <w:pPr/>
          </w:p>
        </w:tc>
        <w:tc>
          <w:tcPr>
            <w:tcW w:w="1524" w:type="dxa"/>
            <w:tcBorders>
              <w:top w:val="single" w:sz="12" w:space="0" w:color="000000"/>
              <w:left w:val="single" w:sz="6" w:space="0" w:color="000000"/>
              <w:bottom w:val="single" w:sz="12" w:space="0" w:color="000000"/>
              <w:right w:val="nil" w:sz="6" w:space="0" w:color="auto"/>
            </w:tcBorders>
          </w:tcPr>
          <w:p>
            <w:pPr/>
          </w:p>
        </w:tc>
      </w:tr>
      <w:tr>
        <w:trPr>
          <w:trHeight w:val="351" w:hRule="exact"/>
        </w:trPr>
        <w:tc>
          <w:tcPr>
            <w:tcW w:w="2411" w:type="dxa"/>
            <w:tcBorders>
              <w:top w:val="single" w:sz="12" w:space="0" w:color="000000"/>
              <w:left w:val="single" w:sz="6" w:space="0" w:color="000000"/>
              <w:bottom w:val="single" w:sz="12" w:space="0" w:color="000000"/>
              <w:right w:val="single" w:sz="6" w:space="0" w:color="000000"/>
            </w:tcBorders>
          </w:tcPr>
          <w:p>
            <w:pPr>
              <w:pStyle w:val="TableParagraph"/>
              <w:spacing w:line="254" w:lineRule="exact"/>
              <w:ind w:left="4" w:right="0"/>
              <w:jc w:val="left"/>
              <w:rPr>
                <w:rFonts w:ascii="宋体" w:hAnsi="宋体" w:cs="宋体" w:eastAsia="宋体" w:hint="default"/>
                <w:sz w:val="20"/>
                <w:szCs w:val="20"/>
              </w:rPr>
            </w:pPr>
            <w:r>
              <w:rPr>
                <w:rFonts w:ascii="宋体" w:hAnsi="宋体" w:cs="宋体" w:eastAsia="宋体" w:hint="default"/>
                <w:sz w:val="20"/>
                <w:szCs w:val="20"/>
              </w:rPr>
              <w:t>联景国际有限公司</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54" w:lineRule="exact"/>
              <w:ind w:left="4" w:right="0"/>
              <w:jc w:val="center"/>
              <w:rPr>
                <w:rFonts w:ascii="宋体" w:hAnsi="宋体" w:cs="宋体" w:eastAsia="宋体" w:hint="default"/>
                <w:sz w:val="20"/>
                <w:szCs w:val="20"/>
              </w:rPr>
            </w:pPr>
            <w:r>
              <w:rPr>
                <w:rFonts w:ascii="宋体" w:hAnsi="宋体" w:cs="宋体" w:eastAsia="宋体" w:hint="default"/>
                <w:sz w:val="20"/>
                <w:szCs w:val="20"/>
              </w:rPr>
              <w:t>香港</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54" w:lineRule="exact"/>
              <w:ind w:right="353"/>
              <w:jc w:val="right"/>
              <w:rPr>
                <w:rFonts w:ascii="宋体" w:hAnsi="宋体" w:cs="宋体" w:eastAsia="宋体" w:hint="default"/>
                <w:sz w:val="20"/>
                <w:szCs w:val="20"/>
              </w:rPr>
            </w:pPr>
            <w:r>
              <w:rPr>
                <w:rFonts w:ascii="宋体" w:hAnsi="宋体" w:cs="宋体" w:eastAsia="宋体" w:hint="default"/>
                <w:sz w:val="20"/>
                <w:szCs w:val="20"/>
              </w:rPr>
              <w:t>美元</w:t>
            </w:r>
          </w:p>
        </w:tc>
        <w:tc>
          <w:tcPr>
            <w:tcW w:w="1421" w:type="dxa"/>
            <w:tcBorders>
              <w:top w:val="single" w:sz="12" w:space="0" w:color="000000"/>
              <w:left w:val="single" w:sz="6" w:space="0" w:color="000000"/>
              <w:bottom w:val="single" w:sz="12" w:space="0" w:color="000000"/>
              <w:right w:val="single" w:sz="6" w:space="0" w:color="000000"/>
            </w:tcBorders>
          </w:tcPr>
          <w:p>
            <w:pPr>
              <w:pStyle w:val="TableParagraph"/>
              <w:spacing w:line="254" w:lineRule="exact"/>
              <w:ind w:right="603"/>
              <w:jc w:val="right"/>
              <w:rPr>
                <w:rFonts w:ascii="宋体" w:hAnsi="宋体" w:cs="宋体" w:eastAsia="宋体" w:hint="default"/>
                <w:sz w:val="20"/>
                <w:szCs w:val="20"/>
              </w:rPr>
            </w:pPr>
            <w:r>
              <w:rPr>
                <w:rFonts w:ascii="宋体" w:hAnsi="宋体" w:cs="宋体" w:eastAsia="宋体" w:hint="default"/>
                <w:w w:val="100"/>
                <w:sz w:val="20"/>
                <w:szCs w:val="20"/>
              </w:rPr>
              <w:t>否</w:t>
            </w:r>
          </w:p>
        </w:tc>
        <w:tc>
          <w:tcPr>
            <w:tcW w:w="1369" w:type="dxa"/>
            <w:tcBorders>
              <w:top w:val="single" w:sz="12" w:space="0" w:color="000000"/>
              <w:left w:val="single" w:sz="6" w:space="0" w:color="000000"/>
              <w:bottom w:val="single" w:sz="12" w:space="0" w:color="000000"/>
              <w:right w:val="single" w:sz="6" w:space="0" w:color="000000"/>
            </w:tcBorders>
          </w:tcPr>
          <w:p>
            <w:pPr/>
          </w:p>
        </w:tc>
        <w:tc>
          <w:tcPr>
            <w:tcW w:w="1524" w:type="dxa"/>
            <w:tcBorders>
              <w:top w:val="single" w:sz="12" w:space="0" w:color="000000"/>
              <w:left w:val="single" w:sz="6" w:space="0" w:color="000000"/>
              <w:bottom w:val="single" w:sz="12" w:space="0" w:color="000000"/>
              <w:right w:val="nil" w:sz="6" w:space="0" w:color="auto"/>
            </w:tcBorders>
          </w:tcPr>
          <w:p>
            <w:pPr/>
          </w:p>
        </w:tc>
      </w:tr>
      <w:tr>
        <w:trPr>
          <w:trHeight w:val="355" w:hRule="exact"/>
        </w:trPr>
        <w:tc>
          <w:tcPr>
            <w:tcW w:w="24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3"/>
              <w:ind w:left="4" w:right="0"/>
              <w:jc w:val="left"/>
              <w:rPr>
                <w:rFonts w:ascii="Times New Roman" w:hAnsi="Times New Roman" w:cs="Times New Roman" w:eastAsia="Times New Roman" w:hint="default"/>
                <w:sz w:val="20"/>
                <w:szCs w:val="20"/>
              </w:rPr>
            </w:pPr>
            <w:r>
              <w:rPr>
                <w:rFonts w:ascii="Times New Roman"/>
                <w:sz w:val="20"/>
              </w:rPr>
              <w:t>500px,Inc.</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59" w:lineRule="exact"/>
              <w:ind w:left="4" w:right="0"/>
              <w:jc w:val="center"/>
              <w:rPr>
                <w:rFonts w:ascii="宋体" w:hAnsi="宋体" w:cs="宋体" w:eastAsia="宋体" w:hint="default"/>
                <w:sz w:val="20"/>
                <w:szCs w:val="20"/>
              </w:rPr>
            </w:pPr>
            <w:r>
              <w:rPr>
                <w:rFonts w:ascii="宋体" w:hAnsi="宋体" w:cs="宋体" w:eastAsia="宋体" w:hint="default"/>
                <w:sz w:val="20"/>
                <w:szCs w:val="20"/>
              </w:rPr>
              <w:t>多伦多</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59" w:lineRule="exact"/>
              <w:ind w:right="353"/>
              <w:jc w:val="right"/>
              <w:rPr>
                <w:rFonts w:ascii="宋体" w:hAnsi="宋体" w:cs="宋体" w:eastAsia="宋体" w:hint="default"/>
                <w:sz w:val="20"/>
                <w:szCs w:val="20"/>
              </w:rPr>
            </w:pPr>
            <w:r>
              <w:rPr>
                <w:rFonts w:ascii="宋体" w:hAnsi="宋体" w:cs="宋体" w:eastAsia="宋体" w:hint="default"/>
                <w:sz w:val="20"/>
                <w:szCs w:val="20"/>
              </w:rPr>
              <w:t>加元</w:t>
            </w:r>
          </w:p>
        </w:tc>
        <w:tc>
          <w:tcPr>
            <w:tcW w:w="1421" w:type="dxa"/>
            <w:tcBorders>
              <w:top w:val="single" w:sz="12" w:space="0" w:color="000000"/>
              <w:left w:val="single" w:sz="6" w:space="0" w:color="000000"/>
              <w:bottom w:val="single" w:sz="12" w:space="0" w:color="000000"/>
              <w:right w:val="single" w:sz="6" w:space="0" w:color="000000"/>
            </w:tcBorders>
          </w:tcPr>
          <w:p>
            <w:pPr>
              <w:pStyle w:val="TableParagraph"/>
              <w:spacing w:line="259" w:lineRule="exact"/>
              <w:ind w:right="603"/>
              <w:jc w:val="right"/>
              <w:rPr>
                <w:rFonts w:ascii="宋体" w:hAnsi="宋体" w:cs="宋体" w:eastAsia="宋体" w:hint="default"/>
                <w:sz w:val="20"/>
                <w:szCs w:val="20"/>
              </w:rPr>
            </w:pPr>
            <w:r>
              <w:rPr>
                <w:rFonts w:ascii="宋体" w:hAnsi="宋体" w:cs="宋体" w:eastAsia="宋体" w:hint="default"/>
                <w:w w:val="100"/>
                <w:sz w:val="20"/>
                <w:szCs w:val="20"/>
              </w:rPr>
              <w:t>否</w:t>
            </w:r>
          </w:p>
        </w:tc>
        <w:tc>
          <w:tcPr>
            <w:tcW w:w="1369" w:type="dxa"/>
            <w:tcBorders>
              <w:top w:val="single" w:sz="12" w:space="0" w:color="000000"/>
              <w:left w:val="single" w:sz="6" w:space="0" w:color="000000"/>
              <w:bottom w:val="single" w:sz="12" w:space="0" w:color="000000"/>
              <w:right w:val="single" w:sz="6" w:space="0" w:color="000000"/>
            </w:tcBorders>
          </w:tcPr>
          <w:p>
            <w:pPr/>
          </w:p>
        </w:tc>
        <w:tc>
          <w:tcPr>
            <w:tcW w:w="1524"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八、合并范围的变更" w:id="324"/>
      <w:bookmarkEnd w:id="324"/>
      <w:r>
        <w:rPr>
          <w:b w:val="0"/>
          <w:bCs w:val="0"/>
        </w:rPr>
      </w:r>
      <w:r>
        <w:rPr/>
        <w:t>八、合并范围的变更</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处置子公司" w:id="325"/>
      <w:bookmarkEnd w:id="325"/>
      <w:r>
        <w:rPr>
          <w:b w:val="0"/>
          <w:bCs w:val="0"/>
        </w:rPr>
      </w:r>
      <w:r>
        <w:rPr>
          <w:rFonts w:ascii="Times New Roman" w:hAnsi="Times New Roman" w:cs="Times New Roman" w:eastAsia="Times New Roman" w:hint="default"/>
        </w:rPr>
        <w:t>1</w:t>
      </w:r>
      <w:r>
        <w:rPr/>
        <w:t>、处置子公司</w:t>
      </w:r>
      <w:r>
        <w:rPr>
          <w:b w:val="0"/>
          <w:bCs w:val="0"/>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是否存在单次处置对子公司投资即丧失控制权的情形</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7" w:space="4533"/>
            <w:col w:w="2100"/>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34"/>
        <w:gridCol w:w="740"/>
        <w:gridCol w:w="735"/>
        <w:gridCol w:w="734"/>
        <w:gridCol w:w="735"/>
        <w:gridCol w:w="734"/>
        <w:gridCol w:w="740"/>
        <w:gridCol w:w="735"/>
        <w:gridCol w:w="734"/>
        <w:gridCol w:w="740"/>
        <w:gridCol w:w="734"/>
        <w:gridCol w:w="735"/>
        <w:gridCol w:w="739"/>
      </w:tblGrid>
      <w:tr>
        <w:trPr>
          <w:trHeight w:val="2900"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82" w:right="84" w:hanging="87"/>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名称</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6" w:right="89"/>
              <w:jc w:val="left"/>
              <w:rPr>
                <w:rFonts w:ascii="宋体" w:hAnsi="宋体" w:cs="宋体" w:eastAsia="宋体" w:hint="default"/>
                <w:sz w:val="18"/>
                <w:szCs w:val="18"/>
              </w:rPr>
            </w:pPr>
            <w:r>
              <w:rPr>
                <w:rFonts w:ascii="宋体" w:hAnsi="宋体" w:cs="宋体" w:eastAsia="宋体" w:hint="default"/>
                <w:sz w:val="18"/>
                <w:szCs w:val="18"/>
              </w:rPr>
              <w:t>股权处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置价款</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5" w:right="84"/>
              <w:jc w:val="left"/>
              <w:rPr>
                <w:rFonts w:ascii="宋体" w:hAnsi="宋体" w:cs="宋体" w:eastAsia="宋体" w:hint="default"/>
                <w:sz w:val="18"/>
                <w:szCs w:val="18"/>
              </w:rPr>
            </w:pPr>
            <w:r>
              <w:rPr>
                <w:rFonts w:ascii="宋体" w:hAnsi="宋体" w:cs="宋体" w:eastAsia="宋体" w:hint="default"/>
                <w:sz w:val="18"/>
                <w:szCs w:val="18"/>
              </w:rPr>
              <w:t>股权处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置比例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1" w:right="89"/>
              <w:jc w:val="left"/>
              <w:rPr>
                <w:rFonts w:ascii="宋体" w:hAnsi="宋体" w:cs="宋体" w:eastAsia="宋体" w:hint="default"/>
                <w:sz w:val="18"/>
                <w:szCs w:val="18"/>
              </w:rPr>
            </w:pPr>
            <w:r>
              <w:rPr>
                <w:rFonts w:ascii="宋体" w:hAnsi="宋体" w:cs="宋体" w:eastAsia="宋体" w:hint="default"/>
                <w:sz w:val="18"/>
                <w:szCs w:val="18"/>
              </w:rPr>
              <w:t>股权处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置方式</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1" w:right="89"/>
              <w:jc w:val="both"/>
              <w:rPr>
                <w:rFonts w:ascii="宋体" w:hAnsi="宋体" w:cs="宋体" w:eastAsia="宋体" w:hint="default"/>
                <w:sz w:val="18"/>
                <w:szCs w:val="18"/>
              </w:rPr>
            </w:pPr>
            <w:r>
              <w:rPr>
                <w:rFonts w:ascii="宋体" w:hAnsi="宋体" w:cs="宋体" w:eastAsia="宋体" w:hint="default"/>
                <w:sz w:val="18"/>
                <w:szCs w:val="18"/>
              </w:rPr>
              <w:t>丧失控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制权的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时点</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91" w:right="89"/>
              <w:jc w:val="both"/>
              <w:rPr>
                <w:rFonts w:ascii="宋体" w:hAnsi="宋体" w:cs="宋体" w:eastAsia="宋体" w:hint="default"/>
                <w:sz w:val="18"/>
                <w:szCs w:val="18"/>
              </w:rPr>
            </w:pPr>
            <w:r>
              <w:rPr>
                <w:rFonts w:ascii="宋体" w:hAnsi="宋体" w:cs="宋体" w:eastAsia="宋体" w:hint="default"/>
                <w:sz w:val="18"/>
                <w:szCs w:val="18"/>
              </w:rPr>
              <w:t>丧失控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制权时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点的确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定依据</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3"/>
              <w:ind w:left="91" w:right="94"/>
              <w:jc w:val="both"/>
              <w:rPr>
                <w:rFonts w:ascii="宋体" w:hAnsi="宋体" w:cs="宋体" w:eastAsia="宋体" w:hint="default"/>
                <w:sz w:val="18"/>
                <w:szCs w:val="18"/>
              </w:rPr>
            </w:pPr>
            <w:r>
              <w:rPr>
                <w:rFonts w:ascii="宋体" w:hAnsi="宋体" w:cs="宋体" w:eastAsia="宋体" w:hint="default"/>
                <w:sz w:val="18"/>
                <w:szCs w:val="18"/>
              </w:rPr>
              <w:t>处置价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款与处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置投资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对应的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合并财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务报表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层面享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有该子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公司净</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1" w:right="89"/>
              <w:jc w:val="both"/>
              <w:rPr>
                <w:rFonts w:ascii="宋体" w:hAnsi="宋体" w:cs="宋体" w:eastAsia="宋体" w:hint="default"/>
                <w:sz w:val="18"/>
                <w:szCs w:val="18"/>
              </w:rPr>
            </w:pPr>
            <w:r>
              <w:rPr>
                <w:rFonts w:ascii="宋体" w:hAnsi="宋体" w:cs="宋体" w:eastAsia="宋体" w:hint="default"/>
                <w:sz w:val="18"/>
                <w:szCs w:val="18"/>
              </w:rPr>
              <w:t>丧失控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制权之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日剩余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股权的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9" w:lineRule="auto"/>
              <w:ind w:left="95" w:right="84"/>
              <w:jc w:val="center"/>
              <w:rPr>
                <w:rFonts w:ascii="宋体" w:hAnsi="宋体" w:cs="宋体" w:eastAsia="宋体" w:hint="default"/>
                <w:sz w:val="18"/>
                <w:szCs w:val="18"/>
              </w:rPr>
            </w:pPr>
            <w:r>
              <w:rPr>
                <w:rFonts w:ascii="宋体" w:hAnsi="宋体" w:cs="宋体" w:eastAsia="宋体" w:hint="default"/>
                <w:spacing w:val="-2"/>
                <w:sz w:val="18"/>
                <w:szCs w:val="18"/>
              </w:rPr>
              <w:t>丧失控</w:t>
            </w:r>
            <w:r>
              <w:rPr>
                <w:rFonts w:ascii="宋体" w:hAnsi="宋体" w:cs="宋体" w:eastAsia="宋体" w:hint="default"/>
                <w:w w:val="101"/>
                <w:sz w:val="18"/>
                <w:szCs w:val="18"/>
              </w:rPr>
              <w:t> </w:t>
            </w:r>
            <w:r>
              <w:rPr>
                <w:rFonts w:ascii="宋体" w:hAnsi="宋体" w:cs="宋体" w:eastAsia="宋体" w:hint="default"/>
                <w:spacing w:val="-2"/>
                <w:sz w:val="18"/>
                <w:szCs w:val="18"/>
              </w:rPr>
              <w:t>制权之</w:t>
            </w:r>
            <w:r>
              <w:rPr>
                <w:rFonts w:ascii="宋体" w:hAnsi="宋体" w:cs="宋体" w:eastAsia="宋体" w:hint="default"/>
                <w:w w:val="101"/>
                <w:sz w:val="18"/>
                <w:szCs w:val="18"/>
              </w:rPr>
              <w:t> </w:t>
            </w:r>
            <w:r>
              <w:rPr>
                <w:rFonts w:ascii="宋体" w:hAnsi="宋体" w:cs="宋体" w:eastAsia="宋体" w:hint="default"/>
                <w:spacing w:val="-2"/>
                <w:sz w:val="18"/>
                <w:szCs w:val="18"/>
              </w:rPr>
              <w:t>日剩余</w:t>
            </w:r>
            <w:r>
              <w:rPr>
                <w:rFonts w:ascii="宋体" w:hAnsi="宋体" w:cs="宋体" w:eastAsia="宋体" w:hint="default"/>
                <w:w w:val="101"/>
                <w:sz w:val="18"/>
                <w:szCs w:val="18"/>
              </w:rPr>
              <w:t> </w:t>
            </w:r>
            <w:r>
              <w:rPr>
                <w:rFonts w:ascii="宋体" w:hAnsi="宋体" w:cs="宋体" w:eastAsia="宋体" w:hint="default"/>
                <w:spacing w:val="-2"/>
                <w:sz w:val="18"/>
                <w:szCs w:val="18"/>
              </w:rPr>
              <w:t>股权的</w:t>
            </w:r>
            <w:r>
              <w:rPr>
                <w:rFonts w:ascii="宋体" w:hAnsi="宋体" w:cs="宋体" w:eastAsia="宋体" w:hint="default"/>
                <w:w w:val="101"/>
                <w:sz w:val="18"/>
                <w:szCs w:val="18"/>
              </w:rPr>
              <w:t> </w:t>
            </w:r>
            <w:r>
              <w:rPr>
                <w:rFonts w:ascii="宋体" w:hAnsi="宋体" w:cs="宋体" w:eastAsia="宋体" w:hint="default"/>
                <w:spacing w:val="-2"/>
                <w:sz w:val="18"/>
                <w:szCs w:val="18"/>
              </w:rPr>
              <w:t>账面价</w:t>
            </w:r>
            <w:r>
              <w:rPr>
                <w:rFonts w:ascii="宋体" w:hAnsi="宋体" w:cs="宋体" w:eastAsia="宋体" w:hint="default"/>
                <w:w w:val="101"/>
                <w:sz w:val="18"/>
                <w:szCs w:val="18"/>
              </w:rPr>
              <w:t> </w:t>
            </w:r>
            <w:r>
              <w:rPr>
                <w:rFonts w:ascii="宋体" w:hAnsi="宋体" w:cs="宋体" w:eastAsia="宋体" w:hint="default"/>
                <w:sz w:val="18"/>
                <w:szCs w:val="18"/>
              </w:rPr>
              <w:t>值</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9" w:lineRule="auto"/>
              <w:ind w:left="95" w:right="89"/>
              <w:jc w:val="center"/>
              <w:rPr>
                <w:rFonts w:ascii="宋体" w:hAnsi="宋体" w:cs="宋体" w:eastAsia="宋体" w:hint="default"/>
                <w:sz w:val="18"/>
                <w:szCs w:val="18"/>
              </w:rPr>
            </w:pPr>
            <w:r>
              <w:rPr>
                <w:rFonts w:ascii="宋体" w:hAnsi="宋体" w:cs="宋体" w:eastAsia="宋体" w:hint="default"/>
                <w:spacing w:val="-2"/>
                <w:sz w:val="18"/>
                <w:szCs w:val="18"/>
              </w:rPr>
              <w:t>丧失控</w:t>
            </w:r>
            <w:r>
              <w:rPr>
                <w:rFonts w:ascii="宋体" w:hAnsi="宋体" w:cs="宋体" w:eastAsia="宋体" w:hint="default"/>
                <w:w w:val="101"/>
                <w:sz w:val="18"/>
                <w:szCs w:val="18"/>
              </w:rPr>
              <w:t> </w:t>
            </w:r>
            <w:r>
              <w:rPr>
                <w:rFonts w:ascii="宋体" w:hAnsi="宋体" w:cs="宋体" w:eastAsia="宋体" w:hint="default"/>
                <w:spacing w:val="-2"/>
                <w:sz w:val="18"/>
                <w:szCs w:val="18"/>
              </w:rPr>
              <w:t>制权之</w:t>
            </w:r>
            <w:r>
              <w:rPr>
                <w:rFonts w:ascii="宋体" w:hAnsi="宋体" w:cs="宋体" w:eastAsia="宋体" w:hint="default"/>
                <w:w w:val="101"/>
                <w:sz w:val="18"/>
                <w:szCs w:val="18"/>
              </w:rPr>
              <w:t> </w:t>
            </w:r>
            <w:r>
              <w:rPr>
                <w:rFonts w:ascii="宋体" w:hAnsi="宋体" w:cs="宋体" w:eastAsia="宋体" w:hint="default"/>
                <w:spacing w:val="-2"/>
                <w:sz w:val="18"/>
                <w:szCs w:val="18"/>
              </w:rPr>
              <w:t>日剩余</w:t>
            </w:r>
            <w:r>
              <w:rPr>
                <w:rFonts w:ascii="宋体" w:hAnsi="宋体" w:cs="宋体" w:eastAsia="宋体" w:hint="default"/>
                <w:w w:val="101"/>
                <w:sz w:val="18"/>
                <w:szCs w:val="18"/>
              </w:rPr>
              <w:t> </w:t>
            </w:r>
            <w:r>
              <w:rPr>
                <w:rFonts w:ascii="宋体" w:hAnsi="宋体" w:cs="宋体" w:eastAsia="宋体" w:hint="default"/>
                <w:spacing w:val="-2"/>
                <w:sz w:val="18"/>
                <w:szCs w:val="18"/>
              </w:rPr>
              <w:t>股权的</w:t>
            </w:r>
            <w:r>
              <w:rPr>
                <w:rFonts w:ascii="宋体" w:hAnsi="宋体" w:cs="宋体" w:eastAsia="宋体" w:hint="default"/>
                <w:w w:val="101"/>
                <w:sz w:val="18"/>
                <w:szCs w:val="18"/>
              </w:rPr>
              <w:t> </w:t>
            </w:r>
            <w:r>
              <w:rPr>
                <w:rFonts w:ascii="宋体" w:hAnsi="宋体" w:cs="宋体" w:eastAsia="宋体" w:hint="default"/>
                <w:spacing w:val="-2"/>
                <w:sz w:val="18"/>
                <w:szCs w:val="18"/>
              </w:rPr>
              <w:t>公允价</w:t>
            </w:r>
            <w:r>
              <w:rPr>
                <w:rFonts w:ascii="宋体" w:hAnsi="宋体" w:cs="宋体" w:eastAsia="宋体" w:hint="default"/>
                <w:w w:val="101"/>
                <w:sz w:val="18"/>
                <w:szCs w:val="18"/>
              </w:rPr>
              <w:t> </w:t>
            </w:r>
            <w:r>
              <w:rPr>
                <w:rFonts w:ascii="宋体" w:hAnsi="宋体" w:cs="宋体" w:eastAsia="宋体" w:hint="default"/>
                <w:sz w:val="18"/>
                <w:szCs w:val="18"/>
              </w:rPr>
              <w:t>值</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95" w:right="84"/>
              <w:jc w:val="center"/>
              <w:rPr>
                <w:rFonts w:ascii="宋体" w:hAnsi="宋体" w:cs="宋体" w:eastAsia="宋体" w:hint="default"/>
                <w:sz w:val="18"/>
                <w:szCs w:val="18"/>
              </w:rPr>
            </w:pPr>
            <w:r>
              <w:rPr>
                <w:rFonts w:ascii="宋体" w:hAnsi="宋体" w:cs="宋体" w:eastAsia="宋体" w:hint="default"/>
                <w:spacing w:val="-2"/>
                <w:sz w:val="18"/>
                <w:szCs w:val="18"/>
              </w:rPr>
              <w:t>按照公</w:t>
            </w:r>
            <w:r>
              <w:rPr>
                <w:rFonts w:ascii="宋体" w:hAnsi="宋体" w:cs="宋体" w:eastAsia="宋体" w:hint="default"/>
                <w:w w:val="101"/>
                <w:sz w:val="18"/>
                <w:szCs w:val="18"/>
              </w:rPr>
              <w:t> </w:t>
            </w:r>
            <w:r>
              <w:rPr>
                <w:rFonts w:ascii="宋体" w:hAnsi="宋体" w:cs="宋体" w:eastAsia="宋体" w:hint="default"/>
                <w:spacing w:val="-2"/>
                <w:sz w:val="18"/>
                <w:szCs w:val="18"/>
              </w:rPr>
              <w:t>允价值</w:t>
            </w:r>
            <w:r>
              <w:rPr>
                <w:rFonts w:ascii="宋体" w:hAnsi="宋体" w:cs="宋体" w:eastAsia="宋体" w:hint="default"/>
                <w:w w:val="101"/>
                <w:sz w:val="18"/>
                <w:szCs w:val="18"/>
              </w:rPr>
              <w:t> </w:t>
            </w:r>
            <w:r>
              <w:rPr>
                <w:rFonts w:ascii="宋体" w:hAnsi="宋体" w:cs="宋体" w:eastAsia="宋体" w:hint="default"/>
                <w:spacing w:val="-2"/>
                <w:sz w:val="18"/>
                <w:szCs w:val="18"/>
              </w:rPr>
              <w:t>重新计</w:t>
            </w:r>
            <w:r>
              <w:rPr>
                <w:rFonts w:ascii="宋体" w:hAnsi="宋体" w:cs="宋体" w:eastAsia="宋体" w:hint="default"/>
                <w:w w:val="101"/>
                <w:sz w:val="18"/>
                <w:szCs w:val="18"/>
              </w:rPr>
              <w:t> </w:t>
            </w:r>
            <w:r>
              <w:rPr>
                <w:rFonts w:ascii="宋体" w:hAnsi="宋体" w:cs="宋体" w:eastAsia="宋体" w:hint="default"/>
                <w:spacing w:val="-2"/>
                <w:sz w:val="18"/>
                <w:szCs w:val="18"/>
              </w:rPr>
              <w:t>量剩余</w:t>
            </w:r>
            <w:r>
              <w:rPr>
                <w:rFonts w:ascii="宋体" w:hAnsi="宋体" w:cs="宋体" w:eastAsia="宋体" w:hint="default"/>
                <w:w w:val="101"/>
                <w:sz w:val="18"/>
                <w:szCs w:val="18"/>
              </w:rPr>
              <w:t> </w:t>
            </w:r>
            <w:r>
              <w:rPr>
                <w:rFonts w:ascii="宋体" w:hAnsi="宋体" w:cs="宋体" w:eastAsia="宋体" w:hint="default"/>
                <w:spacing w:val="-2"/>
                <w:sz w:val="18"/>
                <w:szCs w:val="18"/>
              </w:rPr>
              <w:t>股权产</w:t>
            </w:r>
            <w:r>
              <w:rPr>
                <w:rFonts w:ascii="宋体" w:hAnsi="宋体" w:cs="宋体" w:eastAsia="宋体" w:hint="default"/>
                <w:w w:val="101"/>
                <w:sz w:val="18"/>
                <w:szCs w:val="18"/>
              </w:rPr>
              <w:t> </w:t>
            </w:r>
            <w:r>
              <w:rPr>
                <w:rFonts w:ascii="宋体" w:hAnsi="宋体" w:cs="宋体" w:eastAsia="宋体" w:hint="default"/>
                <w:spacing w:val="-2"/>
                <w:sz w:val="18"/>
                <w:szCs w:val="18"/>
              </w:rPr>
              <w:t>生的利</w:t>
            </w:r>
            <w:r>
              <w:rPr>
                <w:rFonts w:ascii="宋体" w:hAnsi="宋体" w:cs="宋体" w:eastAsia="宋体" w:hint="default"/>
                <w:w w:val="101"/>
                <w:sz w:val="18"/>
                <w:szCs w:val="18"/>
              </w:rPr>
              <w:t> </w:t>
            </w:r>
            <w:r>
              <w:rPr>
                <w:rFonts w:ascii="宋体" w:hAnsi="宋体" w:cs="宋体" w:eastAsia="宋体" w:hint="default"/>
                <w:spacing w:val="-2"/>
                <w:sz w:val="18"/>
                <w:szCs w:val="18"/>
              </w:rPr>
              <w:t>得或损</w:t>
            </w:r>
            <w:r>
              <w:rPr>
                <w:rFonts w:ascii="宋体" w:hAnsi="宋体" w:cs="宋体" w:eastAsia="宋体" w:hint="default"/>
                <w:w w:val="101"/>
                <w:sz w:val="18"/>
                <w:szCs w:val="18"/>
              </w:rPr>
              <w:t> </w:t>
            </w:r>
            <w:r>
              <w:rPr>
                <w:rFonts w:ascii="宋体" w:hAnsi="宋体" w:cs="宋体" w:eastAsia="宋体" w:hint="default"/>
                <w:sz w:val="18"/>
                <w:szCs w:val="18"/>
              </w:rPr>
              <w:t>失</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95" w:right="84"/>
              <w:jc w:val="center"/>
              <w:rPr>
                <w:rFonts w:ascii="宋体" w:hAnsi="宋体" w:cs="宋体" w:eastAsia="宋体" w:hint="default"/>
                <w:sz w:val="18"/>
                <w:szCs w:val="18"/>
              </w:rPr>
            </w:pPr>
            <w:r>
              <w:rPr>
                <w:rFonts w:ascii="宋体" w:hAnsi="宋体" w:cs="宋体" w:eastAsia="宋体" w:hint="default"/>
                <w:spacing w:val="-2"/>
                <w:sz w:val="18"/>
                <w:szCs w:val="18"/>
              </w:rPr>
              <w:t>丧失控</w:t>
            </w:r>
            <w:r>
              <w:rPr>
                <w:rFonts w:ascii="宋体" w:hAnsi="宋体" w:cs="宋体" w:eastAsia="宋体" w:hint="default"/>
                <w:w w:val="101"/>
                <w:sz w:val="18"/>
                <w:szCs w:val="18"/>
              </w:rPr>
              <w:t> </w:t>
            </w:r>
            <w:r>
              <w:rPr>
                <w:rFonts w:ascii="宋体" w:hAnsi="宋体" w:cs="宋体" w:eastAsia="宋体" w:hint="default"/>
                <w:spacing w:val="-2"/>
                <w:sz w:val="18"/>
                <w:szCs w:val="18"/>
              </w:rPr>
              <w:t>制权之</w:t>
            </w:r>
            <w:r>
              <w:rPr>
                <w:rFonts w:ascii="宋体" w:hAnsi="宋体" w:cs="宋体" w:eastAsia="宋体" w:hint="default"/>
                <w:w w:val="101"/>
                <w:sz w:val="18"/>
                <w:szCs w:val="18"/>
              </w:rPr>
              <w:t> </w:t>
            </w:r>
            <w:r>
              <w:rPr>
                <w:rFonts w:ascii="宋体" w:hAnsi="宋体" w:cs="宋体" w:eastAsia="宋体" w:hint="default"/>
                <w:spacing w:val="-2"/>
                <w:sz w:val="18"/>
                <w:szCs w:val="18"/>
              </w:rPr>
              <w:t>日剩余</w:t>
            </w:r>
            <w:r>
              <w:rPr>
                <w:rFonts w:ascii="宋体" w:hAnsi="宋体" w:cs="宋体" w:eastAsia="宋体" w:hint="default"/>
                <w:w w:val="101"/>
                <w:sz w:val="18"/>
                <w:szCs w:val="18"/>
              </w:rPr>
              <w:t> </w:t>
            </w:r>
            <w:r>
              <w:rPr>
                <w:rFonts w:ascii="宋体" w:hAnsi="宋体" w:cs="宋体" w:eastAsia="宋体" w:hint="default"/>
                <w:spacing w:val="-2"/>
                <w:sz w:val="18"/>
                <w:szCs w:val="18"/>
              </w:rPr>
              <w:t>股权公</w:t>
            </w:r>
            <w:r>
              <w:rPr>
                <w:rFonts w:ascii="宋体" w:hAnsi="宋体" w:cs="宋体" w:eastAsia="宋体" w:hint="default"/>
                <w:w w:val="101"/>
                <w:sz w:val="18"/>
                <w:szCs w:val="18"/>
              </w:rPr>
              <w:t> </w:t>
            </w:r>
            <w:r>
              <w:rPr>
                <w:rFonts w:ascii="宋体" w:hAnsi="宋体" w:cs="宋体" w:eastAsia="宋体" w:hint="default"/>
                <w:spacing w:val="-2"/>
                <w:sz w:val="18"/>
                <w:szCs w:val="18"/>
              </w:rPr>
              <w:t>允价值</w:t>
            </w:r>
            <w:r>
              <w:rPr>
                <w:rFonts w:ascii="宋体" w:hAnsi="宋体" w:cs="宋体" w:eastAsia="宋体" w:hint="default"/>
                <w:w w:val="101"/>
                <w:sz w:val="18"/>
                <w:szCs w:val="18"/>
              </w:rPr>
              <w:t> </w:t>
            </w:r>
            <w:r>
              <w:rPr>
                <w:rFonts w:ascii="宋体" w:hAnsi="宋体" w:cs="宋体" w:eastAsia="宋体" w:hint="default"/>
                <w:spacing w:val="-2"/>
                <w:sz w:val="18"/>
                <w:szCs w:val="18"/>
              </w:rPr>
              <w:t>的确定</w:t>
            </w:r>
            <w:r>
              <w:rPr>
                <w:rFonts w:ascii="宋体" w:hAnsi="宋体" w:cs="宋体" w:eastAsia="宋体" w:hint="default"/>
                <w:w w:val="101"/>
                <w:sz w:val="18"/>
                <w:szCs w:val="18"/>
              </w:rPr>
              <w:t> </w:t>
            </w:r>
            <w:r>
              <w:rPr>
                <w:rFonts w:ascii="宋体" w:hAnsi="宋体" w:cs="宋体" w:eastAsia="宋体" w:hint="default"/>
                <w:spacing w:val="-2"/>
                <w:sz w:val="18"/>
                <w:szCs w:val="18"/>
              </w:rPr>
              <w:t>方法及</w:t>
            </w:r>
            <w:r>
              <w:rPr>
                <w:rFonts w:ascii="宋体" w:hAnsi="宋体" w:cs="宋体" w:eastAsia="宋体" w:hint="default"/>
                <w:w w:val="101"/>
                <w:sz w:val="18"/>
                <w:szCs w:val="18"/>
              </w:rPr>
              <w:t> </w:t>
            </w:r>
            <w:r>
              <w:rPr>
                <w:rFonts w:ascii="宋体" w:hAnsi="宋体" w:cs="宋体" w:eastAsia="宋体" w:hint="default"/>
                <w:spacing w:val="-2"/>
                <w:sz w:val="18"/>
                <w:szCs w:val="18"/>
              </w:rPr>
              <w:t>主要假</w:t>
            </w:r>
            <w:r>
              <w:rPr>
                <w:rFonts w:ascii="宋体" w:hAnsi="宋体" w:cs="宋体" w:eastAsia="宋体" w:hint="default"/>
                <w:w w:val="101"/>
                <w:sz w:val="18"/>
                <w:szCs w:val="18"/>
              </w:rPr>
              <w:t> </w:t>
            </w:r>
            <w:r>
              <w:rPr>
                <w:rFonts w:ascii="宋体" w:hAnsi="宋体" w:cs="宋体" w:eastAsia="宋体" w:hint="default"/>
                <w:sz w:val="18"/>
                <w:szCs w:val="18"/>
              </w:rPr>
              <w:t>设</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95" w:right="89"/>
              <w:jc w:val="both"/>
              <w:rPr>
                <w:rFonts w:ascii="宋体" w:hAnsi="宋体" w:cs="宋体" w:eastAsia="宋体" w:hint="default"/>
                <w:sz w:val="18"/>
                <w:szCs w:val="18"/>
              </w:rPr>
            </w:pPr>
            <w:r>
              <w:rPr>
                <w:rFonts w:ascii="宋体" w:hAnsi="宋体" w:cs="宋体" w:eastAsia="宋体" w:hint="default"/>
                <w:sz w:val="18"/>
                <w:szCs w:val="18"/>
              </w:rPr>
              <w:t>与原子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权投资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相关的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转入投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资损益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的金额</w:t>
            </w:r>
          </w:p>
        </w:tc>
      </w:tr>
    </w:tbl>
    <w:p>
      <w:pPr>
        <w:spacing w:after="0" w:line="319" w:lineRule="auto"/>
        <w:jc w:val="both"/>
        <w:rPr>
          <w:rFonts w:ascii="宋体" w:hAnsi="宋体" w:cs="宋体" w:eastAsia="宋体"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4"/>
        <w:gridCol w:w="740"/>
        <w:gridCol w:w="735"/>
        <w:gridCol w:w="734"/>
        <w:gridCol w:w="735"/>
        <w:gridCol w:w="734"/>
        <w:gridCol w:w="740"/>
        <w:gridCol w:w="735"/>
        <w:gridCol w:w="734"/>
        <w:gridCol w:w="740"/>
        <w:gridCol w:w="734"/>
        <w:gridCol w:w="735"/>
        <w:gridCol w:w="739"/>
      </w:tblGrid>
      <w:tr>
        <w:trPr>
          <w:trHeight w:val="984"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1" w:right="94"/>
              <w:jc w:val="center"/>
              <w:rPr>
                <w:rFonts w:ascii="宋体" w:hAnsi="宋体" w:cs="宋体" w:eastAsia="宋体" w:hint="default"/>
                <w:sz w:val="18"/>
                <w:szCs w:val="18"/>
              </w:rPr>
            </w:pPr>
            <w:r>
              <w:rPr>
                <w:rFonts w:ascii="宋体" w:hAnsi="宋体" w:cs="宋体" w:eastAsia="宋体" w:hint="default"/>
                <w:spacing w:val="-2"/>
                <w:sz w:val="18"/>
                <w:szCs w:val="18"/>
              </w:rPr>
              <w:t>资产份</w:t>
            </w:r>
            <w:r>
              <w:rPr>
                <w:rFonts w:ascii="宋体" w:hAnsi="宋体" w:cs="宋体" w:eastAsia="宋体" w:hint="default"/>
                <w:w w:val="101"/>
                <w:sz w:val="18"/>
                <w:szCs w:val="18"/>
              </w:rPr>
              <w:t> </w:t>
            </w:r>
            <w:r>
              <w:rPr>
                <w:rFonts w:ascii="宋体" w:hAnsi="宋体" w:cs="宋体" w:eastAsia="宋体" w:hint="default"/>
                <w:spacing w:val="-2"/>
                <w:sz w:val="18"/>
                <w:szCs w:val="18"/>
              </w:rPr>
              <w:t>额的差</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52"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156"/>
              <w:jc w:val="both"/>
              <w:rPr>
                <w:rFonts w:ascii="宋体" w:hAnsi="宋体" w:cs="宋体" w:eastAsia="宋体" w:hint="default"/>
                <w:sz w:val="18"/>
                <w:szCs w:val="18"/>
              </w:rPr>
            </w:pPr>
            <w:r>
              <w:rPr>
                <w:rFonts w:ascii="宋体" w:hAnsi="宋体" w:cs="宋体" w:eastAsia="宋体" w:hint="default"/>
                <w:sz w:val="18"/>
                <w:szCs w:val="18"/>
              </w:rPr>
              <w:t>上海卓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越形象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广告传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播有限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92,000,0</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23" w:right="65" w:firstLine="91"/>
              <w:jc w:val="left"/>
              <w:rPr>
                <w:rFonts w:ascii="宋体" w:hAnsi="宋体" w:cs="宋体" w:eastAsia="宋体" w:hint="default"/>
                <w:sz w:val="18"/>
                <w:szCs w:val="18"/>
              </w:rPr>
            </w:pPr>
            <w:r>
              <w:rPr>
                <w:rFonts w:ascii="宋体" w:hAnsi="宋体" w:cs="宋体" w:eastAsia="宋体" w:hint="default"/>
                <w:sz w:val="18"/>
                <w:szCs w:val="18"/>
              </w:rPr>
              <w:t>董事会</w:t>
            </w:r>
            <w:r>
              <w:rPr>
                <w:rFonts w:ascii="宋体" w:hAnsi="宋体" w:cs="宋体" w:eastAsia="宋体" w:hint="default"/>
                <w:w w:val="101"/>
                <w:sz w:val="18"/>
                <w:szCs w:val="18"/>
              </w:rPr>
              <w:t> </w:t>
            </w:r>
            <w:r>
              <w:rPr>
                <w:rFonts w:ascii="宋体" w:hAnsi="宋体" w:cs="宋体" w:eastAsia="宋体" w:hint="default"/>
                <w:sz w:val="18"/>
                <w:szCs w:val="18"/>
              </w:rPr>
              <w:t>改组</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1,554,38</w:t>
            </w:r>
          </w:p>
          <w:p>
            <w:pPr>
              <w:pStyle w:val="TableParagraph"/>
              <w:spacing w:line="240" w:lineRule="auto" w:before="105"/>
              <w:ind w:left="384" w:right="0"/>
              <w:jc w:val="left"/>
              <w:rPr>
                <w:rFonts w:ascii="Times New Roman" w:hAnsi="Times New Roman" w:cs="Times New Roman" w:eastAsia="Times New Roman" w:hint="default"/>
                <w:sz w:val="18"/>
                <w:szCs w:val="18"/>
              </w:rPr>
            </w:pPr>
            <w:r>
              <w:rPr>
                <w:rFonts w:ascii="Times New Roman"/>
                <w:sz w:val="18"/>
              </w:rPr>
              <w:t>4.24</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2、其他原因的合并范围变动" w:id="326"/>
      <w:bookmarkEnd w:id="326"/>
      <w:r>
        <w:rPr>
          <w:b w:val="0"/>
          <w:bCs w:val="0"/>
        </w:rPr>
      </w:r>
      <w:r>
        <w:rPr>
          <w:rFonts w:ascii="Times New Roman" w:hAnsi="Times New Roman" w:cs="Times New Roman" w:eastAsia="Times New Roman" w:hint="default"/>
        </w:rPr>
        <w:t>2</w:t>
      </w:r>
      <w:r>
        <w:rPr/>
        <w:t>、其他原因的合并范围变动</w:t>
      </w:r>
      <w:r>
        <w:rPr>
          <w:b w:val="0"/>
          <w:bCs w:val="0"/>
        </w:rPr>
      </w:r>
    </w:p>
    <w:p>
      <w:pPr>
        <w:spacing w:line="240" w:lineRule="auto" w:before="1"/>
        <w:rPr>
          <w:rFonts w:ascii="宋体" w:hAnsi="宋体" w:cs="宋体" w:eastAsia="宋体" w:hint="default"/>
          <w:b/>
          <w:bCs/>
          <w:sz w:val="27"/>
          <w:szCs w:val="27"/>
        </w:rPr>
      </w:pPr>
    </w:p>
    <w:p>
      <w:pPr>
        <w:spacing w:line="420" w:lineRule="auto" w:before="0"/>
        <w:ind w:left="513" w:right="0" w:hanging="360"/>
        <w:jc w:val="left"/>
        <w:rPr>
          <w:rFonts w:ascii="宋体" w:hAnsi="宋体" w:cs="宋体" w:eastAsia="宋体" w:hint="default"/>
          <w:sz w:val="18"/>
          <w:szCs w:val="18"/>
        </w:rPr>
      </w:pPr>
      <w:r>
        <w:rPr>
          <w:rFonts w:ascii="宋体" w:hAnsi="宋体" w:cs="宋体" w:eastAsia="宋体" w:hint="default"/>
          <w:spacing w:val="-3"/>
          <w:sz w:val="18"/>
          <w:szCs w:val="18"/>
        </w:rPr>
        <w:t>说明其他原因导致的合并范围变动（如，新设子公司、清算子公司等）及其相关情况：</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3"/>
          <w:sz w:val="18"/>
          <w:szCs w:val="18"/>
        </w:rPr>
        <w:t>北京汉华易美图片有限公司于</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月设立子公司江苏视觉流信息技术有限公司。</w:t>
      </w:r>
      <w:r>
        <w:rPr>
          <w:rFonts w:ascii="宋体" w:hAnsi="宋体" w:cs="宋体" w:eastAsia="宋体" w:hint="default"/>
          <w:w w:val="101"/>
          <w:sz w:val="18"/>
          <w:szCs w:val="18"/>
        </w:rPr>
        <w:t> </w:t>
      </w:r>
      <w:r>
        <w:rPr>
          <w:rFonts w:ascii="宋体" w:hAnsi="宋体" w:cs="宋体" w:eastAsia="宋体" w:hint="default"/>
          <w:spacing w:val="-3"/>
          <w:sz w:val="18"/>
          <w:szCs w:val="18"/>
        </w:rPr>
        <w:t>江苏视觉娱乐新科技有限公司于</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月设立子公司常州叁维视觉科技有限公司。</w:t>
      </w:r>
      <w:r>
        <w:rPr>
          <w:rFonts w:ascii="宋体" w:hAnsi="宋体" w:cs="宋体" w:eastAsia="宋体" w:hint="default"/>
          <w:w w:val="101"/>
          <w:sz w:val="18"/>
          <w:szCs w:val="18"/>
        </w:rPr>
        <w:t> </w:t>
      </w:r>
      <w:r>
        <w:rPr>
          <w:rFonts w:ascii="宋体" w:hAnsi="宋体" w:cs="宋体" w:eastAsia="宋体" w:hint="default"/>
          <w:spacing w:val="-3"/>
          <w:sz w:val="18"/>
          <w:szCs w:val="18"/>
        </w:rPr>
        <w:t>常州远东文化产业有限公司于</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月设立子公司江苏易美视觉科技有限公司。</w:t>
      </w:r>
      <w:r>
        <w:rPr>
          <w:rFonts w:ascii="宋体" w:hAnsi="宋体" w:cs="宋体" w:eastAsia="宋体" w:hint="default"/>
          <w:w w:val="101"/>
          <w:sz w:val="18"/>
          <w:szCs w:val="18"/>
        </w:rPr>
        <w:t> </w:t>
      </w:r>
      <w:r>
        <w:rPr>
          <w:rFonts w:ascii="宋体" w:hAnsi="宋体" w:cs="宋体" w:eastAsia="宋体" w:hint="default"/>
          <w:spacing w:val="-3"/>
          <w:sz w:val="18"/>
          <w:szCs w:val="18"/>
        </w:rPr>
        <w:t>常州远东文化产业有限公司于</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月设立子公司常州五百像素网络科技有限公司。</w:t>
      </w:r>
    </w:p>
    <w:p>
      <w:pPr>
        <w:pStyle w:val="Heading2"/>
        <w:spacing w:line="240" w:lineRule="auto" w:before="160"/>
        <w:ind w:right="0"/>
        <w:jc w:val="left"/>
        <w:rPr>
          <w:b w:val="0"/>
          <w:bCs w:val="0"/>
        </w:rPr>
      </w:pPr>
      <w:bookmarkStart w:name="九、在其他主体中的权益" w:id="327"/>
      <w:bookmarkEnd w:id="327"/>
      <w:r>
        <w:rPr>
          <w:b w:val="0"/>
          <w:bCs w:val="0"/>
        </w:rPr>
      </w: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在子公司中的权益" w:id="328"/>
      <w:bookmarkEnd w:id="328"/>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企业集团的构成" w:id="329"/>
      <w:bookmarkEnd w:id="329"/>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8"/>
        <w:gridCol w:w="1364"/>
        <w:gridCol w:w="1369"/>
      </w:tblGrid>
      <w:tr>
        <w:trPr>
          <w:trHeight w:val="403" w:hRule="exact"/>
        </w:trPr>
        <w:tc>
          <w:tcPr>
            <w:tcW w:w="13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98" w:hRule="exact"/>
        </w:trPr>
        <w:tc>
          <w:tcPr>
            <w:tcW w:w="1373"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4" w:right="75"/>
              <w:jc w:val="left"/>
              <w:rPr>
                <w:rFonts w:ascii="宋体" w:hAnsi="宋体" w:cs="宋体" w:eastAsia="宋体" w:hint="default"/>
                <w:sz w:val="18"/>
                <w:szCs w:val="18"/>
              </w:rPr>
            </w:pPr>
            <w:r>
              <w:rPr>
                <w:rFonts w:ascii="宋体" w:hAnsi="宋体" w:cs="宋体" w:eastAsia="宋体" w:hint="default"/>
                <w:spacing w:val="-3"/>
                <w:sz w:val="18"/>
                <w:szCs w:val="18"/>
              </w:rPr>
              <w:t>北京汉华易美图</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片有限公司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pacing w:val="-3"/>
                <w:sz w:val="18"/>
                <w:szCs w:val="18"/>
              </w:rPr>
              <w:t>互联网文化创意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691" w:right="0"/>
              <w:jc w:val="left"/>
              <w:rPr>
                <w:rFonts w:ascii="Times New Roman" w:hAnsi="Times New Roman" w:cs="Times New Roman" w:eastAsia="Times New Roman" w:hint="default"/>
                <w:sz w:val="18"/>
                <w:szCs w:val="18"/>
              </w:rPr>
            </w:pPr>
            <w:r>
              <w:rPr>
                <w:rFonts w:ascii="Times New Roman"/>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w:t>
            </w:r>
          </w:p>
        </w:tc>
      </w:tr>
      <w:tr>
        <w:trPr>
          <w:trHeight w:val="102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75"/>
              <w:jc w:val="left"/>
              <w:rPr>
                <w:rFonts w:ascii="宋体" w:hAnsi="宋体" w:cs="宋体" w:eastAsia="宋体" w:hint="default"/>
                <w:sz w:val="18"/>
                <w:szCs w:val="18"/>
              </w:rPr>
            </w:pPr>
            <w:r>
              <w:rPr>
                <w:rFonts w:ascii="宋体" w:hAnsi="宋体" w:cs="宋体" w:eastAsia="宋体" w:hint="default"/>
                <w:sz w:val="18"/>
                <w:szCs w:val="18"/>
              </w:rPr>
              <w:t>汉华易美</w:t>
            </w:r>
            <w:r>
              <w:rPr>
                <w:rFonts w:ascii="Times New Roman" w:hAnsi="Times New Roman" w:cs="Times New Roman" w:eastAsia="Times New Roman" w:hint="default"/>
                <w:sz w:val="18"/>
                <w:szCs w:val="18"/>
              </w:rPr>
              <w:t>(</w:t>
            </w:r>
            <w:r>
              <w:rPr>
                <w:rFonts w:ascii="宋体" w:hAnsi="宋体" w:cs="宋体" w:eastAsia="宋体" w:hint="default"/>
                <w:sz w:val="18"/>
                <w:szCs w:val="18"/>
              </w:rPr>
              <w:t>天津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pacing w:val="-3"/>
                <w:sz w:val="18"/>
                <w:szCs w:val="18"/>
              </w:rPr>
              <w:t>图像技术有限公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46"/>
              <w:jc w:val="center"/>
              <w:rPr>
                <w:rFonts w:ascii="宋体" w:hAnsi="宋体" w:cs="宋体" w:eastAsia="宋体" w:hint="default"/>
                <w:sz w:val="18"/>
                <w:szCs w:val="18"/>
              </w:rPr>
            </w:pPr>
            <w:r>
              <w:rPr>
                <w:rFonts w:ascii="宋体" w:hAnsi="宋体" w:cs="宋体" w:eastAsia="宋体" w:hint="default"/>
                <w:spacing w:val="-3"/>
                <w:sz w:val="18"/>
                <w:szCs w:val="18"/>
              </w:rPr>
              <w:t>互联网文化创意</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同一控制</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4"/>
              <w:ind w:left="24" w:right="132"/>
              <w:jc w:val="left"/>
              <w:rPr>
                <w:rFonts w:ascii="宋体" w:hAnsi="宋体" w:cs="宋体" w:eastAsia="宋体" w:hint="default"/>
                <w:sz w:val="18"/>
                <w:szCs w:val="18"/>
              </w:rPr>
            </w:pPr>
            <w:r>
              <w:rPr>
                <w:rFonts w:ascii="宋体" w:hAnsi="宋体" w:cs="宋体" w:eastAsia="宋体" w:hint="default"/>
                <w:spacing w:val="-2"/>
                <w:sz w:val="18"/>
                <w:szCs w:val="18"/>
              </w:rPr>
              <w:t>东星</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天津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视讯</w:t>
            </w:r>
            <w:r>
              <w:rPr>
                <w:rFonts w:ascii="宋体" w:hAnsi="宋体" w:cs="宋体" w:eastAsia="宋体" w:hint="default"/>
                <w:spacing w:val="-71"/>
                <w:sz w:val="18"/>
                <w:szCs w:val="18"/>
              </w:rPr>
              <w:t> </w:t>
            </w:r>
            <w:r>
              <w:rPr>
                <w:rFonts w:ascii="宋体" w:hAnsi="宋体" w:cs="宋体" w:eastAsia="宋体" w:hint="default"/>
                <w:sz w:val="18"/>
                <w:szCs w:val="18"/>
              </w:rPr>
              <w:t>科技有限公司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pacing w:val="-3"/>
                <w:sz w:val="18"/>
                <w:szCs w:val="18"/>
              </w:rPr>
              <w:t>互联网文化创意</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w:t>
            </w:r>
          </w:p>
        </w:tc>
      </w:tr>
      <w:tr>
        <w:trPr>
          <w:trHeight w:val="71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江苏视觉流信息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技术有限公司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pacing w:val="-3"/>
                <w:sz w:val="18"/>
                <w:szCs w:val="18"/>
              </w:rPr>
              <w:t>互联网文化创意</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79"/>
              <w:jc w:val="left"/>
              <w:rPr>
                <w:rFonts w:ascii="宋体" w:hAnsi="宋体" w:cs="宋体" w:eastAsia="宋体" w:hint="default"/>
                <w:sz w:val="18"/>
                <w:szCs w:val="18"/>
              </w:rPr>
            </w:pPr>
            <w:r>
              <w:rPr>
                <w:rFonts w:ascii="宋体" w:hAnsi="宋体" w:cs="宋体" w:eastAsia="宋体" w:hint="default"/>
                <w:spacing w:val="-3"/>
                <w:sz w:val="18"/>
                <w:szCs w:val="18"/>
              </w:rPr>
              <w:t>天津图源视觉科</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pacing w:val="-3"/>
                <w:sz w:val="18"/>
                <w:szCs w:val="18"/>
              </w:rPr>
              <w:t>互联网文化创意</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天津视觉星动网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络科技有限公司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pacing w:val="-3"/>
                <w:sz w:val="18"/>
                <w:szCs w:val="18"/>
              </w:rPr>
              <w:t>互联网文化创意</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8"/>
        <w:gridCol w:w="1364"/>
        <w:gridCol w:w="1369"/>
      </w:tblGrid>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上海悦芷网络科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pacing w:val="-3"/>
                <w:sz w:val="18"/>
                <w:szCs w:val="18"/>
              </w:rPr>
              <w:t>互联网文化创意</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1"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西藏汉华易美图</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像技术有限公司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pacing w:val="-3"/>
                <w:sz w:val="18"/>
                <w:szCs w:val="18"/>
              </w:rPr>
              <w:t>互联网文化创意</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8"/>
              <w:ind w:left="24" w:right="75"/>
              <w:jc w:val="left"/>
              <w:rPr>
                <w:rFonts w:ascii="宋体" w:hAnsi="宋体" w:cs="宋体" w:eastAsia="宋体" w:hint="default"/>
                <w:sz w:val="18"/>
                <w:szCs w:val="18"/>
              </w:rPr>
            </w:pPr>
            <w:r>
              <w:rPr>
                <w:rFonts w:ascii="宋体" w:hAnsi="宋体" w:cs="宋体" w:eastAsia="宋体" w:hint="default"/>
                <w:sz w:val="18"/>
                <w:szCs w:val="18"/>
              </w:rPr>
              <w:t>华夏视觉</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pacing w:val="-3"/>
                <w:sz w:val="18"/>
                <w:szCs w:val="18"/>
              </w:rPr>
              <w:t>图像技术有限公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pacing w:val="-3"/>
                <w:sz w:val="18"/>
                <w:szCs w:val="18"/>
              </w:rPr>
              <w:t>互联网文化创意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w:t>
            </w: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75"/>
              <w:jc w:val="left"/>
              <w:rPr>
                <w:rFonts w:ascii="宋体" w:hAnsi="宋体" w:cs="宋体" w:eastAsia="宋体" w:hint="default"/>
                <w:sz w:val="18"/>
                <w:szCs w:val="18"/>
              </w:rPr>
            </w:pPr>
            <w:r>
              <w:rPr>
                <w:rFonts w:ascii="宋体" w:hAnsi="宋体" w:cs="宋体" w:eastAsia="宋体" w:hint="default"/>
                <w:sz w:val="18"/>
                <w:szCs w:val="18"/>
              </w:rPr>
              <w:t>华夏视觉</w:t>
            </w:r>
            <w:r>
              <w:rPr>
                <w:rFonts w:ascii="Times New Roman" w:hAnsi="Times New Roman" w:cs="Times New Roman" w:eastAsia="Times New Roman" w:hint="default"/>
                <w:sz w:val="18"/>
                <w:szCs w:val="18"/>
              </w:rPr>
              <w:t>(</w:t>
            </w:r>
            <w:r>
              <w:rPr>
                <w:rFonts w:ascii="宋体" w:hAnsi="宋体" w:cs="宋体" w:eastAsia="宋体" w:hint="default"/>
                <w:sz w:val="18"/>
                <w:szCs w:val="18"/>
              </w:rPr>
              <w:t>天津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pacing w:val="-3"/>
                <w:sz w:val="18"/>
                <w:szCs w:val="18"/>
              </w:rPr>
              <w:t>信息技术有限公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46"/>
              <w:jc w:val="center"/>
              <w:rPr>
                <w:rFonts w:ascii="宋体" w:hAnsi="宋体" w:cs="宋体" w:eastAsia="宋体" w:hint="default"/>
                <w:sz w:val="18"/>
                <w:szCs w:val="18"/>
              </w:rPr>
            </w:pPr>
            <w:r>
              <w:rPr>
                <w:rFonts w:ascii="宋体" w:hAnsi="宋体" w:cs="宋体" w:eastAsia="宋体" w:hint="default"/>
                <w:spacing w:val="-3"/>
                <w:sz w:val="18"/>
                <w:szCs w:val="18"/>
              </w:rPr>
              <w:t>互联网文化创意</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2"/>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视觉中国集团控</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股有限公司</w:t>
            </w:r>
            <w:r>
              <w:rPr>
                <w:rFonts w:ascii="Times New Roman" w:hAnsi="Times New Roman" w:cs="Times New Roman" w:eastAsia="Times New Roman" w:hint="default"/>
                <w:spacing w:val="-2"/>
                <w:sz w:val="18"/>
                <w:szCs w:val="18"/>
              </w:rPr>
              <w:t>(HK)</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pacing w:val="-3"/>
                <w:sz w:val="18"/>
                <w:szCs w:val="18"/>
              </w:rPr>
              <w:t>互联网文化创意</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4"/>
              <w:ind w:left="24" w:right="75"/>
              <w:jc w:val="left"/>
              <w:rPr>
                <w:rFonts w:ascii="宋体" w:hAnsi="宋体" w:cs="宋体" w:eastAsia="宋体" w:hint="default"/>
                <w:sz w:val="18"/>
                <w:szCs w:val="18"/>
              </w:rPr>
            </w:pPr>
            <w:r>
              <w:rPr>
                <w:rFonts w:ascii="宋体" w:hAnsi="宋体" w:cs="宋体" w:eastAsia="宋体" w:hint="default"/>
                <w:spacing w:val="-3"/>
                <w:sz w:val="18"/>
                <w:szCs w:val="18"/>
              </w:rPr>
              <w:t>视觉中国集团控</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股有限公司</w:t>
            </w:r>
          </w:p>
          <w:p>
            <w:pPr>
              <w:pStyle w:val="TableParagraph"/>
              <w:spacing w:line="240" w:lineRule="auto" w:before="69"/>
              <w:ind w:left="24" w:right="0"/>
              <w:jc w:val="left"/>
              <w:rPr>
                <w:rFonts w:ascii="Times New Roman" w:hAnsi="Times New Roman" w:cs="Times New Roman" w:eastAsia="Times New Roman" w:hint="default"/>
                <w:sz w:val="18"/>
                <w:szCs w:val="18"/>
              </w:rPr>
            </w:pPr>
            <w:r>
              <w:rPr>
                <w:rFonts w:ascii="Times New Roman"/>
                <w:spacing w:val="-3"/>
                <w:sz w:val="18"/>
              </w:rPr>
              <w:t>(BVI)</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pacing w:val="-3"/>
                <w:sz w:val="18"/>
                <w:szCs w:val="18"/>
              </w:rPr>
              <w:t>英属维尔京群岛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46"/>
              <w:jc w:val="center"/>
              <w:rPr>
                <w:rFonts w:ascii="宋体" w:hAnsi="宋体" w:cs="宋体" w:eastAsia="宋体" w:hint="default"/>
                <w:sz w:val="18"/>
                <w:szCs w:val="18"/>
              </w:rPr>
            </w:pPr>
            <w:r>
              <w:rPr>
                <w:rFonts w:ascii="宋体" w:hAnsi="宋体" w:cs="宋体" w:eastAsia="宋体" w:hint="default"/>
                <w:spacing w:val="-3"/>
                <w:sz w:val="18"/>
                <w:szCs w:val="18"/>
              </w:rPr>
              <w:t>互联网文化创意</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5"/>
              <w:jc w:val="left"/>
              <w:rPr>
                <w:rFonts w:ascii="宋体" w:hAnsi="宋体" w:cs="宋体" w:eastAsia="宋体" w:hint="default"/>
                <w:sz w:val="18"/>
                <w:szCs w:val="18"/>
              </w:rPr>
            </w:pPr>
            <w:r>
              <w:rPr>
                <w:rFonts w:ascii="宋体" w:hAnsi="宋体" w:cs="宋体" w:eastAsia="宋体" w:hint="default"/>
                <w:spacing w:val="-3"/>
                <w:sz w:val="18"/>
                <w:szCs w:val="18"/>
              </w:rPr>
              <w:t>联景国际有限公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pacing w:val="-3"/>
                <w:sz w:val="18"/>
                <w:szCs w:val="18"/>
              </w:rPr>
              <w:t>互联网文化创意</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4"/>
              <w:ind w:left="24" w:right="75"/>
              <w:jc w:val="left"/>
              <w:rPr>
                <w:rFonts w:ascii="宋体" w:hAnsi="宋体" w:cs="宋体" w:eastAsia="宋体" w:hint="default"/>
                <w:sz w:val="18"/>
                <w:szCs w:val="18"/>
              </w:rPr>
            </w:pPr>
            <w:r>
              <w:rPr>
                <w:rFonts w:ascii="宋体" w:hAnsi="宋体" w:cs="宋体" w:eastAsia="宋体" w:hint="default"/>
                <w:sz w:val="18"/>
                <w:szCs w:val="18"/>
              </w:rPr>
              <w:t>华盖创意</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pacing w:val="-3"/>
                <w:sz w:val="18"/>
                <w:szCs w:val="18"/>
              </w:rPr>
              <w:t>图像技术有限公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46"/>
              <w:jc w:val="center"/>
              <w:rPr>
                <w:rFonts w:ascii="宋体" w:hAnsi="宋体" w:cs="宋体" w:eastAsia="宋体" w:hint="default"/>
                <w:sz w:val="18"/>
                <w:szCs w:val="18"/>
              </w:rPr>
            </w:pPr>
            <w:r>
              <w:rPr>
                <w:rFonts w:ascii="宋体" w:hAnsi="宋体" w:cs="宋体" w:eastAsia="宋体" w:hint="default"/>
                <w:spacing w:val="-3"/>
                <w:sz w:val="18"/>
                <w:szCs w:val="18"/>
              </w:rPr>
              <w:t>互联网文化创意</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同一控制</w:t>
            </w: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4" w:right="75"/>
              <w:jc w:val="left"/>
              <w:rPr>
                <w:rFonts w:ascii="宋体" w:hAnsi="宋体" w:cs="宋体" w:eastAsia="宋体" w:hint="default"/>
                <w:sz w:val="18"/>
                <w:szCs w:val="18"/>
              </w:rPr>
            </w:pPr>
            <w:r>
              <w:rPr>
                <w:rFonts w:ascii="宋体" w:hAnsi="宋体" w:cs="宋体" w:eastAsia="宋体" w:hint="default"/>
                <w:sz w:val="18"/>
                <w:szCs w:val="18"/>
              </w:rPr>
              <w:t>华盖创意</w:t>
            </w:r>
            <w:r>
              <w:rPr>
                <w:rFonts w:ascii="Times New Roman" w:hAnsi="Times New Roman" w:cs="Times New Roman" w:eastAsia="Times New Roman" w:hint="default"/>
                <w:sz w:val="18"/>
                <w:szCs w:val="18"/>
              </w:rPr>
              <w:t>(</w:t>
            </w:r>
            <w:r>
              <w:rPr>
                <w:rFonts w:ascii="宋体" w:hAnsi="宋体" w:cs="宋体" w:eastAsia="宋体" w:hint="default"/>
                <w:sz w:val="18"/>
                <w:szCs w:val="18"/>
              </w:rPr>
              <w:t>天津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pacing w:val="-3"/>
                <w:sz w:val="18"/>
                <w:szCs w:val="18"/>
              </w:rPr>
              <w:t>视讯科技有限公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46"/>
              <w:jc w:val="center"/>
              <w:rPr>
                <w:rFonts w:ascii="宋体" w:hAnsi="宋体" w:cs="宋体" w:eastAsia="宋体" w:hint="default"/>
                <w:sz w:val="18"/>
                <w:szCs w:val="18"/>
              </w:rPr>
            </w:pPr>
            <w:r>
              <w:rPr>
                <w:rFonts w:ascii="宋体" w:hAnsi="宋体" w:cs="宋体" w:eastAsia="宋体" w:hint="default"/>
                <w:spacing w:val="-3"/>
                <w:sz w:val="18"/>
                <w:szCs w:val="18"/>
              </w:rPr>
              <w:t>互联网文化创意</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同一控制</w:t>
            </w:r>
          </w:p>
        </w:tc>
      </w:tr>
      <w:tr>
        <w:trPr>
          <w:trHeight w:val="71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江苏视觉娱乐新</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科技有限公司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pacing w:val="-3"/>
                <w:sz w:val="18"/>
                <w:szCs w:val="18"/>
              </w:rPr>
              <w:t>互联网文化创意</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5"/>
              <w:jc w:val="left"/>
              <w:rPr>
                <w:rFonts w:ascii="宋体" w:hAnsi="宋体" w:cs="宋体" w:eastAsia="宋体" w:hint="default"/>
                <w:sz w:val="18"/>
                <w:szCs w:val="18"/>
              </w:rPr>
            </w:pPr>
            <w:r>
              <w:rPr>
                <w:rFonts w:ascii="宋体" w:hAnsi="宋体" w:cs="宋体" w:eastAsia="宋体" w:hint="default"/>
                <w:spacing w:val="-3"/>
                <w:sz w:val="18"/>
                <w:szCs w:val="18"/>
              </w:rPr>
              <w:t>常州远东文化产</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pacing w:val="-3"/>
                <w:sz w:val="18"/>
                <w:szCs w:val="18"/>
              </w:rPr>
              <w:t>互联网文化创意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75"/>
              <w:jc w:val="left"/>
              <w:rPr>
                <w:rFonts w:ascii="宋体" w:hAnsi="宋体" w:cs="宋体" w:eastAsia="宋体" w:hint="default"/>
                <w:sz w:val="18"/>
                <w:szCs w:val="18"/>
              </w:rPr>
            </w:pPr>
            <w:r>
              <w:rPr>
                <w:rFonts w:ascii="宋体" w:hAnsi="宋体" w:cs="宋体" w:eastAsia="宋体" w:hint="default"/>
                <w:spacing w:val="-3"/>
                <w:sz w:val="18"/>
                <w:szCs w:val="18"/>
              </w:rPr>
              <w:t>视觉中国香港有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pacing w:val="-3"/>
                <w:sz w:val="18"/>
                <w:szCs w:val="18"/>
              </w:rPr>
              <w:t>互联网文化创意</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500px,Inc.</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多伦多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威明顿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6"/>
              <w:jc w:val="center"/>
              <w:rPr>
                <w:rFonts w:ascii="宋体" w:hAnsi="宋体" w:cs="宋体" w:eastAsia="宋体" w:hint="default"/>
                <w:sz w:val="18"/>
                <w:szCs w:val="18"/>
              </w:rPr>
            </w:pPr>
            <w:r>
              <w:rPr>
                <w:rFonts w:ascii="宋体" w:hAnsi="宋体" w:cs="宋体" w:eastAsia="宋体" w:hint="default"/>
                <w:spacing w:val="-3"/>
                <w:sz w:val="18"/>
                <w:szCs w:val="18"/>
              </w:rPr>
              <w:t>互联网文化创意</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非同一控制</w:t>
            </w:r>
          </w:p>
        </w:tc>
      </w:tr>
      <w:tr>
        <w:trPr>
          <w:trHeight w:val="711"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6"/>
              <w:ind w:left="24" w:right="66"/>
              <w:jc w:val="left"/>
              <w:rPr>
                <w:rFonts w:ascii="Times New Roman" w:hAnsi="Times New Roman" w:cs="Times New Roman" w:eastAsia="Times New Roman" w:hint="default"/>
                <w:sz w:val="18"/>
                <w:szCs w:val="18"/>
              </w:rPr>
            </w:pPr>
            <w:r>
              <w:rPr>
                <w:rFonts w:ascii="Times New Roman"/>
                <w:spacing w:val="-2"/>
                <w:sz w:val="18"/>
              </w:rPr>
              <w:t>857790Canada,In</w:t>
            </w:r>
            <w:r>
              <w:rPr>
                <w:rFonts w:ascii="Times New Roman"/>
                <w:spacing w:val="-22"/>
                <w:sz w:val="18"/>
              </w:rPr>
              <w:t> </w:t>
            </w:r>
            <w:r>
              <w:rPr>
                <w:rFonts w:ascii="Times New Roman"/>
                <w:spacing w:val="-22"/>
                <w:sz w:val="18"/>
              </w:rPr>
            </w:r>
            <w:r>
              <w:rPr>
                <w:rFonts w:ascii="Times New Roman"/>
                <w:spacing w:val="-5"/>
                <w:sz w:val="18"/>
              </w:rPr>
              <w:t>c.</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多伦多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多伦多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pacing w:val="-3"/>
                <w:sz w:val="18"/>
                <w:szCs w:val="18"/>
              </w:rPr>
              <w:t>互联网文化创意</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100"/>
              <w:ind w:left="24" w:right="42"/>
              <w:jc w:val="left"/>
              <w:rPr>
                <w:rFonts w:ascii="Times New Roman" w:hAnsi="Times New Roman" w:cs="Times New Roman" w:eastAsia="Times New Roman" w:hint="default"/>
                <w:sz w:val="18"/>
                <w:szCs w:val="18"/>
              </w:rPr>
            </w:pPr>
            <w:r>
              <w:rPr>
                <w:rFonts w:ascii="Times New Roman"/>
                <w:spacing w:val="-1"/>
                <w:sz w:val="18"/>
              </w:rPr>
              <w:t>500px,Inc.(Canad</w:t>
            </w:r>
            <w:r>
              <w:rPr>
                <w:rFonts w:ascii="Times New Roman"/>
                <w:spacing w:val="-28"/>
                <w:sz w:val="18"/>
              </w:rPr>
              <w:t> </w:t>
            </w:r>
            <w:r>
              <w:rPr>
                <w:rFonts w:ascii="Times New Roman"/>
                <w:spacing w:val="-28"/>
                <w:sz w:val="18"/>
              </w:rPr>
            </w:r>
            <w:r>
              <w:rPr>
                <w:rFonts w:ascii="Times New Roman"/>
                <w:sz w:val="18"/>
              </w:rPr>
              <w:t>a)</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多伦多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多伦多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pacing w:val="-3"/>
                <w:sz w:val="18"/>
                <w:szCs w:val="18"/>
              </w:rPr>
              <w:t>互联网文化创意</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常州叁维视觉科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pacing w:val="-3"/>
                <w:sz w:val="18"/>
                <w:szCs w:val="18"/>
              </w:rPr>
              <w:t>互联网文化创意</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59.09%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left"/>
              <w:rPr>
                <w:rFonts w:ascii="宋体" w:hAnsi="宋体" w:cs="宋体" w:eastAsia="宋体" w:hint="default"/>
                <w:sz w:val="18"/>
                <w:szCs w:val="18"/>
              </w:rPr>
            </w:pPr>
            <w:r>
              <w:rPr>
                <w:rFonts w:ascii="宋体" w:hAnsi="宋体" w:cs="宋体" w:eastAsia="宋体" w:hint="default"/>
                <w:spacing w:val="-3"/>
                <w:sz w:val="18"/>
                <w:szCs w:val="18"/>
              </w:rPr>
              <w:t>江苏易美视觉科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pacing w:val="-3"/>
                <w:sz w:val="18"/>
                <w:szCs w:val="18"/>
              </w:rPr>
              <w:t>互联网文化创意</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3"/>
                <w:sz w:val="18"/>
                <w:szCs w:val="18"/>
              </w:rPr>
              <w:t>常州五百像素网</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6"/>
              <w:jc w:val="center"/>
              <w:rPr>
                <w:rFonts w:ascii="宋体" w:hAnsi="宋体" w:cs="宋体" w:eastAsia="宋体" w:hint="default"/>
                <w:sz w:val="18"/>
                <w:szCs w:val="18"/>
              </w:rPr>
            </w:pPr>
            <w:r>
              <w:rPr>
                <w:rFonts w:ascii="宋体" w:hAnsi="宋体" w:cs="宋体" w:eastAsia="宋体" w:hint="default"/>
                <w:spacing w:val="-3"/>
                <w:sz w:val="18"/>
                <w:szCs w:val="18"/>
              </w:rPr>
              <w:t>互联网文化创意</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8"/>
        <w:gridCol w:w="1364"/>
        <w:gridCol w:w="1369"/>
      </w:tblGrid>
      <w:tr>
        <w:trPr>
          <w:trHeight w:val="36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pacing w:val="-3"/>
                <w:sz w:val="18"/>
                <w:szCs w:val="18"/>
              </w:rPr>
              <w:t>络科技有限公司</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汉华易美视觉科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互联网文化创意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常州视觉家信息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技术咨询有限公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pacing w:val="-3"/>
                <w:sz w:val="18"/>
                <w:szCs w:val="18"/>
              </w:rPr>
              <w:t>互联网文化创意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辽宁华盖安泰企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业管理中心（有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限合伙）</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沈阳市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商业服务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691" w:right="0"/>
              <w:jc w:val="left"/>
              <w:rPr>
                <w:rFonts w:ascii="Times New Roman" w:hAnsi="Times New Roman" w:cs="Times New Roman" w:eastAsia="Times New Roman" w:hint="default"/>
                <w:sz w:val="18"/>
                <w:szCs w:val="18"/>
              </w:rPr>
            </w:pPr>
            <w:r>
              <w:rPr>
                <w:rFonts w:ascii="Times New Roman"/>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360" w:lineRule="auto"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在子公司的持股比例不同于表决权比例的说明：</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持有半数或以下表决权但仍控制被投资单位、以及持有半数以上表决权但不控制被投资单位的依据：</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3"/>
          <w:sz w:val="18"/>
          <w:szCs w:val="18"/>
        </w:rPr>
        <w:t>对于纳入合并范围的重要的结构化主体，控制的依据：</w:t>
      </w:r>
    </w:p>
    <w:p>
      <w:pPr>
        <w:spacing w:line="357" w:lineRule="auto" w:before="25"/>
        <w:ind w:left="153" w:right="7272" w:firstLine="0"/>
        <w:jc w:val="left"/>
        <w:rPr>
          <w:rFonts w:ascii="宋体" w:hAnsi="宋体" w:cs="宋体" w:eastAsia="宋体" w:hint="default"/>
          <w:sz w:val="18"/>
          <w:szCs w:val="18"/>
        </w:rPr>
      </w:pPr>
      <w:r>
        <w:rPr>
          <w:rFonts w:ascii="宋体" w:hAnsi="宋体" w:cs="宋体" w:eastAsia="宋体" w:hint="default"/>
          <w:spacing w:val="-3"/>
          <w:sz w:val="18"/>
          <w:szCs w:val="18"/>
        </w:rPr>
        <w:t>确定公司是代理人还是委托人的依据：</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其他说明：</w:t>
      </w:r>
    </w:p>
    <w:p>
      <w:pPr>
        <w:spacing w:line="240" w:lineRule="auto" w:before="12"/>
        <w:rPr>
          <w:rFonts w:ascii="宋体" w:hAnsi="宋体" w:cs="宋体" w:eastAsia="宋体" w:hint="default"/>
          <w:sz w:val="19"/>
          <w:szCs w:val="19"/>
        </w:rPr>
      </w:pPr>
    </w:p>
    <w:p>
      <w:pPr>
        <w:pStyle w:val="Heading4"/>
        <w:spacing w:line="240" w:lineRule="auto"/>
        <w:ind w:right="0"/>
        <w:jc w:val="left"/>
        <w:rPr>
          <w:b w:val="0"/>
          <w:bCs w:val="0"/>
        </w:rPr>
      </w:pPr>
      <w:bookmarkStart w:name="（2）重要的非全资子公司" w:id="330"/>
      <w:bookmarkEnd w:id="330"/>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6"/>
        <w:gridCol w:w="1911"/>
        <w:gridCol w:w="1916"/>
      </w:tblGrid>
      <w:tr>
        <w:trPr>
          <w:trHeight w:val="76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77"/>
              <w:ind w:left="773" w:right="46" w:hanging="721"/>
              <w:jc w:val="left"/>
              <w:rPr>
                <w:rFonts w:ascii="宋体" w:hAnsi="宋体" w:cs="宋体" w:eastAsia="宋体" w:hint="default"/>
                <w:sz w:val="18"/>
                <w:szCs w:val="18"/>
              </w:rPr>
            </w:pPr>
            <w:r>
              <w:rPr>
                <w:rFonts w:ascii="宋体" w:hAnsi="宋体" w:cs="宋体" w:eastAsia="宋体" w:hint="default"/>
                <w:spacing w:val="-2"/>
                <w:sz w:val="18"/>
                <w:szCs w:val="18"/>
              </w:rPr>
              <w:t>本期归属于少数股东的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损益</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77"/>
              <w:ind w:left="590" w:right="41" w:hanging="538"/>
              <w:jc w:val="left"/>
              <w:rPr>
                <w:rFonts w:ascii="宋体" w:hAnsi="宋体" w:cs="宋体" w:eastAsia="宋体" w:hint="default"/>
                <w:sz w:val="18"/>
                <w:szCs w:val="18"/>
              </w:rPr>
            </w:pPr>
            <w:r>
              <w:rPr>
                <w:rFonts w:ascii="宋体" w:hAnsi="宋体" w:cs="宋体" w:eastAsia="宋体" w:hint="default"/>
                <w:spacing w:val="-2"/>
                <w:sz w:val="18"/>
                <w:szCs w:val="18"/>
              </w:rPr>
              <w:t>本期向少数股东宣告分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上海卓越形象广告传播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78" w:right="0"/>
              <w:jc w:val="left"/>
              <w:rPr>
                <w:rFonts w:ascii="Times New Roman" w:hAnsi="Times New Roman" w:cs="Times New Roman" w:eastAsia="Times New Roman" w:hint="default"/>
                <w:sz w:val="18"/>
                <w:szCs w:val="18"/>
              </w:rPr>
            </w:pPr>
            <w:r>
              <w:rPr>
                <w:rFonts w:ascii="Times New Roman"/>
                <w:sz w:val="18"/>
              </w:rPr>
              <w:t>-1,581,309.22</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362" w:lineRule="auto" w:before="54"/>
        <w:ind w:left="153" w:right="6287" w:firstLine="0"/>
        <w:jc w:val="left"/>
        <w:rPr>
          <w:rFonts w:ascii="宋体" w:hAnsi="宋体" w:cs="宋体" w:eastAsia="宋体" w:hint="default"/>
          <w:sz w:val="18"/>
          <w:szCs w:val="18"/>
        </w:rPr>
      </w:pPr>
      <w:r>
        <w:rPr>
          <w:rFonts w:ascii="宋体" w:hAnsi="宋体" w:cs="宋体" w:eastAsia="宋体" w:hint="default"/>
          <w:spacing w:val="-3"/>
          <w:sz w:val="18"/>
          <w:szCs w:val="18"/>
        </w:rPr>
        <w:t>子公司少数股东的持股比例不同于表决权比例的说明：</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z w:val="18"/>
          <w:szCs w:val="18"/>
        </w:rPr>
        <w:t>其他说明：</w:t>
      </w:r>
    </w:p>
    <w:p>
      <w:pPr>
        <w:spacing w:before="10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注：该公司已于</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月处置，详见附注八、</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3"/>
          <w:szCs w:val="23"/>
        </w:rPr>
      </w:pPr>
    </w:p>
    <w:p>
      <w:pPr>
        <w:pStyle w:val="Heading4"/>
        <w:spacing w:line="240" w:lineRule="auto"/>
        <w:ind w:right="0"/>
        <w:jc w:val="left"/>
        <w:rPr>
          <w:b w:val="0"/>
          <w:bCs w:val="0"/>
        </w:rPr>
      </w:pPr>
      <w:bookmarkStart w:name="（3）重要非全资子公司的主要财务信息" w:id="331"/>
      <w:bookmarkEnd w:id="331"/>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34"/>
        <w:gridCol w:w="740"/>
        <w:gridCol w:w="735"/>
        <w:gridCol w:w="734"/>
        <w:gridCol w:w="740"/>
        <w:gridCol w:w="734"/>
        <w:gridCol w:w="735"/>
        <w:gridCol w:w="735"/>
        <w:gridCol w:w="734"/>
        <w:gridCol w:w="735"/>
        <w:gridCol w:w="739"/>
        <w:gridCol w:w="735"/>
        <w:gridCol w:w="739"/>
      </w:tblGrid>
      <w:tr>
        <w:trPr>
          <w:trHeight w:val="403" w:hRule="exact"/>
        </w:trPr>
        <w:tc>
          <w:tcPr>
            <w:tcW w:w="7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24" w:lineRule="auto"/>
              <w:ind w:left="182" w:right="84" w:hanging="87"/>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名称</w:t>
            </w:r>
          </w:p>
        </w:tc>
        <w:tc>
          <w:tcPr>
            <w:tcW w:w="441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6" w:hRule="exact"/>
        </w:trPr>
        <w:tc>
          <w:tcPr>
            <w:tcW w:w="734" w:type="dxa"/>
            <w:vMerge/>
            <w:tcBorders>
              <w:left w:val="single" w:sz="4" w:space="0" w:color="000000"/>
              <w:bottom w:val="single" w:sz="4" w:space="0" w:color="000000"/>
              <w:right w:val="single" w:sz="4" w:space="0" w:color="000000"/>
            </w:tcBorders>
            <w:shd w:val="clear" w:color="auto" w:fill="D2D2D2"/>
          </w:tcPr>
          <w:p>
            <w:pP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74" w:right="89" w:hanging="178"/>
              <w:jc w:val="left"/>
              <w:rPr>
                <w:rFonts w:ascii="宋体" w:hAnsi="宋体" w:cs="宋体" w:eastAsia="宋体" w:hint="default"/>
                <w:sz w:val="18"/>
                <w:szCs w:val="18"/>
              </w:rPr>
            </w:pPr>
            <w:r>
              <w:rPr>
                <w:rFonts w:ascii="宋体" w:hAnsi="宋体" w:cs="宋体" w:eastAsia="宋体" w:hint="default"/>
                <w:sz w:val="18"/>
                <w:szCs w:val="18"/>
              </w:rPr>
              <w:t>流动资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82" w:right="84" w:hanging="87"/>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73" w:right="84" w:hanging="178"/>
              <w:jc w:val="left"/>
              <w:rPr>
                <w:rFonts w:ascii="宋体" w:hAnsi="宋体" w:cs="宋体" w:eastAsia="宋体" w:hint="default"/>
                <w:sz w:val="18"/>
                <w:szCs w:val="18"/>
              </w:rPr>
            </w:pPr>
            <w:r>
              <w:rPr>
                <w:rFonts w:ascii="宋体" w:hAnsi="宋体" w:cs="宋体" w:eastAsia="宋体" w:hint="default"/>
                <w:sz w:val="18"/>
                <w:szCs w:val="18"/>
              </w:rPr>
              <w:t>资产合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73" w:right="89" w:hanging="178"/>
              <w:jc w:val="left"/>
              <w:rPr>
                <w:rFonts w:ascii="宋体" w:hAnsi="宋体" w:cs="宋体" w:eastAsia="宋体" w:hint="default"/>
                <w:sz w:val="18"/>
                <w:szCs w:val="18"/>
              </w:rPr>
            </w:pPr>
            <w:r>
              <w:rPr>
                <w:rFonts w:ascii="宋体" w:hAnsi="宋体" w:cs="宋体" w:eastAsia="宋体" w:hint="default"/>
                <w:sz w:val="18"/>
                <w:szCs w:val="18"/>
              </w:rPr>
              <w:t>流动负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82" w:right="89" w:hanging="92"/>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73" w:right="89" w:hanging="183"/>
              <w:jc w:val="left"/>
              <w:rPr>
                <w:rFonts w:ascii="宋体" w:hAnsi="宋体" w:cs="宋体" w:eastAsia="宋体" w:hint="default"/>
                <w:sz w:val="18"/>
                <w:szCs w:val="18"/>
              </w:rPr>
            </w:pPr>
            <w:r>
              <w:rPr>
                <w:rFonts w:ascii="宋体" w:hAnsi="宋体" w:cs="宋体" w:eastAsia="宋体" w:hint="default"/>
                <w:sz w:val="18"/>
                <w:szCs w:val="18"/>
              </w:rPr>
              <w:t>负债合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73" w:right="89" w:hanging="183"/>
              <w:jc w:val="left"/>
              <w:rPr>
                <w:rFonts w:ascii="宋体" w:hAnsi="宋体" w:cs="宋体" w:eastAsia="宋体" w:hint="default"/>
                <w:sz w:val="18"/>
                <w:szCs w:val="18"/>
              </w:rPr>
            </w:pPr>
            <w:r>
              <w:rPr>
                <w:rFonts w:ascii="宋体" w:hAnsi="宋体" w:cs="宋体" w:eastAsia="宋体" w:hint="default"/>
                <w:sz w:val="18"/>
                <w:szCs w:val="18"/>
              </w:rPr>
              <w:t>流动资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82" w:right="89" w:hanging="92"/>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73" w:right="89" w:hanging="183"/>
              <w:jc w:val="left"/>
              <w:rPr>
                <w:rFonts w:ascii="宋体" w:hAnsi="宋体" w:cs="宋体" w:eastAsia="宋体" w:hint="default"/>
                <w:sz w:val="18"/>
                <w:szCs w:val="18"/>
              </w:rPr>
            </w:pPr>
            <w:r>
              <w:rPr>
                <w:rFonts w:ascii="宋体" w:hAnsi="宋体" w:cs="宋体" w:eastAsia="宋体" w:hint="default"/>
                <w:sz w:val="18"/>
                <w:szCs w:val="18"/>
              </w:rPr>
              <w:t>资产合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73" w:right="89" w:hanging="178"/>
              <w:jc w:val="left"/>
              <w:rPr>
                <w:rFonts w:ascii="宋体" w:hAnsi="宋体" w:cs="宋体" w:eastAsia="宋体" w:hint="default"/>
                <w:sz w:val="18"/>
                <w:szCs w:val="18"/>
              </w:rPr>
            </w:pPr>
            <w:r>
              <w:rPr>
                <w:rFonts w:ascii="宋体" w:hAnsi="宋体" w:cs="宋体" w:eastAsia="宋体" w:hint="default"/>
                <w:sz w:val="18"/>
                <w:szCs w:val="18"/>
              </w:rPr>
              <w:t>流动负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82" w:right="84" w:hanging="87"/>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负债</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73" w:right="89" w:hanging="178"/>
              <w:jc w:val="left"/>
              <w:rPr>
                <w:rFonts w:ascii="宋体" w:hAnsi="宋体" w:cs="宋体" w:eastAsia="宋体" w:hint="default"/>
                <w:sz w:val="18"/>
                <w:szCs w:val="18"/>
              </w:rPr>
            </w:pPr>
            <w:r>
              <w:rPr>
                <w:rFonts w:ascii="宋体" w:hAnsi="宋体" w:cs="宋体" w:eastAsia="宋体" w:hint="default"/>
                <w:sz w:val="18"/>
                <w:szCs w:val="18"/>
              </w:rPr>
              <w:t>负债合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r>
      <w:tr>
        <w:trPr>
          <w:trHeight w:val="1652"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56"/>
              <w:jc w:val="both"/>
              <w:rPr>
                <w:rFonts w:ascii="宋体" w:hAnsi="宋体" w:cs="宋体" w:eastAsia="宋体" w:hint="default"/>
                <w:sz w:val="18"/>
                <w:szCs w:val="18"/>
              </w:rPr>
            </w:pPr>
            <w:r>
              <w:rPr>
                <w:rFonts w:ascii="宋体" w:hAnsi="宋体" w:cs="宋体" w:eastAsia="宋体" w:hint="default"/>
                <w:sz w:val="18"/>
                <w:szCs w:val="18"/>
              </w:rPr>
              <w:t>上海卓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越形象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广告传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播有限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740"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60,932,0</w:t>
            </w:r>
          </w:p>
          <w:p>
            <w:pPr>
              <w:pStyle w:val="TableParagraph"/>
              <w:spacing w:line="240" w:lineRule="auto" w:before="110"/>
              <w:ind w:left="297" w:right="0"/>
              <w:jc w:val="left"/>
              <w:rPr>
                <w:rFonts w:ascii="Times New Roman" w:hAnsi="Times New Roman" w:cs="Times New Roman" w:eastAsia="Times New Roman" w:hint="default"/>
                <w:sz w:val="18"/>
                <w:szCs w:val="18"/>
              </w:rPr>
            </w:pPr>
            <w:r>
              <w:rPr>
                <w:rFonts w:ascii="Times New Roman"/>
                <w:sz w:val="18"/>
              </w:rPr>
              <w:t>34.07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683,385.</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14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61,615,4</w:t>
            </w:r>
          </w:p>
          <w:p>
            <w:pPr>
              <w:pStyle w:val="TableParagraph"/>
              <w:spacing w:line="240" w:lineRule="auto" w:before="110"/>
              <w:ind w:left="297" w:right="0"/>
              <w:jc w:val="left"/>
              <w:rPr>
                <w:rFonts w:ascii="Times New Roman" w:hAnsi="Times New Roman" w:cs="Times New Roman" w:eastAsia="Times New Roman" w:hint="default"/>
                <w:sz w:val="18"/>
                <w:szCs w:val="18"/>
              </w:rPr>
            </w:pPr>
            <w:r>
              <w:rPr>
                <w:rFonts w:ascii="Times New Roman"/>
                <w:sz w:val="18"/>
              </w:rPr>
              <w:t>19.21</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21,569,9</w:t>
            </w:r>
          </w:p>
          <w:p>
            <w:pPr>
              <w:pStyle w:val="TableParagraph"/>
              <w:spacing w:line="240" w:lineRule="auto" w:before="110"/>
              <w:ind w:left="302" w:right="0"/>
              <w:jc w:val="left"/>
              <w:rPr>
                <w:rFonts w:ascii="Times New Roman" w:hAnsi="Times New Roman" w:cs="Times New Roman" w:eastAsia="Times New Roman" w:hint="default"/>
                <w:sz w:val="18"/>
                <w:szCs w:val="18"/>
              </w:rPr>
            </w:pPr>
            <w:r>
              <w:rPr>
                <w:rFonts w:ascii="Times New Roman"/>
                <w:sz w:val="18"/>
              </w:rPr>
              <w:t>52.84</w:t>
            </w: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21,569,9</w:t>
            </w:r>
          </w:p>
          <w:p>
            <w:pPr>
              <w:pStyle w:val="TableParagraph"/>
              <w:spacing w:line="240" w:lineRule="auto" w:before="110"/>
              <w:ind w:left="302" w:right="0"/>
              <w:jc w:val="left"/>
              <w:rPr>
                <w:rFonts w:ascii="Times New Roman" w:hAnsi="Times New Roman" w:cs="Times New Roman" w:eastAsia="Times New Roman" w:hint="default"/>
                <w:sz w:val="18"/>
                <w:szCs w:val="18"/>
              </w:rPr>
            </w:pPr>
            <w:r>
              <w:rPr>
                <w:rFonts w:ascii="Times New Roman"/>
                <w:sz w:val="18"/>
              </w:rPr>
              <w:t>52.84</w:t>
            </w:r>
          </w:p>
        </w:tc>
      </w:tr>
    </w:tbl>
    <w:p>
      <w:pPr>
        <w:spacing w:before="53"/>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1"/>
        <w:gridCol w:w="1066"/>
        <w:gridCol w:w="1066"/>
        <w:gridCol w:w="1066"/>
        <w:gridCol w:w="1061"/>
        <w:gridCol w:w="1061"/>
        <w:gridCol w:w="1071"/>
      </w:tblGrid>
      <w:tr>
        <w:trPr>
          <w:trHeight w:val="403"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1"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7" w:right="75" w:hanging="361"/>
              <w:jc w:val="left"/>
              <w:rPr>
                <w:rFonts w:ascii="宋体" w:hAnsi="宋体" w:cs="宋体" w:eastAsia="宋体" w:hint="default"/>
                <w:sz w:val="18"/>
                <w:szCs w:val="18"/>
              </w:rPr>
            </w:pPr>
            <w:r>
              <w:rPr>
                <w:rFonts w:ascii="宋体" w:hAnsi="宋体" w:cs="宋体" w:eastAsia="宋体" w:hint="default"/>
                <w:spacing w:val="-2"/>
                <w:sz w:val="18"/>
                <w:szCs w:val="18"/>
              </w:rPr>
              <w:t>综合收益总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59" w:right="75" w:hanging="183"/>
              <w:jc w:val="left"/>
              <w:rPr>
                <w:rFonts w:ascii="宋体" w:hAnsi="宋体" w:cs="宋体" w:eastAsia="宋体" w:hint="default"/>
                <w:sz w:val="18"/>
                <w:szCs w:val="18"/>
              </w:rPr>
            </w:pPr>
            <w:r>
              <w:rPr>
                <w:rFonts w:ascii="宋体" w:hAnsi="宋体" w:cs="宋体" w:eastAsia="宋体" w:hint="default"/>
                <w:spacing w:val="-2"/>
                <w:sz w:val="18"/>
                <w:szCs w:val="18"/>
              </w:rPr>
              <w:t>经营活动现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金流量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综合收益总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64" w:right="74" w:hanging="183"/>
              <w:jc w:val="left"/>
              <w:rPr>
                <w:rFonts w:ascii="宋体" w:hAnsi="宋体" w:cs="宋体" w:eastAsia="宋体" w:hint="default"/>
                <w:sz w:val="18"/>
                <w:szCs w:val="18"/>
              </w:rPr>
            </w:pPr>
            <w:r>
              <w:rPr>
                <w:rFonts w:ascii="宋体" w:hAnsi="宋体" w:cs="宋体" w:eastAsia="宋体" w:hint="default"/>
                <w:spacing w:val="-2"/>
                <w:sz w:val="18"/>
                <w:szCs w:val="18"/>
              </w:rPr>
              <w:t>经营活动现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金流量</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23"/>
              <w:jc w:val="both"/>
              <w:rPr>
                <w:rFonts w:ascii="宋体" w:hAnsi="宋体" w:cs="宋体" w:eastAsia="宋体" w:hint="default"/>
                <w:sz w:val="18"/>
                <w:szCs w:val="18"/>
              </w:rPr>
            </w:pPr>
            <w:r>
              <w:rPr>
                <w:rFonts w:ascii="宋体" w:hAnsi="宋体" w:cs="宋体" w:eastAsia="宋体" w:hint="default"/>
                <w:spacing w:val="-2"/>
                <w:sz w:val="18"/>
                <w:szCs w:val="18"/>
              </w:rPr>
              <w:t>上海卓越形</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象广告传播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15" w:right="0"/>
              <w:jc w:val="left"/>
              <w:rPr>
                <w:rFonts w:ascii="Times New Roman" w:hAnsi="Times New Roman" w:cs="Times New Roman" w:eastAsia="Times New Roman" w:hint="default"/>
                <w:sz w:val="18"/>
                <w:szCs w:val="18"/>
              </w:rPr>
            </w:pPr>
            <w:r>
              <w:rPr>
                <w:rFonts w:ascii="Times New Roman"/>
                <w:sz w:val="18"/>
              </w:rPr>
              <w:t>231,237.73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-3,227,161.67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-3,227,161.67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-12,498,859.5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54,684,303.0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12,474,604.1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12,474,604.1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-21,577,818.3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bookmarkStart w:name="2、在合营安排或联营企业中的权益" w:id="332"/>
      <w:bookmarkEnd w:id="332"/>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重要的合营企业或联营企业" w:id="333"/>
      <w:bookmarkEnd w:id="333"/>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8"/>
        <w:gridCol w:w="1364"/>
        <w:gridCol w:w="1369"/>
      </w:tblGrid>
      <w:tr>
        <w:trPr>
          <w:trHeight w:val="401" w:hRule="exact"/>
        </w:trPr>
        <w:tc>
          <w:tcPr>
            <w:tcW w:w="13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21" w:lineRule="auto"/>
              <w:ind w:left="321" w:right="46" w:hanging="269"/>
              <w:jc w:val="left"/>
              <w:rPr>
                <w:rFonts w:ascii="宋体" w:hAnsi="宋体" w:cs="宋体" w:eastAsia="宋体" w:hint="default"/>
                <w:sz w:val="18"/>
                <w:szCs w:val="18"/>
              </w:rPr>
            </w:pPr>
            <w:r>
              <w:rPr>
                <w:rFonts w:ascii="宋体" w:hAnsi="宋体" w:cs="宋体" w:eastAsia="宋体" w:hint="default"/>
                <w:spacing w:val="-3"/>
                <w:sz w:val="18"/>
                <w:szCs w:val="18"/>
              </w:rPr>
              <w:t>合营企业或联营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企业名称</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31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47" w:right="46"/>
              <w:jc w:val="center"/>
              <w:rPr>
                <w:rFonts w:ascii="宋体" w:hAnsi="宋体" w:cs="宋体" w:eastAsia="宋体" w:hint="default"/>
                <w:sz w:val="18"/>
                <w:szCs w:val="18"/>
              </w:rPr>
            </w:pPr>
            <w:r>
              <w:rPr>
                <w:rFonts w:ascii="宋体" w:hAnsi="宋体" w:cs="宋体" w:eastAsia="宋体" w:hint="default"/>
                <w:spacing w:val="-3"/>
                <w:sz w:val="18"/>
                <w:szCs w:val="18"/>
              </w:rPr>
              <w:t>对合营企业或联</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营企业投资的会</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计处理方法</w:t>
            </w:r>
          </w:p>
        </w:tc>
      </w:tr>
      <w:tr>
        <w:trPr>
          <w:trHeight w:val="622" w:hRule="exact"/>
        </w:trPr>
        <w:tc>
          <w:tcPr>
            <w:tcW w:w="1373"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5"/>
              <w:jc w:val="left"/>
              <w:rPr>
                <w:rFonts w:ascii="宋体" w:hAnsi="宋体" w:cs="宋体" w:eastAsia="宋体" w:hint="default"/>
                <w:sz w:val="18"/>
                <w:szCs w:val="18"/>
              </w:rPr>
            </w:pPr>
            <w:r>
              <w:rPr>
                <w:rFonts w:ascii="宋体" w:hAnsi="宋体" w:cs="宋体" w:eastAsia="宋体" w:hint="default"/>
                <w:spacing w:val="-3"/>
                <w:sz w:val="18"/>
                <w:szCs w:val="18"/>
              </w:rPr>
              <w:t>湖北司马彦文化</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科技有限公司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字帖业务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49.00%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唱游信息技术有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常州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常州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智慧旅游业务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6"/>
              <w:ind w:left="24" w:right="45"/>
              <w:jc w:val="both"/>
              <w:rPr>
                <w:rFonts w:ascii="Times New Roman" w:hAnsi="Times New Roman" w:cs="Times New Roman" w:eastAsia="Times New Roman" w:hint="default"/>
                <w:sz w:val="18"/>
                <w:szCs w:val="18"/>
              </w:rPr>
            </w:pPr>
            <w:r>
              <w:rPr>
                <w:rFonts w:ascii="Times New Roman"/>
                <w:sz w:val="18"/>
              </w:rPr>
              <w:t>GettyImagesSEA</w:t>
            </w:r>
            <w:r>
              <w:rPr>
                <w:rFonts w:ascii="Times New Roman"/>
                <w:w w:val="101"/>
                <w:sz w:val="18"/>
              </w:rPr>
              <w:t> </w:t>
            </w:r>
            <w:r>
              <w:rPr>
                <w:rFonts w:ascii="Times New Roman"/>
                <w:spacing w:val="-2"/>
                <w:sz w:val="18"/>
              </w:rPr>
              <w:t>HoldingCo.,Limit</w:t>
            </w:r>
            <w:r>
              <w:rPr>
                <w:rFonts w:ascii="Times New Roman"/>
                <w:spacing w:val="-16"/>
                <w:sz w:val="18"/>
              </w:rPr>
              <w:t> </w:t>
            </w:r>
            <w:r>
              <w:rPr>
                <w:rFonts w:ascii="Times New Roman"/>
                <w:spacing w:val="-16"/>
                <w:sz w:val="18"/>
              </w:rPr>
            </w:r>
            <w:r>
              <w:rPr>
                <w:rFonts w:ascii="Times New Roman"/>
                <w:sz w:val="18"/>
              </w:rPr>
              <w:t>ed</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pacing w:val="-3"/>
                <w:sz w:val="18"/>
                <w:szCs w:val="18"/>
              </w:rPr>
              <w:t>视觉内容与服务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1"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广东易教优培教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育科技有限公司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软件信息服务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5"/>
              <w:jc w:val="both"/>
              <w:rPr>
                <w:rFonts w:ascii="宋体" w:hAnsi="宋体" w:cs="宋体" w:eastAsia="宋体" w:hint="default"/>
                <w:sz w:val="18"/>
                <w:szCs w:val="18"/>
              </w:rPr>
            </w:pPr>
            <w:r>
              <w:rPr>
                <w:rFonts w:ascii="宋体" w:hAnsi="宋体" w:cs="宋体" w:eastAsia="宋体" w:hint="default"/>
                <w:spacing w:val="-3"/>
                <w:sz w:val="18"/>
                <w:szCs w:val="18"/>
              </w:rPr>
              <w:t>辽宁新兴文化创</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业投资基金合伙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7"/>
                <w:sz w:val="18"/>
                <w:szCs w:val="18"/>
              </w:rPr>
              <w:t>企业（有限合伙</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辽宁</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312" w:lineRule="exact"/>
              <w:ind w:right="-55"/>
              <w:jc w:val="left"/>
              <w:rPr>
                <w:rFonts w:ascii="宋体" w:hAnsi="宋体" w:cs="宋体" w:eastAsia="宋体" w:hint="default"/>
                <w:sz w:val="20"/>
                <w:szCs w:val="20"/>
              </w:rPr>
            </w:pPr>
            <w:r>
              <w:rPr>
                <w:rFonts w:ascii="宋体" w:hAnsi="宋体" w:cs="宋体" w:eastAsia="宋体" w:hint="default"/>
                <w:position w:val="-5"/>
                <w:sz w:val="20"/>
                <w:szCs w:val="20"/>
              </w:rPr>
              <w:pict>
                <v:group style="width:67.95pt;height:15.6pt;mso-position-horizontal-relative:char;mso-position-vertical-relative:line" coordorigin="0,0" coordsize="1359,312">
                  <v:group style="position:absolute;left:0;top:0;width:1359;height:312" coordorigin="0,0" coordsize="1359,312">
                    <v:shape style="position:absolute;left:0;top:0;width:1359;height:312" coordorigin="0,0" coordsize="1359,312" path="m0,312l1359,312,1359,0,0,0,0,312xe" filled="true" fillcolor="#ffffff" stroked="false">
                      <v:path arrowok="t"/>
                      <v:fill type="solid"/>
                    </v:shape>
                  </v:group>
                </v:group>
              </w:pict>
            </w:r>
            <w:r>
              <w:rPr>
                <w:rFonts w:ascii="宋体" w:hAnsi="宋体" w:cs="宋体" w:eastAsia="宋体" w:hint="default"/>
                <w:position w:val="-5"/>
                <w:sz w:val="20"/>
                <w:szCs w:val="20"/>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52.63%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before="54"/>
        <w:ind w:left="153" w:right="0" w:firstLine="0"/>
        <w:jc w:val="left"/>
        <w:rPr>
          <w:rFonts w:ascii="宋体" w:hAnsi="宋体" w:cs="宋体" w:eastAsia="宋体" w:hint="default"/>
          <w:sz w:val="18"/>
          <w:szCs w:val="18"/>
        </w:rPr>
      </w:pPr>
      <w:r>
        <w:rPr/>
        <w:pict>
          <v:shape style="position:absolute;margin-left:119.545441pt;margin-top:-16.098286pt;width:74pt;height:15.6pt;mso-position-horizontal-relative:page;mso-position-vertical-relative:paragraph;z-index:-1167304" type="#_x0000_t202" filled="false" stroked="false">
            <v:textbox inset="0,0,0,0">
              <w:txbxContent>
                <w:p>
                  <w:pPr>
                    <w:spacing w:line="213" w:lineRule="exact"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rFonts w:ascii="宋体" w:hAnsi="宋体" w:cs="宋体" w:eastAsia="宋体" w:hint="default"/>
          <w:spacing w:val="-3"/>
          <w:sz w:val="18"/>
          <w:szCs w:val="18"/>
        </w:rPr>
        <w:t>在合营企业或联营企业的持股比例不同于表决权比例的说明：</w:t>
      </w:r>
    </w:p>
    <w:p>
      <w:pPr>
        <w:spacing w:before="119"/>
        <w:ind w:left="153" w:right="0" w:firstLine="0"/>
        <w:jc w:val="left"/>
        <w:rPr>
          <w:rFonts w:ascii="宋体" w:hAnsi="宋体" w:cs="宋体" w:eastAsia="宋体" w:hint="default"/>
          <w:sz w:val="18"/>
          <w:szCs w:val="18"/>
        </w:rPr>
      </w:pPr>
      <w:r>
        <w:rPr>
          <w:rFonts w:ascii="宋体" w:hAnsi="宋体" w:cs="宋体" w:eastAsia="宋体" w:hint="default"/>
          <w:sz w:val="18"/>
          <w:szCs w:val="18"/>
        </w:rPr>
        <w:t>持有 </w:t>
      </w: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以下表决权但具有重大影响，或者持有</w:t>
      </w:r>
      <w:r>
        <w:rPr>
          <w:rFonts w:ascii="宋体" w:hAnsi="宋体" w:cs="宋体" w:eastAsia="宋体" w:hint="default"/>
          <w:spacing w:val="34"/>
          <w:sz w:val="18"/>
          <w:szCs w:val="18"/>
        </w:rPr>
        <w:t> </w:t>
      </w: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或以上表决权但不具有重大影响的依据：</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2）重要合营企业的主要财务信息" w:id="334"/>
      <w:bookmarkEnd w:id="334"/>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9"/>
        <w:gridCol w:w="3201"/>
        <w:gridCol w:w="3193"/>
      </w:tblGrid>
      <w:tr>
        <w:trPr>
          <w:trHeight w:val="398"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4" w:right="0"/>
              <w:jc w:val="left"/>
              <w:rPr>
                <w:rFonts w:ascii="宋体" w:hAnsi="宋体" w:cs="宋体" w:eastAsia="宋体" w:hint="default"/>
                <w:sz w:val="18"/>
                <w:szCs w:val="18"/>
              </w:rPr>
            </w:pPr>
            <w:r>
              <w:rPr>
                <w:rFonts w:ascii="宋体" w:hAnsi="宋体" w:cs="宋体" w:eastAsia="宋体" w:hint="default"/>
                <w:spacing w:val="-3"/>
                <w:sz w:val="18"/>
                <w:szCs w:val="18"/>
              </w:rPr>
              <w:t>湖北司马彦文化科技有限公司</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pacing w:val="-3"/>
                <w:sz w:val="18"/>
                <w:szCs w:val="18"/>
              </w:rPr>
              <w:t>湖北司马彦文化科技有限公司</w:t>
            </w:r>
          </w:p>
        </w:tc>
      </w:tr>
      <w:tr>
        <w:trPr>
          <w:trHeight w:val="403"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377,262,281.03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282,907,693.92</w:t>
            </w:r>
          </w:p>
        </w:tc>
      </w:tr>
      <w:tr>
        <w:trPr>
          <w:trHeight w:val="403"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其中：现金和现金等价物</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30,232,603.43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78,667,826.89</w:t>
            </w:r>
          </w:p>
        </w:tc>
      </w:tr>
      <w:tr>
        <w:trPr>
          <w:trHeight w:val="399"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4,893,051.60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3,632,830.96</w:t>
            </w:r>
          </w:p>
        </w:tc>
      </w:tr>
      <w:tr>
        <w:trPr>
          <w:trHeight w:val="403"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382,155,332.63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286,540,524.88</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86,220,969.80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92,385,032.92</w:t>
            </w:r>
          </w:p>
        </w:tc>
      </w:tr>
      <w:tr>
        <w:trPr>
          <w:trHeight w:val="398"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86,220,969.80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92,385,032.92</w:t>
            </w:r>
          </w:p>
        </w:tc>
      </w:tr>
      <w:tr>
        <w:trPr>
          <w:trHeight w:val="40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归属于母公司股东权益</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295,934,362.83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194,155,491.96</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按持股比例计算的净资产份额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145,007,837.79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95,136,191.06</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对合营企业权益投资的账面价值</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427,345,497.11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377,473,850.39</w:t>
            </w:r>
          </w:p>
        </w:tc>
      </w:tr>
      <w:tr>
        <w:trPr>
          <w:trHeight w:val="398"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208,832,851.87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170,413,860.76</w:t>
            </w:r>
          </w:p>
        </w:tc>
      </w:tr>
      <w:tr>
        <w:trPr>
          <w:trHeight w:val="40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-93,527.03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-52,852.84</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10,450,067.21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6,889,747.75</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101,778,870.87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75,446,358.77</w:t>
            </w:r>
          </w:p>
        </w:tc>
      </w:tr>
      <w:tr>
        <w:trPr>
          <w:trHeight w:val="398"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101,778,870.87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75,446,358.77</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本年度收到的来自合营企业的股利</w:t>
            </w:r>
          </w:p>
        </w:tc>
        <w:tc>
          <w:tcPr>
            <w:tcW w:w="3189"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17,554,343.26</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bookmarkStart w:name="（3）重要联营企业的主要财务信息" w:id="335"/>
      <w:bookmarkEnd w:id="335"/>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4"/>
        <w:gridCol w:w="1196"/>
        <w:gridCol w:w="1201"/>
        <w:gridCol w:w="1196"/>
        <w:gridCol w:w="1196"/>
        <w:gridCol w:w="1196"/>
        <w:gridCol w:w="1196"/>
        <w:gridCol w:w="1195"/>
      </w:tblGrid>
      <w:tr>
        <w:trPr>
          <w:trHeight w:val="404"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5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47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550"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63" w:hRule="exact"/>
        </w:trPr>
        <w:tc>
          <w:tcPr>
            <w:tcW w:w="1184" w:type="dxa"/>
            <w:vMerge w:val="restart"/>
            <w:tcBorders>
              <w:top w:val="single" w:sz="4" w:space="0" w:color="000000"/>
              <w:left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Style w:val="TableParagraph"/>
              <w:spacing w:line="362" w:lineRule="auto" w:before="96"/>
              <w:ind w:left="28" w:right="32"/>
              <w:jc w:val="center"/>
              <w:rPr>
                <w:rFonts w:ascii="Times New Roman" w:hAnsi="Times New Roman" w:cs="Times New Roman" w:eastAsia="Times New Roman" w:hint="default"/>
                <w:sz w:val="18"/>
                <w:szCs w:val="18"/>
              </w:rPr>
            </w:pPr>
            <w:r>
              <w:rPr>
                <w:rFonts w:ascii="Times New Roman"/>
                <w:spacing w:val="-2"/>
                <w:sz w:val="18"/>
              </w:rPr>
              <w:t>GettyImagesSE</w:t>
            </w:r>
            <w:r>
              <w:rPr>
                <w:rFonts w:ascii="Times New Roman"/>
                <w:spacing w:val="-37"/>
                <w:sz w:val="18"/>
              </w:rPr>
              <w:t> </w:t>
            </w:r>
            <w:r>
              <w:rPr>
                <w:rFonts w:ascii="Times New Roman"/>
                <w:spacing w:val="-37"/>
                <w:sz w:val="18"/>
              </w:rPr>
            </w:r>
            <w:r>
              <w:rPr>
                <w:rFonts w:ascii="Times New Roman"/>
                <w:spacing w:val="-2"/>
                <w:sz w:val="18"/>
              </w:rPr>
              <w:t>AHoldingsCo.,</w:t>
            </w:r>
            <w:r>
              <w:rPr>
                <w:rFonts w:ascii="Times New Roman"/>
                <w:w w:val="101"/>
                <w:sz w:val="18"/>
              </w:rPr>
              <w:t> </w:t>
            </w:r>
            <w:r>
              <w:rPr>
                <w:rFonts w:ascii="Times New Roman"/>
                <w:sz w:val="18"/>
              </w:rPr>
              <w:t>Limited</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52" w:right="46"/>
              <w:jc w:val="center"/>
              <w:rPr>
                <w:rFonts w:ascii="宋体" w:hAnsi="宋体" w:cs="宋体" w:eastAsia="宋体" w:hint="default"/>
                <w:sz w:val="18"/>
                <w:szCs w:val="18"/>
              </w:rPr>
            </w:pPr>
            <w:r>
              <w:rPr>
                <w:rFonts w:ascii="宋体" w:hAnsi="宋体" w:cs="宋体" w:eastAsia="宋体" w:hint="default"/>
                <w:spacing w:val="-2"/>
                <w:sz w:val="18"/>
                <w:szCs w:val="18"/>
              </w:rPr>
              <w:t>广东易教优培</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教育科技有限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公司</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362" w:lineRule="auto" w:before="96"/>
              <w:ind w:left="28" w:right="27"/>
              <w:jc w:val="center"/>
              <w:rPr>
                <w:rFonts w:ascii="Times New Roman" w:hAnsi="Times New Roman" w:cs="Times New Roman" w:eastAsia="Times New Roman" w:hint="default"/>
                <w:sz w:val="18"/>
                <w:szCs w:val="18"/>
              </w:rPr>
            </w:pPr>
            <w:r>
              <w:rPr>
                <w:rFonts w:ascii="Times New Roman"/>
                <w:spacing w:val="-2"/>
                <w:sz w:val="18"/>
              </w:rPr>
              <w:t>GettyImagesSE</w:t>
            </w:r>
            <w:r>
              <w:rPr>
                <w:rFonts w:ascii="Times New Roman"/>
                <w:spacing w:val="-37"/>
                <w:sz w:val="18"/>
              </w:rPr>
              <w:t> </w:t>
            </w:r>
            <w:r>
              <w:rPr>
                <w:rFonts w:ascii="Times New Roman"/>
                <w:spacing w:val="-37"/>
                <w:sz w:val="18"/>
              </w:rPr>
            </w:r>
            <w:r>
              <w:rPr>
                <w:rFonts w:ascii="Times New Roman"/>
                <w:sz w:val="18"/>
              </w:rPr>
              <w:t>AHoldingsCo.,</w:t>
            </w:r>
            <w:r>
              <w:rPr>
                <w:rFonts w:ascii="Times New Roman"/>
                <w:w w:val="101"/>
                <w:sz w:val="18"/>
              </w:rPr>
              <w:t> </w:t>
            </w:r>
            <w:r>
              <w:rPr>
                <w:rFonts w:ascii="Times New Roman"/>
                <w:sz w:val="18"/>
              </w:rPr>
              <w:t>Limited</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52" w:right="45"/>
              <w:jc w:val="center"/>
              <w:rPr>
                <w:rFonts w:ascii="宋体" w:hAnsi="宋体" w:cs="宋体" w:eastAsia="宋体" w:hint="default"/>
                <w:sz w:val="18"/>
                <w:szCs w:val="18"/>
              </w:rPr>
            </w:pPr>
            <w:r>
              <w:rPr>
                <w:rFonts w:ascii="宋体" w:hAnsi="宋体" w:cs="宋体" w:eastAsia="宋体" w:hint="default"/>
                <w:spacing w:val="-2"/>
                <w:sz w:val="18"/>
                <w:szCs w:val="18"/>
              </w:rPr>
              <w:t>广东易教优培</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教育科技有限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公司</w:t>
            </w:r>
          </w:p>
        </w:tc>
      </w:tr>
      <w:tr>
        <w:trPr>
          <w:trHeight w:val="154"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235" w:right="46" w:hanging="183"/>
              <w:jc w:val="left"/>
              <w:rPr>
                <w:rFonts w:ascii="宋体" w:hAnsi="宋体" w:cs="宋体" w:eastAsia="宋体" w:hint="default"/>
                <w:sz w:val="18"/>
                <w:szCs w:val="18"/>
              </w:rPr>
            </w:pPr>
            <w:r>
              <w:rPr>
                <w:rFonts w:ascii="宋体" w:hAnsi="宋体" w:cs="宋体" w:eastAsia="宋体" w:hint="default"/>
                <w:spacing w:val="-2"/>
                <w:sz w:val="18"/>
                <w:szCs w:val="18"/>
              </w:rPr>
              <w:t>唱游信息技术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有限公司</w:t>
            </w: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235" w:right="46" w:hanging="183"/>
              <w:jc w:val="left"/>
              <w:rPr>
                <w:rFonts w:ascii="宋体" w:hAnsi="宋体" w:cs="宋体" w:eastAsia="宋体" w:hint="default"/>
                <w:sz w:val="18"/>
                <w:szCs w:val="18"/>
              </w:rPr>
            </w:pPr>
            <w:r>
              <w:rPr>
                <w:rFonts w:ascii="宋体" w:hAnsi="宋体" w:cs="宋体" w:eastAsia="宋体" w:hint="default"/>
                <w:spacing w:val="-2"/>
                <w:sz w:val="18"/>
                <w:szCs w:val="18"/>
              </w:rPr>
              <w:t>唱游信息技术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有限公司</w:t>
            </w:r>
          </w:p>
        </w:tc>
        <w:tc>
          <w:tcPr>
            <w:tcW w:w="1196"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52" w:right="46"/>
              <w:jc w:val="left"/>
              <w:rPr>
                <w:rFonts w:ascii="宋体" w:hAnsi="宋体" w:cs="宋体" w:eastAsia="宋体" w:hint="default"/>
                <w:sz w:val="18"/>
                <w:szCs w:val="18"/>
              </w:rPr>
            </w:pPr>
            <w:r>
              <w:rPr>
                <w:rFonts w:ascii="宋体" w:hAnsi="宋体" w:cs="宋体" w:eastAsia="宋体" w:hint="default"/>
                <w:spacing w:val="-2"/>
                <w:sz w:val="18"/>
                <w:szCs w:val="18"/>
              </w:rPr>
              <w:t>华融创新投资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股份有限公司</w:t>
            </w:r>
          </w:p>
        </w:tc>
        <w:tc>
          <w:tcPr>
            <w:tcW w:w="1195" w:type="dxa"/>
            <w:vMerge/>
            <w:tcBorders>
              <w:left w:val="single" w:sz="4" w:space="0" w:color="000000"/>
              <w:right w:val="single" w:sz="4" w:space="0" w:color="000000"/>
            </w:tcBorders>
            <w:shd w:val="clear" w:color="auto" w:fill="D2D2D2"/>
          </w:tcPr>
          <w:p>
            <w:pPr/>
          </w:p>
        </w:tc>
      </w:tr>
      <w:tr>
        <w:trPr>
          <w:trHeight w:val="394"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54"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63" w:hRule="exact"/>
        </w:trPr>
        <w:tc>
          <w:tcPr>
            <w:tcW w:w="1184"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158"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8"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68,238,332.66</w:t>
            </w:r>
          </w:p>
        </w:tc>
        <w:tc>
          <w:tcPr>
            <w:tcW w:w="120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207,536,492.87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62,860,235.69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48,147,546.06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182,213,595.18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6,990,403,974.</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72</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92,780,486.10</w:t>
            </w:r>
          </w:p>
        </w:tc>
      </w:tr>
      <w:tr>
        <w:trPr>
          <w:trHeight w:val="394"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196" w:type="dxa"/>
            <w:vMerge/>
            <w:tcBorders>
              <w:left w:val="single" w:sz="8" w:space="0" w:color="D2D2D2"/>
              <w:right w:val="single" w:sz="4" w:space="0" w:color="000000"/>
            </w:tcBorders>
          </w:tcPr>
          <w:p>
            <w:pPr/>
          </w:p>
        </w:tc>
        <w:tc>
          <w:tcPr>
            <w:tcW w:w="1201"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63"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8" w:space="0" w:color="D2D2D2"/>
              <w:bottom w:val="single" w:sz="4" w:space="0" w:color="000000"/>
              <w:right w:val="single" w:sz="4" w:space="0" w:color="000000"/>
            </w:tcBorders>
          </w:tcPr>
          <w:p>
            <w:pPr/>
          </w:p>
        </w:tc>
        <w:tc>
          <w:tcPr>
            <w:tcW w:w="1201"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r>
        <w:trPr>
          <w:trHeight w:val="398"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65,402,782.86</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167,449,929.86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1,646,900.53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62,170,141.38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174,086,002.53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59,457,961.29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575,128.56</w:t>
            </w:r>
          </w:p>
        </w:tc>
      </w:tr>
      <w:tr>
        <w:trPr>
          <w:trHeight w:val="163"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8" w:space="0" w:color="D2D2D2"/>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133,641,115.52</w:t>
            </w:r>
          </w:p>
        </w:tc>
        <w:tc>
          <w:tcPr>
            <w:tcW w:w="120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374,986,422.73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64,507,136.22</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pacing w:val="-2"/>
                <w:sz w:val="18"/>
              </w:rPr>
              <w:t>110,317,687.44</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356,299,597.71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7,049,861,936.</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01</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93,355,614.66</w:t>
            </w:r>
          </w:p>
        </w:tc>
      </w:tr>
      <w:tr>
        <w:trPr>
          <w:trHeight w:val="394"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196" w:type="dxa"/>
            <w:vMerge/>
            <w:tcBorders>
              <w:left w:val="single" w:sz="8" w:space="0" w:color="D2D2D2"/>
              <w:right w:val="single" w:sz="4" w:space="0" w:color="000000"/>
            </w:tcBorders>
          </w:tcPr>
          <w:p>
            <w:pPr/>
          </w:p>
        </w:tc>
        <w:tc>
          <w:tcPr>
            <w:tcW w:w="1201"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58"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8" w:space="0" w:color="D2D2D2"/>
              <w:bottom w:val="single" w:sz="4" w:space="0" w:color="000000"/>
              <w:right w:val="single" w:sz="4" w:space="0" w:color="000000"/>
            </w:tcBorders>
          </w:tcPr>
          <w:p>
            <w:pPr/>
          </w:p>
        </w:tc>
        <w:tc>
          <w:tcPr>
            <w:tcW w:w="1201"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r>
        <w:trPr>
          <w:trHeight w:val="163"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8" w:space="0" w:color="D2D2D2"/>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94,422,762.72</w:t>
            </w:r>
          </w:p>
        </w:tc>
        <w:tc>
          <w:tcPr>
            <w:tcW w:w="120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29,629,398.54</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42,664,093.12</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51,565,885.97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17,946,695.53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5,569,591,249.</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72</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5,284,814.05</w:t>
            </w:r>
          </w:p>
        </w:tc>
      </w:tr>
      <w:tr>
        <w:trPr>
          <w:trHeight w:val="389"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196" w:type="dxa"/>
            <w:vMerge/>
            <w:tcBorders>
              <w:left w:val="single" w:sz="8" w:space="0" w:color="D2D2D2"/>
              <w:right w:val="single" w:sz="4" w:space="0" w:color="000000"/>
            </w:tcBorders>
          </w:tcPr>
          <w:p>
            <w:pPr/>
          </w:p>
        </w:tc>
        <w:tc>
          <w:tcPr>
            <w:tcW w:w="1201"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63"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8" w:space="0" w:color="D2D2D2"/>
              <w:bottom w:val="single" w:sz="4" w:space="0" w:color="000000"/>
              <w:right w:val="single" w:sz="4" w:space="0" w:color="000000"/>
            </w:tcBorders>
          </w:tcPr>
          <w:p>
            <w:pPr/>
          </w:p>
        </w:tc>
        <w:tc>
          <w:tcPr>
            <w:tcW w:w="1201"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196"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12,160,918.12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11,135,746.72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894,500,000.00</w:t>
            </w: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58"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2"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94,422,762.72</w:t>
            </w:r>
          </w:p>
        </w:tc>
        <w:tc>
          <w:tcPr>
            <w:tcW w:w="120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41,790,316.66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42,664,093.12</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51,565,885.97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29,082,442.25</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6,464,091,249.</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72</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5,284,814.05</w:t>
            </w:r>
          </w:p>
        </w:tc>
      </w:tr>
      <w:tr>
        <w:trPr>
          <w:trHeight w:val="394"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196" w:type="dxa"/>
            <w:vMerge/>
            <w:tcBorders>
              <w:left w:val="single" w:sz="12" w:space="0" w:color="D2D2D2"/>
              <w:right w:val="single" w:sz="4" w:space="0" w:color="000000"/>
            </w:tcBorders>
          </w:tcPr>
          <w:p>
            <w:pPr/>
          </w:p>
        </w:tc>
        <w:tc>
          <w:tcPr>
            <w:tcW w:w="1201"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58"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2" w:space="0" w:color="D2D2D2"/>
              <w:bottom w:val="single" w:sz="4" w:space="0" w:color="000000"/>
              <w:right w:val="single" w:sz="4" w:space="0" w:color="000000"/>
            </w:tcBorders>
          </w:tcPr>
          <w:p>
            <w:pPr/>
          </w:p>
        </w:tc>
        <w:tc>
          <w:tcPr>
            <w:tcW w:w="1201"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r>
        <w:trPr>
          <w:trHeight w:val="716"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1" w:right="75"/>
              <w:jc w:val="left"/>
              <w:rPr>
                <w:rFonts w:ascii="宋体" w:hAnsi="宋体" w:cs="宋体" w:eastAsia="宋体" w:hint="default"/>
                <w:sz w:val="18"/>
                <w:szCs w:val="18"/>
              </w:rPr>
            </w:pPr>
            <w:r>
              <w:rPr>
                <w:rFonts w:ascii="宋体" w:hAnsi="宋体" w:cs="宋体" w:eastAsia="宋体" w:hint="default"/>
                <w:spacing w:val="-2"/>
                <w:sz w:val="18"/>
                <w:szCs w:val="18"/>
              </w:rPr>
              <w:t>归属于母公司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股东权益</w:t>
            </w:r>
          </w:p>
        </w:tc>
        <w:tc>
          <w:tcPr>
            <w:tcW w:w="11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36,945,009.14</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333,196,106.07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21,843,043.10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58,751,801.47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327,217,155.46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585,770,686.29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88,070,800.61</w:t>
            </w:r>
          </w:p>
        </w:tc>
      </w:tr>
      <w:tr>
        <w:trPr>
          <w:trHeight w:val="1028"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75"/>
              <w:jc w:val="both"/>
              <w:rPr>
                <w:rFonts w:ascii="宋体" w:hAnsi="宋体" w:cs="宋体" w:eastAsia="宋体" w:hint="default"/>
                <w:sz w:val="18"/>
                <w:szCs w:val="18"/>
              </w:rPr>
            </w:pPr>
            <w:r>
              <w:rPr>
                <w:rFonts w:ascii="宋体" w:hAnsi="宋体" w:cs="宋体" w:eastAsia="宋体" w:hint="default"/>
                <w:spacing w:val="-2"/>
                <w:sz w:val="18"/>
                <w:szCs w:val="18"/>
              </w:rPr>
              <w:t>按持股比例计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算的净资产份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额</w:t>
            </w:r>
          </w:p>
        </w:tc>
        <w:tc>
          <w:tcPr>
            <w:tcW w:w="11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16,625,254.11</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166,598,053.04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7,645,065.09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26,438,310.66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163,608,577.73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117,154,137.26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30,824,780.21</w:t>
            </w:r>
          </w:p>
        </w:tc>
      </w:tr>
      <w:tr>
        <w:trPr>
          <w:trHeight w:val="1027"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75"/>
              <w:jc w:val="both"/>
              <w:rPr>
                <w:rFonts w:ascii="宋体" w:hAnsi="宋体" w:cs="宋体" w:eastAsia="宋体" w:hint="default"/>
                <w:sz w:val="18"/>
                <w:szCs w:val="18"/>
              </w:rPr>
            </w:pPr>
            <w:r>
              <w:rPr>
                <w:rFonts w:ascii="宋体" w:hAnsi="宋体" w:cs="宋体" w:eastAsia="宋体" w:hint="default"/>
                <w:spacing w:val="-2"/>
                <w:sz w:val="18"/>
                <w:szCs w:val="18"/>
              </w:rPr>
              <w:t>对联营企业权</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益投资的账面</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价值</w:t>
            </w:r>
          </w:p>
        </w:tc>
        <w:tc>
          <w:tcPr>
            <w:tcW w:w="11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24,500,939.28</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335,585,229.31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104,760,005.00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34,439,000.55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329,901,577.79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117,154,137.26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140,712,621.57</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86"/>
        <w:gridCol w:w="1205"/>
        <w:gridCol w:w="1201"/>
        <w:gridCol w:w="1196"/>
        <w:gridCol w:w="1196"/>
        <w:gridCol w:w="1196"/>
        <w:gridCol w:w="1196"/>
        <w:gridCol w:w="1195"/>
      </w:tblGrid>
      <w:tr>
        <w:trPr>
          <w:trHeight w:val="403"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27,374,273.87</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106,146,499.80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47,954,381.04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5,264,907.15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98,841,491.45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33,299,215.96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66,579,107.90</w:t>
            </w:r>
          </w:p>
        </w:tc>
      </w:tr>
      <w:tr>
        <w:trPr>
          <w:trHeight w:val="398"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2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-22,084,580.59</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43,273,772.17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16,193,458.83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-22,408,601.76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985,807.24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44,767,624.32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45,476,236.51</w:t>
            </w:r>
          </w:p>
        </w:tc>
      </w:tr>
      <w:tr>
        <w:trPr>
          <w:trHeight w:val="404"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1,794,565.36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15,998,234.83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2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-22,084,580.59</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45,068,337.53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16,193,458.83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-22,408,601.76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16,984,042.07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44,767,624.32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45,476,236.51</w:t>
            </w:r>
          </w:p>
        </w:tc>
      </w:tr>
      <w:tr>
        <w:trPr>
          <w:trHeight w:val="1027"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65"/>
              <w:jc w:val="both"/>
              <w:rPr>
                <w:rFonts w:ascii="宋体" w:hAnsi="宋体" w:cs="宋体" w:eastAsia="宋体" w:hint="default"/>
                <w:sz w:val="18"/>
                <w:szCs w:val="18"/>
              </w:rPr>
            </w:pPr>
            <w:r>
              <w:rPr>
                <w:rFonts w:ascii="宋体" w:hAnsi="宋体" w:cs="宋体" w:eastAsia="宋体" w:hint="default"/>
                <w:spacing w:val="-2"/>
                <w:sz w:val="18"/>
                <w:szCs w:val="18"/>
              </w:rPr>
              <w:t>本年度收到的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来自联营企业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的股利</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5,875,383.12</w:t>
            </w:r>
          </w:p>
        </w:tc>
        <w:tc>
          <w:tcPr>
            <w:tcW w:w="1195" w:type="dxa"/>
            <w:tcBorders>
              <w:top w:val="single" w:sz="4" w:space="0" w:color="000000"/>
              <w:left w:val="single" w:sz="4" w:space="0" w:color="000000"/>
              <w:bottom w:val="single" w:sz="4" w:space="0" w:color="000000"/>
              <w:right w:val="single" w:sz="4" w:space="0" w:color="000000"/>
            </w:tcBorders>
          </w:tcPr>
          <w:p>
            <w:pP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4）不重要的合营企业和联营企业的汇总财务信息" w:id="336"/>
      <w:bookmarkEnd w:id="336"/>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4"/>
        <w:gridCol w:w="3070"/>
        <w:gridCol w:w="3188"/>
      </w:tblGrid>
      <w:tr>
        <w:trPr>
          <w:trHeight w:val="404"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0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5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398"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下列各项按持股比例计算的合计数</w:t>
            </w: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4"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302,967,372.77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129,000,883.97</w:t>
            </w:r>
          </w:p>
        </w:tc>
      </w:tr>
      <w:tr>
        <w:trPr>
          <w:trHeight w:val="398"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下列各项按持股比例计算的合计数</w:t>
            </w: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-7,158,296.85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-2,017,236.61</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-7,158,296.85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-2,017,236.61</w:t>
            </w:r>
          </w:p>
        </w:tc>
      </w:tr>
    </w:tbl>
    <w:p>
      <w:pPr>
        <w:spacing w:before="53"/>
        <w:ind w:left="153"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0"/>
        <w:ind w:right="1122"/>
        <w:jc w:val="both"/>
      </w:pPr>
      <w:r>
        <w:rPr>
          <w:spacing w:val="-2"/>
        </w:rPr>
        <w:t>不重要的联营企业包括：广东南方视觉文化传媒有限公司、华盖安鹭</w:t>
      </w:r>
      <w:r>
        <w:rPr>
          <w:rFonts w:ascii="Times New Roman" w:hAnsi="Times New Roman" w:cs="Times New Roman" w:eastAsia="Times New Roman" w:hint="default"/>
          <w:spacing w:val="-2"/>
        </w:rPr>
        <w:t>(</w:t>
      </w:r>
      <w:r>
        <w:rPr>
          <w:spacing w:val="-2"/>
        </w:rPr>
        <w:t>厦门</w:t>
      </w:r>
      <w:r>
        <w:rPr>
          <w:rFonts w:ascii="Times New Roman" w:hAnsi="Times New Roman" w:cs="Times New Roman" w:eastAsia="Times New Roman" w:hint="default"/>
          <w:spacing w:val="-2"/>
        </w:rPr>
        <w:t>)</w:t>
      </w:r>
      <w:r>
        <w:rPr>
          <w:spacing w:val="-2"/>
        </w:rPr>
        <w:t>文化产业投资合伙企业</w:t>
      </w:r>
      <w:r>
        <w:rPr>
          <w:rFonts w:ascii="Times New Roman" w:hAnsi="Times New Roman" w:cs="Times New Roman" w:eastAsia="Times New Roman" w:hint="default"/>
          <w:spacing w:val="-2"/>
        </w:rPr>
        <w:t>(</w:t>
      </w:r>
      <w:r>
        <w:rPr>
          <w:spacing w:val="-2"/>
        </w:rPr>
        <w:t>有限合</w:t>
      </w:r>
      <w:r>
        <w:rPr>
          <w:spacing w:val="-28"/>
        </w:rPr>
        <w:t> </w:t>
      </w:r>
      <w:r>
        <w:rPr>
          <w:spacing w:val="-4"/>
        </w:rPr>
        <w:t>伙</w:t>
      </w:r>
      <w:r>
        <w:rPr>
          <w:rFonts w:ascii="Times New Roman" w:hAnsi="Times New Roman" w:cs="Times New Roman" w:eastAsia="Times New Roman" w:hint="default"/>
          <w:spacing w:val="-4"/>
        </w:rPr>
        <w:t>)</w:t>
      </w:r>
      <w:r>
        <w:rPr>
          <w:spacing w:val="-4"/>
        </w:rPr>
        <w:t>、厦门视觉像科技有限公司、常州视觉跃动文化发展有限公司、北京华盖映月影视文化投资管理有限公</w:t>
      </w:r>
      <w:r>
        <w:rPr>
          <w:spacing w:val="-8"/>
        </w:rPr>
        <w:t> </w:t>
      </w:r>
      <w:r>
        <w:rPr>
          <w:spacing w:val="-8"/>
        </w:rPr>
      </w:r>
      <w:r>
        <w:rPr/>
        <w:t>司、西藏灵博文化传播有限公司、北京联合信任技术服务有限公司、北京极光视觉文化传播有限公司。</w:t>
      </w:r>
    </w:p>
    <w:p>
      <w:pPr>
        <w:spacing w:line="240" w:lineRule="auto" w:before="7"/>
        <w:rPr>
          <w:rFonts w:ascii="宋体" w:hAnsi="宋体" w:cs="宋体" w:eastAsia="宋体" w:hint="default"/>
          <w:sz w:val="22"/>
          <w:szCs w:val="22"/>
        </w:rPr>
      </w:pPr>
    </w:p>
    <w:p>
      <w:pPr>
        <w:pStyle w:val="Heading2"/>
        <w:spacing w:line="240" w:lineRule="auto"/>
        <w:ind w:right="0"/>
        <w:jc w:val="both"/>
        <w:rPr>
          <w:b w:val="0"/>
          <w:bCs w:val="0"/>
        </w:rPr>
      </w:pPr>
      <w:bookmarkStart w:name="十、与金融工具相关的风险" w:id="337"/>
      <w:bookmarkEnd w:id="337"/>
      <w:r>
        <w:rPr>
          <w:b w:val="0"/>
          <w:bCs w:val="0"/>
        </w:rPr>
      </w:r>
      <w:r>
        <w:rPr/>
        <w:t>十、与金融工具相关的风险</w:t>
      </w:r>
      <w:r>
        <w:rPr>
          <w:b w:val="0"/>
          <w:bCs w:val="0"/>
        </w:rPr>
      </w:r>
    </w:p>
    <w:p>
      <w:pPr>
        <w:spacing w:line="240" w:lineRule="auto" w:before="12"/>
        <w:rPr>
          <w:rFonts w:ascii="宋体" w:hAnsi="宋体" w:cs="宋体" w:eastAsia="宋体" w:hint="default"/>
          <w:b/>
          <w:bCs/>
          <w:sz w:val="24"/>
          <w:szCs w:val="24"/>
        </w:rPr>
      </w:pPr>
    </w:p>
    <w:p>
      <w:pPr>
        <w:pStyle w:val="BodyText"/>
        <w:spacing w:line="264" w:lineRule="auto" w:before="0"/>
        <w:ind w:right="1125" w:firstLine="441"/>
        <w:jc w:val="both"/>
      </w:pPr>
      <w:r>
        <w:rPr>
          <w:spacing w:val="-3"/>
        </w:rPr>
        <w:t>本集团董事会负责规划并建立本集团的风险管理架构，制定本集团的风险管理政策和相关指引并监督</w:t>
      </w:r>
      <w:r>
        <w:rPr>
          <w:w w:val="100"/>
        </w:rPr>
        <w:t> </w:t>
      </w:r>
      <w:r>
        <w:rPr>
          <w:spacing w:val="-2"/>
        </w:rPr>
        <w:t>风险管理措施的执行情况。通过制定风险管理政策，设定适当的控制程序以识别、分析、监控和报告风险</w:t>
      </w:r>
      <w:r>
        <w:rPr>
          <w:spacing w:val="-33"/>
        </w:rPr>
        <w:t> </w:t>
      </w:r>
      <w:r>
        <w:rPr>
          <w:spacing w:val="-33"/>
        </w:rPr>
      </w:r>
      <w:r>
        <w:rPr>
          <w:spacing w:val="-4"/>
        </w:rPr>
        <w:t>情况，定期对整体风险状况进行评估，本集团的经营活动会面临各种金融风险：市场风险</w:t>
      </w:r>
      <w:r>
        <w:rPr>
          <w:rFonts w:ascii="Times New Roman" w:hAnsi="Times New Roman" w:cs="Times New Roman" w:eastAsia="Times New Roman" w:hint="default"/>
          <w:spacing w:val="-4"/>
        </w:rPr>
        <w:t>(</w:t>
      </w:r>
      <w:r>
        <w:rPr>
          <w:spacing w:val="-4"/>
        </w:rPr>
        <w:t>主要为外汇风险</w:t>
      </w:r>
      <w:r>
        <w:rPr>
          <w:spacing w:val="-10"/>
        </w:rPr>
        <w:t> </w:t>
      </w:r>
      <w:r>
        <w:rPr>
          <w:spacing w:val="-10"/>
        </w:rPr>
      </w:r>
      <w:r>
        <w:rPr>
          <w:spacing w:val="-4"/>
        </w:rPr>
        <w:t>和利率风险</w:t>
      </w:r>
      <w:r>
        <w:rPr>
          <w:rFonts w:ascii="Times New Roman" w:hAnsi="Times New Roman" w:cs="Times New Roman" w:eastAsia="Times New Roman" w:hint="default"/>
          <w:spacing w:val="-4"/>
        </w:rPr>
        <w:t>)</w:t>
      </w:r>
      <w:r>
        <w:rPr>
          <w:spacing w:val="-4"/>
        </w:rPr>
        <w:t>、信用风险和流动性风险。本集团整体的风险管理计划针对金融市场的不可预见性，力求减少</w:t>
      </w:r>
      <w:r>
        <w:rPr>
          <w:spacing w:val="-8"/>
        </w:rPr>
        <w:t> </w:t>
      </w:r>
      <w:r>
        <w:rPr>
          <w:spacing w:val="-8"/>
        </w:rPr>
      </w:r>
      <w:r>
        <w:rPr/>
        <w:t>对本集团财务业绩的潜在不利影响。</w:t>
      </w:r>
    </w:p>
    <w:p>
      <w:pPr>
        <w:pStyle w:val="BodyText"/>
        <w:spacing w:line="268" w:lineRule="auto" w:before="136"/>
        <w:ind w:right="0" w:firstLine="441"/>
        <w:jc w:val="left"/>
      </w:pPr>
      <w:r>
        <w:rPr>
          <w:spacing w:val="-3"/>
        </w:rPr>
        <w:t>本集团通过适当的多样化投资及业务组合来分散金融工具风险，并通过制定相应的风险管理政策减少</w:t>
      </w:r>
      <w:r>
        <w:rPr>
          <w:w w:val="100"/>
        </w:rPr>
        <w:t> </w:t>
      </w:r>
      <w:r>
        <w:rPr/>
        <w:t>集中于任何单一行业，特定地区或特定交易对手的风险。于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日，本集团没有对客户类型、某</w:t>
      </w:r>
      <w:r>
        <w:rPr>
          <w:w w:val="100"/>
        </w:rPr>
        <w:t> </w:t>
      </w:r>
      <w:r>
        <w:rPr/>
        <w:t>一行业或地理位置的集中风险。相反，我们的业务对象和投资具有广泛分布的特征，我们的金融工具风险</w:t>
      </w:r>
      <w:r>
        <w:rPr>
          <w:w w:val="100"/>
        </w:rPr>
        <w:t> </w:t>
      </w:r>
      <w:r>
        <w:rPr>
          <w:spacing w:val="-4"/>
        </w:rPr>
        <w:t>敞口主要受各个客户特征的影响，不具有相似特征并且受相似经济或其他条件变化影响的金融工具，因此，</w:t>
      </w:r>
      <w:r>
        <w:rPr>
          <w:spacing w:val="-42"/>
        </w:rPr>
        <w:t> </w:t>
      </w:r>
      <w:r>
        <w:rPr>
          <w:spacing w:val="-42"/>
        </w:rPr>
      </w:r>
      <w:r>
        <w:rPr/>
        <w:t>我们相信我们的风险集中是有限的。</w:t>
      </w:r>
    </w:p>
    <w:p>
      <w:pPr>
        <w:pStyle w:val="BodyText"/>
        <w:spacing w:line="273" w:lineRule="auto" w:before="132"/>
        <w:ind w:right="0" w:firstLine="441"/>
        <w:jc w:val="left"/>
      </w:pPr>
      <w:r>
        <w:rPr>
          <w:spacing w:val="-3"/>
        </w:rPr>
        <w:t>本集团通过适当的多样化投资及业务组合来分散金融工具风险，并通过制定相应的风险管理政策减少</w:t>
      </w:r>
      <w:r>
        <w:rPr>
          <w:w w:val="100"/>
        </w:rPr>
        <w:t> </w:t>
      </w:r>
      <w:r>
        <w:rPr>
          <w:spacing w:val="-2"/>
        </w:rPr>
        <w:t>集中于任何单一行业，特定地区或特定交易对手的风险。于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日，本集团没有对客户类型、某</w:t>
      </w:r>
    </w:p>
    <w:p>
      <w:pPr>
        <w:spacing w:after="0" w:line="273"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BodyText"/>
        <w:spacing w:line="273" w:lineRule="auto" w:before="36"/>
        <w:ind w:right="0"/>
        <w:jc w:val="left"/>
      </w:pPr>
      <w:r>
        <w:rPr/>
        <w:t>一行业或地理位置的集中风险。相反，我们的业务对象和投资具有广泛分布的特征，我们的金融工具风险</w:t>
      </w:r>
      <w:r>
        <w:rPr>
          <w:w w:val="100"/>
        </w:rPr>
        <w:t> </w:t>
      </w:r>
      <w:r>
        <w:rPr>
          <w:spacing w:val="-4"/>
        </w:rPr>
        <w:t>敞口主要受各个客户特征的影响，不具有相似特征并且受相似经济或其他条件变化影响的金融工具，因此，</w:t>
      </w:r>
      <w:r>
        <w:rPr>
          <w:spacing w:val="-42"/>
        </w:rPr>
        <w:t> </w:t>
      </w:r>
      <w:r>
        <w:rPr>
          <w:spacing w:val="-42"/>
        </w:rPr>
      </w:r>
      <w:r>
        <w:rPr/>
        <w:t>我们相信我们的风险集中是有限的。</w:t>
      </w:r>
    </w:p>
    <w:p>
      <w:pPr>
        <w:spacing w:line="240" w:lineRule="auto" w:before="13"/>
        <w:rPr>
          <w:rFonts w:ascii="宋体" w:hAnsi="宋体" w:cs="宋体" w:eastAsia="宋体" w:hint="default"/>
          <w:sz w:val="18"/>
          <w:szCs w:val="18"/>
        </w:rPr>
      </w:pPr>
    </w:p>
    <w:p>
      <w:pPr>
        <w:pStyle w:val="Heading4"/>
        <w:spacing w:line="240" w:lineRule="auto"/>
        <w:ind w:left="321" w:right="0"/>
        <w:jc w:val="left"/>
        <w:rPr>
          <w:b w:val="0"/>
          <w:bCs w:val="0"/>
        </w:rPr>
      </w:pPr>
      <w:r>
        <w:rPr/>
        <w:t>（一）市场风险</w:t>
      </w:r>
      <w:r>
        <w:rPr>
          <w:b w:val="0"/>
          <w:bCs w:val="0"/>
        </w:rPr>
      </w:r>
    </w:p>
    <w:p>
      <w:pPr>
        <w:pStyle w:val="BodyText"/>
        <w:spacing w:line="357" w:lineRule="auto" w:before="157"/>
        <w:ind w:left="594" w:right="1127" w:hanging="58"/>
        <w:jc w:val="left"/>
      </w:pPr>
      <w:r>
        <w:rPr>
          <w:rFonts w:ascii="Times New Roman" w:hAnsi="Times New Roman" w:cs="Times New Roman" w:eastAsia="Times New Roman" w:hint="default"/>
        </w:rPr>
        <w:t>1.</w:t>
      </w:r>
      <w:r>
        <w:rPr/>
        <w:t>外汇风险</w:t>
      </w:r>
      <w:r>
        <w:rPr>
          <w:w w:val="100"/>
        </w:rPr>
        <w:t> </w:t>
      </w:r>
      <w:r>
        <w:rPr>
          <w:spacing w:val="-3"/>
        </w:rPr>
        <w:t>本集团的主要经营位于中国境内，主要业务以人民币结算。但本集团已确认的外币资产和负债及未来</w:t>
      </w:r>
    </w:p>
    <w:p>
      <w:pPr>
        <w:pStyle w:val="BodyText"/>
        <w:spacing w:line="225" w:lineRule="exact" w:before="0"/>
        <w:ind w:right="0"/>
        <w:jc w:val="left"/>
      </w:pPr>
      <w:r>
        <w:rPr/>
        <w:t>的外币交易</w:t>
      </w:r>
      <w:r>
        <w:rPr>
          <w:rFonts w:ascii="Times New Roman" w:hAnsi="Times New Roman" w:cs="Times New Roman" w:eastAsia="Times New Roman" w:hint="default"/>
        </w:rPr>
        <w:t>(</w:t>
      </w:r>
      <w:r>
        <w:rPr/>
        <w:t>外币资产和负债及外币交易的计价货币主要为美元</w:t>
      </w:r>
      <w:r>
        <w:rPr>
          <w:rFonts w:ascii="Times New Roman" w:hAnsi="Times New Roman" w:cs="Times New Roman" w:eastAsia="Times New Roman" w:hint="default"/>
        </w:rPr>
        <w:t>)</w:t>
      </w:r>
      <w:r>
        <w:rPr/>
        <w:t>依然存在外汇风险。本集团总部财务部门</w:t>
      </w:r>
    </w:p>
    <w:p>
      <w:pPr>
        <w:pStyle w:val="BodyText"/>
        <w:spacing w:line="264" w:lineRule="auto" w:before="21"/>
        <w:ind w:right="1127"/>
        <w:jc w:val="both"/>
      </w:pPr>
      <w:r>
        <w:rPr>
          <w:spacing w:val="-2"/>
        </w:rPr>
        <w:t>负责监控集团外币交易和外币资产及负债的规模，以最大程度降低面临的外汇风险；为此，本集团可能会</w:t>
      </w:r>
      <w:r>
        <w:rPr>
          <w:spacing w:val="-38"/>
        </w:rPr>
        <w:t> </w:t>
      </w:r>
      <w:r>
        <w:rPr>
          <w:spacing w:val="-38"/>
        </w:rPr>
      </w:r>
      <w:r>
        <w:rPr>
          <w:spacing w:val="-2"/>
        </w:rPr>
        <w:t>以签署远期外汇合约或货币互换合约的方式来达到规避外汇风险的目的。于</w:t>
      </w:r>
      <w:r>
        <w:rPr>
          <w:rFonts w:ascii="Times New Roman" w:hAnsi="Times New Roman" w:cs="Times New Roman" w:eastAsia="Times New Roman" w:hint="default"/>
          <w:spacing w:val="-2"/>
        </w:rPr>
        <w:t>2019</w:t>
      </w:r>
      <w:r>
        <w:rPr>
          <w:spacing w:val="-2"/>
        </w:rPr>
        <w:t>年度及</w:t>
      </w:r>
      <w:r>
        <w:rPr>
          <w:rFonts w:ascii="Times New Roman" w:hAnsi="Times New Roman" w:cs="Times New Roman" w:eastAsia="Times New Roman" w:hint="default"/>
          <w:spacing w:val="-2"/>
        </w:rPr>
        <w:t>2018</w:t>
      </w:r>
      <w:r>
        <w:rPr>
          <w:spacing w:val="-2"/>
        </w:rPr>
        <w:t>年度，本集团</w:t>
      </w:r>
      <w:r>
        <w:rPr>
          <w:spacing w:val="-28"/>
        </w:rPr>
        <w:t> </w:t>
      </w:r>
      <w:r>
        <w:rPr>
          <w:spacing w:val="-28"/>
        </w:rPr>
      </w:r>
      <w:r>
        <w:rPr/>
        <w:t>未签署任何远期外汇合约或货币互换合约。</w:t>
      </w:r>
    </w:p>
    <w:p>
      <w:pPr>
        <w:pStyle w:val="BodyText"/>
        <w:spacing w:line="256" w:lineRule="auto" w:before="136"/>
        <w:ind w:right="0" w:firstLine="441"/>
        <w:jc w:val="left"/>
      </w:pPr>
      <w:r>
        <w:rPr>
          <w:spacing w:val="-2"/>
        </w:rPr>
        <w:t>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日及</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日，本集团持有的外币金融资产和外币金融负债折算成人民币的金</w:t>
      </w:r>
      <w:r>
        <w:rPr>
          <w:w w:val="100"/>
        </w:rPr>
        <w:t> </w:t>
      </w:r>
      <w:r>
        <w:rPr/>
        <w:t>额列示如下：</w:t>
      </w:r>
    </w:p>
    <w:p>
      <w:pPr>
        <w:spacing w:line="240" w:lineRule="auto" w:before="1"/>
        <w:rPr>
          <w:rFonts w:ascii="宋体" w:hAnsi="宋体" w:cs="宋体" w:eastAsia="宋体" w:hint="default"/>
          <w:sz w:val="12"/>
          <w:szCs w:val="12"/>
        </w:rPr>
      </w:pPr>
    </w:p>
    <w:tbl>
      <w:tblPr>
        <w:tblW w:w="0" w:type="auto"/>
        <w:jc w:val="left"/>
        <w:tblInd w:w="143" w:type="dxa"/>
        <w:tblLayout w:type="fixed"/>
        <w:tblCellMar>
          <w:top w:w="0" w:type="dxa"/>
          <w:left w:w="0" w:type="dxa"/>
          <w:bottom w:w="0" w:type="dxa"/>
          <w:right w:w="0" w:type="dxa"/>
        </w:tblCellMar>
        <w:tblLook w:val="01E0"/>
      </w:tblPr>
      <w:tblGrid>
        <w:gridCol w:w="1561"/>
        <w:gridCol w:w="1277"/>
        <w:gridCol w:w="1277"/>
        <w:gridCol w:w="1277"/>
        <w:gridCol w:w="1277"/>
        <w:gridCol w:w="1273"/>
        <w:gridCol w:w="1193"/>
      </w:tblGrid>
      <w:tr>
        <w:trPr>
          <w:trHeight w:val="353" w:hRule="exact"/>
        </w:trPr>
        <w:tc>
          <w:tcPr>
            <w:tcW w:w="1561" w:type="dxa"/>
            <w:vMerge w:val="restart"/>
            <w:tcBorders>
              <w:top w:val="single" w:sz="6" w:space="0" w:color="000000"/>
              <w:left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3743"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55" w:hRule="exact"/>
        </w:trPr>
        <w:tc>
          <w:tcPr>
            <w:tcW w:w="1561" w:type="dxa"/>
            <w:vMerge/>
            <w:tcBorders>
              <w:left w:val="single" w:sz="6" w:space="0" w:color="000000"/>
              <w:bottom w:val="single" w:sz="12" w:space="0" w:color="000000"/>
              <w:right w:val="single" w:sz="6" w:space="0" w:color="000000"/>
            </w:tcBorders>
          </w:tcPr>
          <w:p>
            <w:pP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278" w:right="0"/>
              <w:jc w:val="left"/>
              <w:rPr>
                <w:rFonts w:ascii="宋体" w:hAnsi="宋体" w:cs="宋体" w:eastAsia="宋体" w:hint="default"/>
                <w:sz w:val="18"/>
                <w:szCs w:val="18"/>
              </w:rPr>
            </w:pPr>
            <w:r>
              <w:rPr>
                <w:rFonts w:ascii="宋体" w:hAnsi="宋体" w:cs="宋体" w:eastAsia="宋体" w:hint="default"/>
                <w:sz w:val="18"/>
                <w:szCs w:val="18"/>
              </w:rPr>
              <w:t>美元项目</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95" w:right="0"/>
              <w:jc w:val="left"/>
              <w:rPr>
                <w:rFonts w:ascii="宋体" w:hAnsi="宋体" w:cs="宋体" w:eastAsia="宋体" w:hint="default"/>
                <w:sz w:val="18"/>
                <w:szCs w:val="18"/>
              </w:rPr>
            </w:pPr>
            <w:r>
              <w:rPr>
                <w:rFonts w:ascii="宋体" w:hAnsi="宋体" w:cs="宋体" w:eastAsia="宋体" w:hint="default"/>
                <w:sz w:val="18"/>
                <w:szCs w:val="18"/>
              </w:rPr>
              <w:t>其他外币项目</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273" w:right="0"/>
              <w:jc w:val="left"/>
              <w:rPr>
                <w:rFonts w:ascii="宋体" w:hAnsi="宋体" w:cs="宋体" w:eastAsia="宋体" w:hint="default"/>
                <w:sz w:val="18"/>
                <w:szCs w:val="18"/>
              </w:rPr>
            </w:pPr>
            <w:r>
              <w:rPr>
                <w:rFonts w:ascii="宋体" w:hAnsi="宋体" w:cs="宋体" w:eastAsia="宋体" w:hint="default"/>
                <w:sz w:val="18"/>
                <w:szCs w:val="18"/>
              </w:rPr>
              <w:t>美元项目</w:t>
            </w:r>
          </w:p>
        </w:tc>
        <w:tc>
          <w:tcPr>
            <w:tcW w:w="12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91" w:right="0"/>
              <w:jc w:val="left"/>
              <w:rPr>
                <w:rFonts w:ascii="宋体" w:hAnsi="宋体" w:cs="宋体" w:eastAsia="宋体" w:hint="default"/>
                <w:sz w:val="18"/>
                <w:szCs w:val="18"/>
              </w:rPr>
            </w:pPr>
            <w:r>
              <w:rPr>
                <w:rFonts w:ascii="宋体" w:hAnsi="宋体" w:cs="宋体" w:eastAsia="宋体" w:hint="default"/>
                <w:sz w:val="18"/>
                <w:szCs w:val="18"/>
              </w:rPr>
              <w:t>其他外币项目</w:t>
            </w:r>
          </w:p>
        </w:tc>
        <w:tc>
          <w:tcPr>
            <w:tcW w:w="11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5"/>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662" w:hRule="exact"/>
        </w:trPr>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81"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0"/>
              <w:jc w:val="right"/>
              <w:rPr>
                <w:rFonts w:ascii="Times New Roman" w:hAnsi="Times New Roman" w:cs="Times New Roman" w:eastAsia="Times New Roman" w:hint="default"/>
                <w:sz w:val="18"/>
                <w:szCs w:val="18"/>
              </w:rPr>
            </w:pPr>
            <w:r>
              <w:rPr>
                <w:rFonts w:ascii="Times New Roman"/>
                <w:spacing w:val="-2"/>
                <w:sz w:val="18"/>
              </w:rPr>
              <w:t>180,765,425.62</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2"/>
                <w:sz w:val="18"/>
              </w:rPr>
              <w:t>2,723,895.16</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2"/>
                <w:sz w:val="18"/>
              </w:rPr>
              <w:t>183,489,320.78</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2"/>
                <w:sz w:val="18"/>
              </w:rPr>
              <w:t>59,421,333.93</w:t>
            </w:r>
          </w:p>
        </w:tc>
        <w:tc>
          <w:tcPr>
            <w:tcW w:w="12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2"/>
                <w:sz w:val="18"/>
              </w:rPr>
              <w:t>94,537,263.66</w:t>
            </w:r>
          </w:p>
        </w:tc>
        <w:tc>
          <w:tcPr>
            <w:tcW w:w="1193" w:type="dxa"/>
            <w:tcBorders>
              <w:top w:val="single" w:sz="12" w:space="0" w:color="000000"/>
              <w:left w:val="single" w:sz="6"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8"/>
              <w:jc w:val="right"/>
              <w:rPr>
                <w:rFonts w:ascii="Times New Roman" w:hAnsi="Times New Roman" w:cs="Times New Roman" w:eastAsia="Times New Roman" w:hint="default"/>
                <w:sz w:val="18"/>
                <w:szCs w:val="18"/>
              </w:rPr>
            </w:pPr>
            <w:r>
              <w:rPr>
                <w:rFonts w:ascii="Times New Roman"/>
                <w:spacing w:val="-1"/>
                <w:sz w:val="18"/>
              </w:rPr>
              <w:t>153,958,597.59</w:t>
            </w:r>
          </w:p>
        </w:tc>
      </w:tr>
      <w:tr>
        <w:trPr>
          <w:trHeight w:val="351" w:hRule="exact"/>
        </w:trPr>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81" w:right="0"/>
              <w:jc w:val="left"/>
              <w:rPr>
                <w:rFonts w:ascii="宋体" w:hAnsi="宋体" w:cs="宋体" w:eastAsia="宋体" w:hint="default"/>
                <w:sz w:val="18"/>
                <w:szCs w:val="18"/>
              </w:rPr>
            </w:pPr>
            <w:r>
              <w:rPr>
                <w:rFonts w:ascii="宋体" w:hAnsi="宋体" w:cs="宋体" w:eastAsia="宋体" w:hint="default"/>
                <w:spacing w:val="-3"/>
                <w:sz w:val="18"/>
                <w:szCs w:val="18"/>
              </w:rPr>
              <w:t>应收账款</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9"/>
              <w:jc w:val="right"/>
              <w:rPr>
                <w:rFonts w:ascii="Times New Roman" w:hAnsi="Times New Roman" w:cs="Times New Roman" w:eastAsia="Times New Roman" w:hint="default"/>
                <w:sz w:val="18"/>
                <w:szCs w:val="18"/>
              </w:rPr>
            </w:pPr>
            <w:r>
              <w:rPr>
                <w:rFonts w:ascii="Times New Roman"/>
                <w:spacing w:val="-2"/>
                <w:sz w:val="18"/>
              </w:rPr>
              <w:t>14,385,251.51</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2"/>
                <w:sz w:val="18"/>
              </w:rPr>
              <w:t>70,100.17</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2"/>
                <w:sz w:val="18"/>
              </w:rPr>
              <w:t>14,455,351.68</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2"/>
                <w:sz w:val="18"/>
              </w:rPr>
              <w:t>7,570,373.35</w:t>
            </w:r>
          </w:p>
        </w:tc>
        <w:tc>
          <w:tcPr>
            <w:tcW w:w="12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2"/>
                <w:sz w:val="18"/>
              </w:rPr>
              <w:t>3,062,352.39</w:t>
            </w:r>
          </w:p>
        </w:tc>
        <w:tc>
          <w:tcPr>
            <w:tcW w:w="11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pacing w:val="-2"/>
                <w:sz w:val="18"/>
              </w:rPr>
              <w:t>10,632,725.74</w:t>
            </w:r>
          </w:p>
        </w:tc>
      </w:tr>
      <w:tr>
        <w:trPr>
          <w:trHeight w:val="355" w:hRule="exact"/>
        </w:trPr>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8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9"/>
              <w:jc w:val="right"/>
              <w:rPr>
                <w:rFonts w:ascii="Times New Roman" w:hAnsi="Times New Roman" w:cs="Times New Roman" w:eastAsia="Times New Roman" w:hint="default"/>
                <w:sz w:val="18"/>
                <w:szCs w:val="18"/>
              </w:rPr>
            </w:pPr>
            <w:r>
              <w:rPr>
                <w:rFonts w:ascii="Times New Roman"/>
                <w:spacing w:val="-2"/>
                <w:sz w:val="18"/>
              </w:rPr>
              <w:t>82,066,942.95</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5"/>
              <w:jc w:val="right"/>
              <w:rPr>
                <w:rFonts w:ascii="Times New Roman" w:hAnsi="Times New Roman" w:cs="Times New Roman" w:eastAsia="Times New Roman" w:hint="default"/>
                <w:sz w:val="18"/>
                <w:szCs w:val="18"/>
              </w:rPr>
            </w:pPr>
            <w:r>
              <w:rPr>
                <w:rFonts w:ascii="Times New Roman"/>
                <w:spacing w:val="-2"/>
                <w:sz w:val="18"/>
              </w:rPr>
              <w:t>123,812.41</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5"/>
              <w:jc w:val="right"/>
              <w:rPr>
                <w:rFonts w:ascii="Times New Roman" w:hAnsi="Times New Roman" w:cs="Times New Roman" w:eastAsia="Times New Roman" w:hint="default"/>
                <w:sz w:val="18"/>
                <w:szCs w:val="18"/>
              </w:rPr>
            </w:pPr>
            <w:r>
              <w:rPr>
                <w:rFonts w:ascii="Times New Roman"/>
                <w:spacing w:val="-2"/>
                <w:sz w:val="18"/>
              </w:rPr>
              <w:t>82,190,755.36</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5"/>
              <w:jc w:val="right"/>
              <w:rPr>
                <w:rFonts w:ascii="Times New Roman" w:hAnsi="Times New Roman" w:cs="Times New Roman" w:eastAsia="Times New Roman" w:hint="default"/>
                <w:sz w:val="18"/>
                <w:szCs w:val="18"/>
              </w:rPr>
            </w:pPr>
            <w:r>
              <w:rPr>
                <w:rFonts w:ascii="Times New Roman"/>
                <w:spacing w:val="-2"/>
                <w:sz w:val="18"/>
              </w:rPr>
              <w:t>53,138.33</w:t>
            </w:r>
          </w:p>
        </w:tc>
        <w:tc>
          <w:tcPr>
            <w:tcW w:w="12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5"/>
              <w:jc w:val="right"/>
              <w:rPr>
                <w:rFonts w:ascii="Times New Roman" w:hAnsi="Times New Roman" w:cs="Times New Roman" w:eastAsia="Times New Roman" w:hint="default"/>
                <w:sz w:val="18"/>
                <w:szCs w:val="18"/>
              </w:rPr>
            </w:pPr>
            <w:r>
              <w:rPr>
                <w:rFonts w:ascii="Times New Roman"/>
                <w:spacing w:val="-2"/>
                <w:sz w:val="18"/>
              </w:rPr>
              <w:t>815,628.35</w:t>
            </w:r>
          </w:p>
        </w:tc>
        <w:tc>
          <w:tcPr>
            <w:tcW w:w="11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7"/>
              <w:ind w:right="8"/>
              <w:jc w:val="right"/>
              <w:rPr>
                <w:rFonts w:ascii="Times New Roman" w:hAnsi="Times New Roman" w:cs="Times New Roman" w:eastAsia="Times New Roman" w:hint="default"/>
                <w:sz w:val="18"/>
                <w:szCs w:val="18"/>
              </w:rPr>
            </w:pPr>
            <w:r>
              <w:rPr>
                <w:rFonts w:ascii="Times New Roman"/>
                <w:spacing w:val="-2"/>
                <w:sz w:val="18"/>
              </w:rPr>
              <w:t>868,766.68</w:t>
            </w:r>
          </w:p>
        </w:tc>
      </w:tr>
      <w:tr>
        <w:trPr>
          <w:trHeight w:val="662" w:hRule="exact"/>
        </w:trPr>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81" w:right="0"/>
              <w:jc w:val="left"/>
              <w:rPr>
                <w:rFonts w:ascii="宋体" w:hAnsi="宋体" w:cs="宋体" w:eastAsia="宋体" w:hint="default"/>
                <w:sz w:val="18"/>
                <w:szCs w:val="18"/>
              </w:rPr>
            </w:pPr>
            <w:r>
              <w:rPr>
                <w:rFonts w:ascii="宋体" w:hAnsi="宋体" w:cs="宋体" w:eastAsia="宋体" w:hint="default"/>
                <w:spacing w:val="-5"/>
                <w:sz w:val="18"/>
                <w:szCs w:val="18"/>
              </w:rPr>
              <w:t>合计</w:t>
            </w:r>
            <w:r>
              <w:rPr>
                <w:rFonts w:ascii="宋体" w:hAnsi="宋体" w:cs="宋体" w:eastAsia="宋体" w:hint="default"/>
                <w:sz w:val="18"/>
                <w:szCs w:val="18"/>
              </w:rPr>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0"/>
              <w:jc w:val="right"/>
              <w:rPr>
                <w:rFonts w:ascii="Times New Roman" w:hAnsi="Times New Roman" w:cs="Times New Roman" w:eastAsia="Times New Roman" w:hint="default"/>
                <w:sz w:val="18"/>
                <w:szCs w:val="18"/>
              </w:rPr>
            </w:pPr>
            <w:r>
              <w:rPr>
                <w:rFonts w:ascii="Times New Roman"/>
                <w:spacing w:val="-2"/>
                <w:sz w:val="18"/>
              </w:rPr>
              <w:t>277,217,620.08</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2"/>
                <w:sz w:val="18"/>
              </w:rPr>
              <w:t>2,917,807.74</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2"/>
                <w:sz w:val="18"/>
              </w:rPr>
              <w:t>280,135,427.82</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2"/>
                <w:sz w:val="18"/>
              </w:rPr>
              <w:t>67,044,845.61</w:t>
            </w:r>
          </w:p>
        </w:tc>
        <w:tc>
          <w:tcPr>
            <w:tcW w:w="12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2"/>
                <w:sz w:val="18"/>
              </w:rPr>
              <w:t>98,415,244.40</w:t>
            </w:r>
          </w:p>
        </w:tc>
        <w:tc>
          <w:tcPr>
            <w:tcW w:w="1193" w:type="dxa"/>
            <w:tcBorders>
              <w:top w:val="single" w:sz="12" w:space="0" w:color="000000"/>
              <w:left w:val="single" w:sz="6"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8"/>
              <w:jc w:val="right"/>
              <w:rPr>
                <w:rFonts w:ascii="Times New Roman" w:hAnsi="Times New Roman" w:cs="Times New Roman" w:eastAsia="Times New Roman" w:hint="default"/>
                <w:sz w:val="18"/>
                <w:szCs w:val="18"/>
              </w:rPr>
            </w:pPr>
            <w:r>
              <w:rPr>
                <w:rFonts w:ascii="Times New Roman"/>
                <w:spacing w:val="-1"/>
                <w:sz w:val="18"/>
              </w:rPr>
              <w:t>165,460,090.01</w:t>
            </w:r>
          </w:p>
        </w:tc>
      </w:tr>
      <w:tr>
        <w:trPr>
          <w:trHeight w:val="350" w:hRule="exact"/>
        </w:trPr>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81" w:right="0"/>
              <w:jc w:val="left"/>
              <w:rPr>
                <w:rFonts w:ascii="宋体" w:hAnsi="宋体" w:cs="宋体" w:eastAsia="宋体" w:hint="default"/>
                <w:sz w:val="18"/>
                <w:szCs w:val="18"/>
              </w:rPr>
            </w:pPr>
            <w:r>
              <w:rPr>
                <w:rFonts w:ascii="宋体" w:hAnsi="宋体" w:cs="宋体" w:eastAsia="宋体" w:hint="default"/>
                <w:spacing w:val="-3"/>
                <w:sz w:val="18"/>
                <w:szCs w:val="18"/>
              </w:rPr>
              <w:t>短期借款</w:t>
            </w:r>
          </w:p>
        </w:tc>
        <w:tc>
          <w:tcPr>
            <w:tcW w:w="1277" w:type="dxa"/>
            <w:tcBorders>
              <w:top w:val="single" w:sz="12" w:space="0" w:color="000000"/>
              <w:left w:val="single" w:sz="6" w:space="0" w:color="000000"/>
              <w:bottom w:val="single" w:sz="12" w:space="0" w:color="000000"/>
              <w:right w:val="single" w:sz="6" w:space="0" w:color="000000"/>
            </w:tcBorders>
          </w:tcPr>
          <w:p>
            <w:pP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2"/>
                <w:sz w:val="18"/>
              </w:rPr>
              <w:t>455,402.06</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2"/>
                <w:sz w:val="18"/>
              </w:rPr>
              <w:t>455,402.06</w:t>
            </w:r>
          </w:p>
        </w:tc>
        <w:tc>
          <w:tcPr>
            <w:tcW w:w="1277" w:type="dxa"/>
            <w:tcBorders>
              <w:top w:val="single" w:sz="12" w:space="0" w:color="000000"/>
              <w:left w:val="single" w:sz="6" w:space="0" w:color="000000"/>
              <w:bottom w:val="single" w:sz="12" w:space="0" w:color="000000"/>
              <w:right w:val="single" w:sz="6" w:space="0" w:color="000000"/>
            </w:tcBorders>
          </w:tcPr>
          <w:p>
            <w:pPr/>
          </w:p>
        </w:tc>
        <w:tc>
          <w:tcPr>
            <w:tcW w:w="12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2"/>
                <w:sz w:val="18"/>
              </w:rPr>
              <w:t>144,727.30</w:t>
            </w:r>
          </w:p>
        </w:tc>
        <w:tc>
          <w:tcPr>
            <w:tcW w:w="11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pacing w:val="-2"/>
                <w:sz w:val="18"/>
              </w:rPr>
              <w:t>144,727.30</w:t>
            </w:r>
          </w:p>
        </w:tc>
      </w:tr>
      <w:tr>
        <w:trPr>
          <w:trHeight w:val="356" w:hRule="exact"/>
        </w:trPr>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81" w:right="0"/>
              <w:jc w:val="left"/>
              <w:rPr>
                <w:rFonts w:ascii="宋体" w:hAnsi="宋体" w:cs="宋体" w:eastAsia="宋体" w:hint="default"/>
                <w:sz w:val="18"/>
                <w:szCs w:val="18"/>
              </w:rPr>
            </w:pPr>
            <w:r>
              <w:rPr>
                <w:rFonts w:ascii="宋体" w:hAnsi="宋体" w:cs="宋体" w:eastAsia="宋体" w:hint="default"/>
                <w:spacing w:val="-3"/>
                <w:sz w:val="18"/>
                <w:szCs w:val="18"/>
              </w:rPr>
              <w:t>应付账款</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9"/>
              <w:jc w:val="right"/>
              <w:rPr>
                <w:rFonts w:ascii="Times New Roman" w:hAnsi="Times New Roman" w:cs="Times New Roman" w:eastAsia="Times New Roman" w:hint="default"/>
                <w:sz w:val="18"/>
                <w:szCs w:val="18"/>
              </w:rPr>
            </w:pPr>
            <w:r>
              <w:rPr>
                <w:rFonts w:ascii="Times New Roman"/>
                <w:spacing w:val="-2"/>
                <w:sz w:val="18"/>
              </w:rPr>
              <w:t>31,058,603.57</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4"/>
              <w:jc w:val="right"/>
              <w:rPr>
                <w:rFonts w:ascii="Times New Roman" w:hAnsi="Times New Roman" w:cs="Times New Roman" w:eastAsia="Times New Roman" w:hint="default"/>
                <w:sz w:val="18"/>
                <w:szCs w:val="18"/>
              </w:rPr>
            </w:pPr>
            <w:r>
              <w:rPr>
                <w:rFonts w:ascii="Times New Roman"/>
                <w:spacing w:val="-2"/>
                <w:sz w:val="18"/>
              </w:rPr>
              <w:t>1,087,795.13</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5"/>
              <w:jc w:val="right"/>
              <w:rPr>
                <w:rFonts w:ascii="Times New Roman" w:hAnsi="Times New Roman" w:cs="Times New Roman" w:eastAsia="Times New Roman" w:hint="default"/>
                <w:sz w:val="18"/>
                <w:szCs w:val="18"/>
              </w:rPr>
            </w:pPr>
            <w:r>
              <w:rPr>
                <w:rFonts w:ascii="Times New Roman"/>
                <w:spacing w:val="-2"/>
                <w:sz w:val="18"/>
              </w:rPr>
              <w:t>32,146,398.70</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5"/>
              <w:jc w:val="right"/>
              <w:rPr>
                <w:rFonts w:ascii="Times New Roman" w:hAnsi="Times New Roman" w:cs="Times New Roman" w:eastAsia="Times New Roman" w:hint="default"/>
                <w:sz w:val="18"/>
                <w:szCs w:val="18"/>
              </w:rPr>
            </w:pPr>
            <w:r>
              <w:rPr>
                <w:rFonts w:ascii="Times New Roman"/>
                <w:spacing w:val="-2"/>
                <w:sz w:val="18"/>
              </w:rPr>
              <w:t>38,735,605.20</w:t>
            </w:r>
          </w:p>
        </w:tc>
        <w:tc>
          <w:tcPr>
            <w:tcW w:w="12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4"/>
              <w:jc w:val="right"/>
              <w:rPr>
                <w:rFonts w:ascii="Times New Roman" w:hAnsi="Times New Roman" w:cs="Times New Roman" w:eastAsia="Times New Roman" w:hint="default"/>
                <w:sz w:val="18"/>
                <w:szCs w:val="18"/>
              </w:rPr>
            </w:pPr>
            <w:r>
              <w:rPr>
                <w:rFonts w:ascii="Times New Roman"/>
                <w:spacing w:val="-2"/>
                <w:sz w:val="18"/>
              </w:rPr>
              <w:t>7,787,047.03</w:t>
            </w:r>
          </w:p>
        </w:tc>
        <w:tc>
          <w:tcPr>
            <w:tcW w:w="11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7"/>
              <w:ind w:right="8"/>
              <w:jc w:val="right"/>
              <w:rPr>
                <w:rFonts w:ascii="Times New Roman" w:hAnsi="Times New Roman" w:cs="Times New Roman" w:eastAsia="Times New Roman" w:hint="default"/>
                <w:sz w:val="18"/>
                <w:szCs w:val="18"/>
              </w:rPr>
            </w:pPr>
            <w:r>
              <w:rPr>
                <w:rFonts w:ascii="Times New Roman"/>
                <w:spacing w:val="-2"/>
                <w:sz w:val="18"/>
              </w:rPr>
              <w:t>46,522,652.23</w:t>
            </w:r>
          </w:p>
        </w:tc>
      </w:tr>
      <w:tr>
        <w:trPr>
          <w:trHeight w:val="350" w:hRule="exact"/>
        </w:trPr>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81" w:right="0"/>
              <w:jc w:val="left"/>
              <w:rPr>
                <w:rFonts w:ascii="宋体" w:hAnsi="宋体" w:cs="宋体" w:eastAsia="宋体" w:hint="default"/>
                <w:sz w:val="18"/>
                <w:szCs w:val="18"/>
              </w:rPr>
            </w:pPr>
            <w:r>
              <w:rPr>
                <w:rFonts w:ascii="宋体" w:hAnsi="宋体" w:cs="宋体" w:eastAsia="宋体" w:hint="default"/>
                <w:spacing w:val="-3"/>
                <w:sz w:val="18"/>
                <w:szCs w:val="18"/>
              </w:rPr>
              <w:t>应付利息</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9"/>
              <w:jc w:val="right"/>
              <w:rPr>
                <w:rFonts w:ascii="Times New Roman" w:hAnsi="Times New Roman" w:cs="Times New Roman" w:eastAsia="Times New Roman" w:hint="default"/>
                <w:sz w:val="18"/>
                <w:szCs w:val="18"/>
              </w:rPr>
            </w:pPr>
            <w:r>
              <w:rPr>
                <w:rFonts w:ascii="Times New Roman"/>
                <w:spacing w:val="-2"/>
                <w:sz w:val="18"/>
              </w:rPr>
              <w:t>1,055,030.82</w:t>
            </w:r>
          </w:p>
        </w:tc>
        <w:tc>
          <w:tcPr>
            <w:tcW w:w="1277" w:type="dxa"/>
            <w:tcBorders>
              <w:top w:val="single" w:sz="12" w:space="0" w:color="000000"/>
              <w:left w:val="single" w:sz="6" w:space="0" w:color="000000"/>
              <w:bottom w:val="single" w:sz="12" w:space="0" w:color="000000"/>
              <w:right w:val="single" w:sz="6" w:space="0" w:color="000000"/>
            </w:tcBorders>
          </w:tcPr>
          <w:p>
            <w:pP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2"/>
                <w:sz w:val="18"/>
              </w:rPr>
              <w:t>1,055,030.82</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2"/>
                <w:sz w:val="18"/>
              </w:rPr>
              <w:t>1,037,941.22</w:t>
            </w:r>
          </w:p>
        </w:tc>
        <w:tc>
          <w:tcPr>
            <w:tcW w:w="1273" w:type="dxa"/>
            <w:tcBorders>
              <w:top w:val="single" w:sz="12" w:space="0" w:color="000000"/>
              <w:left w:val="single" w:sz="6" w:space="0" w:color="000000"/>
              <w:bottom w:val="single" w:sz="12" w:space="0" w:color="000000"/>
              <w:right w:val="single" w:sz="6" w:space="0" w:color="000000"/>
            </w:tcBorders>
          </w:tcPr>
          <w:p>
            <w:pPr/>
          </w:p>
        </w:tc>
        <w:tc>
          <w:tcPr>
            <w:tcW w:w="11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pacing w:val="-2"/>
                <w:sz w:val="18"/>
              </w:rPr>
              <w:t>1,037,941.22</w:t>
            </w:r>
          </w:p>
        </w:tc>
      </w:tr>
      <w:tr>
        <w:trPr>
          <w:trHeight w:val="350" w:hRule="exact"/>
        </w:trPr>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8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0"/>
              <w:jc w:val="right"/>
              <w:rPr>
                <w:rFonts w:ascii="Times New Roman" w:hAnsi="Times New Roman" w:cs="Times New Roman" w:eastAsia="Times New Roman" w:hint="default"/>
                <w:sz w:val="18"/>
                <w:szCs w:val="18"/>
              </w:rPr>
            </w:pPr>
            <w:r>
              <w:rPr>
                <w:rFonts w:ascii="Times New Roman"/>
                <w:spacing w:val="-2"/>
                <w:sz w:val="18"/>
              </w:rPr>
              <w:t>214,591,460.93</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2"/>
                <w:sz w:val="18"/>
              </w:rPr>
              <w:t>934,230.45</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2"/>
                <w:sz w:val="18"/>
              </w:rPr>
              <w:t>215,525,691.38</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2"/>
                <w:sz w:val="18"/>
              </w:rPr>
              <w:t>296,765.93</w:t>
            </w:r>
          </w:p>
        </w:tc>
        <w:tc>
          <w:tcPr>
            <w:tcW w:w="12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2"/>
                <w:sz w:val="18"/>
              </w:rPr>
              <w:t>381,007.06</w:t>
            </w:r>
          </w:p>
        </w:tc>
        <w:tc>
          <w:tcPr>
            <w:tcW w:w="11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pacing w:val="-2"/>
                <w:sz w:val="18"/>
              </w:rPr>
              <w:t>677,772.99</w:t>
            </w:r>
          </w:p>
        </w:tc>
      </w:tr>
      <w:tr>
        <w:trPr>
          <w:trHeight w:val="667" w:hRule="exact"/>
        </w:trPr>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5"/>
              <w:ind w:left="4" w:right="-4" w:firstLine="72"/>
              <w:jc w:val="left"/>
              <w:rPr>
                <w:rFonts w:ascii="宋体" w:hAnsi="宋体" w:cs="宋体" w:eastAsia="宋体" w:hint="default"/>
                <w:sz w:val="18"/>
                <w:szCs w:val="18"/>
              </w:rPr>
            </w:pPr>
            <w:r>
              <w:rPr>
                <w:rFonts w:ascii="宋体" w:hAnsi="宋体" w:cs="宋体" w:eastAsia="宋体" w:hint="default"/>
                <w:sz w:val="18"/>
                <w:szCs w:val="18"/>
              </w:rPr>
              <w:t>一年内到期的非流</w:t>
            </w:r>
            <w:r>
              <w:rPr>
                <w:rFonts w:ascii="宋体" w:hAnsi="宋体" w:cs="宋体" w:eastAsia="宋体" w:hint="default"/>
                <w:w w:val="101"/>
                <w:sz w:val="18"/>
                <w:szCs w:val="18"/>
              </w:rPr>
              <w:t> </w:t>
            </w:r>
            <w:r>
              <w:rPr>
                <w:rFonts w:ascii="宋体" w:hAnsi="宋体" w:cs="宋体" w:eastAsia="宋体" w:hint="default"/>
                <w:sz w:val="18"/>
                <w:szCs w:val="18"/>
              </w:rPr>
              <w:t>动负债</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10"/>
              <w:jc w:val="right"/>
              <w:rPr>
                <w:rFonts w:ascii="Times New Roman" w:hAnsi="Times New Roman" w:cs="Times New Roman" w:eastAsia="Times New Roman" w:hint="default"/>
                <w:sz w:val="18"/>
                <w:szCs w:val="18"/>
              </w:rPr>
            </w:pPr>
            <w:r>
              <w:rPr>
                <w:rFonts w:ascii="Times New Roman"/>
                <w:spacing w:val="-2"/>
                <w:sz w:val="18"/>
              </w:rPr>
              <w:t>157,048,369.55</w:t>
            </w:r>
          </w:p>
        </w:tc>
        <w:tc>
          <w:tcPr>
            <w:tcW w:w="1277" w:type="dxa"/>
            <w:tcBorders>
              <w:top w:val="single" w:sz="12" w:space="0" w:color="000000"/>
              <w:left w:val="single" w:sz="6" w:space="0" w:color="000000"/>
              <w:bottom w:val="single" w:sz="12" w:space="0" w:color="000000"/>
              <w:right w:val="single" w:sz="6" w:space="0" w:color="000000"/>
            </w:tcBorders>
          </w:tcPr>
          <w:p>
            <w:pP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5"/>
              <w:jc w:val="right"/>
              <w:rPr>
                <w:rFonts w:ascii="Times New Roman" w:hAnsi="Times New Roman" w:cs="Times New Roman" w:eastAsia="Times New Roman" w:hint="default"/>
                <w:sz w:val="18"/>
                <w:szCs w:val="18"/>
              </w:rPr>
            </w:pPr>
            <w:r>
              <w:rPr>
                <w:rFonts w:ascii="Times New Roman"/>
                <w:spacing w:val="-2"/>
                <w:sz w:val="18"/>
              </w:rPr>
              <w:t>157,048,369.55</w:t>
            </w:r>
          </w:p>
        </w:tc>
        <w:tc>
          <w:tcPr>
            <w:tcW w:w="1277" w:type="dxa"/>
            <w:tcBorders>
              <w:top w:val="single" w:sz="12" w:space="0" w:color="000000"/>
              <w:left w:val="single" w:sz="6" w:space="0" w:color="000000"/>
              <w:bottom w:val="single" w:sz="12" w:space="0" w:color="000000"/>
              <w:right w:val="single" w:sz="6" w:space="0" w:color="000000"/>
            </w:tcBorders>
          </w:tcPr>
          <w:p>
            <w:pPr/>
          </w:p>
        </w:tc>
        <w:tc>
          <w:tcPr>
            <w:tcW w:w="1273" w:type="dxa"/>
            <w:tcBorders>
              <w:top w:val="single" w:sz="12" w:space="0" w:color="000000"/>
              <w:left w:val="single" w:sz="6" w:space="0" w:color="000000"/>
              <w:bottom w:val="single" w:sz="12" w:space="0" w:color="000000"/>
              <w:right w:val="single" w:sz="6" w:space="0" w:color="000000"/>
            </w:tcBorders>
          </w:tcPr>
          <w:p>
            <w:pPr/>
          </w:p>
        </w:tc>
        <w:tc>
          <w:tcPr>
            <w:tcW w:w="1193" w:type="dxa"/>
            <w:tcBorders>
              <w:top w:val="single" w:sz="12" w:space="0" w:color="000000"/>
              <w:left w:val="single" w:sz="6" w:space="0" w:color="000000"/>
              <w:bottom w:val="single" w:sz="12" w:space="0" w:color="000000"/>
              <w:right w:val="nil" w:sz="6" w:space="0" w:color="auto"/>
            </w:tcBorders>
          </w:tcPr>
          <w:p>
            <w:pPr/>
          </w:p>
        </w:tc>
      </w:tr>
      <w:tr>
        <w:trPr>
          <w:trHeight w:val="663" w:hRule="exact"/>
        </w:trPr>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81" w:right="0"/>
              <w:jc w:val="left"/>
              <w:rPr>
                <w:rFonts w:ascii="宋体" w:hAnsi="宋体" w:cs="宋体" w:eastAsia="宋体" w:hint="default"/>
                <w:sz w:val="18"/>
                <w:szCs w:val="18"/>
              </w:rPr>
            </w:pPr>
            <w:r>
              <w:rPr>
                <w:rFonts w:ascii="宋体" w:hAnsi="宋体" w:cs="宋体" w:eastAsia="宋体" w:hint="default"/>
                <w:spacing w:val="-3"/>
                <w:sz w:val="18"/>
                <w:szCs w:val="18"/>
              </w:rPr>
              <w:t>长期借款</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10"/>
              <w:jc w:val="right"/>
              <w:rPr>
                <w:rFonts w:ascii="Times New Roman" w:hAnsi="Times New Roman" w:cs="Times New Roman" w:eastAsia="Times New Roman" w:hint="default"/>
                <w:sz w:val="18"/>
                <w:szCs w:val="18"/>
              </w:rPr>
            </w:pPr>
            <w:r>
              <w:rPr>
                <w:rFonts w:ascii="Times New Roman"/>
                <w:spacing w:val="-2"/>
                <w:sz w:val="18"/>
              </w:rPr>
              <w:t>143,813,111.19</w:t>
            </w:r>
          </w:p>
        </w:tc>
        <w:tc>
          <w:tcPr>
            <w:tcW w:w="1277" w:type="dxa"/>
            <w:tcBorders>
              <w:top w:val="single" w:sz="12" w:space="0" w:color="000000"/>
              <w:left w:val="single" w:sz="6" w:space="0" w:color="000000"/>
              <w:bottom w:val="single" w:sz="12" w:space="0" w:color="000000"/>
              <w:right w:val="single" w:sz="6" w:space="0" w:color="000000"/>
            </w:tcBorders>
          </w:tcPr>
          <w:p>
            <w:pP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5"/>
              <w:jc w:val="right"/>
              <w:rPr>
                <w:rFonts w:ascii="Times New Roman" w:hAnsi="Times New Roman" w:cs="Times New Roman" w:eastAsia="Times New Roman" w:hint="default"/>
                <w:sz w:val="18"/>
                <w:szCs w:val="18"/>
              </w:rPr>
            </w:pPr>
            <w:r>
              <w:rPr>
                <w:rFonts w:ascii="Times New Roman"/>
                <w:spacing w:val="-2"/>
                <w:sz w:val="18"/>
              </w:rPr>
              <w:t>143,813,111.19</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5"/>
              <w:jc w:val="right"/>
              <w:rPr>
                <w:rFonts w:ascii="Times New Roman" w:hAnsi="Times New Roman" w:cs="Times New Roman" w:eastAsia="Times New Roman" w:hint="default"/>
                <w:sz w:val="18"/>
                <w:szCs w:val="18"/>
              </w:rPr>
            </w:pPr>
            <w:r>
              <w:rPr>
                <w:rFonts w:ascii="Times New Roman"/>
                <w:spacing w:val="-2"/>
                <w:sz w:val="18"/>
              </w:rPr>
              <w:t>250,580,005.64</w:t>
            </w:r>
          </w:p>
        </w:tc>
        <w:tc>
          <w:tcPr>
            <w:tcW w:w="12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5"/>
              <w:jc w:val="right"/>
              <w:rPr>
                <w:rFonts w:ascii="Times New Roman" w:hAnsi="Times New Roman" w:cs="Times New Roman" w:eastAsia="Times New Roman" w:hint="default"/>
                <w:sz w:val="18"/>
                <w:szCs w:val="18"/>
              </w:rPr>
            </w:pPr>
            <w:r>
              <w:rPr>
                <w:rFonts w:ascii="Times New Roman"/>
                <w:spacing w:val="-2"/>
                <w:sz w:val="18"/>
              </w:rPr>
              <w:t>161,802,700.00</w:t>
            </w:r>
          </w:p>
        </w:tc>
        <w:tc>
          <w:tcPr>
            <w:tcW w:w="1193" w:type="dxa"/>
            <w:tcBorders>
              <w:top w:val="single" w:sz="12" w:space="0" w:color="000000"/>
              <w:left w:val="single" w:sz="6"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8"/>
              <w:jc w:val="right"/>
              <w:rPr>
                <w:rFonts w:ascii="Times New Roman" w:hAnsi="Times New Roman" w:cs="Times New Roman" w:eastAsia="Times New Roman" w:hint="default"/>
                <w:sz w:val="18"/>
                <w:szCs w:val="18"/>
              </w:rPr>
            </w:pPr>
            <w:r>
              <w:rPr>
                <w:rFonts w:ascii="Times New Roman"/>
                <w:spacing w:val="-1"/>
                <w:sz w:val="18"/>
              </w:rPr>
              <w:t>412,382,705.64</w:t>
            </w:r>
          </w:p>
        </w:tc>
      </w:tr>
      <w:tr>
        <w:trPr>
          <w:trHeight w:val="662" w:hRule="exact"/>
        </w:trPr>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8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0"/>
              <w:jc w:val="right"/>
              <w:rPr>
                <w:rFonts w:ascii="Times New Roman" w:hAnsi="Times New Roman" w:cs="Times New Roman" w:eastAsia="Times New Roman" w:hint="default"/>
                <w:sz w:val="18"/>
                <w:szCs w:val="18"/>
              </w:rPr>
            </w:pPr>
            <w:r>
              <w:rPr>
                <w:rFonts w:ascii="Times New Roman"/>
                <w:spacing w:val="-2"/>
                <w:sz w:val="18"/>
              </w:rPr>
              <w:t>167,428,800.00</w:t>
            </w:r>
          </w:p>
        </w:tc>
        <w:tc>
          <w:tcPr>
            <w:tcW w:w="1277" w:type="dxa"/>
            <w:tcBorders>
              <w:top w:val="single" w:sz="12" w:space="0" w:color="000000"/>
              <w:left w:val="single" w:sz="6" w:space="0" w:color="000000"/>
              <w:bottom w:val="single" w:sz="12" w:space="0" w:color="000000"/>
              <w:right w:val="single" w:sz="6" w:space="0" w:color="000000"/>
            </w:tcBorders>
          </w:tcPr>
          <w:p>
            <w:pP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2"/>
                <w:sz w:val="18"/>
              </w:rPr>
              <w:t>167,428,800.00</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2"/>
                <w:sz w:val="18"/>
              </w:rPr>
              <w:t>164,716,800.00</w:t>
            </w:r>
          </w:p>
        </w:tc>
        <w:tc>
          <w:tcPr>
            <w:tcW w:w="1273" w:type="dxa"/>
            <w:tcBorders>
              <w:top w:val="single" w:sz="12" w:space="0" w:color="000000"/>
              <w:left w:val="single" w:sz="6" w:space="0" w:color="000000"/>
              <w:bottom w:val="single" w:sz="12" w:space="0" w:color="000000"/>
              <w:right w:val="single" w:sz="6" w:space="0" w:color="000000"/>
            </w:tcBorders>
          </w:tcPr>
          <w:p>
            <w:pPr/>
          </w:p>
        </w:tc>
        <w:tc>
          <w:tcPr>
            <w:tcW w:w="1193" w:type="dxa"/>
            <w:tcBorders>
              <w:top w:val="single" w:sz="12" w:space="0" w:color="000000"/>
              <w:left w:val="single" w:sz="6"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8"/>
              <w:jc w:val="right"/>
              <w:rPr>
                <w:rFonts w:ascii="Times New Roman" w:hAnsi="Times New Roman" w:cs="Times New Roman" w:eastAsia="Times New Roman" w:hint="default"/>
                <w:sz w:val="18"/>
                <w:szCs w:val="18"/>
              </w:rPr>
            </w:pPr>
            <w:r>
              <w:rPr>
                <w:rFonts w:ascii="Times New Roman"/>
                <w:spacing w:val="-1"/>
                <w:sz w:val="18"/>
              </w:rPr>
              <w:t>164,716,800.00</w:t>
            </w:r>
          </w:p>
        </w:tc>
      </w:tr>
      <w:tr>
        <w:trPr>
          <w:trHeight w:val="355" w:hRule="exact"/>
        </w:trPr>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8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1277" w:type="dxa"/>
            <w:tcBorders>
              <w:top w:val="single" w:sz="12" w:space="0" w:color="000000"/>
              <w:left w:val="single" w:sz="6" w:space="0" w:color="000000"/>
              <w:bottom w:val="single" w:sz="12" w:space="0" w:color="000000"/>
              <w:right w:val="single" w:sz="6" w:space="0" w:color="000000"/>
            </w:tcBorders>
          </w:tcPr>
          <w:p>
            <w:pPr/>
          </w:p>
        </w:tc>
        <w:tc>
          <w:tcPr>
            <w:tcW w:w="1277" w:type="dxa"/>
            <w:tcBorders>
              <w:top w:val="single" w:sz="12" w:space="0" w:color="000000"/>
              <w:left w:val="single" w:sz="6" w:space="0" w:color="000000"/>
              <w:bottom w:val="single" w:sz="12" w:space="0" w:color="000000"/>
              <w:right w:val="single" w:sz="6" w:space="0" w:color="000000"/>
            </w:tcBorders>
          </w:tcPr>
          <w:p>
            <w:pPr/>
          </w:p>
        </w:tc>
        <w:tc>
          <w:tcPr>
            <w:tcW w:w="1277" w:type="dxa"/>
            <w:tcBorders>
              <w:top w:val="single" w:sz="12" w:space="0" w:color="000000"/>
              <w:left w:val="single" w:sz="6" w:space="0" w:color="000000"/>
              <w:bottom w:val="single" w:sz="12" w:space="0" w:color="000000"/>
              <w:right w:val="single" w:sz="6" w:space="0" w:color="000000"/>
            </w:tcBorders>
          </w:tcPr>
          <w:p>
            <w:pP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5"/>
              <w:jc w:val="right"/>
              <w:rPr>
                <w:rFonts w:ascii="Times New Roman" w:hAnsi="Times New Roman" w:cs="Times New Roman" w:eastAsia="Times New Roman" w:hint="default"/>
                <w:sz w:val="18"/>
                <w:szCs w:val="18"/>
              </w:rPr>
            </w:pPr>
            <w:r>
              <w:rPr>
                <w:rFonts w:ascii="Times New Roman"/>
                <w:spacing w:val="-2"/>
                <w:sz w:val="18"/>
              </w:rPr>
              <w:t>12,263,149.56</w:t>
            </w:r>
          </w:p>
        </w:tc>
        <w:tc>
          <w:tcPr>
            <w:tcW w:w="1273" w:type="dxa"/>
            <w:tcBorders>
              <w:top w:val="single" w:sz="12" w:space="0" w:color="000000"/>
              <w:left w:val="single" w:sz="6" w:space="0" w:color="000000"/>
              <w:bottom w:val="single" w:sz="12" w:space="0" w:color="000000"/>
              <w:right w:val="single" w:sz="6" w:space="0" w:color="000000"/>
            </w:tcBorders>
          </w:tcPr>
          <w:p>
            <w:pPr/>
          </w:p>
        </w:tc>
        <w:tc>
          <w:tcPr>
            <w:tcW w:w="11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7"/>
              <w:ind w:right="8"/>
              <w:jc w:val="right"/>
              <w:rPr>
                <w:rFonts w:ascii="Times New Roman" w:hAnsi="Times New Roman" w:cs="Times New Roman" w:eastAsia="Times New Roman" w:hint="default"/>
                <w:sz w:val="18"/>
                <w:szCs w:val="18"/>
              </w:rPr>
            </w:pPr>
            <w:r>
              <w:rPr>
                <w:rFonts w:ascii="Times New Roman"/>
                <w:spacing w:val="-2"/>
                <w:sz w:val="18"/>
              </w:rPr>
              <w:t>12,263,149.56</w:t>
            </w:r>
          </w:p>
        </w:tc>
      </w:tr>
      <w:tr>
        <w:trPr>
          <w:trHeight w:val="663" w:hRule="exact"/>
        </w:trPr>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81" w:right="0"/>
              <w:jc w:val="left"/>
              <w:rPr>
                <w:rFonts w:ascii="宋体" w:hAnsi="宋体" w:cs="宋体" w:eastAsia="宋体" w:hint="default"/>
                <w:sz w:val="18"/>
                <w:szCs w:val="18"/>
              </w:rPr>
            </w:pPr>
            <w:r>
              <w:rPr>
                <w:rFonts w:ascii="宋体" w:hAnsi="宋体" w:cs="宋体" w:eastAsia="宋体" w:hint="default"/>
                <w:spacing w:val="-5"/>
                <w:sz w:val="18"/>
                <w:szCs w:val="18"/>
              </w:rPr>
              <w:t>合计</w:t>
            </w:r>
            <w:r>
              <w:rPr>
                <w:rFonts w:ascii="宋体" w:hAnsi="宋体" w:cs="宋体" w:eastAsia="宋体" w:hint="default"/>
                <w:sz w:val="18"/>
                <w:szCs w:val="18"/>
              </w:rPr>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10"/>
              <w:jc w:val="right"/>
              <w:rPr>
                <w:rFonts w:ascii="Times New Roman" w:hAnsi="Times New Roman" w:cs="Times New Roman" w:eastAsia="Times New Roman" w:hint="default"/>
                <w:sz w:val="18"/>
                <w:szCs w:val="18"/>
              </w:rPr>
            </w:pPr>
            <w:r>
              <w:rPr>
                <w:rFonts w:ascii="Times New Roman"/>
                <w:spacing w:val="-2"/>
                <w:sz w:val="18"/>
              </w:rPr>
              <w:t>714,995,376.06</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4"/>
              <w:jc w:val="right"/>
              <w:rPr>
                <w:rFonts w:ascii="Times New Roman" w:hAnsi="Times New Roman" w:cs="Times New Roman" w:eastAsia="Times New Roman" w:hint="default"/>
                <w:sz w:val="18"/>
                <w:szCs w:val="18"/>
              </w:rPr>
            </w:pPr>
            <w:r>
              <w:rPr>
                <w:rFonts w:ascii="Times New Roman"/>
                <w:spacing w:val="-2"/>
                <w:sz w:val="18"/>
              </w:rPr>
              <w:t>2,477,427.64</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5"/>
              <w:jc w:val="right"/>
              <w:rPr>
                <w:rFonts w:ascii="Times New Roman" w:hAnsi="Times New Roman" w:cs="Times New Roman" w:eastAsia="Times New Roman" w:hint="default"/>
                <w:sz w:val="18"/>
                <w:szCs w:val="18"/>
              </w:rPr>
            </w:pPr>
            <w:r>
              <w:rPr>
                <w:rFonts w:ascii="Times New Roman"/>
                <w:spacing w:val="-2"/>
                <w:sz w:val="18"/>
              </w:rPr>
              <w:t>717,472,803.70</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5"/>
              <w:jc w:val="right"/>
              <w:rPr>
                <w:rFonts w:ascii="Times New Roman" w:hAnsi="Times New Roman" w:cs="Times New Roman" w:eastAsia="Times New Roman" w:hint="default"/>
                <w:sz w:val="18"/>
                <w:szCs w:val="18"/>
              </w:rPr>
            </w:pPr>
            <w:r>
              <w:rPr>
                <w:rFonts w:ascii="Times New Roman"/>
                <w:spacing w:val="-2"/>
                <w:sz w:val="18"/>
              </w:rPr>
              <w:t>467,630,267.55</w:t>
            </w:r>
          </w:p>
        </w:tc>
        <w:tc>
          <w:tcPr>
            <w:tcW w:w="12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5"/>
              <w:jc w:val="right"/>
              <w:rPr>
                <w:rFonts w:ascii="Times New Roman" w:hAnsi="Times New Roman" w:cs="Times New Roman" w:eastAsia="Times New Roman" w:hint="default"/>
                <w:sz w:val="18"/>
                <w:szCs w:val="18"/>
              </w:rPr>
            </w:pPr>
            <w:r>
              <w:rPr>
                <w:rFonts w:ascii="Times New Roman"/>
                <w:spacing w:val="-2"/>
                <w:sz w:val="18"/>
              </w:rPr>
              <w:t>170,115,481.39</w:t>
            </w:r>
          </w:p>
        </w:tc>
        <w:tc>
          <w:tcPr>
            <w:tcW w:w="1193" w:type="dxa"/>
            <w:tcBorders>
              <w:top w:val="single" w:sz="12" w:space="0" w:color="000000"/>
              <w:left w:val="single" w:sz="6"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8"/>
              <w:jc w:val="right"/>
              <w:rPr>
                <w:rFonts w:ascii="Times New Roman" w:hAnsi="Times New Roman" w:cs="Times New Roman" w:eastAsia="Times New Roman" w:hint="default"/>
                <w:sz w:val="18"/>
                <w:szCs w:val="18"/>
              </w:rPr>
            </w:pPr>
            <w:r>
              <w:rPr>
                <w:rFonts w:ascii="Times New Roman"/>
                <w:spacing w:val="-1"/>
                <w:sz w:val="18"/>
              </w:rPr>
              <w:t>637,745,748.94</w:t>
            </w:r>
          </w:p>
        </w:tc>
      </w:tr>
    </w:tbl>
    <w:p>
      <w:pPr>
        <w:spacing w:line="240" w:lineRule="auto" w:before="3"/>
        <w:rPr>
          <w:rFonts w:ascii="宋体" w:hAnsi="宋体" w:cs="宋体" w:eastAsia="宋体" w:hint="default"/>
          <w:sz w:val="5"/>
          <w:szCs w:val="5"/>
        </w:rPr>
      </w:pPr>
    </w:p>
    <w:p>
      <w:pPr>
        <w:pStyle w:val="BodyText"/>
        <w:spacing w:line="256" w:lineRule="auto" w:before="36"/>
        <w:ind w:right="0" w:firstLine="441"/>
        <w:jc w:val="left"/>
      </w:pPr>
      <w:r>
        <w:rPr>
          <w:spacing w:val="-2"/>
        </w:rPr>
        <w:t>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日，对于本集团各类外币金融资产和外币金融负债，如果人民币对该等外币升值或贬</w:t>
      </w:r>
      <w:r>
        <w:rPr>
          <w:w w:val="100"/>
        </w:rPr>
        <w:t> </w:t>
      </w:r>
      <w:r>
        <w:rPr/>
        <w:t>值</w:t>
      </w:r>
      <w:r>
        <w:rPr>
          <w:rFonts w:ascii="Times New Roman" w:hAnsi="Times New Roman" w:cs="Times New Roman" w:eastAsia="Times New Roman" w:hint="default"/>
        </w:rPr>
        <w:t>10%</w:t>
      </w:r>
      <w:r>
        <w:rPr/>
        <w:t>，其他因素保持不变，则本集团将减少或增加综合收益约</w:t>
      </w:r>
      <w:r>
        <w:rPr>
          <w:rFonts w:ascii="Times New Roman" w:hAnsi="Times New Roman" w:cs="Times New Roman" w:eastAsia="Times New Roman" w:hint="default"/>
        </w:rPr>
        <w:t>437,337,375.88</w:t>
      </w:r>
      <w:r>
        <w:rPr/>
        <w:t>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日：约</w:t>
      </w:r>
      <w:r>
        <w:rPr>
          <w:spacing w:val="-103"/>
        </w:rPr>
        <w:t> </w:t>
      </w:r>
      <w:r>
        <w:rPr>
          <w:spacing w:val="-103"/>
        </w:rPr>
      </w:r>
      <w:r>
        <w:rPr>
          <w:rFonts w:ascii="Times New Roman" w:hAnsi="Times New Roman" w:cs="Times New Roman" w:eastAsia="Times New Roman" w:hint="default"/>
        </w:rPr>
        <w:t>472,224,566.60</w:t>
      </w:r>
      <w:r>
        <w:rPr/>
        <w:t>元</w:t>
      </w:r>
      <w:r>
        <w:rPr>
          <w:rFonts w:ascii="Times New Roman" w:hAnsi="Times New Roman" w:cs="Times New Roman" w:eastAsia="Times New Roman" w:hint="default"/>
        </w:rPr>
        <w:t>)</w:t>
      </w:r>
      <w:r>
        <w:rPr/>
        <w:t>，增加或减少股东权益约</w:t>
      </w:r>
      <w:r>
        <w:rPr>
          <w:rFonts w:ascii="Times New Roman" w:hAnsi="Times New Roman" w:cs="Times New Roman" w:eastAsia="Times New Roman" w:hint="default"/>
        </w:rPr>
        <w:t>437,337,375.88</w:t>
      </w:r>
      <w:r>
        <w:rPr/>
        <w:t>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日：约</w:t>
      </w:r>
      <w:r>
        <w:rPr>
          <w:rFonts w:ascii="Times New Roman" w:hAnsi="Times New Roman" w:cs="Times New Roman" w:eastAsia="Times New Roman" w:hint="default"/>
        </w:rPr>
        <w:t>472,224,566.60</w:t>
      </w:r>
      <w:r>
        <w:rPr/>
        <w:t>元</w:t>
      </w:r>
      <w:r>
        <w:rPr>
          <w:rFonts w:ascii="Times New Roman" w:hAnsi="Times New Roman" w:cs="Times New Roman" w:eastAsia="Times New Roman" w:hint="default"/>
        </w:rPr>
        <w:t>)</w:t>
      </w:r>
      <w:r>
        <w:rPr/>
        <w:t>。</w:t>
      </w:r>
    </w:p>
    <w:p>
      <w:pPr>
        <w:pStyle w:val="BodyText"/>
        <w:spacing w:line="357" w:lineRule="auto" w:before="125"/>
        <w:ind w:left="594" w:right="1127" w:hanging="101"/>
        <w:jc w:val="left"/>
      </w:pPr>
      <w:r>
        <w:rPr>
          <w:rFonts w:ascii="Times New Roman" w:hAnsi="Times New Roman" w:cs="Times New Roman" w:eastAsia="Times New Roman" w:hint="default"/>
        </w:rPr>
        <w:t>2.</w:t>
      </w:r>
      <w:r>
        <w:rPr/>
        <w:t>利率风险</w:t>
      </w:r>
      <w:r>
        <w:rPr>
          <w:w w:val="100"/>
        </w:rPr>
        <w:t> </w:t>
      </w:r>
      <w:r>
        <w:rPr>
          <w:spacing w:val="-3"/>
        </w:rPr>
        <w:t>本集团的利率风险主要产生于长期银行借款及应付债券等长期带息债务。浮动利率的金融负债使本集</w:t>
      </w:r>
    </w:p>
    <w:p>
      <w:pPr>
        <w:pStyle w:val="BodyText"/>
        <w:spacing w:line="209" w:lineRule="exact" w:before="0"/>
        <w:ind w:right="0"/>
        <w:jc w:val="left"/>
      </w:pPr>
      <w:r>
        <w:rPr/>
        <w:t>团面临现金流量利率风险，固定利率的金融负债使本集团面临公允价值利率风险。本集团根据当时的市场</w:t>
      </w:r>
    </w:p>
    <w:p>
      <w:pPr>
        <w:spacing w:after="0" w:line="209" w:lineRule="exact"/>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BodyText"/>
        <w:spacing w:line="264" w:lineRule="auto" w:before="36"/>
        <w:ind w:right="1122"/>
        <w:jc w:val="both"/>
      </w:pPr>
      <w:r>
        <w:rPr>
          <w:spacing w:val="-2"/>
        </w:rPr>
        <w:t>环境来决定固定利率及浮动利率合同的相对比例。于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日，本集团长期带息债务分别为人民币</w:t>
      </w:r>
      <w:r>
        <w:rPr>
          <w:spacing w:val="-23"/>
        </w:rPr>
        <w:t> </w:t>
      </w:r>
      <w:r>
        <w:rPr>
          <w:spacing w:val="-23"/>
        </w:rPr>
      </w:r>
      <w:r>
        <w:rPr>
          <w:spacing w:val="-2"/>
        </w:rPr>
        <w:t>计价的浮动利率合同，金额为</w:t>
      </w:r>
      <w:r>
        <w:rPr>
          <w:rFonts w:ascii="Times New Roman" w:hAnsi="Times New Roman" w:cs="Times New Roman" w:eastAsia="Times New Roman" w:hint="default"/>
          <w:spacing w:val="-2"/>
        </w:rPr>
        <w:t>247,000,000.00</w:t>
      </w:r>
      <w:r>
        <w:rPr>
          <w:spacing w:val="-2"/>
        </w:rPr>
        <w:t>元，美元计价的浮动利率合同，金额为</w:t>
      </w:r>
      <w:r>
        <w:rPr>
          <w:rFonts w:ascii="Times New Roman" w:hAnsi="Times New Roman" w:cs="Times New Roman" w:eastAsia="Times New Roman" w:hint="default"/>
          <w:spacing w:val="-2"/>
        </w:rPr>
        <w:t>45,600,000.00</w:t>
      </w:r>
      <w:r>
        <w:rPr>
          <w:spacing w:val="-2"/>
        </w:rPr>
        <w:t>美元。欧</w:t>
      </w:r>
      <w:r>
        <w:rPr>
          <w:spacing w:val="-1"/>
        </w:rPr>
        <w:t> </w:t>
      </w:r>
      <w:r>
        <w:rPr>
          <w:spacing w:val="-1"/>
        </w:rPr>
        <w:t>元计价的浮动利率合同，金额为</w:t>
      </w:r>
      <w:r>
        <w:rPr>
          <w:rFonts w:ascii="Times New Roman" w:hAnsi="Times New Roman" w:cs="Times New Roman" w:eastAsia="Times New Roman" w:hint="default"/>
          <w:spacing w:val="-1"/>
        </w:rPr>
        <w:t>20,600,000.00</w:t>
      </w:r>
      <w:r>
        <w:rPr>
          <w:spacing w:val="-1"/>
        </w:rPr>
        <w:t>欧元。本集团总部财务部门持续监控集团利率水平。利率上</w:t>
      </w:r>
      <w:r>
        <w:rPr>
          <w:spacing w:val="-52"/>
        </w:rPr>
        <w:t> </w:t>
      </w:r>
      <w:r>
        <w:rPr>
          <w:spacing w:val="-52"/>
        </w:rPr>
      </w:r>
      <w:r>
        <w:rPr>
          <w:spacing w:val="-2"/>
        </w:rPr>
        <w:t>升会增加新增带息债务的成本以及本集团尚未付清的以浮动利率计息的带息债务的利息支出，并对本集团</w:t>
      </w:r>
      <w:r>
        <w:rPr>
          <w:spacing w:val="-38"/>
        </w:rPr>
        <w:t> </w:t>
      </w:r>
      <w:r>
        <w:rPr>
          <w:spacing w:val="-38"/>
        </w:rPr>
      </w:r>
      <w:r>
        <w:rPr>
          <w:spacing w:val="-2"/>
        </w:rPr>
        <w:t>的财务业绩产生重大的不利影响，管理层会依据最新的市场状况及时做出调整，这些调整可能是进行利率</w:t>
      </w:r>
      <w:r>
        <w:rPr>
          <w:spacing w:val="-30"/>
        </w:rPr>
        <w:t> </w:t>
      </w:r>
      <w:r>
        <w:rPr>
          <w:spacing w:val="-30"/>
        </w:rPr>
      </w:r>
      <w:r>
        <w:rPr/>
        <w:t>互换的安排来降低利率风险。于</w:t>
      </w:r>
      <w:r>
        <w:rPr>
          <w:rFonts w:ascii="Times New Roman" w:hAnsi="Times New Roman" w:cs="Times New Roman" w:eastAsia="Times New Roman" w:hint="default"/>
        </w:rPr>
        <w:t>2019</w:t>
      </w:r>
      <w:r>
        <w:rPr/>
        <w:t>年度本集团并无利率互换安排。</w:t>
      </w:r>
    </w:p>
    <w:p>
      <w:pPr>
        <w:pStyle w:val="BodyText"/>
        <w:spacing w:line="256" w:lineRule="auto" w:before="118"/>
        <w:ind w:right="1128" w:firstLine="441"/>
        <w:jc w:val="both"/>
      </w:pPr>
      <w:r>
        <w:rPr>
          <w:spacing w:val="-2"/>
        </w:rPr>
        <w:t>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日，如果以浮动利率计算的借款利率上升或下降</w:t>
      </w:r>
      <w:r>
        <w:rPr>
          <w:rFonts w:ascii="Times New Roman" w:hAnsi="Times New Roman" w:cs="Times New Roman" w:eastAsia="Times New Roman" w:hint="default"/>
          <w:spacing w:val="-2"/>
        </w:rPr>
        <w:t>50</w:t>
      </w:r>
      <w:r>
        <w:rPr>
          <w:spacing w:val="-2"/>
        </w:rPr>
        <w:t>个基点，而其他因素保持不变，本</w:t>
      </w:r>
      <w:r>
        <w:rPr>
          <w:w w:val="100"/>
        </w:rPr>
        <w:t> </w:t>
      </w:r>
      <w:r>
        <w:rPr/>
        <w:t>集团的净利润会减少或增加约</w:t>
      </w:r>
      <w:r>
        <w:rPr>
          <w:rFonts w:ascii="Times New Roman" w:hAnsi="Times New Roman" w:cs="Times New Roman" w:eastAsia="Times New Roman" w:hint="default"/>
        </w:rPr>
        <w:t>3,721,007.53</w:t>
      </w:r>
      <w:r>
        <w:rPr/>
        <w:t>元。</w:t>
      </w:r>
    </w:p>
    <w:p>
      <w:pPr>
        <w:pStyle w:val="BodyText"/>
        <w:spacing w:line="430" w:lineRule="atLeast" w:before="90"/>
        <w:ind w:left="594" w:right="0" w:hanging="82"/>
        <w:jc w:val="left"/>
      </w:pPr>
      <w:r>
        <w:rPr>
          <w:rFonts w:ascii="宋体" w:hAnsi="宋体" w:cs="宋体" w:eastAsia="宋体" w:hint="default"/>
          <w:b/>
          <w:bCs/>
        </w:rPr>
        <w:t>（二）信用风险</w:t>
      </w:r>
      <w:r>
        <w:rPr>
          <w:rFonts w:ascii="宋体" w:hAnsi="宋体" w:cs="宋体" w:eastAsia="宋体" w:hint="default"/>
          <w:b/>
          <w:bCs/>
          <w:spacing w:val="-104"/>
        </w:rPr>
        <w:t> </w:t>
      </w:r>
      <w:r>
        <w:rPr>
          <w:spacing w:val="-3"/>
        </w:rPr>
        <w:t>本集团对信用风险按组合分类进行管理。信用风险主要产生于银行存款、应收账款、其他应收款和应</w:t>
      </w:r>
    </w:p>
    <w:p>
      <w:pPr>
        <w:pStyle w:val="BodyText"/>
        <w:spacing w:line="240" w:lineRule="auto" w:before="37"/>
        <w:ind w:right="0"/>
        <w:jc w:val="left"/>
      </w:pPr>
      <w:r>
        <w:rPr/>
        <w:t>收票据等。</w:t>
      </w:r>
    </w:p>
    <w:p>
      <w:pPr>
        <w:pStyle w:val="BodyText"/>
        <w:spacing w:line="273" w:lineRule="auto" w:before="157"/>
        <w:ind w:right="1131" w:firstLine="441"/>
        <w:jc w:val="both"/>
      </w:pPr>
      <w:r>
        <w:rPr>
          <w:spacing w:val="-3"/>
        </w:rPr>
        <w:t>本集团银行存款主要存放于国有商业银行和其它大中型上市银行，本集团认为其不存在重大的信用风</w:t>
      </w:r>
      <w:r>
        <w:rPr>
          <w:w w:val="100"/>
        </w:rPr>
        <w:t> </w:t>
      </w:r>
      <w:r>
        <w:rPr/>
        <w:t>险，不会产生因对方单位违约而导致的任何重大损失。</w:t>
      </w:r>
    </w:p>
    <w:p>
      <w:pPr>
        <w:pStyle w:val="BodyText"/>
        <w:spacing w:line="273" w:lineRule="auto" w:before="127"/>
        <w:ind w:right="1129" w:firstLine="441"/>
        <w:jc w:val="both"/>
      </w:pPr>
      <w:r>
        <w:rPr>
          <w:spacing w:val="-3"/>
        </w:rPr>
        <w:t>此外，对于应收账款、其他应收款和应收票据，本集团设定相关政策以控制信用风险敞口。本集团基</w:t>
      </w:r>
      <w:r>
        <w:rPr>
          <w:w w:val="100"/>
        </w:rPr>
        <w:t> </w:t>
      </w:r>
      <w:r>
        <w:rPr>
          <w:spacing w:val="-2"/>
        </w:rPr>
        <w:t>于对客户的财务状况、从第三方获取担保的可能性、信用记录及其它因素诸如目前市场状况等评估客户的</w:t>
      </w:r>
      <w:r>
        <w:rPr>
          <w:spacing w:val="-38"/>
        </w:rPr>
        <w:t> </w:t>
      </w:r>
      <w:r>
        <w:rPr>
          <w:spacing w:val="-38"/>
        </w:rPr>
      </w:r>
      <w:r>
        <w:rPr>
          <w:spacing w:val="-2"/>
        </w:rPr>
        <w:t>信用资质并设置相应信用期。本集团会定期对客户信用记录进行监控，对于信用记录不良的客户，本集团</w:t>
      </w:r>
      <w:r>
        <w:rPr>
          <w:spacing w:val="-38"/>
        </w:rPr>
        <w:t> </w:t>
      </w:r>
      <w:r>
        <w:rPr>
          <w:spacing w:val="-38"/>
        </w:rPr>
      </w:r>
      <w:r>
        <w:rPr/>
        <w:t>会采用书面催款、缩短信用期或取消信用期等方式，以确保本集团的整体信用风险在可控的范围内。</w:t>
      </w:r>
    </w:p>
    <w:p>
      <w:pPr>
        <w:pStyle w:val="BodyText"/>
        <w:spacing w:line="430" w:lineRule="atLeast" w:before="93"/>
        <w:ind w:left="594" w:right="1127" w:hanging="82"/>
        <w:jc w:val="left"/>
      </w:pPr>
      <w:r>
        <w:rPr>
          <w:rFonts w:ascii="宋体" w:hAnsi="宋体" w:cs="宋体" w:eastAsia="宋体" w:hint="default"/>
          <w:b/>
          <w:bCs/>
        </w:rPr>
        <w:t>（三）流动风险</w:t>
      </w:r>
      <w:r>
        <w:rPr>
          <w:rFonts w:ascii="宋体" w:hAnsi="宋体" w:cs="宋体" w:eastAsia="宋体" w:hint="default"/>
          <w:b/>
          <w:bCs/>
          <w:spacing w:val="-104"/>
        </w:rPr>
        <w:t> </w:t>
      </w:r>
      <w:r>
        <w:rPr>
          <w:spacing w:val="-2"/>
        </w:rPr>
        <w:t>本集团内各子公司负责其自身的现金流量预测。总部财务部门在汇总各子公司现金流量预测的基础</w:t>
      </w:r>
    </w:p>
    <w:p>
      <w:pPr>
        <w:pStyle w:val="BodyText"/>
        <w:spacing w:line="273" w:lineRule="auto" w:before="37"/>
        <w:ind w:right="0"/>
        <w:jc w:val="left"/>
      </w:pPr>
      <w:r>
        <w:rPr>
          <w:spacing w:val="-4"/>
        </w:rPr>
        <w:t>上，在集团层面持续监控短期和长期的资金需求，以确保维持充裕的现金储备和可供随时变现的有价证券；</w:t>
      </w:r>
      <w:r>
        <w:rPr>
          <w:spacing w:val="-45"/>
        </w:rPr>
        <w:t> </w:t>
      </w:r>
      <w:r>
        <w:rPr>
          <w:spacing w:val="-45"/>
        </w:rPr>
      </w:r>
      <w:r>
        <w:rPr/>
        <w:t>同时持续监控是否符合借款协议的规定，从主要金融机构获得提供足够备用资金的承诺，以满足短期和长</w:t>
      </w:r>
      <w:r>
        <w:rPr>
          <w:w w:val="100"/>
        </w:rPr>
        <w:t> </w:t>
      </w:r>
      <w:r>
        <w:rPr/>
        <w:t>期的资金需求。</w:t>
      </w:r>
    </w:p>
    <w:p>
      <w:pPr>
        <w:pStyle w:val="BodyText"/>
        <w:spacing w:line="240" w:lineRule="auto" w:before="127"/>
        <w:ind w:left="594" w:right="0"/>
        <w:jc w:val="left"/>
      </w:pPr>
      <w:r>
        <w:rPr/>
        <w:t>于资产负债表日，本集团各项金融负债以未折现的合同现金流量按到期日列示如下：</w:t>
      </w:r>
    </w:p>
    <w:p>
      <w:pPr>
        <w:spacing w:line="240" w:lineRule="auto" w:before="2"/>
        <w:rPr>
          <w:rFonts w:ascii="宋体" w:hAnsi="宋体" w:cs="宋体" w:eastAsia="宋体" w:hint="default"/>
          <w:sz w:val="13"/>
          <w:szCs w:val="13"/>
        </w:rPr>
      </w:pPr>
    </w:p>
    <w:tbl>
      <w:tblPr>
        <w:tblW w:w="0" w:type="auto"/>
        <w:jc w:val="left"/>
        <w:tblInd w:w="143" w:type="dxa"/>
        <w:tblLayout w:type="fixed"/>
        <w:tblCellMar>
          <w:top w:w="0" w:type="dxa"/>
          <w:left w:w="0" w:type="dxa"/>
          <w:bottom w:w="0" w:type="dxa"/>
          <w:right w:w="0" w:type="dxa"/>
        </w:tblCellMar>
        <w:tblLook w:val="01E0"/>
      </w:tblPr>
      <w:tblGrid>
        <w:gridCol w:w="2127"/>
        <w:gridCol w:w="1277"/>
        <w:gridCol w:w="1560"/>
        <w:gridCol w:w="1416"/>
        <w:gridCol w:w="1421"/>
        <w:gridCol w:w="1332"/>
      </w:tblGrid>
      <w:tr>
        <w:trPr>
          <w:trHeight w:val="353" w:hRule="exact"/>
        </w:trPr>
        <w:tc>
          <w:tcPr>
            <w:tcW w:w="2127" w:type="dxa"/>
            <w:vMerge w:val="restart"/>
            <w:tcBorders>
              <w:top w:val="single" w:sz="6" w:space="0" w:color="000000"/>
              <w:left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08" w:type="dxa"/>
            <w:gridSpan w:val="5"/>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55" w:hRule="exact"/>
        </w:trPr>
        <w:tc>
          <w:tcPr>
            <w:tcW w:w="2127" w:type="dxa"/>
            <w:vMerge/>
            <w:tcBorders>
              <w:left w:val="single" w:sz="6" w:space="0" w:color="000000"/>
              <w:bottom w:val="single" w:sz="12" w:space="0" w:color="000000"/>
              <w:right w:val="single" w:sz="6" w:space="0" w:color="000000"/>
            </w:tcBorders>
          </w:tcPr>
          <w:p>
            <w:pP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3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5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到</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4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到</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14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3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13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1" w:hRule="exact"/>
        </w:trPr>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200,691,513.73</w:t>
            </w:r>
          </w:p>
        </w:tc>
        <w:tc>
          <w:tcPr>
            <w:tcW w:w="1560" w:type="dxa"/>
            <w:tcBorders>
              <w:top w:val="single" w:sz="12" w:space="0" w:color="000000"/>
              <w:left w:val="single" w:sz="6" w:space="0" w:color="000000"/>
              <w:bottom w:val="single" w:sz="12" w:space="0" w:color="000000"/>
              <w:right w:val="single" w:sz="6" w:space="0" w:color="000000"/>
            </w:tcBorders>
          </w:tcPr>
          <w:p>
            <w:pPr/>
          </w:p>
        </w:tc>
        <w:tc>
          <w:tcPr>
            <w:tcW w:w="1416" w:type="dxa"/>
            <w:tcBorders>
              <w:top w:val="single" w:sz="12" w:space="0" w:color="000000"/>
              <w:left w:val="single" w:sz="6" w:space="0" w:color="000000"/>
              <w:bottom w:val="single" w:sz="12" w:space="0" w:color="000000"/>
              <w:right w:val="single" w:sz="6" w:space="0" w:color="000000"/>
            </w:tcBorders>
          </w:tcPr>
          <w:p>
            <w:pPr/>
          </w:p>
        </w:tc>
        <w:tc>
          <w:tcPr>
            <w:tcW w:w="1421" w:type="dxa"/>
            <w:tcBorders>
              <w:top w:val="single" w:sz="12" w:space="0" w:color="000000"/>
              <w:left w:val="single" w:sz="6" w:space="0" w:color="000000"/>
              <w:bottom w:val="single" w:sz="12" w:space="0" w:color="000000"/>
              <w:right w:val="single" w:sz="6" w:space="0" w:color="000000"/>
            </w:tcBorders>
          </w:tcPr>
          <w:p>
            <w:pPr/>
          </w:p>
        </w:tc>
        <w:tc>
          <w:tcPr>
            <w:tcW w:w="13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200,691,513.73</w:t>
            </w:r>
          </w:p>
        </w:tc>
      </w:tr>
      <w:tr>
        <w:trPr>
          <w:trHeight w:val="350" w:hRule="exact"/>
        </w:trPr>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128,143,230.39</w:t>
            </w:r>
          </w:p>
        </w:tc>
        <w:tc>
          <w:tcPr>
            <w:tcW w:w="1560" w:type="dxa"/>
            <w:tcBorders>
              <w:top w:val="single" w:sz="12" w:space="0" w:color="000000"/>
              <w:left w:val="single" w:sz="6" w:space="0" w:color="000000"/>
              <w:bottom w:val="single" w:sz="12" w:space="0" w:color="000000"/>
              <w:right w:val="single" w:sz="6" w:space="0" w:color="000000"/>
            </w:tcBorders>
          </w:tcPr>
          <w:p>
            <w:pPr/>
          </w:p>
        </w:tc>
        <w:tc>
          <w:tcPr>
            <w:tcW w:w="1416" w:type="dxa"/>
            <w:tcBorders>
              <w:top w:val="single" w:sz="12" w:space="0" w:color="000000"/>
              <w:left w:val="single" w:sz="6" w:space="0" w:color="000000"/>
              <w:bottom w:val="single" w:sz="12" w:space="0" w:color="000000"/>
              <w:right w:val="single" w:sz="6" w:space="0" w:color="000000"/>
            </w:tcBorders>
          </w:tcPr>
          <w:p>
            <w:pPr/>
          </w:p>
        </w:tc>
        <w:tc>
          <w:tcPr>
            <w:tcW w:w="1421" w:type="dxa"/>
            <w:tcBorders>
              <w:top w:val="single" w:sz="12" w:space="0" w:color="000000"/>
              <w:left w:val="single" w:sz="6" w:space="0" w:color="000000"/>
              <w:bottom w:val="single" w:sz="12" w:space="0" w:color="000000"/>
              <w:right w:val="single" w:sz="6" w:space="0" w:color="000000"/>
            </w:tcBorders>
          </w:tcPr>
          <w:p>
            <w:pPr/>
          </w:p>
        </w:tc>
        <w:tc>
          <w:tcPr>
            <w:tcW w:w="13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128,143,230.39</w:t>
            </w:r>
          </w:p>
        </w:tc>
      </w:tr>
      <w:tr>
        <w:trPr>
          <w:trHeight w:val="355" w:hRule="exact"/>
        </w:trPr>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4"/>
              <w:jc w:val="right"/>
              <w:rPr>
                <w:rFonts w:ascii="Times New Roman" w:hAnsi="Times New Roman" w:cs="Times New Roman" w:eastAsia="Times New Roman" w:hint="default"/>
                <w:sz w:val="18"/>
                <w:szCs w:val="18"/>
              </w:rPr>
            </w:pPr>
            <w:r>
              <w:rPr>
                <w:rFonts w:ascii="Times New Roman"/>
                <w:spacing w:val="-1"/>
                <w:sz w:val="18"/>
              </w:rPr>
              <w:t>91,020,616.27</w:t>
            </w:r>
          </w:p>
        </w:tc>
        <w:tc>
          <w:tcPr>
            <w:tcW w:w="1560" w:type="dxa"/>
            <w:tcBorders>
              <w:top w:val="single" w:sz="12" w:space="0" w:color="000000"/>
              <w:left w:val="single" w:sz="6" w:space="0" w:color="000000"/>
              <w:bottom w:val="single" w:sz="12" w:space="0" w:color="000000"/>
              <w:right w:val="single" w:sz="6" w:space="0" w:color="000000"/>
            </w:tcBorders>
          </w:tcPr>
          <w:p>
            <w:pPr/>
          </w:p>
        </w:tc>
        <w:tc>
          <w:tcPr>
            <w:tcW w:w="1416" w:type="dxa"/>
            <w:tcBorders>
              <w:top w:val="single" w:sz="12" w:space="0" w:color="000000"/>
              <w:left w:val="single" w:sz="6" w:space="0" w:color="000000"/>
              <w:bottom w:val="single" w:sz="12" w:space="0" w:color="000000"/>
              <w:right w:val="single" w:sz="6" w:space="0" w:color="000000"/>
            </w:tcBorders>
          </w:tcPr>
          <w:p>
            <w:pPr/>
          </w:p>
        </w:tc>
        <w:tc>
          <w:tcPr>
            <w:tcW w:w="1421" w:type="dxa"/>
            <w:tcBorders>
              <w:top w:val="single" w:sz="12" w:space="0" w:color="000000"/>
              <w:left w:val="single" w:sz="6" w:space="0" w:color="000000"/>
              <w:bottom w:val="single" w:sz="12" w:space="0" w:color="000000"/>
              <w:right w:val="single" w:sz="6" w:space="0" w:color="000000"/>
            </w:tcBorders>
          </w:tcPr>
          <w:p>
            <w:pPr/>
          </w:p>
        </w:tc>
        <w:tc>
          <w:tcPr>
            <w:tcW w:w="13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7"/>
              <w:ind w:right="3"/>
              <w:jc w:val="right"/>
              <w:rPr>
                <w:rFonts w:ascii="Times New Roman" w:hAnsi="Times New Roman" w:cs="Times New Roman" w:eastAsia="Times New Roman" w:hint="default"/>
                <w:sz w:val="18"/>
                <w:szCs w:val="18"/>
              </w:rPr>
            </w:pPr>
            <w:r>
              <w:rPr>
                <w:rFonts w:ascii="Times New Roman"/>
                <w:spacing w:val="-1"/>
                <w:sz w:val="18"/>
              </w:rPr>
              <w:t>91,020,616.27</w:t>
            </w:r>
          </w:p>
        </w:tc>
      </w:tr>
      <w:tr>
        <w:trPr>
          <w:trHeight w:val="350" w:hRule="exact"/>
        </w:trPr>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1,055,030.82</w:t>
            </w:r>
          </w:p>
        </w:tc>
        <w:tc>
          <w:tcPr>
            <w:tcW w:w="1560" w:type="dxa"/>
            <w:tcBorders>
              <w:top w:val="single" w:sz="12" w:space="0" w:color="000000"/>
              <w:left w:val="single" w:sz="6" w:space="0" w:color="000000"/>
              <w:bottom w:val="single" w:sz="12" w:space="0" w:color="000000"/>
              <w:right w:val="single" w:sz="6" w:space="0" w:color="000000"/>
            </w:tcBorders>
          </w:tcPr>
          <w:p>
            <w:pPr/>
          </w:p>
        </w:tc>
        <w:tc>
          <w:tcPr>
            <w:tcW w:w="1416" w:type="dxa"/>
            <w:tcBorders>
              <w:top w:val="single" w:sz="12" w:space="0" w:color="000000"/>
              <w:left w:val="single" w:sz="6" w:space="0" w:color="000000"/>
              <w:bottom w:val="single" w:sz="12" w:space="0" w:color="000000"/>
              <w:right w:val="single" w:sz="6" w:space="0" w:color="000000"/>
            </w:tcBorders>
          </w:tcPr>
          <w:p>
            <w:pPr/>
          </w:p>
        </w:tc>
        <w:tc>
          <w:tcPr>
            <w:tcW w:w="1421" w:type="dxa"/>
            <w:tcBorders>
              <w:top w:val="single" w:sz="12" w:space="0" w:color="000000"/>
              <w:left w:val="single" w:sz="6" w:space="0" w:color="000000"/>
              <w:bottom w:val="single" w:sz="12" w:space="0" w:color="000000"/>
              <w:right w:val="single" w:sz="6" w:space="0" w:color="000000"/>
            </w:tcBorders>
          </w:tcPr>
          <w:p>
            <w:pPr/>
          </w:p>
        </w:tc>
        <w:tc>
          <w:tcPr>
            <w:tcW w:w="13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1,055,030.82</w:t>
            </w:r>
          </w:p>
        </w:tc>
      </w:tr>
      <w:tr>
        <w:trPr>
          <w:trHeight w:val="350" w:hRule="exact"/>
        </w:trPr>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8,429,810.71</w:t>
            </w:r>
          </w:p>
        </w:tc>
        <w:tc>
          <w:tcPr>
            <w:tcW w:w="1560" w:type="dxa"/>
            <w:tcBorders>
              <w:top w:val="single" w:sz="12" w:space="0" w:color="000000"/>
              <w:left w:val="single" w:sz="6" w:space="0" w:color="000000"/>
              <w:bottom w:val="single" w:sz="12" w:space="0" w:color="000000"/>
              <w:right w:val="single" w:sz="6" w:space="0" w:color="000000"/>
            </w:tcBorders>
          </w:tcPr>
          <w:p>
            <w:pPr/>
          </w:p>
        </w:tc>
        <w:tc>
          <w:tcPr>
            <w:tcW w:w="1416" w:type="dxa"/>
            <w:tcBorders>
              <w:top w:val="single" w:sz="12" w:space="0" w:color="000000"/>
              <w:left w:val="single" w:sz="6" w:space="0" w:color="000000"/>
              <w:bottom w:val="single" w:sz="12" w:space="0" w:color="000000"/>
              <w:right w:val="single" w:sz="6" w:space="0" w:color="000000"/>
            </w:tcBorders>
          </w:tcPr>
          <w:p>
            <w:pPr/>
          </w:p>
        </w:tc>
        <w:tc>
          <w:tcPr>
            <w:tcW w:w="1421" w:type="dxa"/>
            <w:tcBorders>
              <w:top w:val="single" w:sz="12" w:space="0" w:color="000000"/>
              <w:left w:val="single" w:sz="6" w:space="0" w:color="000000"/>
              <w:bottom w:val="single" w:sz="12" w:space="0" w:color="000000"/>
              <w:right w:val="single" w:sz="6" w:space="0" w:color="000000"/>
            </w:tcBorders>
          </w:tcPr>
          <w:p>
            <w:pPr/>
          </w:p>
        </w:tc>
        <w:tc>
          <w:tcPr>
            <w:tcW w:w="13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8,429,810.71</w:t>
            </w:r>
          </w:p>
        </w:tc>
      </w:tr>
      <w:tr>
        <w:trPr>
          <w:trHeight w:val="356" w:hRule="exact"/>
        </w:trPr>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8"/>
              <w:ind w:right="-4"/>
              <w:jc w:val="right"/>
              <w:rPr>
                <w:rFonts w:ascii="Times New Roman" w:hAnsi="Times New Roman" w:cs="Times New Roman" w:eastAsia="Times New Roman" w:hint="default"/>
                <w:sz w:val="18"/>
                <w:szCs w:val="18"/>
              </w:rPr>
            </w:pPr>
            <w:r>
              <w:rPr>
                <w:rFonts w:ascii="Times New Roman"/>
                <w:spacing w:val="-1"/>
                <w:sz w:val="18"/>
              </w:rPr>
              <w:t>180,755,191.08</w:t>
            </w:r>
          </w:p>
        </w:tc>
        <w:tc>
          <w:tcPr>
            <w:tcW w:w="1560" w:type="dxa"/>
            <w:tcBorders>
              <w:top w:val="single" w:sz="12" w:space="0" w:color="000000"/>
              <w:left w:val="single" w:sz="6" w:space="0" w:color="000000"/>
              <w:bottom w:val="single" w:sz="12" w:space="0" w:color="000000"/>
              <w:right w:val="single" w:sz="6" w:space="0" w:color="000000"/>
            </w:tcBorders>
          </w:tcPr>
          <w:p>
            <w:pPr/>
          </w:p>
        </w:tc>
        <w:tc>
          <w:tcPr>
            <w:tcW w:w="1416" w:type="dxa"/>
            <w:tcBorders>
              <w:top w:val="single" w:sz="12" w:space="0" w:color="000000"/>
              <w:left w:val="single" w:sz="6" w:space="0" w:color="000000"/>
              <w:bottom w:val="single" w:sz="12" w:space="0" w:color="000000"/>
              <w:right w:val="single" w:sz="6" w:space="0" w:color="000000"/>
            </w:tcBorders>
          </w:tcPr>
          <w:p>
            <w:pPr/>
          </w:p>
        </w:tc>
        <w:tc>
          <w:tcPr>
            <w:tcW w:w="1421" w:type="dxa"/>
            <w:tcBorders>
              <w:top w:val="single" w:sz="12" w:space="0" w:color="000000"/>
              <w:left w:val="single" w:sz="6" w:space="0" w:color="000000"/>
              <w:bottom w:val="single" w:sz="12" w:space="0" w:color="000000"/>
              <w:right w:val="single" w:sz="6" w:space="0" w:color="000000"/>
            </w:tcBorders>
          </w:tcPr>
          <w:p>
            <w:pPr/>
          </w:p>
        </w:tc>
        <w:tc>
          <w:tcPr>
            <w:tcW w:w="13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8"/>
              <w:ind w:right="3"/>
              <w:jc w:val="right"/>
              <w:rPr>
                <w:rFonts w:ascii="Times New Roman" w:hAnsi="Times New Roman" w:cs="Times New Roman" w:eastAsia="Times New Roman" w:hint="default"/>
                <w:sz w:val="18"/>
                <w:szCs w:val="18"/>
              </w:rPr>
            </w:pPr>
            <w:r>
              <w:rPr>
                <w:rFonts w:ascii="Times New Roman"/>
                <w:spacing w:val="-1"/>
                <w:sz w:val="18"/>
              </w:rPr>
              <w:t>180,755,191.08</w:t>
            </w:r>
          </w:p>
        </w:tc>
      </w:tr>
      <w:tr>
        <w:trPr>
          <w:trHeight w:val="350" w:hRule="exact"/>
        </w:trPr>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277" w:type="dxa"/>
            <w:tcBorders>
              <w:top w:val="single" w:sz="12" w:space="0" w:color="000000"/>
              <w:left w:val="single" w:sz="6" w:space="0" w:color="000000"/>
              <w:bottom w:val="single" w:sz="12" w:space="0" w:color="000000"/>
              <w:right w:val="single" w:sz="6" w:space="0" w:color="000000"/>
            </w:tcBorders>
          </w:tcPr>
          <w:p>
            <w:pP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179,799,300.03</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23,500,000.00</w:t>
            </w:r>
          </w:p>
        </w:tc>
        <w:tc>
          <w:tcPr>
            <w:tcW w:w="1421" w:type="dxa"/>
            <w:tcBorders>
              <w:top w:val="single" w:sz="12" w:space="0" w:color="000000"/>
              <w:left w:val="single" w:sz="6" w:space="0" w:color="000000"/>
              <w:bottom w:val="single" w:sz="12" w:space="0" w:color="000000"/>
              <w:right w:val="single" w:sz="6" w:space="0" w:color="000000"/>
            </w:tcBorders>
          </w:tcPr>
          <w:p>
            <w:pPr/>
          </w:p>
        </w:tc>
        <w:tc>
          <w:tcPr>
            <w:tcW w:w="13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203,299,300.03</w:t>
            </w:r>
          </w:p>
        </w:tc>
      </w:tr>
      <w:tr>
        <w:trPr>
          <w:trHeight w:val="350" w:hRule="exact"/>
        </w:trPr>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277" w:type="dxa"/>
            <w:tcBorders>
              <w:top w:val="single" w:sz="12" w:space="0" w:color="000000"/>
              <w:left w:val="single" w:sz="6" w:space="0" w:color="000000"/>
              <w:bottom w:val="single" w:sz="12" w:space="0" w:color="000000"/>
              <w:right w:val="single" w:sz="6" w:space="0" w:color="000000"/>
            </w:tcBorders>
          </w:tcPr>
          <w:p>
            <w:pP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5,000,000.00</w:t>
            </w:r>
          </w:p>
        </w:tc>
        <w:tc>
          <w:tcPr>
            <w:tcW w:w="1416" w:type="dxa"/>
            <w:tcBorders>
              <w:top w:val="single" w:sz="12" w:space="0" w:color="000000"/>
              <w:left w:val="single" w:sz="6" w:space="0" w:color="000000"/>
              <w:bottom w:val="single" w:sz="12" w:space="0" w:color="000000"/>
              <w:right w:val="single" w:sz="6" w:space="0" w:color="000000"/>
            </w:tcBorders>
          </w:tcPr>
          <w:p>
            <w:pPr/>
          </w:p>
        </w:tc>
        <w:tc>
          <w:tcPr>
            <w:tcW w:w="14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167,428,800.00</w:t>
            </w:r>
          </w:p>
        </w:tc>
        <w:tc>
          <w:tcPr>
            <w:tcW w:w="13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172,428,800.00</w:t>
            </w:r>
          </w:p>
        </w:tc>
      </w:tr>
      <w:tr>
        <w:trPr>
          <w:trHeight w:val="355" w:hRule="exact"/>
        </w:trPr>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1277" w:type="dxa"/>
            <w:tcBorders>
              <w:top w:val="single" w:sz="12" w:space="0" w:color="000000"/>
              <w:left w:val="single" w:sz="6" w:space="0" w:color="000000"/>
              <w:bottom w:val="single" w:sz="12" w:space="0" w:color="000000"/>
              <w:right w:val="single" w:sz="6" w:space="0" w:color="000000"/>
            </w:tcBorders>
          </w:tcPr>
          <w:p>
            <w:pPr/>
          </w:p>
        </w:tc>
        <w:tc>
          <w:tcPr>
            <w:tcW w:w="1560" w:type="dxa"/>
            <w:tcBorders>
              <w:top w:val="single" w:sz="12" w:space="0" w:color="000000"/>
              <w:left w:val="single" w:sz="6" w:space="0" w:color="000000"/>
              <w:bottom w:val="single" w:sz="12" w:space="0" w:color="000000"/>
              <w:right w:val="single" w:sz="6" w:space="0" w:color="000000"/>
            </w:tcBorders>
          </w:tcPr>
          <w:p>
            <w:pPr/>
          </w:p>
        </w:tc>
        <w:tc>
          <w:tcPr>
            <w:tcW w:w="1416" w:type="dxa"/>
            <w:tcBorders>
              <w:top w:val="single" w:sz="12" w:space="0" w:color="000000"/>
              <w:left w:val="single" w:sz="6" w:space="0" w:color="000000"/>
              <w:bottom w:val="single" w:sz="12" w:space="0" w:color="000000"/>
              <w:right w:val="single" w:sz="6" w:space="0" w:color="000000"/>
            </w:tcBorders>
          </w:tcPr>
          <w:p>
            <w:pPr/>
          </w:p>
        </w:tc>
        <w:tc>
          <w:tcPr>
            <w:tcW w:w="1421" w:type="dxa"/>
            <w:tcBorders>
              <w:top w:val="single" w:sz="12" w:space="0" w:color="000000"/>
              <w:left w:val="single" w:sz="6" w:space="0" w:color="000000"/>
              <w:bottom w:val="single" w:sz="12" w:space="0" w:color="000000"/>
              <w:right w:val="single" w:sz="6" w:space="0" w:color="000000"/>
            </w:tcBorders>
          </w:tcPr>
          <w:p>
            <w:pPr/>
          </w:p>
        </w:tc>
        <w:tc>
          <w:tcPr>
            <w:tcW w:w="1332"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610,095,393.00</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184,799,300.03</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23,500,000.00</w:t>
            </w:r>
          </w:p>
        </w:tc>
        <w:tc>
          <w:tcPr>
            <w:tcW w:w="14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167,428,800.00</w:t>
            </w:r>
          </w:p>
        </w:tc>
        <w:tc>
          <w:tcPr>
            <w:tcW w:w="13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985,823,493.03</w:t>
            </w:r>
          </w:p>
        </w:tc>
      </w:tr>
    </w:tbl>
    <w:p>
      <w:pPr>
        <w:spacing w:line="240" w:lineRule="auto" w:before="1"/>
        <w:rPr>
          <w:rFonts w:ascii="宋体" w:hAnsi="宋体" w:cs="宋体" w:eastAsia="宋体" w:hint="default"/>
          <w:sz w:val="5"/>
          <w:szCs w:val="5"/>
        </w:rPr>
      </w:pPr>
    </w:p>
    <w:p>
      <w:pPr>
        <w:pStyle w:val="Heading3"/>
        <w:spacing w:line="240" w:lineRule="auto"/>
        <w:ind w:right="0"/>
        <w:jc w:val="left"/>
      </w:pPr>
      <w:r>
        <w:rPr>
          <w:w w:val="100"/>
        </w:rPr>
        <w:t>续</w:t>
      </w:r>
    </w:p>
    <w:p>
      <w:pPr>
        <w:spacing w:line="240" w:lineRule="auto" w:before="9"/>
        <w:rPr>
          <w:rFonts w:ascii="宋体" w:hAnsi="宋体" w:cs="宋体" w:eastAsia="宋体" w:hint="default"/>
          <w:sz w:val="12"/>
          <w:szCs w:val="12"/>
        </w:rPr>
      </w:pPr>
    </w:p>
    <w:tbl>
      <w:tblPr>
        <w:tblW w:w="0" w:type="auto"/>
        <w:jc w:val="left"/>
        <w:tblInd w:w="143" w:type="dxa"/>
        <w:tblLayout w:type="fixed"/>
        <w:tblCellMar>
          <w:top w:w="0" w:type="dxa"/>
          <w:left w:w="0" w:type="dxa"/>
          <w:bottom w:w="0" w:type="dxa"/>
          <w:right w:w="0" w:type="dxa"/>
        </w:tblCellMar>
        <w:tblLook w:val="01E0"/>
      </w:tblPr>
      <w:tblGrid>
        <w:gridCol w:w="1522"/>
        <w:gridCol w:w="7613"/>
      </w:tblGrid>
      <w:tr>
        <w:trPr>
          <w:trHeight w:val="358" w:hRule="exact"/>
        </w:trPr>
        <w:tc>
          <w:tcPr>
            <w:tcW w:w="15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61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1522"/>
        <w:gridCol w:w="1522"/>
        <w:gridCol w:w="1518"/>
        <w:gridCol w:w="1522"/>
        <w:gridCol w:w="1522"/>
        <w:gridCol w:w="1529"/>
      </w:tblGrid>
      <w:tr>
        <w:trPr>
          <w:trHeight w:val="353" w:hRule="exact"/>
        </w:trPr>
        <w:tc>
          <w:tcPr>
            <w:tcW w:w="1522" w:type="dxa"/>
            <w:tcBorders>
              <w:top w:val="single" w:sz="6" w:space="0" w:color="000000"/>
              <w:left w:val="single" w:sz="6" w:space="0" w:color="000000"/>
              <w:bottom w:val="single" w:sz="12" w:space="0" w:color="000000"/>
              <w:right w:val="single" w:sz="6" w:space="0" w:color="000000"/>
            </w:tcBorders>
          </w:tcPr>
          <w:p>
            <w:pPr/>
          </w:p>
        </w:tc>
        <w:tc>
          <w:tcPr>
            <w:tcW w:w="15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到</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15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8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到</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15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152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5" w:hRule="exact"/>
        </w:trPr>
        <w:tc>
          <w:tcPr>
            <w:tcW w:w="15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5"/>
              <w:jc w:val="right"/>
              <w:rPr>
                <w:rFonts w:ascii="Times New Roman" w:hAnsi="Times New Roman" w:cs="Times New Roman" w:eastAsia="Times New Roman" w:hint="default"/>
                <w:sz w:val="18"/>
                <w:szCs w:val="18"/>
              </w:rPr>
            </w:pPr>
            <w:r>
              <w:rPr>
                <w:rFonts w:ascii="Times New Roman"/>
                <w:spacing w:val="-1"/>
                <w:sz w:val="18"/>
              </w:rPr>
              <w:t>178,208,372.42</w:t>
            </w:r>
          </w:p>
        </w:tc>
        <w:tc>
          <w:tcPr>
            <w:tcW w:w="1518" w:type="dxa"/>
            <w:tcBorders>
              <w:top w:val="single" w:sz="12" w:space="0" w:color="000000"/>
              <w:left w:val="single" w:sz="6" w:space="0" w:color="000000"/>
              <w:bottom w:val="single" w:sz="12" w:space="0" w:color="000000"/>
              <w:right w:val="single" w:sz="6" w:space="0" w:color="000000"/>
            </w:tcBorders>
          </w:tcPr>
          <w:p>
            <w:pPr/>
          </w:p>
        </w:tc>
        <w:tc>
          <w:tcPr>
            <w:tcW w:w="1522" w:type="dxa"/>
            <w:tcBorders>
              <w:top w:val="single" w:sz="12" w:space="0" w:color="000000"/>
              <w:left w:val="single" w:sz="6" w:space="0" w:color="000000"/>
              <w:bottom w:val="single" w:sz="12" w:space="0" w:color="000000"/>
              <w:right w:val="single" w:sz="6" w:space="0" w:color="000000"/>
            </w:tcBorders>
          </w:tcPr>
          <w:p>
            <w:pPr/>
          </w:p>
        </w:tc>
        <w:tc>
          <w:tcPr>
            <w:tcW w:w="1522" w:type="dxa"/>
            <w:tcBorders>
              <w:top w:val="single" w:sz="12" w:space="0" w:color="000000"/>
              <w:left w:val="single" w:sz="6" w:space="0" w:color="000000"/>
              <w:bottom w:val="single" w:sz="12" w:space="0" w:color="000000"/>
              <w:right w:val="single" w:sz="6" w:space="0" w:color="000000"/>
            </w:tcBorders>
          </w:tcPr>
          <w:p>
            <w:pPr/>
          </w:p>
        </w:tc>
        <w:tc>
          <w:tcPr>
            <w:tcW w:w="15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7"/>
              <w:ind w:right="8"/>
              <w:jc w:val="right"/>
              <w:rPr>
                <w:rFonts w:ascii="Times New Roman" w:hAnsi="Times New Roman" w:cs="Times New Roman" w:eastAsia="Times New Roman" w:hint="default"/>
                <w:sz w:val="18"/>
                <w:szCs w:val="18"/>
              </w:rPr>
            </w:pPr>
            <w:r>
              <w:rPr>
                <w:rFonts w:ascii="Times New Roman"/>
                <w:spacing w:val="-1"/>
                <w:sz w:val="18"/>
              </w:rPr>
              <w:t>178,208,372.42</w:t>
            </w:r>
          </w:p>
        </w:tc>
      </w:tr>
      <w:tr>
        <w:trPr>
          <w:trHeight w:val="350" w:hRule="exact"/>
        </w:trPr>
        <w:tc>
          <w:tcPr>
            <w:tcW w:w="15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140,826,664.50</w:t>
            </w:r>
          </w:p>
        </w:tc>
        <w:tc>
          <w:tcPr>
            <w:tcW w:w="1518" w:type="dxa"/>
            <w:tcBorders>
              <w:top w:val="single" w:sz="12" w:space="0" w:color="000000"/>
              <w:left w:val="single" w:sz="6" w:space="0" w:color="000000"/>
              <w:bottom w:val="single" w:sz="12" w:space="0" w:color="000000"/>
              <w:right w:val="single" w:sz="6" w:space="0" w:color="000000"/>
            </w:tcBorders>
          </w:tcPr>
          <w:p>
            <w:pPr/>
          </w:p>
        </w:tc>
        <w:tc>
          <w:tcPr>
            <w:tcW w:w="1522" w:type="dxa"/>
            <w:tcBorders>
              <w:top w:val="single" w:sz="12" w:space="0" w:color="000000"/>
              <w:left w:val="single" w:sz="6" w:space="0" w:color="000000"/>
              <w:bottom w:val="single" w:sz="12" w:space="0" w:color="000000"/>
              <w:right w:val="single" w:sz="6" w:space="0" w:color="000000"/>
            </w:tcBorders>
          </w:tcPr>
          <w:p>
            <w:pPr/>
          </w:p>
        </w:tc>
        <w:tc>
          <w:tcPr>
            <w:tcW w:w="1522" w:type="dxa"/>
            <w:tcBorders>
              <w:top w:val="single" w:sz="12" w:space="0" w:color="000000"/>
              <w:left w:val="single" w:sz="6" w:space="0" w:color="000000"/>
              <w:bottom w:val="single" w:sz="12" w:space="0" w:color="000000"/>
              <w:right w:val="single" w:sz="6" w:space="0" w:color="000000"/>
            </w:tcBorders>
          </w:tcPr>
          <w:p>
            <w:pPr/>
          </w:p>
        </w:tc>
        <w:tc>
          <w:tcPr>
            <w:tcW w:w="15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pacing w:val="-1"/>
                <w:sz w:val="18"/>
              </w:rPr>
              <w:t>140,826,664.50</w:t>
            </w:r>
          </w:p>
        </w:tc>
      </w:tr>
      <w:tr>
        <w:trPr>
          <w:trHeight w:val="351" w:hRule="exact"/>
        </w:trPr>
        <w:tc>
          <w:tcPr>
            <w:tcW w:w="15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5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4"/>
              <w:jc w:val="right"/>
              <w:rPr>
                <w:rFonts w:ascii="Times New Roman" w:hAnsi="Times New Roman" w:cs="Times New Roman" w:eastAsia="Times New Roman" w:hint="default"/>
                <w:sz w:val="18"/>
                <w:szCs w:val="18"/>
              </w:rPr>
            </w:pPr>
            <w:r>
              <w:rPr>
                <w:rFonts w:ascii="Times New Roman"/>
                <w:spacing w:val="-1"/>
                <w:sz w:val="18"/>
              </w:rPr>
              <w:t>15,601,309.16</w:t>
            </w:r>
          </w:p>
        </w:tc>
        <w:tc>
          <w:tcPr>
            <w:tcW w:w="1518" w:type="dxa"/>
            <w:tcBorders>
              <w:top w:val="single" w:sz="12" w:space="0" w:color="000000"/>
              <w:left w:val="single" w:sz="6" w:space="0" w:color="000000"/>
              <w:bottom w:val="single" w:sz="12" w:space="0" w:color="000000"/>
              <w:right w:val="single" w:sz="6" w:space="0" w:color="000000"/>
            </w:tcBorders>
          </w:tcPr>
          <w:p>
            <w:pPr/>
          </w:p>
        </w:tc>
        <w:tc>
          <w:tcPr>
            <w:tcW w:w="1522" w:type="dxa"/>
            <w:tcBorders>
              <w:top w:val="single" w:sz="12" w:space="0" w:color="000000"/>
              <w:left w:val="single" w:sz="6" w:space="0" w:color="000000"/>
              <w:bottom w:val="single" w:sz="12" w:space="0" w:color="000000"/>
              <w:right w:val="single" w:sz="6" w:space="0" w:color="000000"/>
            </w:tcBorders>
          </w:tcPr>
          <w:p>
            <w:pPr/>
          </w:p>
        </w:tc>
        <w:tc>
          <w:tcPr>
            <w:tcW w:w="1522" w:type="dxa"/>
            <w:tcBorders>
              <w:top w:val="single" w:sz="12" w:space="0" w:color="000000"/>
              <w:left w:val="single" w:sz="6" w:space="0" w:color="000000"/>
              <w:bottom w:val="single" w:sz="12" w:space="0" w:color="000000"/>
              <w:right w:val="single" w:sz="6" w:space="0" w:color="000000"/>
            </w:tcBorders>
          </w:tcPr>
          <w:p>
            <w:pPr/>
          </w:p>
        </w:tc>
        <w:tc>
          <w:tcPr>
            <w:tcW w:w="15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3"/>
              <w:ind w:right="8"/>
              <w:jc w:val="right"/>
              <w:rPr>
                <w:rFonts w:ascii="Times New Roman" w:hAnsi="Times New Roman" w:cs="Times New Roman" w:eastAsia="Times New Roman" w:hint="default"/>
                <w:sz w:val="18"/>
                <w:szCs w:val="18"/>
              </w:rPr>
            </w:pPr>
            <w:r>
              <w:rPr>
                <w:rFonts w:ascii="Times New Roman"/>
                <w:spacing w:val="-1"/>
                <w:sz w:val="18"/>
              </w:rPr>
              <w:t>15,601,309.16</w:t>
            </w:r>
          </w:p>
        </w:tc>
      </w:tr>
      <w:tr>
        <w:trPr>
          <w:trHeight w:val="355" w:hRule="exact"/>
        </w:trPr>
        <w:tc>
          <w:tcPr>
            <w:tcW w:w="15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5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5"/>
              <w:jc w:val="right"/>
              <w:rPr>
                <w:rFonts w:ascii="Times New Roman" w:hAnsi="Times New Roman" w:cs="Times New Roman" w:eastAsia="Times New Roman" w:hint="default"/>
                <w:sz w:val="18"/>
                <w:szCs w:val="18"/>
              </w:rPr>
            </w:pPr>
            <w:r>
              <w:rPr>
                <w:rFonts w:ascii="Times New Roman"/>
                <w:spacing w:val="-1"/>
                <w:sz w:val="18"/>
              </w:rPr>
              <w:t>1,037,941.23</w:t>
            </w:r>
          </w:p>
        </w:tc>
        <w:tc>
          <w:tcPr>
            <w:tcW w:w="1518" w:type="dxa"/>
            <w:tcBorders>
              <w:top w:val="single" w:sz="12" w:space="0" w:color="000000"/>
              <w:left w:val="single" w:sz="6" w:space="0" w:color="000000"/>
              <w:bottom w:val="single" w:sz="12" w:space="0" w:color="000000"/>
              <w:right w:val="single" w:sz="6" w:space="0" w:color="000000"/>
            </w:tcBorders>
          </w:tcPr>
          <w:p>
            <w:pPr/>
          </w:p>
        </w:tc>
        <w:tc>
          <w:tcPr>
            <w:tcW w:w="1522" w:type="dxa"/>
            <w:tcBorders>
              <w:top w:val="single" w:sz="12" w:space="0" w:color="000000"/>
              <w:left w:val="single" w:sz="6" w:space="0" w:color="000000"/>
              <w:bottom w:val="single" w:sz="12" w:space="0" w:color="000000"/>
              <w:right w:val="single" w:sz="6" w:space="0" w:color="000000"/>
            </w:tcBorders>
          </w:tcPr>
          <w:p>
            <w:pPr/>
          </w:p>
        </w:tc>
        <w:tc>
          <w:tcPr>
            <w:tcW w:w="1522" w:type="dxa"/>
            <w:tcBorders>
              <w:top w:val="single" w:sz="12" w:space="0" w:color="000000"/>
              <w:left w:val="single" w:sz="6" w:space="0" w:color="000000"/>
              <w:bottom w:val="single" w:sz="12" w:space="0" w:color="000000"/>
              <w:right w:val="single" w:sz="6" w:space="0" w:color="000000"/>
            </w:tcBorders>
          </w:tcPr>
          <w:p>
            <w:pPr/>
          </w:p>
        </w:tc>
        <w:tc>
          <w:tcPr>
            <w:tcW w:w="15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7"/>
              <w:ind w:right="8"/>
              <w:jc w:val="right"/>
              <w:rPr>
                <w:rFonts w:ascii="Times New Roman" w:hAnsi="Times New Roman" w:cs="Times New Roman" w:eastAsia="Times New Roman" w:hint="default"/>
                <w:sz w:val="18"/>
                <w:szCs w:val="18"/>
              </w:rPr>
            </w:pPr>
            <w:r>
              <w:rPr>
                <w:rFonts w:ascii="Times New Roman"/>
                <w:spacing w:val="-1"/>
                <w:sz w:val="18"/>
              </w:rPr>
              <w:t>1,037,941.23</w:t>
            </w:r>
          </w:p>
        </w:tc>
      </w:tr>
      <w:tr>
        <w:trPr>
          <w:trHeight w:val="350" w:hRule="exact"/>
        </w:trPr>
        <w:tc>
          <w:tcPr>
            <w:tcW w:w="15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9,226,605.76</w:t>
            </w:r>
          </w:p>
        </w:tc>
        <w:tc>
          <w:tcPr>
            <w:tcW w:w="1518" w:type="dxa"/>
            <w:tcBorders>
              <w:top w:val="single" w:sz="12" w:space="0" w:color="000000"/>
              <w:left w:val="single" w:sz="6" w:space="0" w:color="000000"/>
              <w:bottom w:val="single" w:sz="12" w:space="0" w:color="000000"/>
              <w:right w:val="single" w:sz="6" w:space="0" w:color="000000"/>
            </w:tcBorders>
          </w:tcPr>
          <w:p>
            <w:pPr/>
          </w:p>
        </w:tc>
        <w:tc>
          <w:tcPr>
            <w:tcW w:w="1522" w:type="dxa"/>
            <w:tcBorders>
              <w:top w:val="single" w:sz="12" w:space="0" w:color="000000"/>
              <w:left w:val="single" w:sz="6" w:space="0" w:color="000000"/>
              <w:bottom w:val="single" w:sz="12" w:space="0" w:color="000000"/>
              <w:right w:val="single" w:sz="6" w:space="0" w:color="000000"/>
            </w:tcBorders>
          </w:tcPr>
          <w:p>
            <w:pPr/>
          </w:p>
        </w:tc>
        <w:tc>
          <w:tcPr>
            <w:tcW w:w="1522" w:type="dxa"/>
            <w:tcBorders>
              <w:top w:val="single" w:sz="12" w:space="0" w:color="000000"/>
              <w:left w:val="single" w:sz="6" w:space="0" w:color="000000"/>
              <w:bottom w:val="single" w:sz="12" w:space="0" w:color="000000"/>
              <w:right w:val="single" w:sz="6" w:space="0" w:color="000000"/>
            </w:tcBorders>
          </w:tcPr>
          <w:p>
            <w:pPr/>
          </w:p>
        </w:tc>
        <w:tc>
          <w:tcPr>
            <w:tcW w:w="15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pacing w:val="-1"/>
                <w:sz w:val="18"/>
              </w:rPr>
              <w:t>9,226,605.76</w:t>
            </w:r>
          </w:p>
        </w:tc>
      </w:tr>
      <w:tr>
        <w:trPr>
          <w:trHeight w:val="663" w:hRule="exact"/>
        </w:trPr>
        <w:tc>
          <w:tcPr>
            <w:tcW w:w="152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1"/>
              <w:jc w:val="left"/>
              <w:rPr>
                <w:rFonts w:ascii="宋体" w:hAnsi="宋体" w:cs="宋体" w:eastAsia="宋体" w:hint="default"/>
                <w:sz w:val="18"/>
                <w:szCs w:val="18"/>
              </w:rPr>
            </w:pPr>
            <w:r>
              <w:rPr>
                <w:rFonts w:ascii="宋体" w:hAnsi="宋体" w:cs="宋体" w:eastAsia="宋体" w:hint="default"/>
                <w:spacing w:val="3"/>
                <w:sz w:val="18"/>
                <w:szCs w:val="18"/>
              </w:rPr>
              <w:t>一年内到期的非流</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动负债</w:t>
            </w:r>
          </w:p>
        </w:tc>
        <w:tc>
          <w:tcPr>
            <w:tcW w:w="15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327,603,137.04</w:t>
            </w:r>
          </w:p>
        </w:tc>
        <w:tc>
          <w:tcPr>
            <w:tcW w:w="1518" w:type="dxa"/>
            <w:tcBorders>
              <w:top w:val="single" w:sz="12" w:space="0" w:color="000000"/>
              <w:left w:val="single" w:sz="6" w:space="0" w:color="000000"/>
              <w:bottom w:val="single" w:sz="12" w:space="0" w:color="000000"/>
              <w:right w:val="single" w:sz="6" w:space="0" w:color="000000"/>
            </w:tcBorders>
          </w:tcPr>
          <w:p>
            <w:pPr/>
          </w:p>
        </w:tc>
        <w:tc>
          <w:tcPr>
            <w:tcW w:w="1522" w:type="dxa"/>
            <w:tcBorders>
              <w:top w:val="single" w:sz="12" w:space="0" w:color="000000"/>
              <w:left w:val="single" w:sz="6" w:space="0" w:color="000000"/>
              <w:bottom w:val="single" w:sz="12" w:space="0" w:color="000000"/>
              <w:right w:val="single" w:sz="6" w:space="0" w:color="000000"/>
            </w:tcBorders>
          </w:tcPr>
          <w:p>
            <w:pPr/>
          </w:p>
        </w:tc>
        <w:tc>
          <w:tcPr>
            <w:tcW w:w="1522" w:type="dxa"/>
            <w:tcBorders>
              <w:top w:val="single" w:sz="12" w:space="0" w:color="000000"/>
              <w:left w:val="single" w:sz="6" w:space="0" w:color="000000"/>
              <w:bottom w:val="single" w:sz="12" w:space="0" w:color="000000"/>
              <w:right w:val="single" w:sz="6" w:space="0" w:color="000000"/>
            </w:tcBorders>
          </w:tcPr>
          <w:p>
            <w:pPr/>
          </w:p>
        </w:tc>
        <w:tc>
          <w:tcPr>
            <w:tcW w:w="15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pacing w:val="-1"/>
                <w:sz w:val="18"/>
              </w:rPr>
              <w:t>327,603,137.04</w:t>
            </w:r>
          </w:p>
        </w:tc>
      </w:tr>
      <w:tr>
        <w:trPr>
          <w:trHeight w:val="355" w:hRule="exact"/>
        </w:trPr>
        <w:tc>
          <w:tcPr>
            <w:tcW w:w="15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22" w:type="dxa"/>
            <w:tcBorders>
              <w:top w:val="single" w:sz="12" w:space="0" w:color="000000"/>
              <w:left w:val="single" w:sz="6" w:space="0" w:color="000000"/>
              <w:bottom w:val="single" w:sz="12" w:space="0" w:color="000000"/>
              <w:right w:val="single" w:sz="6" w:space="0" w:color="000000"/>
            </w:tcBorders>
          </w:tcPr>
          <w:p>
            <w:pPr/>
          </w:p>
        </w:tc>
        <w:tc>
          <w:tcPr>
            <w:tcW w:w="15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9"/>
              <w:jc w:val="right"/>
              <w:rPr>
                <w:rFonts w:ascii="Times New Roman" w:hAnsi="Times New Roman" w:cs="Times New Roman" w:eastAsia="Times New Roman" w:hint="default"/>
                <w:sz w:val="18"/>
                <w:szCs w:val="18"/>
              </w:rPr>
            </w:pPr>
            <w:r>
              <w:rPr>
                <w:rFonts w:ascii="Times New Roman"/>
                <w:spacing w:val="-1"/>
                <w:sz w:val="18"/>
              </w:rPr>
              <w:t>230,663,328.49</w:t>
            </w:r>
          </w:p>
        </w:tc>
        <w:tc>
          <w:tcPr>
            <w:tcW w:w="1522" w:type="dxa"/>
            <w:tcBorders>
              <w:top w:val="single" w:sz="12" w:space="0" w:color="000000"/>
              <w:left w:val="single" w:sz="6" w:space="0" w:color="000000"/>
              <w:bottom w:val="single" w:sz="12" w:space="0" w:color="000000"/>
              <w:right w:val="single" w:sz="6" w:space="0" w:color="000000"/>
            </w:tcBorders>
          </w:tcPr>
          <w:p>
            <w:pPr/>
          </w:p>
        </w:tc>
        <w:tc>
          <w:tcPr>
            <w:tcW w:w="15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left="475" w:right="-9"/>
              <w:jc w:val="left"/>
              <w:rPr>
                <w:rFonts w:ascii="Times New Roman" w:hAnsi="Times New Roman" w:cs="Times New Roman" w:eastAsia="Times New Roman" w:hint="default"/>
                <w:sz w:val="18"/>
                <w:szCs w:val="18"/>
              </w:rPr>
            </w:pPr>
            <w:r>
              <w:rPr>
                <w:rFonts w:ascii="Times New Roman"/>
                <w:sz w:val="18"/>
              </w:rPr>
              <w:t>47,000,000.00</w:t>
            </w:r>
          </w:p>
        </w:tc>
        <w:tc>
          <w:tcPr>
            <w:tcW w:w="15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7"/>
              <w:ind w:right="8"/>
              <w:jc w:val="right"/>
              <w:rPr>
                <w:rFonts w:ascii="Times New Roman" w:hAnsi="Times New Roman" w:cs="Times New Roman" w:eastAsia="Times New Roman" w:hint="default"/>
                <w:sz w:val="18"/>
                <w:szCs w:val="18"/>
              </w:rPr>
            </w:pPr>
            <w:r>
              <w:rPr>
                <w:rFonts w:ascii="Times New Roman"/>
                <w:spacing w:val="-1"/>
                <w:sz w:val="18"/>
              </w:rPr>
              <w:t>277,663,328.49</w:t>
            </w:r>
          </w:p>
        </w:tc>
      </w:tr>
      <w:tr>
        <w:trPr>
          <w:trHeight w:val="350" w:hRule="exact"/>
        </w:trPr>
        <w:tc>
          <w:tcPr>
            <w:tcW w:w="15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522" w:type="dxa"/>
            <w:tcBorders>
              <w:top w:val="single" w:sz="12" w:space="0" w:color="000000"/>
              <w:left w:val="single" w:sz="6" w:space="0" w:color="000000"/>
              <w:bottom w:val="single" w:sz="12" w:space="0" w:color="000000"/>
              <w:right w:val="single" w:sz="6" w:space="0" w:color="000000"/>
            </w:tcBorders>
          </w:tcPr>
          <w:p>
            <w:pPr/>
          </w:p>
        </w:tc>
        <w:tc>
          <w:tcPr>
            <w:tcW w:w="15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9"/>
              <w:jc w:val="right"/>
              <w:rPr>
                <w:rFonts w:ascii="Times New Roman" w:hAnsi="Times New Roman" w:cs="Times New Roman" w:eastAsia="Times New Roman" w:hint="default"/>
                <w:sz w:val="18"/>
                <w:szCs w:val="18"/>
              </w:rPr>
            </w:pPr>
            <w:r>
              <w:rPr>
                <w:rFonts w:ascii="Times New Roman"/>
                <w:spacing w:val="-1"/>
                <w:sz w:val="18"/>
              </w:rPr>
              <w:t>169,716,800.00</w:t>
            </w:r>
          </w:p>
        </w:tc>
        <w:tc>
          <w:tcPr>
            <w:tcW w:w="15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9"/>
              <w:jc w:val="right"/>
              <w:rPr>
                <w:rFonts w:ascii="Times New Roman" w:hAnsi="Times New Roman" w:cs="Times New Roman" w:eastAsia="Times New Roman" w:hint="default"/>
                <w:sz w:val="18"/>
                <w:szCs w:val="18"/>
              </w:rPr>
            </w:pPr>
            <w:r>
              <w:rPr>
                <w:rFonts w:ascii="Times New Roman"/>
                <w:spacing w:val="-1"/>
                <w:sz w:val="18"/>
              </w:rPr>
              <w:t>5,000,000.00</w:t>
            </w:r>
          </w:p>
        </w:tc>
        <w:tc>
          <w:tcPr>
            <w:tcW w:w="1522" w:type="dxa"/>
            <w:tcBorders>
              <w:top w:val="single" w:sz="12" w:space="0" w:color="000000"/>
              <w:left w:val="single" w:sz="6" w:space="0" w:color="000000"/>
              <w:bottom w:val="single" w:sz="12" w:space="0" w:color="000000"/>
              <w:right w:val="single" w:sz="6" w:space="0" w:color="000000"/>
            </w:tcBorders>
          </w:tcPr>
          <w:p>
            <w:pPr/>
          </w:p>
        </w:tc>
        <w:tc>
          <w:tcPr>
            <w:tcW w:w="15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pacing w:val="-1"/>
                <w:sz w:val="18"/>
              </w:rPr>
              <w:t>174,716,800.00</w:t>
            </w:r>
          </w:p>
        </w:tc>
      </w:tr>
      <w:tr>
        <w:trPr>
          <w:trHeight w:val="350" w:hRule="exact"/>
        </w:trPr>
        <w:tc>
          <w:tcPr>
            <w:tcW w:w="15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1522" w:type="dxa"/>
            <w:tcBorders>
              <w:top w:val="single" w:sz="12" w:space="0" w:color="000000"/>
              <w:left w:val="single" w:sz="6" w:space="0" w:color="000000"/>
              <w:bottom w:val="single" w:sz="12" w:space="0" w:color="000000"/>
              <w:right w:val="single" w:sz="6" w:space="0" w:color="000000"/>
            </w:tcBorders>
          </w:tcPr>
          <w:p>
            <w:pPr/>
          </w:p>
        </w:tc>
        <w:tc>
          <w:tcPr>
            <w:tcW w:w="15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9"/>
              <w:jc w:val="right"/>
              <w:rPr>
                <w:rFonts w:ascii="Times New Roman" w:hAnsi="Times New Roman" w:cs="Times New Roman" w:eastAsia="Times New Roman" w:hint="default"/>
                <w:sz w:val="18"/>
                <w:szCs w:val="18"/>
              </w:rPr>
            </w:pPr>
            <w:r>
              <w:rPr>
                <w:rFonts w:ascii="Times New Roman"/>
                <w:spacing w:val="-1"/>
                <w:sz w:val="18"/>
              </w:rPr>
              <w:t>6,131,574.78</w:t>
            </w:r>
          </w:p>
        </w:tc>
        <w:tc>
          <w:tcPr>
            <w:tcW w:w="1522" w:type="dxa"/>
            <w:tcBorders>
              <w:top w:val="single" w:sz="12" w:space="0" w:color="000000"/>
              <w:left w:val="single" w:sz="6" w:space="0" w:color="000000"/>
              <w:bottom w:val="single" w:sz="12" w:space="0" w:color="000000"/>
              <w:right w:val="single" w:sz="6" w:space="0" w:color="000000"/>
            </w:tcBorders>
          </w:tcPr>
          <w:p>
            <w:pPr/>
          </w:p>
        </w:tc>
        <w:tc>
          <w:tcPr>
            <w:tcW w:w="1522" w:type="dxa"/>
            <w:tcBorders>
              <w:top w:val="single" w:sz="12" w:space="0" w:color="000000"/>
              <w:left w:val="single" w:sz="6" w:space="0" w:color="000000"/>
              <w:bottom w:val="single" w:sz="12" w:space="0" w:color="000000"/>
              <w:right w:val="single" w:sz="6" w:space="0" w:color="000000"/>
            </w:tcBorders>
          </w:tcPr>
          <w:p>
            <w:pPr/>
          </w:p>
        </w:tc>
        <w:tc>
          <w:tcPr>
            <w:tcW w:w="15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pacing w:val="-1"/>
                <w:sz w:val="18"/>
              </w:rPr>
              <w:t>6,131,574.78</w:t>
            </w:r>
          </w:p>
        </w:tc>
      </w:tr>
      <w:tr>
        <w:trPr>
          <w:trHeight w:val="355" w:hRule="exact"/>
        </w:trPr>
        <w:tc>
          <w:tcPr>
            <w:tcW w:w="15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5"/>
              <w:jc w:val="right"/>
              <w:rPr>
                <w:rFonts w:ascii="Times New Roman" w:hAnsi="Times New Roman" w:cs="Times New Roman" w:eastAsia="Times New Roman" w:hint="default"/>
                <w:sz w:val="18"/>
                <w:szCs w:val="18"/>
              </w:rPr>
            </w:pPr>
            <w:r>
              <w:rPr>
                <w:rFonts w:ascii="Times New Roman"/>
                <w:spacing w:val="-1"/>
                <w:sz w:val="18"/>
              </w:rPr>
              <w:t>672,504,030.11</w:t>
            </w:r>
          </w:p>
        </w:tc>
        <w:tc>
          <w:tcPr>
            <w:tcW w:w="15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9"/>
              <w:jc w:val="right"/>
              <w:rPr>
                <w:rFonts w:ascii="Times New Roman" w:hAnsi="Times New Roman" w:cs="Times New Roman" w:eastAsia="Times New Roman" w:hint="default"/>
                <w:sz w:val="18"/>
                <w:szCs w:val="18"/>
              </w:rPr>
            </w:pPr>
            <w:r>
              <w:rPr>
                <w:rFonts w:ascii="Times New Roman"/>
                <w:spacing w:val="-1"/>
                <w:sz w:val="18"/>
              </w:rPr>
              <w:t>406,511,703.27</w:t>
            </w:r>
          </w:p>
        </w:tc>
        <w:tc>
          <w:tcPr>
            <w:tcW w:w="15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9"/>
              <w:jc w:val="right"/>
              <w:rPr>
                <w:rFonts w:ascii="Times New Roman" w:hAnsi="Times New Roman" w:cs="Times New Roman" w:eastAsia="Times New Roman" w:hint="default"/>
                <w:sz w:val="18"/>
                <w:szCs w:val="18"/>
              </w:rPr>
            </w:pPr>
            <w:r>
              <w:rPr>
                <w:rFonts w:ascii="Times New Roman"/>
                <w:spacing w:val="-1"/>
                <w:sz w:val="18"/>
              </w:rPr>
              <w:t>5,000,000.00</w:t>
            </w:r>
          </w:p>
        </w:tc>
        <w:tc>
          <w:tcPr>
            <w:tcW w:w="15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left="475" w:right="-9"/>
              <w:jc w:val="left"/>
              <w:rPr>
                <w:rFonts w:ascii="Times New Roman" w:hAnsi="Times New Roman" w:cs="Times New Roman" w:eastAsia="Times New Roman" w:hint="default"/>
                <w:sz w:val="18"/>
                <w:szCs w:val="18"/>
              </w:rPr>
            </w:pPr>
            <w:r>
              <w:rPr>
                <w:rFonts w:ascii="Times New Roman"/>
                <w:sz w:val="18"/>
              </w:rPr>
              <w:t>47,000,000.00</w:t>
            </w:r>
          </w:p>
        </w:tc>
        <w:tc>
          <w:tcPr>
            <w:tcW w:w="15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7"/>
              <w:ind w:right="8"/>
              <w:jc w:val="right"/>
              <w:rPr>
                <w:rFonts w:ascii="Times New Roman" w:hAnsi="Times New Roman" w:cs="Times New Roman" w:eastAsia="Times New Roman" w:hint="default"/>
                <w:sz w:val="18"/>
                <w:szCs w:val="18"/>
              </w:rPr>
            </w:pPr>
            <w:r>
              <w:rPr>
                <w:rFonts w:ascii="Times New Roman"/>
                <w:spacing w:val="-2"/>
                <w:sz w:val="18"/>
              </w:rPr>
              <w:t>1,131,015,733.38</w:t>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十一、公允价值的披露" w:id="338"/>
      <w:bookmarkEnd w:id="338"/>
      <w:r>
        <w:rPr>
          <w:b w:val="0"/>
          <w:bCs w:val="0"/>
        </w:rPr>
      </w: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以公允价值计量的资产和负债的期末公允价值" w:id="339"/>
      <w:bookmarkEnd w:id="339"/>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1"/>
        <w:gridCol w:w="1849"/>
        <w:gridCol w:w="1916"/>
        <w:gridCol w:w="1911"/>
        <w:gridCol w:w="1916"/>
      </w:tblGrid>
      <w:tr>
        <w:trPr>
          <w:trHeight w:val="399"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59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4"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8"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8"/>
              <w:ind w:left="835" w:right="99" w:hanging="720"/>
              <w:jc w:val="left"/>
              <w:rPr>
                <w:rFonts w:ascii="宋体" w:hAnsi="宋体" w:cs="宋体" w:eastAsia="宋体" w:hint="default"/>
                <w:sz w:val="18"/>
                <w:szCs w:val="18"/>
              </w:rPr>
            </w:pPr>
            <w:r>
              <w:rPr>
                <w:rFonts w:ascii="宋体" w:hAnsi="宋体" w:cs="宋体" w:eastAsia="宋体" w:hint="default"/>
                <w:spacing w:val="-3"/>
                <w:sz w:val="18"/>
                <w:szCs w:val="18"/>
              </w:rPr>
              <w:t>第一层次公允价值计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量</w:t>
            </w: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87"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49" w:type="dxa"/>
            <w:vMerge/>
            <w:tcBorders>
              <w:left w:val="single" w:sz="4" w:space="0" w:color="000000"/>
              <w:right w:val="single" w:sz="4" w:space="0" w:color="000000"/>
            </w:tcBorders>
            <w:shd w:val="clear" w:color="auto" w:fill="D2D2D2"/>
          </w:tcPr>
          <w:p>
            <w:pPr/>
          </w:p>
        </w:tc>
        <w:tc>
          <w:tcPr>
            <w:tcW w:w="19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52"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53"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2" w:hRule="exact"/>
        </w:trPr>
        <w:tc>
          <w:tcPr>
            <w:tcW w:w="1971" w:type="dxa"/>
            <w:vMerge w:val="restart"/>
            <w:tcBorders>
              <w:top w:val="nil" w:sz="6" w:space="0" w:color="auto"/>
              <w:left w:val="single" w:sz="4" w:space="0" w:color="000000"/>
              <w:right w:val="single" w:sz="4" w:space="0" w:color="000000"/>
            </w:tcBorders>
            <w:shd w:val="clear" w:color="auto" w:fill="D2D2D2"/>
          </w:tcPr>
          <w:p>
            <w:pPr/>
          </w:p>
        </w:tc>
        <w:tc>
          <w:tcPr>
            <w:tcW w:w="1849"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bottom w:val="nil" w:sz="6" w:space="0" w:color="auto"/>
              <w:right w:val="single" w:sz="4" w:space="0" w:color="000000"/>
            </w:tcBorders>
            <w:shd w:val="clear" w:color="auto" w:fill="D2D2D2"/>
          </w:tcPr>
          <w:p>
            <w:pPr/>
          </w:p>
        </w:tc>
        <w:tc>
          <w:tcPr>
            <w:tcW w:w="1911" w:type="dxa"/>
            <w:vMerge/>
            <w:tcBorders>
              <w:left w:val="single" w:sz="4" w:space="0" w:color="000000"/>
              <w:bottom w:val="nil" w:sz="6" w:space="0" w:color="auto"/>
              <w:right w:val="single" w:sz="4" w:space="0" w:color="000000"/>
            </w:tcBorders>
            <w:shd w:val="clear" w:color="auto" w:fill="D2D2D2"/>
          </w:tcPr>
          <w:p>
            <w:pPr/>
          </w:p>
        </w:tc>
        <w:tc>
          <w:tcPr>
            <w:tcW w:w="1916" w:type="dxa"/>
            <w:vMerge/>
            <w:tcBorders>
              <w:left w:val="single" w:sz="4" w:space="0" w:color="000000"/>
              <w:bottom w:val="nil" w:sz="6" w:space="0" w:color="auto"/>
              <w:right w:val="single" w:sz="4" w:space="0" w:color="000000"/>
            </w:tcBorders>
            <w:shd w:val="clear" w:color="auto" w:fill="D2D2D2"/>
          </w:tcPr>
          <w:p>
            <w:pPr/>
          </w:p>
        </w:tc>
      </w:tr>
      <w:tr>
        <w:trPr>
          <w:trHeight w:val="163"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49"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6"/>
                <w:sz w:val="18"/>
                <w:szCs w:val="18"/>
              </w:rPr>
              <w:t>一、持续的公允价值计量</w:t>
            </w:r>
          </w:p>
        </w:tc>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89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89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4"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z w:val="18"/>
                <w:szCs w:val="18"/>
              </w:rPr>
              <w:t>（一）交易性金融资产</w:t>
            </w:r>
          </w:p>
        </w:tc>
        <w:tc>
          <w:tcPr>
            <w:tcW w:w="1849"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845" w:right="0"/>
              <w:jc w:val="left"/>
              <w:rPr>
                <w:rFonts w:ascii="Times New Roman" w:hAnsi="Times New Roman" w:cs="Times New Roman" w:eastAsia="Times New Roman" w:hint="default"/>
                <w:sz w:val="18"/>
                <w:szCs w:val="18"/>
              </w:rPr>
            </w:pPr>
            <w:r>
              <w:rPr>
                <w:rFonts w:ascii="Times New Roman"/>
                <w:sz w:val="18"/>
              </w:rPr>
              <w:t>21,253,266.28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845" w:right="0"/>
              <w:jc w:val="left"/>
              <w:rPr>
                <w:rFonts w:ascii="Times New Roman" w:hAnsi="Times New Roman" w:cs="Times New Roman" w:eastAsia="Times New Roman" w:hint="default"/>
                <w:sz w:val="18"/>
                <w:szCs w:val="18"/>
              </w:rPr>
            </w:pPr>
            <w:r>
              <w:rPr>
                <w:rFonts w:ascii="Times New Roman"/>
                <w:sz w:val="18"/>
              </w:rPr>
              <w:t>21,253,266.28</w:t>
            </w:r>
          </w:p>
        </w:tc>
      </w:tr>
      <w:tr>
        <w:trPr>
          <w:trHeight w:val="1027"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1" w:right="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以公允价值计量且其变</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动计入当期损益的金融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资产</w:t>
            </w:r>
          </w:p>
        </w:tc>
        <w:tc>
          <w:tcPr>
            <w:tcW w:w="1849"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845" w:right="0"/>
              <w:jc w:val="left"/>
              <w:rPr>
                <w:rFonts w:ascii="Times New Roman" w:hAnsi="Times New Roman" w:cs="Times New Roman" w:eastAsia="Times New Roman" w:hint="default"/>
                <w:sz w:val="18"/>
                <w:szCs w:val="18"/>
              </w:rPr>
            </w:pPr>
            <w:r>
              <w:rPr>
                <w:rFonts w:ascii="Times New Roman"/>
                <w:sz w:val="18"/>
              </w:rPr>
              <w:t>21,253,266.28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845" w:right="0"/>
              <w:jc w:val="left"/>
              <w:rPr>
                <w:rFonts w:ascii="Times New Roman" w:hAnsi="Times New Roman" w:cs="Times New Roman" w:eastAsia="Times New Roman" w:hint="default"/>
                <w:sz w:val="18"/>
                <w:szCs w:val="18"/>
              </w:rPr>
            </w:pPr>
            <w:r>
              <w:rPr>
                <w:rFonts w:ascii="Times New Roman"/>
                <w:sz w:val="18"/>
              </w:rPr>
              <w:t>21,253,266.28</w:t>
            </w: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）衍生金融资产</w:t>
            </w:r>
          </w:p>
        </w:tc>
        <w:tc>
          <w:tcPr>
            <w:tcW w:w="1849"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45" w:right="0"/>
              <w:jc w:val="left"/>
              <w:rPr>
                <w:rFonts w:ascii="Times New Roman" w:hAnsi="Times New Roman" w:cs="Times New Roman" w:eastAsia="Times New Roman" w:hint="default"/>
                <w:sz w:val="18"/>
                <w:szCs w:val="18"/>
              </w:rPr>
            </w:pPr>
            <w:r>
              <w:rPr>
                <w:rFonts w:ascii="Times New Roman"/>
                <w:sz w:val="18"/>
              </w:rPr>
              <w:t>21,253,266.28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45" w:right="0"/>
              <w:jc w:val="left"/>
              <w:rPr>
                <w:rFonts w:ascii="Times New Roman" w:hAnsi="Times New Roman" w:cs="Times New Roman" w:eastAsia="Times New Roman" w:hint="default"/>
                <w:sz w:val="18"/>
                <w:szCs w:val="18"/>
              </w:rPr>
            </w:pPr>
            <w:r>
              <w:rPr>
                <w:rFonts w:ascii="Times New Roman"/>
                <w:sz w:val="18"/>
              </w:rPr>
              <w:t>21,253,266.28</w:t>
            </w:r>
          </w:p>
        </w:tc>
      </w:tr>
      <w:tr>
        <w:trPr>
          <w:trHeight w:val="399"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6"/>
                <w:sz w:val="18"/>
                <w:szCs w:val="18"/>
              </w:rPr>
              <w:t>（三）其他权益工具投资</w:t>
            </w:r>
          </w:p>
        </w:tc>
        <w:tc>
          <w:tcPr>
            <w:tcW w:w="1849"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45" w:right="0"/>
              <w:jc w:val="left"/>
              <w:rPr>
                <w:rFonts w:ascii="Times New Roman" w:hAnsi="Times New Roman" w:cs="Times New Roman" w:eastAsia="Times New Roman" w:hint="default"/>
                <w:sz w:val="18"/>
                <w:szCs w:val="18"/>
              </w:rPr>
            </w:pPr>
            <w:r>
              <w:rPr>
                <w:rFonts w:ascii="Times New Roman"/>
                <w:sz w:val="18"/>
              </w:rPr>
              <w:t>68,179,067.89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45" w:right="0"/>
              <w:jc w:val="left"/>
              <w:rPr>
                <w:rFonts w:ascii="Times New Roman" w:hAnsi="Times New Roman" w:cs="Times New Roman" w:eastAsia="Times New Roman" w:hint="default"/>
                <w:sz w:val="18"/>
                <w:szCs w:val="18"/>
              </w:rPr>
            </w:pPr>
            <w:r>
              <w:rPr>
                <w:rFonts w:ascii="Times New Roman"/>
                <w:sz w:val="18"/>
              </w:rPr>
              <w:t>68,179,067.89</w:t>
            </w:r>
          </w:p>
        </w:tc>
      </w:tr>
      <w:tr>
        <w:trPr>
          <w:trHeight w:val="715"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142"/>
              <w:jc w:val="left"/>
              <w:rPr>
                <w:rFonts w:ascii="宋体" w:hAnsi="宋体" w:cs="宋体" w:eastAsia="宋体" w:hint="default"/>
                <w:sz w:val="18"/>
                <w:szCs w:val="18"/>
              </w:rPr>
            </w:pPr>
            <w:r>
              <w:rPr>
                <w:rFonts w:ascii="宋体" w:hAnsi="宋体" w:cs="宋体" w:eastAsia="宋体" w:hint="default"/>
                <w:spacing w:val="-2"/>
                <w:sz w:val="18"/>
                <w:szCs w:val="18"/>
              </w:rPr>
              <w:t>持续以公允价值计量的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资产总额</w:t>
            </w:r>
          </w:p>
        </w:tc>
        <w:tc>
          <w:tcPr>
            <w:tcW w:w="1849"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45" w:right="0"/>
              <w:jc w:val="left"/>
              <w:rPr>
                <w:rFonts w:ascii="Times New Roman" w:hAnsi="Times New Roman" w:cs="Times New Roman" w:eastAsia="Times New Roman" w:hint="default"/>
                <w:sz w:val="18"/>
                <w:szCs w:val="18"/>
              </w:rPr>
            </w:pPr>
            <w:r>
              <w:rPr>
                <w:rFonts w:ascii="Times New Roman"/>
                <w:sz w:val="18"/>
              </w:rPr>
              <w:t>89,432,334.17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45" w:right="0"/>
              <w:jc w:val="left"/>
              <w:rPr>
                <w:rFonts w:ascii="Times New Roman" w:hAnsi="Times New Roman" w:cs="Times New Roman" w:eastAsia="Times New Roman" w:hint="default"/>
                <w:sz w:val="18"/>
                <w:szCs w:val="18"/>
              </w:rPr>
            </w:pPr>
            <w:r>
              <w:rPr>
                <w:rFonts w:ascii="Times New Roman"/>
                <w:sz w:val="18"/>
              </w:rPr>
              <w:t>89,432,334.17</w:t>
            </w:r>
          </w:p>
        </w:tc>
      </w:tr>
      <w:tr>
        <w:trPr>
          <w:trHeight w:val="163" w:hRule="exact"/>
        </w:trPr>
        <w:tc>
          <w:tcPr>
            <w:tcW w:w="1971"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11" w:right="3"/>
              <w:jc w:val="left"/>
              <w:rPr>
                <w:rFonts w:ascii="宋体" w:hAnsi="宋体" w:cs="宋体" w:eastAsia="宋体" w:hint="default"/>
                <w:sz w:val="18"/>
                <w:szCs w:val="18"/>
              </w:rPr>
            </w:pPr>
            <w:r>
              <w:rPr>
                <w:rFonts w:ascii="宋体" w:hAnsi="宋体" w:cs="宋体" w:eastAsia="宋体" w:hint="default"/>
                <w:spacing w:val="-6"/>
                <w:sz w:val="18"/>
                <w:szCs w:val="18"/>
              </w:rPr>
              <w:t>二、非持续的公允价值计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量</w:t>
            </w:r>
          </w:p>
        </w:tc>
        <w:tc>
          <w:tcPr>
            <w:tcW w:w="18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89" w:hRule="exact"/>
        </w:trPr>
        <w:tc>
          <w:tcPr>
            <w:tcW w:w="1971" w:type="dxa"/>
            <w:vMerge/>
            <w:tcBorders>
              <w:left w:val="single" w:sz="4" w:space="0" w:color="000000"/>
              <w:right w:val="single" w:sz="4" w:space="0" w:color="000000"/>
            </w:tcBorders>
            <w:shd w:val="clear" w:color="auto" w:fill="D2D2D2"/>
          </w:tcPr>
          <w:p>
            <w:pPr/>
          </w:p>
        </w:tc>
        <w:tc>
          <w:tcPr>
            <w:tcW w:w="18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89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89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164"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持续和非持续第三层次公允价值计量项目，采用的估值技术和重要参数的定性及定量信" w:id="340"/>
      <w:bookmarkEnd w:id="340"/>
      <w:r>
        <w:rPr>
          <w:b w:val="0"/>
          <w:bCs w:val="0"/>
        </w:rPr>
      </w:r>
      <w:r>
        <w:rPr>
          <w:rFonts w:ascii="Times New Roman" w:hAnsi="Times New Roman" w:cs="Times New Roman" w:eastAsia="Times New Roman" w:hint="default"/>
        </w:rPr>
        <w:t>2</w:t>
      </w:r>
      <w:r>
        <w:rPr/>
        <w:t>、持续和非持续第三层次公允价值计量项目，采用的估值技术和重要参数的定性及定量信息</w:t>
      </w:r>
      <w:r>
        <w:rPr>
          <w:b w:val="0"/>
          <w:bCs w:val="0"/>
        </w:rPr>
      </w:r>
    </w:p>
    <w:p>
      <w:pPr>
        <w:spacing w:line="240" w:lineRule="auto" w:before="5"/>
        <w:rPr>
          <w:rFonts w:ascii="宋体" w:hAnsi="宋体" w:cs="宋体" w:eastAsia="宋体" w:hint="default"/>
          <w:b/>
          <w:bCs/>
          <w:sz w:val="24"/>
          <w:szCs w:val="24"/>
        </w:rPr>
      </w:pPr>
    </w:p>
    <w:p>
      <w:pPr>
        <w:pStyle w:val="BodyText"/>
        <w:spacing w:line="273" w:lineRule="auto" w:before="0"/>
        <w:ind w:right="1126" w:firstLine="441"/>
        <w:jc w:val="both"/>
      </w:pPr>
      <w:r>
        <w:rPr>
          <w:spacing w:val="-3"/>
        </w:rPr>
        <w:t>对于不在活跃市场上交易的金融工具，本集团采用估值技术确定其公允价值。所使用的估值模型主要</w:t>
      </w:r>
      <w:r>
        <w:rPr>
          <w:w w:val="100"/>
        </w:rPr>
        <w:t> </w:t>
      </w:r>
      <w:r>
        <w:rPr>
          <w:spacing w:val="-2"/>
        </w:rPr>
        <w:t>为现金流量折现模型和市场可比公司模型等。估值技术的输入值主要包括无风险利率、基准利率、缺乏流</w:t>
      </w:r>
      <w:r>
        <w:rPr>
          <w:spacing w:val="-37"/>
        </w:rPr>
        <w:t> </w:t>
      </w:r>
      <w:r>
        <w:rPr>
          <w:spacing w:val="-37"/>
        </w:rPr>
      </w:r>
      <w:r>
        <w:rPr/>
        <w:t>动性折价等。</w:t>
      </w:r>
    </w:p>
    <w:p>
      <w:pPr>
        <w:spacing w:after="0" w:line="273" w:lineRule="auto"/>
        <w:jc w:val="both"/>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4"/>
        <w:spacing w:line="240" w:lineRule="auto" w:before="36"/>
        <w:ind w:right="0"/>
        <w:jc w:val="left"/>
        <w:rPr>
          <w:b w:val="0"/>
          <w:bCs w:val="0"/>
        </w:rPr>
      </w:pPr>
      <w:bookmarkStart w:name="3、持续的公允价值计量项目，本期内发生各层级之间转换的，转换的原因及确定转换时点" w:id="341"/>
      <w:bookmarkEnd w:id="341"/>
      <w:r>
        <w:rPr>
          <w:b w:val="0"/>
          <w:bCs w:val="0"/>
        </w:rPr>
      </w:r>
      <w:r>
        <w:rPr>
          <w:rFonts w:ascii="Times New Roman" w:hAnsi="Times New Roman" w:cs="Times New Roman" w:eastAsia="Times New Roman" w:hint="default"/>
        </w:rPr>
        <w:t>3</w:t>
      </w:r>
      <w:r>
        <w:rPr/>
        <w:t>、持续的公允价值计量项目，本期内发生各层级之间转换的，转换的原因及确定转换时点的政策</w:t>
      </w:r>
      <w:r>
        <w:rPr>
          <w:b w:val="0"/>
          <w:bCs w:val="0"/>
        </w:rPr>
      </w:r>
    </w:p>
    <w:p>
      <w:pPr>
        <w:spacing w:line="240" w:lineRule="auto" w:before="5"/>
        <w:rPr>
          <w:rFonts w:ascii="宋体" w:hAnsi="宋体" w:cs="宋体" w:eastAsia="宋体" w:hint="default"/>
          <w:b/>
          <w:bCs/>
          <w:sz w:val="24"/>
          <w:szCs w:val="24"/>
        </w:rPr>
      </w:pPr>
    </w:p>
    <w:p>
      <w:pPr>
        <w:pStyle w:val="BodyText"/>
        <w:spacing w:line="273" w:lineRule="auto" w:before="0"/>
        <w:ind w:right="0" w:firstLine="441"/>
        <w:jc w:val="left"/>
      </w:pPr>
      <w:r>
        <w:rPr>
          <w:spacing w:val="-3"/>
        </w:rPr>
        <w:t>本年度，本集团金融资产及金融负债的公允价值计量未发生第一层次和第二层次之间的转换，亦无转</w:t>
      </w:r>
      <w:r>
        <w:rPr>
          <w:w w:val="100"/>
        </w:rPr>
        <w:t> </w:t>
      </w:r>
      <w:r>
        <w:rPr/>
        <w:t>入或转出第三层次的情况。</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line="590" w:lineRule="atLeast" w:before="0"/>
        <w:ind w:left="594" w:right="0" w:hanging="442"/>
        <w:jc w:val="left"/>
        <w:rPr>
          <w:rFonts w:ascii="宋体" w:hAnsi="宋体" w:cs="宋体" w:eastAsia="宋体" w:hint="default"/>
          <w:sz w:val="21"/>
          <w:szCs w:val="21"/>
        </w:rPr>
      </w:pPr>
      <w:bookmarkStart w:name="4、不以公允价值计量的金融资产和金融负债的公允价值情况" w:id="342"/>
      <w:bookmarkEnd w:id="342"/>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、不以公允价值计量的金融资产和金融负债的公允价值情况</w:t>
      </w:r>
      <w:r>
        <w:rPr>
          <w:rFonts w:ascii="宋体" w:hAnsi="宋体" w:cs="宋体" w:eastAsia="宋体" w:hint="default"/>
          <w:b/>
          <w:bCs/>
          <w:w w:val="100"/>
          <w:sz w:val="21"/>
          <w:szCs w:val="21"/>
        </w:rPr>
        <w:t> </w:t>
      </w:r>
      <w:r>
        <w:rPr>
          <w:rFonts w:ascii="宋体" w:hAnsi="宋体" w:cs="宋体" w:eastAsia="宋体" w:hint="default"/>
          <w:spacing w:val="-3"/>
          <w:sz w:val="21"/>
          <w:szCs w:val="21"/>
        </w:rPr>
        <w:t>本集团以摊余成本计量的金融资产和金融负债主要包括：货币资金、应收票据、应收账款、其他应收</w:t>
      </w:r>
    </w:p>
    <w:p>
      <w:pPr>
        <w:pStyle w:val="BodyText"/>
        <w:spacing w:line="376" w:lineRule="auto" w:before="37"/>
        <w:ind w:left="494" w:right="0" w:hanging="341"/>
        <w:jc w:val="left"/>
      </w:pPr>
      <w:r>
        <w:rPr>
          <w:spacing w:val="-4"/>
        </w:rPr>
        <w:t>款、其他流动资产、短期借款、应付票据、应付账款、其他应付款、一年内到期的长期借款、长期借款等。</w:t>
      </w:r>
      <w:r>
        <w:rPr>
          <w:spacing w:val="-47"/>
        </w:rPr>
        <w:t> </w:t>
      </w:r>
      <w:r>
        <w:rPr>
          <w:spacing w:val="-47"/>
        </w:rPr>
      </w:r>
      <w:r>
        <w:rPr/>
        <w:t>不以公允价值计量的金融资产和金融负债的账面价值与公允价值相差很小。</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bookmarkStart w:name="十二、关联方及关联交易" w:id="343"/>
      <w:bookmarkEnd w:id="343"/>
      <w:r>
        <w:rPr>
          <w:b w:val="0"/>
          <w:bCs w:val="0"/>
        </w:rPr>
      </w:r>
      <w:r>
        <w:rPr/>
        <w:t>十二、关联方及关联交易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本企业的母公司情况" w:id="344"/>
      <w:bookmarkEnd w:id="344"/>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5"/>
        <w:gridCol w:w="1599"/>
        <w:gridCol w:w="1594"/>
        <w:gridCol w:w="1594"/>
      </w:tblGrid>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1" w:right="65" w:hanging="360"/>
              <w:jc w:val="left"/>
              <w:rPr>
                <w:rFonts w:ascii="宋体" w:hAnsi="宋体" w:cs="宋体" w:eastAsia="宋体" w:hint="default"/>
                <w:sz w:val="18"/>
                <w:szCs w:val="18"/>
              </w:rPr>
            </w:pPr>
            <w:r>
              <w:rPr>
                <w:rFonts w:ascii="宋体" w:hAnsi="宋体" w:cs="宋体" w:eastAsia="宋体" w:hint="default"/>
                <w:spacing w:val="-2"/>
                <w:sz w:val="18"/>
                <w:szCs w:val="18"/>
              </w:rPr>
              <w:t>母公司对本企业的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持股比例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45" w:right="65" w:hanging="274"/>
              <w:jc w:val="left"/>
              <w:rPr>
                <w:rFonts w:ascii="宋体" w:hAnsi="宋体" w:cs="宋体" w:eastAsia="宋体" w:hint="default"/>
                <w:sz w:val="18"/>
                <w:szCs w:val="18"/>
              </w:rPr>
            </w:pPr>
            <w:r>
              <w:rPr>
                <w:rFonts w:ascii="宋体" w:hAnsi="宋体" w:cs="宋体" w:eastAsia="宋体" w:hint="default"/>
                <w:spacing w:val="-2"/>
                <w:sz w:val="18"/>
                <w:szCs w:val="18"/>
              </w:rPr>
              <w:t>母公司对本企业的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表决权比例</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本企业的母公司情况的说明</w:t>
      </w:r>
    </w:p>
    <w:p>
      <w:pPr>
        <w:spacing w:line="240" w:lineRule="auto" w:before="0"/>
        <w:rPr>
          <w:rFonts w:ascii="宋体" w:hAnsi="宋体" w:cs="宋体" w:eastAsia="宋体" w:hint="default"/>
          <w:sz w:val="15"/>
          <w:szCs w:val="15"/>
        </w:rPr>
      </w:pPr>
    </w:p>
    <w:p>
      <w:pPr>
        <w:spacing w:line="295" w:lineRule="auto"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吴春红、廖道训、吴玉瑞、柴继军、梁世平</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名一致行动人合计持有本公司</w:t>
      </w:r>
      <w:r>
        <w:rPr>
          <w:rFonts w:ascii="Times New Roman" w:hAnsi="Times New Roman" w:cs="Times New Roman" w:eastAsia="Times New Roman" w:hint="default"/>
          <w:spacing w:val="-3"/>
          <w:sz w:val="18"/>
          <w:szCs w:val="18"/>
        </w:rPr>
        <w:t>31,646.86</w:t>
      </w:r>
      <w:r>
        <w:rPr>
          <w:rFonts w:ascii="宋体" w:hAnsi="宋体" w:cs="宋体" w:eastAsia="宋体" w:hint="default"/>
          <w:spacing w:val="-3"/>
          <w:sz w:val="18"/>
          <w:szCs w:val="18"/>
        </w:rPr>
        <w:t>股股份，持股比例为</w:t>
      </w:r>
      <w:r>
        <w:rPr>
          <w:rFonts w:ascii="Times New Roman" w:hAnsi="Times New Roman" w:cs="Times New Roman" w:eastAsia="Times New Roman" w:hint="default"/>
          <w:spacing w:val="-3"/>
          <w:sz w:val="18"/>
          <w:szCs w:val="18"/>
        </w:rPr>
        <w:t>45.17%</w:t>
      </w:r>
      <w:r>
        <w:rPr>
          <w:rFonts w:ascii="宋体" w:hAnsi="宋体" w:cs="宋体" w:eastAsia="宋体" w:hint="default"/>
          <w:spacing w:val="-3"/>
          <w:sz w:val="18"/>
          <w:szCs w:val="18"/>
        </w:rPr>
        <w:t>，取得本公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司的控制权，为公司实际控制人。</w:t>
      </w:r>
    </w:p>
    <w:p>
      <w:pPr>
        <w:spacing w:line="343" w:lineRule="auto" w:before="160"/>
        <w:ind w:left="153" w:right="3986" w:firstLine="0"/>
        <w:jc w:val="left"/>
        <w:rPr>
          <w:rFonts w:ascii="宋体" w:hAnsi="宋体" w:cs="宋体" w:eastAsia="宋体" w:hint="default"/>
          <w:sz w:val="18"/>
          <w:szCs w:val="18"/>
        </w:rPr>
      </w:pPr>
      <w:r>
        <w:rPr>
          <w:rFonts w:ascii="宋体" w:hAnsi="宋体" w:cs="宋体" w:eastAsia="宋体" w:hint="default"/>
          <w:spacing w:val="-3"/>
          <w:sz w:val="18"/>
          <w:szCs w:val="18"/>
        </w:rPr>
        <w:t>本企业最终控制方是吴春红、廖道训、吴玉瑞、柴继军、梁世平 </w:t>
      </w:r>
      <w:r>
        <w:rPr>
          <w:rFonts w:ascii="Times New Roman" w:hAnsi="Times New Roman" w:cs="Times New Roman" w:eastAsia="Times New Roman" w:hint="default"/>
          <w:sz w:val="18"/>
          <w:szCs w:val="18"/>
        </w:rPr>
        <w:t>5 </w:t>
      </w:r>
      <w:r>
        <w:rPr>
          <w:rFonts w:ascii="宋体" w:hAnsi="宋体" w:cs="宋体" w:eastAsia="宋体" w:hint="default"/>
          <w:spacing w:val="-3"/>
          <w:sz w:val="18"/>
          <w:szCs w:val="18"/>
        </w:rPr>
        <w:t>名一致行动人。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其他说明：</w:t>
      </w:r>
    </w:p>
    <w:p>
      <w:pPr>
        <w:spacing w:line="240" w:lineRule="auto" w:before="5"/>
        <w:rPr>
          <w:rFonts w:ascii="宋体" w:hAnsi="宋体" w:cs="宋体" w:eastAsia="宋体" w:hint="default"/>
          <w:sz w:val="20"/>
          <w:szCs w:val="20"/>
        </w:rPr>
      </w:pPr>
    </w:p>
    <w:p>
      <w:pPr>
        <w:spacing w:line="544" w:lineRule="auto" w:before="0"/>
        <w:ind w:left="153" w:right="6287" w:firstLine="0"/>
        <w:jc w:val="left"/>
        <w:rPr>
          <w:rFonts w:ascii="宋体" w:hAnsi="宋体" w:cs="宋体" w:eastAsia="宋体" w:hint="default"/>
          <w:sz w:val="21"/>
          <w:szCs w:val="21"/>
        </w:rPr>
      </w:pPr>
      <w:bookmarkStart w:name="2、本企业的子公司情况" w:id="345"/>
      <w:bookmarkEnd w:id="34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spacing w:val="-102"/>
          <w:sz w:val="21"/>
          <w:szCs w:val="21"/>
        </w:rPr>
        <w:t> </w:t>
      </w:r>
      <w:r>
        <w:rPr>
          <w:rFonts w:ascii="宋体" w:hAnsi="宋体" w:cs="宋体" w:eastAsia="宋体" w:hint="default"/>
          <w:spacing w:val="-3"/>
          <w:sz w:val="18"/>
          <w:szCs w:val="18"/>
        </w:rPr>
        <w:t>本企业子公司的情况详见附注九、</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宋体" w:hAnsi="宋体" w:cs="宋体" w:eastAsia="宋体" w:hint="default"/>
          <w:spacing w:val="-35"/>
          <w:sz w:val="18"/>
          <w:szCs w:val="18"/>
        </w:rPr>
        <w:t> </w:t>
      </w:r>
      <w:bookmarkStart w:name="3、本企业合营和联营企业情况" w:id="346"/>
      <w:bookmarkEnd w:id="346"/>
      <w:r>
        <w:rPr>
          <w:rFonts w:ascii="宋体" w:hAnsi="宋体" w:cs="宋体" w:eastAsia="宋体" w:hint="default"/>
          <w:spacing w:val="-35"/>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338" w:lineRule="auto" w:before="58"/>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本企业重要的合营或联营企业详见附注九、</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宋体" w:hAnsi="宋体" w:cs="宋体" w:eastAsia="宋体" w:hint="default"/>
          <w:spacing w:val="-22"/>
          <w:sz w:val="18"/>
          <w:szCs w:val="18"/>
        </w:rPr>
        <w:t> </w:t>
      </w:r>
      <w:r>
        <w:rPr>
          <w:rFonts w:ascii="宋体" w:hAnsi="宋体" w:cs="宋体" w:eastAsia="宋体" w:hint="default"/>
          <w:spacing w:val="-3"/>
          <w:sz w:val="18"/>
          <w:szCs w:val="18"/>
        </w:rPr>
        <w:t>本期与本公司发生关联方交易，或前期与本公司发生关联方交易形成余额的其他合营或联营企业情况如下：</w:t>
      </w:r>
    </w:p>
    <w:p>
      <w:pPr>
        <w:spacing w:line="240" w:lineRule="auto" w:before="4"/>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579" w:right="0"/>
              <w:jc w:val="left"/>
              <w:rPr>
                <w:rFonts w:ascii="宋体" w:hAnsi="宋体" w:cs="宋体" w:eastAsia="宋体" w:hint="default"/>
                <w:sz w:val="18"/>
                <w:szCs w:val="18"/>
              </w:rPr>
            </w:pPr>
            <w:r>
              <w:rPr>
                <w:rFonts w:ascii="宋体" w:hAnsi="宋体" w:cs="宋体" w:eastAsia="宋体" w:hint="default"/>
                <w:spacing w:val="-3"/>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北京灵睿博智国际广告有限公司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原联营企业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西藏灵博文化传播有限公司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广东南方视觉文化传媒有限公司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Getty </w:t>
            </w:r>
            <w:r>
              <w:rPr>
                <w:rFonts w:ascii="Times New Roman"/>
                <w:spacing w:val="-3"/>
                <w:sz w:val="18"/>
              </w:rPr>
              <w:t>Images </w:t>
            </w:r>
            <w:r>
              <w:rPr>
                <w:rFonts w:ascii="Times New Roman"/>
                <w:sz w:val="18"/>
              </w:rPr>
              <w:t>SEA Holding</w:t>
            </w:r>
            <w:r>
              <w:rPr>
                <w:rFonts w:ascii="Times New Roman"/>
                <w:spacing w:val="-1"/>
                <w:sz w:val="18"/>
              </w:rPr>
              <w:t> </w:t>
            </w:r>
            <w:r>
              <w:rPr>
                <w:rFonts w:ascii="Times New Roman"/>
                <w:sz w:val="18"/>
              </w:rPr>
              <w:t>Co.,Limited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广东易教优培教育科技有限公司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北京视觉大象科技有限公司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联营企业之全资子公司</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北京极光视觉文化传播有限公司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唱游信息技术有限公司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4、其他关联方情况" w:id="347"/>
      <w:bookmarkEnd w:id="347"/>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7" w:right="0"/>
              <w:jc w:val="left"/>
              <w:rPr>
                <w:rFonts w:ascii="宋体" w:hAnsi="宋体" w:cs="宋体" w:eastAsia="宋体" w:hint="default"/>
                <w:sz w:val="18"/>
                <w:szCs w:val="18"/>
              </w:rPr>
            </w:pPr>
            <w:r>
              <w:rPr>
                <w:rFonts w:ascii="宋体" w:hAnsi="宋体" w:cs="宋体" w:eastAsia="宋体" w:hint="default"/>
                <w:spacing w:val="-3"/>
                <w:sz w:val="18"/>
                <w:szCs w:val="18"/>
              </w:rPr>
              <w:t>其他关联方与本企业关系</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北京创新乐知信息技术有限公司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公司关联自然人为关联方的董事</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Gold Insight Investments</w:t>
            </w:r>
            <w:r>
              <w:rPr>
                <w:rFonts w:ascii="Times New Roman"/>
                <w:spacing w:val="-15"/>
                <w:sz w:val="18"/>
              </w:rPr>
              <w:t> </w:t>
            </w:r>
            <w:r>
              <w:rPr>
                <w:rFonts w:ascii="Times New Roman"/>
                <w:sz w:val="18"/>
              </w:rPr>
              <w:t>Limited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廖杰</w:t>
            </w:r>
            <w:r>
              <w:rPr>
                <w:rFonts w:ascii="宋体" w:hAnsi="宋体" w:cs="宋体" w:eastAsia="宋体" w:hint="default"/>
                <w:spacing w:val="-17"/>
                <w:sz w:val="18"/>
                <w:szCs w:val="18"/>
              </w:rPr>
              <w:t> </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持股的公司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亿迅信息技术有限公司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2"/>
                <w:sz w:val="18"/>
                <w:szCs w:val="18"/>
              </w:rPr>
              <w:t>原子公司，现</w:t>
            </w:r>
            <w:r>
              <w:rPr>
                <w:rFonts w:ascii="宋体" w:hAnsi="宋体" w:cs="宋体" w:eastAsia="宋体" w:hint="default"/>
                <w:sz w:val="18"/>
                <w:szCs w:val="18"/>
              </w:rPr>
              <w:t> </w:t>
            </w:r>
            <w:r>
              <w:rPr>
                <w:rFonts w:ascii="Times New Roman" w:hAnsi="Times New Roman" w:cs="Times New Roman" w:eastAsia="Times New Roman" w:hint="default"/>
                <w:spacing w:val="-2"/>
                <w:sz w:val="18"/>
                <w:szCs w:val="18"/>
              </w:rPr>
              <w:t>GoldInsightInvestmentsLimited</w:t>
            </w:r>
            <w:r>
              <w:rPr>
                <w:rFonts w:ascii="Times New Roman" w:hAnsi="Times New Roman" w:cs="Times New Roman" w:eastAsia="Times New Roman" w:hint="default"/>
                <w:spacing w:val="24"/>
                <w:sz w:val="18"/>
                <w:szCs w:val="18"/>
              </w:rPr>
              <w:t> </w:t>
            </w:r>
            <w:r>
              <w:rPr>
                <w:rFonts w:ascii="宋体" w:hAnsi="宋体" w:cs="宋体" w:eastAsia="宋体" w:hint="default"/>
                <w:spacing w:val="-2"/>
                <w:sz w:val="18"/>
                <w:szCs w:val="18"/>
              </w:rPr>
              <w:t>的子公司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宝东信息技术有限公司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2"/>
                <w:sz w:val="18"/>
                <w:szCs w:val="18"/>
              </w:rPr>
              <w:t>原子公司，现</w:t>
            </w:r>
            <w:r>
              <w:rPr>
                <w:rFonts w:ascii="宋体" w:hAnsi="宋体" w:cs="宋体" w:eastAsia="宋体" w:hint="default"/>
                <w:sz w:val="18"/>
                <w:szCs w:val="18"/>
              </w:rPr>
              <w:t> </w:t>
            </w:r>
            <w:r>
              <w:rPr>
                <w:rFonts w:ascii="Times New Roman" w:hAnsi="Times New Roman" w:cs="Times New Roman" w:eastAsia="Times New Roman" w:hint="default"/>
                <w:spacing w:val="-2"/>
                <w:sz w:val="18"/>
                <w:szCs w:val="18"/>
              </w:rPr>
              <w:t>GoldInsightInvestmentsLimited</w:t>
            </w:r>
            <w:r>
              <w:rPr>
                <w:rFonts w:ascii="Times New Roman" w:hAnsi="Times New Roman" w:cs="Times New Roman" w:eastAsia="Times New Roman" w:hint="default"/>
                <w:spacing w:val="24"/>
                <w:sz w:val="18"/>
                <w:szCs w:val="18"/>
              </w:rPr>
              <w:t> </w:t>
            </w:r>
            <w:r>
              <w:rPr>
                <w:rFonts w:ascii="宋体" w:hAnsi="宋体" w:cs="宋体" w:eastAsia="宋体" w:hint="default"/>
                <w:spacing w:val="-2"/>
                <w:sz w:val="18"/>
                <w:szCs w:val="18"/>
              </w:rPr>
              <w:t>的子公司</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eSOON China</w:t>
            </w:r>
            <w:r>
              <w:rPr>
                <w:rFonts w:ascii="Times New Roman"/>
                <w:spacing w:val="-3"/>
                <w:sz w:val="18"/>
              </w:rPr>
              <w:t> </w:t>
            </w:r>
            <w:r>
              <w:rPr>
                <w:rFonts w:ascii="Times New Roman"/>
                <w:sz w:val="18"/>
              </w:rPr>
              <w:t>Limited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2"/>
                <w:sz w:val="18"/>
                <w:szCs w:val="18"/>
              </w:rPr>
              <w:t>原子公司，现</w:t>
            </w:r>
            <w:r>
              <w:rPr>
                <w:rFonts w:ascii="宋体" w:hAnsi="宋体" w:cs="宋体" w:eastAsia="宋体" w:hint="default"/>
                <w:sz w:val="18"/>
                <w:szCs w:val="18"/>
              </w:rPr>
              <w:t> </w:t>
            </w:r>
            <w:r>
              <w:rPr>
                <w:rFonts w:ascii="Times New Roman" w:hAnsi="Times New Roman" w:cs="Times New Roman" w:eastAsia="Times New Roman" w:hint="default"/>
                <w:spacing w:val="-2"/>
                <w:sz w:val="18"/>
                <w:szCs w:val="18"/>
              </w:rPr>
              <w:t>GoldInsightInvestmentsLimited</w:t>
            </w:r>
            <w:r>
              <w:rPr>
                <w:rFonts w:ascii="Times New Roman" w:hAnsi="Times New Roman" w:cs="Times New Roman" w:eastAsia="Times New Roman" w:hint="default"/>
                <w:spacing w:val="24"/>
                <w:sz w:val="18"/>
                <w:szCs w:val="18"/>
              </w:rPr>
              <w:t> </w:t>
            </w:r>
            <w:r>
              <w:rPr>
                <w:rFonts w:ascii="宋体" w:hAnsi="宋体" w:cs="宋体" w:eastAsia="宋体" w:hint="default"/>
                <w:spacing w:val="-2"/>
                <w:sz w:val="18"/>
                <w:szCs w:val="18"/>
              </w:rPr>
              <w:t>的子公司</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5、关联交易情况" w:id="348"/>
      <w:bookmarkEnd w:id="348"/>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购销商品、提供和接受劳务的关联交易" w:id="349"/>
      <w:bookmarkEnd w:id="349"/>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7"/>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5"/>
        <w:gridCol w:w="1705"/>
        <w:gridCol w:w="1709"/>
        <w:gridCol w:w="1709"/>
      </w:tblGrid>
      <w:tr>
        <w:trPr>
          <w:trHeight w:val="403"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75"/>
              <w:jc w:val="right"/>
              <w:rPr>
                <w:rFonts w:ascii="宋体" w:hAnsi="宋体" w:cs="宋体" w:eastAsia="宋体" w:hint="default"/>
                <w:sz w:val="18"/>
                <w:szCs w:val="18"/>
              </w:rPr>
            </w:pPr>
            <w:r>
              <w:rPr>
                <w:rFonts w:ascii="宋体" w:hAnsi="宋体" w:cs="宋体" w:eastAsia="宋体" w:hint="default"/>
                <w:spacing w:val="-2"/>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pacing w:val="-3"/>
                <w:sz w:val="18"/>
                <w:szCs w:val="18"/>
              </w:rPr>
              <w:t>获批的交易额度</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北京灵睿博智国际</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广告有限公司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56"/>
              <w:jc w:val="right"/>
              <w:rPr>
                <w:rFonts w:ascii="宋体" w:hAnsi="宋体" w:cs="宋体" w:eastAsia="宋体" w:hint="default"/>
                <w:sz w:val="18"/>
                <w:szCs w:val="18"/>
              </w:rPr>
            </w:pPr>
            <w:r>
              <w:rPr>
                <w:rFonts w:ascii="宋体" w:hAnsi="宋体" w:cs="宋体" w:eastAsia="宋体" w:hint="default"/>
                <w:spacing w:val="-3"/>
                <w:sz w:val="18"/>
                <w:szCs w:val="18"/>
              </w:rPr>
              <w:t>视觉内容与服务</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25,894,930.93</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西藏灵博文化传播</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56"/>
              <w:jc w:val="right"/>
              <w:rPr>
                <w:rFonts w:ascii="宋体" w:hAnsi="宋体" w:cs="宋体" w:eastAsia="宋体" w:hint="default"/>
                <w:sz w:val="18"/>
                <w:szCs w:val="18"/>
              </w:rPr>
            </w:pPr>
            <w:r>
              <w:rPr>
                <w:rFonts w:ascii="宋体" w:hAnsi="宋体" w:cs="宋体" w:eastAsia="宋体" w:hint="default"/>
                <w:spacing w:val="-3"/>
                <w:sz w:val="18"/>
                <w:szCs w:val="18"/>
              </w:rPr>
              <w:t>视觉内容与服务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17,420,516.32</w:t>
            </w:r>
          </w:p>
        </w:tc>
        <w:tc>
          <w:tcPr>
            <w:tcW w:w="1705"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广东南方视觉文化</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传媒有限公司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56"/>
              <w:jc w:val="right"/>
              <w:rPr>
                <w:rFonts w:ascii="宋体" w:hAnsi="宋体" w:cs="宋体" w:eastAsia="宋体" w:hint="default"/>
                <w:sz w:val="18"/>
                <w:szCs w:val="18"/>
              </w:rPr>
            </w:pPr>
            <w:r>
              <w:rPr>
                <w:rFonts w:ascii="宋体" w:hAnsi="宋体" w:cs="宋体" w:eastAsia="宋体" w:hint="default"/>
                <w:spacing w:val="-3"/>
                <w:sz w:val="18"/>
                <w:szCs w:val="18"/>
              </w:rPr>
              <w:t>视觉内容与服务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38,334.82</w:t>
            </w:r>
          </w:p>
        </w:tc>
        <w:tc>
          <w:tcPr>
            <w:tcW w:w="1705"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23,245.50</w:t>
            </w:r>
          </w:p>
        </w:tc>
      </w:tr>
      <w:tr>
        <w:trPr>
          <w:trHeight w:val="102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6"/>
              <w:ind w:left="24" w:right="151"/>
              <w:jc w:val="left"/>
              <w:rPr>
                <w:rFonts w:ascii="Times New Roman" w:hAnsi="Times New Roman" w:cs="Times New Roman" w:eastAsia="Times New Roman" w:hint="default"/>
                <w:sz w:val="18"/>
                <w:szCs w:val="18"/>
              </w:rPr>
            </w:pPr>
            <w:r>
              <w:rPr>
                <w:rFonts w:ascii="Times New Roman"/>
                <w:sz w:val="18"/>
              </w:rPr>
              <w:t>Getty </w:t>
            </w:r>
            <w:r>
              <w:rPr>
                <w:rFonts w:ascii="Times New Roman"/>
                <w:spacing w:val="-3"/>
                <w:sz w:val="18"/>
              </w:rPr>
              <w:t>Images</w:t>
            </w:r>
            <w:r>
              <w:rPr>
                <w:rFonts w:ascii="Times New Roman"/>
                <w:spacing w:val="12"/>
                <w:sz w:val="18"/>
              </w:rPr>
              <w:t> </w:t>
            </w:r>
            <w:r>
              <w:rPr>
                <w:rFonts w:ascii="Times New Roman"/>
                <w:sz w:val="18"/>
              </w:rPr>
              <w:t>SEA</w:t>
            </w:r>
            <w:r>
              <w:rPr>
                <w:rFonts w:ascii="Times New Roman"/>
                <w:spacing w:val="-42"/>
                <w:sz w:val="18"/>
              </w:rPr>
              <w:t> </w:t>
            </w:r>
            <w:r>
              <w:rPr>
                <w:rFonts w:ascii="Times New Roman"/>
                <w:spacing w:val="-42"/>
                <w:sz w:val="18"/>
              </w:rPr>
            </w:r>
            <w:r>
              <w:rPr>
                <w:rFonts w:ascii="Times New Roman"/>
                <w:sz w:val="18"/>
              </w:rPr>
              <w:t>Holding</w:t>
            </w:r>
            <w:r>
              <w:rPr>
                <w:rFonts w:ascii="Times New Roman"/>
                <w:spacing w:val="-43"/>
                <w:sz w:val="18"/>
              </w:rPr>
              <w:t> </w:t>
            </w:r>
            <w:r>
              <w:rPr>
                <w:rFonts w:ascii="Times New Roman"/>
                <w:spacing w:val="-43"/>
                <w:sz w:val="18"/>
              </w:rPr>
            </w:r>
            <w:r>
              <w:rPr>
                <w:rFonts w:ascii="Times New Roman"/>
                <w:sz w:val="18"/>
              </w:rPr>
              <w:t>Co.,Limited</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56"/>
              <w:jc w:val="right"/>
              <w:rPr>
                <w:rFonts w:ascii="宋体" w:hAnsi="宋体" w:cs="宋体" w:eastAsia="宋体" w:hint="default"/>
                <w:sz w:val="18"/>
                <w:szCs w:val="18"/>
              </w:rPr>
            </w:pPr>
            <w:r>
              <w:rPr>
                <w:rFonts w:ascii="宋体" w:hAnsi="宋体" w:cs="宋体" w:eastAsia="宋体" w:hint="default"/>
                <w:spacing w:val="-3"/>
                <w:sz w:val="18"/>
                <w:szCs w:val="18"/>
              </w:rPr>
              <w:t>视觉内容与服务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53,086,669.15</w:t>
            </w:r>
          </w:p>
        </w:tc>
        <w:tc>
          <w:tcPr>
            <w:tcW w:w="1705"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北京极光视觉文化</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传播有限公司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56"/>
              <w:jc w:val="right"/>
              <w:rPr>
                <w:rFonts w:ascii="宋体" w:hAnsi="宋体" w:cs="宋体" w:eastAsia="宋体" w:hint="default"/>
                <w:sz w:val="18"/>
                <w:szCs w:val="18"/>
              </w:rPr>
            </w:pPr>
            <w:r>
              <w:rPr>
                <w:rFonts w:ascii="宋体" w:hAnsi="宋体" w:cs="宋体" w:eastAsia="宋体" w:hint="default"/>
                <w:spacing w:val="-3"/>
                <w:sz w:val="18"/>
                <w:szCs w:val="18"/>
              </w:rPr>
              <w:t>视觉内容与服务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271,684.46</w:t>
            </w:r>
          </w:p>
        </w:tc>
        <w:tc>
          <w:tcPr>
            <w:tcW w:w="1705"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唱游信息技术有限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56"/>
              <w:jc w:val="right"/>
              <w:rPr>
                <w:rFonts w:ascii="宋体" w:hAnsi="宋体" w:cs="宋体" w:eastAsia="宋体" w:hint="default"/>
                <w:sz w:val="18"/>
                <w:szCs w:val="18"/>
              </w:rPr>
            </w:pPr>
            <w:r>
              <w:rPr>
                <w:rFonts w:ascii="宋体" w:hAnsi="宋体" w:cs="宋体" w:eastAsia="宋体" w:hint="default"/>
                <w:spacing w:val="-3"/>
                <w:sz w:val="18"/>
                <w:szCs w:val="18"/>
              </w:rPr>
              <w:t>视觉内容与服务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1,024,031.57</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30" w:right="0"/>
              <w:jc w:val="left"/>
              <w:rPr>
                <w:rFonts w:ascii="Times New Roman" w:hAnsi="Times New Roman" w:cs="Times New Roman" w:eastAsia="Times New Roman" w:hint="default"/>
                <w:sz w:val="18"/>
                <w:szCs w:val="18"/>
              </w:rPr>
            </w:pPr>
            <w:r>
              <w:rPr>
                <w:rFonts w:ascii="Times New Roman"/>
                <w:sz w:val="18"/>
              </w:rPr>
              <w:t>1,024,031.57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148,207.54</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6"/>
        <w:gridCol w:w="2262"/>
        <w:gridCol w:w="2261"/>
        <w:gridCol w:w="2651"/>
      </w:tblGrid>
      <w:tr>
        <w:trPr>
          <w:trHeight w:val="404"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7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87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 w:right="0"/>
              <w:jc w:val="center"/>
              <w:rPr>
                <w:rFonts w:ascii="宋体" w:hAnsi="宋体" w:cs="宋体" w:eastAsia="宋体" w:hint="default"/>
                <w:sz w:val="18"/>
                <w:szCs w:val="18"/>
              </w:rPr>
            </w:pPr>
            <w:r>
              <w:rPr>
                <w:rFonts w:ascii="宋体" w:hAnsi="宋体" w:cs="宋体" w:eastAsia="宋体" w:hint="default"/>
                <w:spacing w:val="-3"/>
                <w:sz w:val="18"/>
                <w:szCs w:val="18"/>
              </w:rPr>
              <w:t>北京创新乐知信息技术有限公</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视觉内容与服务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62,764.15</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68,443.40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6"/>
        <w:gridCol w:w="2262"/>
        <w:gridCol w:w="2261"/>
        <w:gridCol w:w="2651"/>
      </w:tblGrid>
      <w:tr>
        <w:trPr>
          <w:trHeight w:val="360"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2262"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c>
          <w:tcPr>
            <w:tcW w:w="265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唱游信息技术有限公司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视觉内容与服务</w:t>
            </w:r>
          </w:p>
        </w:tc>
        <w:tc>
          <w:tcPr>
            <w:tcW w:w="2261" w:type="dxa"/>
            <w:tcBorders>
              <w:top w:val="single" w:sz="4" w:space="0" w:color="000000"/>
              <w:left w:val="single" w:sz="4" w:space="0" w:color="000000"/>
              <w:bottom w:val="single" w:sz="4" w:space="0" w:color="000000"/>
              <w:right w:val="single" w:sz="4" w:space="0" w:color="000000"/>
            </w:tcBorders>
          </w:tcPr>
          <w:p>
            <w:pP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317,452.82</w:t>
            </w:r>
          </w:p>
        </w:tc>
      </w:tr>
      <w:tr>
        <w:trPr>
          <w:trHeight w:val="716"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96"/>
              <w:ind w:left="24" w:right="380"/>
              <w:jc w:val="left"/>
              <w:rPr>
                <w:rFonts w:ascii="Times New Roman" w:hAnsi="Times New Roman" w:cs="Times New Roman" w:eastAsia="Times New Roman" w:hint="default"/>
                <w:sz w:val="18"/>
                <w:szCs w:val="18"/>
              </w:rPr>
            </w:pPr>
            <w:r>
              <w:rPr>
                <w:rFonts w:ascii="Times New Roman"/>
                <w:sz w:val="18"/>
              </w:rPr>
              <w:t>Getty </w:t>
            </w:r>
            <w:r>
              <w:rPr>
                <w:rFonts w:ascii="Times New Roman"/>
                <w:spacing w:val="-3"/>
                <w:sz w:val="18"/>
              </w:rPr>
              <w:t>Images </w:t>
            </w:r>
            <w:r>
              <w:rPr>
                <w:rFonts w:ascii="Times New Roman"/>
                <w:sz w:val="18"/>
              </w:rPr>
              <w:t>SEA Holding</w:t>
            </w:r>
            <w:r>
              <w:rPr>
                <w:rFonts w:ascii="Times New Roman"/>
                <w:spacing w:val="-38"/>
                <w:sz w:val="18"/>
              </w:rPr>
              <w:t> </w:t>
            </w:r>
            <w:r>
              <w:rPr>
                <w:rFonts w:ascii="Times New Roman"/>
                <w:spacing w:val="-38"/>
                <w:sz w:val="18"/>
              </w:rPr>
            </w:r>
            <w:r>
              <w:rPr>
                <w:rFonts w:ascii="Times New Roman"/>
                <w:sz w:val="18"/>
              </w:rPr>
              <w:t>Co.,Limited</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视觉内容与服务</w:t>
            </w:r>
          </w:p>
        </w:tc>
        <w:tc>
          <w:tcPr>
            <w:tcW w:w="2261" w:type="dxa"/>
            <w:tcBorders>
              <w:top w:val="single" w:sz="4" w:space="0" w:color="000000"/>
              <w:left w:val="single" w:sz="4" w:space="0" w:color="000000"/>
              <w:bottom w:val="single" w:sz="4" w:space="0" w:color="000000"/>
              <w:right w:val="single" w:sz="4" w:space="0" w:color="000000"/>
            </w:tcBorders>
          </w:tcPr>
          <w:p>
            <w:pP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15,432,799.55</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购销商品、提供和接受劳务的关联交易说明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bookmarkStart w:name="（2）关联担保情况" w:id="350"/>
      <w:bookmarkEnd w:id="350"/>
      <w:r>
        <w:rPr>
          <w:b w:val="0"/>
          <w:bCs w:val="0"/>
        </w:rPr>
      </w:r>
      <w:r>
        <w:rPr/>
        <w:t>（</w:t>
      </w:r>
      <w:r>
        <w:rPr>
          <w:rFonts w:ascii="Times New Roman" w:hAnsi="Times New Roman" w:cs="Times New Roman" w:eastAsia="Times New Roman" w:hint="default"/>
        </w:rPr>
        <w:t>2</w:t>
      </w:r>
      <w:r>
        <w:rPr/>
        <w:t>）关联担保情况</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8"/>
        <w:rPr>
          <w:rFonts w:ascii="宋体" w:hAnsi="宋体" w:cs="宋体" w:eastAsia="宋体" w:hint="default"/>
          <w:sz w:val="14"/>
          <w:szCs w:val="14"/>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pacing w:val="3"/>
          <w:sz w:val="18"/>
          <w:szCs w:val="18"/>
        </w:rPr>
        <w:t> </w:t>
      </w:r>
      <w:r>
        <w:rPr>
          <w:rFonts w:ascii="宋体" w:hAnsi="宋体" w:cs="宋体" w:eastAsia="宋体" w:hint="default"/>
          <w:sz w:val="18"/>
          <w:szCs w:val="18"/>
        </w:rPr>
        <w:t>本公司作为担保方</w:t>
      </w:r>
    </w:p>
    <w:p>
      <w:pPr>
        <w:spacing w:line="240" w:lineRule="auto" w:before="3"/>
        <w:rPr>
          <w:rFonts w:ascii="宋体" w:hAnsi="宋体" w:cs="宋体" w:eastAsia="宋体" w:hint="default"/>
          <w:sz w:val="14"/>
          <w:szCs w:val="14"/>
        </w:rPr>
      </w:pPr>
    </w:p>
    <w:tbl>
      <w:tblPr>
        <w:tblW w:w="0" w:type="auto"/>
        <w:jc w:val="left"/>
        <w:tblInd w:w="143" w:type="dxa"/>
        <w:tblLayout w:type="fixed"/>
        <w:tblCellMar>
          <w:top w:w="0" w:type="dxa"/>
          <w:left w:w="0" w:type="dxa"/>
          <w:bottom w:w="0" w:type="dxa"/>
          <w:right w:w="0" w:type="dxa"/>
        </w:tblCellMar>
        <w:tblLook w:val="01E0"/>
      </w:tblPr>
      <w:tblGrid>
        <w:gridCol w:w="2943"/>
        <w:gridCol w:w="1513"/>
        <w:gridCol w:w="1513"/>
        <w:gridCol w:w="1513"/>
        <w:gridCol w:w="1654"/>
      </w:tblGrid>
      <w:tr>
        <w:trPr>
          <w:trHeight w:val="665" w:hRule="exact"/>
        </w:trPr>
        <w:tc>
          <w:tcPr>
            <w:tcW w:w="29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5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89"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5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02"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654"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20"/>
              <w:ind w:left="729" w:right="12" w:hanging="720"/>
              <w:jc w:val="left"/>
              <w:rPr>
                <w:rFonts w:ascii="宋体" w:hAnsi="宋体" w:cs="宋体" w:eastAsia="宋体" w:hint="default"/>
                <w:sz w:val="18"/>
                <w:szCs w:val="18"/>
              </w:rPr>
            </w:pPr>
            <w:r>
              <w:rPr>
                <w:rFonts w:ascii="宋体" w:hAnsi="宋体" w:cs="宋体" w:eastAsia="宋体" w:hint="default"/>
                <w:spacing w:val="-3"/>
                <w:sz w:val="18"/>
                <w:szCs w:val="18"/>
              </w:rPr>
              <w:t>担保是否已经履行完</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毕</w:t>
            </w:r>
          </w:p>
        </w:tc>
      </w:tr>
      <w:tr>
        <w:trPr>
          <w:trHeight w:val="351" w:hRule="exact"/>
        </w:trPr>
        <w:tc>
          <w:tcPr>
            <w:tcW w:w="29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81" w:right="0"/>
              <w:jc w:val="left"/>
              <w:rPr>
                <w:rFonts w:ascii="宋体" w:hAnsi="宋体" w:cs="宋体" w:eastAsia="宋体" w:hint="default"/>
                <w:sz w:val="18"/>
                <w:szCs w:val="18"/>
              </w:rPr>
            </w:pPr>
            <w:r>
              <w:rPr>
                <w:rFonts w:ascii="宋体" w:hAnsi="宋体" w:cs="宋体" w:eastAsia="宋体" w:hint="default"/>
                <w:spacing w:val="-3"/>
                <w:sz w:val="18"/>
                <w:szCs w:val="18"/>
              </w:rPr>
              <w:t>视觉中国集团控股有限公司</w:t>
            </w:r>
          </w:p>
        </w:tc>
        <w:tc>
          <w:tcPr>
            <w:tcW w:w="15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10,300,000.00</w:t>
            </w:r>
          </w:p>
        </w:tc>
        <w:tc>
          <w:tcPr>
            <w:tcW w:w="15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5"/>
              <w:jc w:val="right"/>
              <w:rPr>
                <w:rFonts w:ascii="Times New Roman" w:hAnsi="Times New Roman" w:cs="Times New Roman" w:eastAsia="Times New Roman" w:hint="default"/>
                <w:sz w:val="18"/>
                <w:szCs w:val="18"/>
              </w:rPr>
            </w:pPr>
            <w:r>
              <w:rPr>
                <w:rFonts w:ascii="Times New Roman"/>
                <w:spacing w:val="-1"/>
                <w:sz w:val="18"/>
              </w:rPr>
              <w:t>2017-11-27</w:t>
            </w:r>
          </w:p>
        </w:tc>
        <w:tc>
          <w:tcPr>
            <w:tcW w:w="15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5"/>
              <w:jc w:val="right"/>
              <w:rPr>
                <w:rFonts w:ascii="Times New Roman" w:hAnsi="Times New Roman" w:cs="Times New Roman" w:eastAsia="Times New Roman" w:hint="default"/>
                <w:sz w:val="18"/>
                <w:szCs w:val="18"/>
              </w:rPr>
            </w:pPr>
            <w:r>
              <w:rPr>
                <w:rFonts w:ascii="Times New Roman"/>
                <w:spacing w:val="-1"/>
                <w:sz w:val="18"/>
              </w:rPr>
              <w:t>2021-12-26</w:t>
            </w:r>
          </w:p>
        </w:tc>
        <w:tc>
          <w:tcPr>
            <w:tcW w:w="16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1"/>
              <w:ind w:right="694"/>
              <w:jc w:val="righ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55" w:hRule="exact"/>
        </w:trPr>
        <w:tc>
          <w:tcPr>
            <w:tcW w:w="29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81" w:right="0"/>
              <w:jc w:val="left"/>
              <w:rPr>
                <w:rFonts w:ascii="宋体" w:hAnsi="宋体" w:cs="宋体" w:eastAsia="宋体" w:hint="default"/>
                <w:sz w:val="18"/>
                <w:szCs w:val="18"/>
              </w:rPr>
            </w:pPr>
            <w:r>
              <w:rPr>
                <w:rFonts w:ascii="宋体" w:hAnsi="宋体" w:cs="宋体" w:eastAsia="宋体" w:hint="default"/>
                <w:spacing w:val="-3"/>
                <w:sz w:val="18"/>
                <w:szCs w:val="18"/>
              </w:rPr>
              <w:t>视觉中国集团控股有限公司</w:t>
            </w:r>
          </w:p>
        </w:tc>
        <w:tc>
          <w:tcPr>
            <w:tcW w:w="15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10,300,000.00</w:t>
            </w:r>
          </w:p>
        </w:tc>
        <w:tc>
          <w:tcPr>
            <w:tcW w:w="15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2017-12-11</w:t>
            </w:r>
          </w:p>
        </w:tc>
        <w:tc>
          <w:tcPr>
            <w:tcW w:w="15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2022-1-10</w:t>
            </w:r>
          </w:p>
        </w:tc>
        <w:tc>
          <w:tcPr>
            <w:tcW w:w="16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94"/>
              <w:jc w:val="righ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50" w:hRule="exact"/>
        </w:trPr>
        <w:tc>
          <w:tcPr>
            <w:tcW w:w="29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81" w:right="0"/>
              <w:jc w:val="left"/>
              <w:rPr>
                <w:rFonts w:ascii="宋体" w:hAnsi="宋体" w:cs="宋体" w:eastAsia="宋体" w:hint="default"/>
                <w:sz w:val="18"/>
                <w:szCs w:val="18"/>
              </w:rPr>
            </w:pPr>
            <w:r>
              <w:rPr>
                <w:rFonts w:ascii="宋体" w:hAnsi="宋体" w:cs="宋体" w:eastAsia="宋体" w:hint="default"/>
                <w:spacing w:val="-5"/>
                <w:sz w:val="18"/>
                <w:szCs w:val="18"/>
              </w:rPr>
              <w:t>华夏视觉（天津）信息技术有限公司</w:t>
            </w:r>
          </w:p>
        </w:tc>
        <w:tc>
          <w:tcPr>
            <w:tcW w:w="15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2"/>
                <w:sz w:val="18"/>
              </w:rPr>
              <w:t>47,000,000.00</w:t>
            </w:r>
          </w:p>
        </w:tc>
        <w:tc>
          <w:tcPr>
            <w:tcW w:w="15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2017-6-5</w:t>
            </w:r>
          </w:p>
        </w:tc>
        <w:tc>
          <w:tcPr>
            <w:tcW w:w="15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2020-6-3</w:t>
            </w:r>
          </w:p>
        </w:tc>
        <w:tc>
          <w:tcPr>
            <w:tcW w:w="16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94"/>
              <w:jc w:val="righ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50" w:hRule="exact"/>
        </w:trPr>
        <w:tc>
          <w:tcPr>
            <w:tcW w:w="29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81" w:right="0"/>
              <w:jc w:val="left"/>
              <w:rPr>
                <w:rFonts w:ascii="宋体" w:hAnsi="宋体" w:cs="宋体" w:eastAsia="宋体" w:hint="default"/>
                <w:sz w:val="18"/>
                <w:szCs w:val="18"/>
              </w:rPr>
            </w:pPr>
            <w:r>
              <w:rPr>
                <w:rFonts w:ascii="宋体" w:hAnsi="宋体" w:cs="宋体" w:eastAsia="宋体" w:hint="default"/>
                <w:spacing w:val="-3"/>
                <w:sz w:val="18"/>
                <w:szCs w:val="18"/>
              </w:rPr>
              <w:t>联景国际有限公司</w:t>
            </w:r>
          </w:p>
        </w:tc>
        <w:tc>
          <w:tcPr>
            <w:tcW w:w="15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2"/>
                <w:sz w:val="18"/>
              </w:rPr>
              <w:t>US$21,600,000.00</w:t>
            </w:r>
          </w:p>
        </w:tc>
        <w:tc>
          <w:tcPr>
            <w:tcW w:w="15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2017-5-16</w:t>
            </w:r>
          </w:p>
        </w:tc>
        <w:tc>
          <w:tcPr>
            <w:tcW w:w="15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2020-5-15</w:t>
            </w:r>
          </w:p>
        </w:tc>
        <w:tc>
          <w:tcPr>
            <w:tcW w:w="16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94"/>
              <w:jc w:val="righ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55" w:hRule="exact"/>
        </w:trPr>
        <w:tc>
          <w:tcPr>
            <w:tcW w:w="29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81" w:right="0"/>
              <w:jc w:val="left"/>
              <w:rPr>
                <w:rFonts w:ascii="宋体" w:hAnsi="宋体" w:cs="宋体" w:eastAsia="宋体" w:hint="default"/>
                <w:sz w:val="18"/>
                <w:szCs w:val="18"/>
              </w:rPr>
            </w:pPr>
            <w:r>
              <w:rPr>
                <w:rFonts w:ascii="宋体" w:hAnsi="宋体" w:cs="宋体" w:eastAsia="宋体" w:hint="default"/>
                <w:spacing w:val="-3"/>
                <w:sz w:val="18"/>
                <w:szCs w:val="18"/>
              </w:rPr>
              <w:t>北京汉华易美图片有限公司</w:t>
            </w:r>
          </w:p>
        </w:tc>
        <w:tc>
          <w:tcPr>
            <w:tcW w:w="15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2"/>
                <w:sz w:val="18"/>
              </w:rPr>
              <w:t>4,900,000.00</w:t>
            </w:r>
          </w:p>
        </w:tc>
        <w:tc>
          <w:tcPr>
            <w:tcW w:w="15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2019-8-7</w:t>
            </w:r>
          </w:p>
        </w:tc>
        <w:tc>
          <w:tcPr>
            <w:tcW w:w="15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2020-8-7</w:t>
            </w:r>
          </w:p>
        </w:tc>
        <w:tc>
          <w:tcPr>
            <w:tcW w:w="16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94"/>
              <w:jc w:val="righ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51" w:hRule="exact"/>
        </w:trPr>
        <w:tc>
          <w:tcPr>
            <w:tcW w:w="29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81" w:right="0"/>
              <w:jc w:val="left"/>
              <w:rPr>
                <w:rFonts w:ascii="宋体" w:hAnsi="宋体" w:cs="宋体" w:eastAsia="宋体" w:hint="default"/>
                <w:sz w:val="18"/>
                <w:szCs w:val="18"/>
              </w:rPr>
            </w:pPr>
            <w:r>
              <w:rPr>
                <w:rFonts w:ascii="宋体" w:hAnsi="宋体" w:cs="宋体" w:eastAsia="宋体" w:hint="default"/>
                <w:spacing w:val="-3"/>
                <w:sz w:val="18"/>
                <w:szCs w:val="18"/>
              </w:rPr>
              <w:t>北京汉华易美图片有限公司</w:t>
            </w:r>
          </w:p>
        </w:tc>
        <w:tc>
          <w:tcPr>
            <w:tcW w:w="15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5"/>
              <w:jc w:val="right"/>
              <w:rPr>
                <w:rFonts w:ascii="Times New Roman" w:hAnsi="Times New Roman" w:cs="Times New Roman" w:eastAsia="Times New Roman" w:hint="default"/>
                <w:sz w:val="18"/>
                <w:szCs w:val="18"/>
              </w:rPr>
            </w:pPr>
            <w:r>
              <w:rPr>
                <w:rFonts w:ascii="Times New Roman"/>
                <w:spacing w:val="-2"/>
                <w:sz w:val="18"/>
              </w:rPr>
              <w:t>4,900,000.00</w:t>
            </w:r>
          </w:p>
        </w:tc>
        <w:tc>
          <w:tcPr>
            <w:tcW w:w="15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5"/>
              <w:jc w:val="right"/>
              <w:rPr>
                <w:rFonts w:ascii="Times New Roman" w:hAnsi="Times New Roman" w:cs="Times New Roman" w:eastAsia="Times New Roman" w:hint="default"/>
                <w:sz w:val="18"/>
                <w:szCs w:val="18"/>
              </w:rPr>
            </w:pPr>
            <w:r>
              <w:rPr>
                <w:rFonts w:ascii="Times New Roman"/>
                <w:spacing w:val="-1"/>
                <w:sz w:val="18"/>
              </w:rPr>
              <w:t>2019-8-14</w:t>
            </w:r>
          </w:p>
        </w:tc>
        <w:tc>
          <w:tcPr>
            <w:tcW w:w="15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5"/>
              <w:jc w:val="right"/>
              <w:rPr>
                <w:rFonts w:ascii="Times New Roman" w:hAnsi="Times New Roman" w:cs="Times New Roman" w:eastAsia="Times New Roman" w:hint="default"/>
                <w:sz w:val="18"/>
                <w:szCs w:val="18"/>
              </w:rPr>
            </w:pPr>
            <w:r>
              <w:rPr>
                <w:rFonts w:ascii="Times New Roman"/>
                <w:spacing w:val="-1"/>
                <w:sz w:val="18"/>
              </w:rPr>
              <w:t>2020-8-14</w:t>
            </w:r>
          </w:p>
        </w:tc>
        <w:tc>
          <w:tcPr>
            <w:tcW w:w="16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1"/>
              <w:ind w:right="694"/>
              <w:jc w:val="righ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50" w:hRule="exact"/>
        </w:trPr>
        <w:tc>
          <w:tcPr>
            <w:tcW w:w="29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81" w:right="0"/>
              <w:jc w:val="left"/>
              <w:rPr>
                <w:rFonts w:ascii="宋体" w:hAnsi="宋体" w:cs="宋体" w:eastAsia="宋体" w:hint="default"/>
                <w:sz w:val="18"/>
                <w:szCs w:val="18"/>
              </w:rPr>
            </w:pPr>
            <w:r>
              <w:rPr>
                <w:rFonts w:ascii="宋体" w:hAnsi="宋体" w:cs="宋体" w:eastAsia="宋体" w:hint="default"/>
                <w:spacing w:val="-3"/>
                <w:sz w:val="18"/>
                <w:szCs w:val="18"/>
              </w:rPr>
              <w:t>北京汉华易美图片有限公司</w:t>
            </w:r>
          </w:p>
        </w:tc>
        <w:tc>
          <w:tcPr>
            <w:tcW w:w="15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2"/>
                <w:sz w:val="18"/>
              </w:rPr>
              <w:t>4,950,000.00</w:t>
            </w:r>
          </w:p>
        </w:tc>
        <w:tc>
          <w:tcPr>
            <w:tcW w:w="15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2019-8-22</w:t>
            </w:r>
          </w:p>
        </w:tc>
        <w:tc>
          <w:tcPr>
            <w:tcW w:w="15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2020-8-22</w:t>
            </w:r>
          </w:p>
        </w:tc>
        <w:tc>
          <w:tcPr>
            <w:tcW w:w="16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94"/>
              <w:jc w:val="righ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55" w:hRule="exact"/>
        </w:trPr>
        <w:tc>
          <w:tcPr>
            <w:tcW w:w="29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81" w:right="0"/>
              <w:jc w:val="left"/>
              <w:rPr>
                <w:rFonts w:ascii="宋体" w:hAnsi="宋体" w:cs="宋体" w:eastAsia="宋体" w:hint="default"/>
                <w:sz w:val="18"/>
                <w:szCs w:val="18"/>
              </w:rPr>
            </w:pPr>
            <w:r>
              <w:rPr>
                <w:rFonts w:ascii="宋体" w:hAnsi="宋体" w:cs="宋体" w:eastAsia="宋体" w:hint="default"/>
                <w:spacing w:val="-3"/>
                <w:sz w:val="18"/>
                <w:szCs w:val="18"/>
              </w:rPr>
              <w:t>北京汉华易美图片有限公司</w:t>
            </w:r>
          </w:p>
        </w:tc>
        <w:tc>
          <w:tcPr>
            <w:tcW w:w="15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2"/>
                <w:sz w:val="18"/>
              </w:rPr>
              <w:t>4,850,000.00</w:t>
            </w:r>
          </w:p>
        </w:tc>
        <w:tc>
          <w:tcPr>
            <w:tcW w:w="15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2019-8-29</w:t>
            </w:r>
          </w:p>
        </w:tc>
        <w:tc>
          <w:tcPr>
            <w:tcW w:w="15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2020-8-29</w:t>
            </w:r>
          </w:p>
        </w:tc>
        <w:tc>
          <w:tcPr>
            <w:tcW w:w="16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94"/>
              <w:jc w:val="righ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50" w:hRule="exact"/>
        </w:trPr>
        <w:tc>
          <w:tcPr>
            <w:tcW w:w="29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81" w:right="0"/>
              <w:jc w:val="left"/>
              <w:rPr>
                <w:rFonts w:ascii="宋体" w:hAnsi="宋体" w:cs="宋体" w:eastAsia="宋体" w:hint="default"/>
                <w:sz w:val="18"/>
                <w:szCs w:val="18"/>
              </w:rPr>
            </w:pPr>
            <w:r>
              <w:rPr>
                <w:rFonts w:ascii="宋体" w:hAnsi="宋体" w:cs="宋体" w:eastAsia="宋体" w:hint="default"/>
                <w:spacing w:val="-3"/>
                <w:sz w:val="18"/>
                <w:szCs w:val="18"/>
              </w:rPr>
              <w:t>北京汉华易美图片有限公司</w:t>
            </w:r>
          </w:p>
        </w:tc>
        <w:tc>
          <w:tcPr>
            <w:tcW w:w="15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2"/>
                <w:sz w:val="18"/>
              </w:rPr>
              <w:t>4,900,000.00</w:t>
            </w:r>
          </w:p>
        </w:tc>
        <w:tc>
          <w:tcPr>
            <w:tcW w:w="15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2019-9-11</w:t>
            </w:r>
          </w:p>
        </w:tc>
        <w:tc>
          <w:tcPr>
            <w:tcW w:w="15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2020-9-11</w:t>
            </w:r>
          </w:p>
        </w:tc>
        <w:tc>
          <w:tcPr>
            <w:tcW w:w="16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94"/>
              <w:jc w:val="righ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51" w:hRule="exact"/>
        </w:trPr>
        <w:tc>
          <w:tcPr>
            <w:tcW w:w="29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81" w:right="0"/>
              <w:jc w:val="left"/>
              <w:rPr>
                <w:rFonts w:ascii="宋体" w:hAnsi="宋体" w:cs="宋体" w:eastAsia="宋体" w:hint="default"/>
                <w:sz w:val="18"/>
                <w:szCs w:val="18"/>
              </w:rPr>
            </w:pPr>
            <w:r>
              <w:rPr>
                <w:rFonts w:ascii="宋体" w:hAnsi="宋体" w:cs="宋体" w:eastAsia="宋体" w:hint="default"/>
                <w:spacing w:val="-3"/>
                <w:sz w:val="18"/>
                <w:szCs w:val="18"/>
              </w:rPr>
              <w:t>北京汉华易美图片有限公司</w:t>
            </w:r>
          </w:p>
        </w:tc>
        <w:tc>
          <w:tcPr>
            <w:tcW w:w="15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2"/>
                <w:sz w:val="18"/>
              </w:rPr>
              <w:t>4,900,000.00</w:t>
            </w:r>
          </w:p>
        </w:tc>
        <w:tc>
          <w:tcPr>
            <w:tcW w:w="15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2019-9-23</w:t>
            </w:r>
          </w:p>
        </w:tc>
        <w:tc>
          <w:tcPr>
            <w:tcW w:w="15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2020-9-23</w:t>
            </w:r>
          </w:p>
        </w:tc>
        <w:tc>
          <w:tcPr>
            <w:tcW w:w="16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94"/>
              <w:jc w:val="righ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55" w:hRule="exact"/>
        </w:trPr>
        <w:tc>
          <w:tcPr>
            <w:tcW w:w="29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81" w:right="0"/>
              <w:jc w:val="left"/>
              <w:rPr>
                <w:rFonts w:ascii="宋体" w:hAnsi="宋体" w:cs="宋体" w:eastAsia="宋体" w:hint="default"/>
                <w:sz w:val="18"/>
                <w:szCs w:val="18"/>
              </w:rPr>
            </w:pPr>
            <w:r>
              <w:rPr>
                <w:rFonts w:ascii="宋体" w:hAnsi="宋体" w:cs="宋体" w:eastAsia="宋体" w:hint="default"/>
                <w:spacing w:val="-3"/>
                <w:sz w:val="18"/>
                <w:szCs w:val="18"/>
              </w:rPr>
              <w:t>北京汉华易美图片有限公司</w:t>
            </w:r>
          </w:p>
        </w:tc>
        <w:tc>
          <w:tcPr>
            <w:tcW w:w="15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2"/>
                <w:sz w:val="18"/>
              </w:rPr>
              <w:t>600,000.00</w:t>
            </w:r>
          </w:p>
        </w:tc>
        <w:tc>
          <w:tcPr>
            <w:tcW w:w="15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2019-9-26</w:t>
            </w:r>
          </w:p>
        </w:tc>
        <w:tc>
          <w:tcPr>
            <w:tcW w:w="15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2020-9-26</w:t>
            </w:r>
          </w:p>
        </w:tc>
        <w:tc>
          <w:tcPr>
            <w:tcW w:w="16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94"/>
              <w:jc w:val="righ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50" w:hRule="exact"/>
        </w:trPr>
        <w:tc>
          <w:tcPr>
            <w:tcW w:w="29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81" w:right="0"/>
              <w:jc w:val="left"/>
              <w:rPr>
                <w:rFonts w:ascii="宋体" w:hAnsi="宋体" w:cs="宋体" w:eastAsia="宋体" w:hint="default"/>
                <w:sz w:val="18"/>
                <w:szCs w:val="18"/>
              </w:rPr>
            </w:pPr>
            <w:r>
              <w:rPr>
                <w:rFonts w:ascii="宋体" w:hAnsi="宋体" w:cs="宋体" w:eastAsia="宋体" w:hint="default"/>
                <w:spacing w:val="-3"/>
                <w:sz w:val="18"/>
                <w:szCs w:val="18"/>
              </w:rPr>
              <w:t>华盖创意</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天津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视讯科技有限公司</w:t>
            </w:r>
          </w:p>
        </w:tc>
        <w:tc>
          <w:tcPr>
            <w:tcW w:w="15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2"/>
                <w:sz w:val="18"/>
              </w:rPr>
              <w:t>50,000,000.00</w:t>
            </w:r>
          </w:p>
        </w:tc>
        <w:tc>
          <w:tcPr>
            <w:tcW w:w="15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2019-12-5</w:t>
            </w:r>
          </w:p>
        </w:tc>
        <w:tc>
          <w:tcPr>
            <w:tcW w:w="15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2020-12-4</w:t>
            </w:r>
          </w:p>
        </w:tc>
        <w:tc>
          <w:tcPr>
            <w:tcW w:w="16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94"/>
              <w:jc w:val="righ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line="240" w:lineRule="auto" w:before="6"/>
        <w:rPr>
          <w:rFonts w:ascii="宋体" w:hAnsi="宋体" w:cs="宋体" w:eastAsia="宋体" w:hint="default"/>
          <w:sz w:val="6"/>
          <w:szCs w:val="6"/>
        </w:rPr>
      </w:pPr>
    </w:p>
    <w:p>
      <w:pPr>
        <w:spacing w:before="46"/>
        <w:ind w:left="23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 </w:t>
      </w:r>
      <w:r>
        <w:rPr>
          <w:rFonts w:ascii="Times New Roman" w:hAnsi="Times New Roman" w:cs="Times New Roman" w:eastAsia="Times New Roman" w:hint="default"/>
          <w:spacing w:val="30"/>
          <w:sz w:val="18"/>
          <w:szCs w:val="18"/>
        </w:rPr>
        <w:t> </w:t>
      </w:r>
      <w:r>
        <w:rPr>
          <w:rFonts w:ascii="宋体" w:hAnsi="宋体" w:cs="宋体" w:eastAsia="宋体" w:hint="default"/>
          <w:spacing w:val="-3"/>
          <w:sz w:val="18"/>
          <w:szCs w:val="18"/>
        </w:rPr>
        <w:t>子公司之间担保的情况如下：</w:t>
      </w:r>
    </w:p>
    <w:p>
      <w:pPr>
        <w:spacing w:line="240" w:lineRule="auto" w:before="2"/>
        <w:rPr>
          <w:rFonts w:ascii="宋体" w:hAnsi="宋体" w:cs="宋体" w:eastAsia="宋体" w:hint="default"/>
          <w:sz w:val="13"/>
          <w:szCs w:val="13"/>
        </w:rPr>
      </w:pPr>
    </w:p>
    <w:tbl>
      <w:tblPr>
        <w:tblW w:w="0" w:type="auto"/>
        <w:jc w:val="left"/>
        <w:tblInd w:w="143" w:type="dxa"/>
        <w:tblLayout w:type="fixed"/>
        <w:tblCellMar>
          <w:top w:w="0" w:type="dxa"/>
          <w:left w:w="0" w:type="dxa"/>
          <w:bottom w:w="0" w:type="dxa"/>
          <w:right w:w="0" w:type="dxa"/>
        </w:tblCellMar>
        <w:tblLook w:val="01E0"/>
      </w:tblPr>
      <w:tblGrid>
        <w:gridCol w:w="2267"/>
        <w:gridCol w:w="2271"/>
        <w:gridCol w:w="1133"/>
        <w:gridCol w:w="1138"/>
        <w:gridCol w:w="1133"/>
        <w:gridCol w:w="1193"/>
      </w:tblGrid>
      <w:tr>
        <w:trPr>
          <w:trHeight w:val="665" w:hRule="exact"/>
        </w:trPr>
        <w:tc>
          <w:tcPr>
            <w:tcW w:w="22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22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13"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担保金额</w:t>
            </w:r>
          </w:p>
        </w:tc>
        <w:tc>
          <w:tcPr>
            <w:tcW w:w="11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115"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110"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193" w:type="dxa"/>
            <w:tcBorders>
              <w:top w:val="single" w:sz="6" w:space="0" w:color="000000"/>
              <w:left w:val="single" w:sz="6" w:space="0" w:color="000000"/>
              <w:bottom w:val="single" w:sz="12" w:space="0" w:color="000000"/>
              <w:right w:val="nil" w:sz="6" w:space="0" w:color="auto"/>
            </w:tcBorders>
          </w:tcPr>
          <w:p>
            <w:pPr>
              <w:pStyle w:val="TableParagraph"/>
              <w:spacing w:line="319" w:lineRule="auto" w:before="20"/>
              <w:ind w:left="230" w:right="51" w:hanging="183"/>
              <w:jc w:val="left"/>
              <w:rPr>
                <w:rFonts w:ascii="宋体" w:hAnsi="宋体" w:cs="宋体" w:eastAsia="宋体" w:hint="default"/>
                <w:sz w:val="18"/>
                <w:szCs w:val="18"/>
              </w:rPr>
            </w:pPr>
            <w:r>
              <w:rPr>
                <w:rFonts w:ascii="宋体" w:hAnsi="宋体" w:cs="宋体" w:eastAsia="宋体" w:hint="default"/>
                <w:spacing w:val="-2"/>
                <w:sz w:val="18"/>
                <w:szCs w:val="18"/>
              </w:rPr>
              <w:t>担保是否已经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履行完毕</w:t>
            </w:r>
          </w:p>
        </w:tc>
      </w:tr>
      <w:tr>
        <w:trPr>
          <w:trHeight w:val="355" w:hRule="exact"/>
        </w:trPr>
        <w:tc>
          <w:tcPr>
            <w:tcW w:w="22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right="75"/>
              <w:jc w:val="center"/>
              <w:rPr>
                <w:rFonts w:ascii="宋体" w:hAnsi="宋体" w:cs="宋体" w:eastAsia="宋体" w:hint="default"/>
                <w:sz w:val="18"/>
                <w:szCs w:val="18"/>
              </w:rPr>
            </w:pPr>
            <w:r>
              <w:rPr>
                <w:rFonts w:ascii="宋体" w:hAnsi="宋体" w:cs="宋体" w:eastAsia="宋体" w:hint="default"/>
                <w:spacing w:val="-3"/>
                <w:sz w:val="18"/>
                <w:szCs w:val="18"/>
              </w:rPr>
              <w:t>视觉中国集团控股有限公司</w:t>
            </w:r>
          </w:p>
        </w:tc>
        <w:tc>
          <w:tcPr>
            <w:tcW w:w="22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100" w:right="-10"/>
              <w:jc w:val="center"/>
              <w:rPr>
                <w:rFonts w:ascii="宋体" w:hAnsi="宋体" w:cs="宋体" w:eastAsia="宋体" w:hint="default"/>
                <w:sz w:val="18"/>
                <w:szCs w:val="18"/>
              </w:rPr>
            </w:pPr>
            <w:r>
              <w:rPr>
                <w:rFonts w:ascii="宋体" w:hAnsi="宋体" w:cs="宋体" w:eastAsia="宋体" w:hint="default"/>
                <w:spacing w:val="-3"/>
                <w:sz w:val="18"/>
                <w:szCs w:val="18"/>
              </w:rPr>
              <w:t>北京汉华易美图片有限公司</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left="86" w:right="-5"/>
              <w:jc w:val="center"/>
              <w:rPr>
                <w:rFonts w:ascii="Times New Roman" w:hAnsi="Times New Roman" w:cs="Times New Roman" w:eastAsia="Times New Roman" w:hint="default"/>
                <w:sz w:val="18"/>
                <w:szCs w:val="18"/>
              </w:rPr>
            </w:pPr>
            <w:r>
              <w:rPr>
                <w:rFonts w:ascii="Times New Roman"/>
                <w:spacing w:val="-2"/>
                <w:sz w:val="18"/>
              </w:rPr>
              <w:t>20,000,000.00</w:t>
            </w:r>
          </w:p>
        </w:tc>
        <w:tc>
          <w:tcPr>
            <w:tcW w:w="11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5"/>
              <w:jc w:val="right"/>
              <w:rPr>
                <w:rFonts w:ascii="Times New Roman" w:hAnsi="Times New Roman" w:cs="Times New Roman" w:eastAsia="Times New Roman" w:hint="default"/>
                <w:sz w:val="18"/>
                <w:szCs w:val="18"/>
              </w:rPr>
            </w:pPr>
            <w:r>
              <w:rPr>
                <w:rFonts w:ascii="Times New Roman"/>
                <w:spacing w:val="-1"/>
                <w:sz w:val="18"/>
              </w:rPr>
              <w:t>2019-6-14</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5"/>
              <w:jc w:val="right"/>
              <w:rPr>
                <w:rFonts w:ascii="Times New Roman" w:hAnsi="Times New Roman" w:cs="Times New Roman" w:eastAsia="Times New Roman" w:hint="default"/>
                <w:sz w:val="18"/>
                <w:szCs w:val="18"/>
              </w:rPr>
            </w:pPr>
            <w:r>
              <w:rPr>
                <w:rFonts w:ascii="Times New Roman"/>
                <w:spacing w:val="-1"/>
                <w:sz w:val="18"/>
              </w:rPr>
              <w:t>2020-6-14</w:t>
            </w:r>
          </w:p>
        </w:tc>
        <w:tc>
          <w:tcPr>
            <w:tcW w:w="11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5"/>
              <w:ind w:right="502"/>
              <w:jc w:val="righ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50" w:hRule="exact"/>
        </w:trPr>
        <w:tc>
          <w:tcPr>
            <w:tcW w:w="22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75"/>
              <w:jc w:val="center"/>
              <w:rPr>
                <w:rFonts w:ascii="宋体" w:hAnsi="宋体" w:cs="宋体" w:eastAsia="宋体" w:hint="default"/>
                <w:sz w:val="18"/>
                <w:szCs w:val="18"/>
              </w:rPr>
            </w:pPr>
            <w:r>
              <w:rPr>
                <w:rFonts w:ascii="宋体" w:hAnsi="宋体" w:cs="宋体" w:eastAsia="宋体" w:hint="default"/>
                <w:spacing w:val="-3"/>
                <w:sz w:val="18"/>
                <w:szCs w:val="18"/>
              </w:rPr>
              <w:t>视觉中国集团控股有限公司</w:t>
            </w:r>
          </w:p>
        </w:tc>
        <w:tc>
          <w:tcPr>
            <w:tcW w:w="22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00" w:right="-10"/>
              <w:jc w:val="center"/>
              <w:rPr>
                <w:rFonts w:ascii="宋体" w:hAnsi="宋体" w:cs="宋体" w:eastAsia="宋体" w:hint="default"/>
                <w:sz w:val="18"/>
                <w:szCs w:val="18"/>
              </w:rPr>
            </w:pPr>
            <w:r>
              <w:rPr>
                <w:rFonts w:ascii="宋体" w:hAnsi="宋体" w:cs="宋体" w:eastAsia="宋体" w:hint="default"/>
                <w:spacing w:val="-3"/>
                <w:sz w:val="18"/>
                <w:szCs w:val="18"/>
              </w:rPr>
              <w:t>北京汉华易美图片有限公司</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86" w:right="-5"/>
              <w:jc w:val="center"/>
              <w:rPr>
                <w:rFonts w:ascii="Times New Roman" w:hAnsi="Times New Roman" w:cs="Times New Roman" w:eastAsia="Times New Roman" w:hint="default"/>
                <w:sz w:val="18"/>
                <w:szCs w:val="18"/>
              </w:rPr>
            </w:pPr>
            <w:r>
              <w:rPr>
                <w:rFonts w:ascii="Times New Roman"/>
                <w:spacing w:val="-2"/>
                <w:sz w:val="18"/>
              </w:rPr>
              <w:t>20,000,000.00</w:t>
            </w:r>
          </w:p>
        </w:tc>
        <w:tc>
          <w:tcPr>
            <w:tcW w:w="11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2019-6-14</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2020-6-14</w:t>
            </w:r>
          </w:p>
        </w:tc>
        <w:tc>
          <w:tcPr>
            <w:tcW w:w="11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02"/>
              <w:jc w:val="righ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50" w:hRule="exact"/>
        </w:trPr>
        <w:tc>
          <w:tcPr>
            <w:tcW w:w="22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75"/>
              <w:jc w:val="center"/>
              <w:rPr>
                <w:rFonts w:ascii="宋体" w:hAnsi="宋体" w:cs="宋体" w:eastAsia="宋体" w:hint="default"/>
                <w:sz w:val="18"/>
                <w:szCs w:val="18"/>
              </w:rPr>
            </w:pPr>
            <w:r>
              <w:rPr>
                <w:rFonts w:ascii="宋体" w:hAnsi="宋体" w:cs="宋体" w:eastAsia="宋体" w:hint="default"/>
                <w:spacing w:val="-3"/>
                <w:sz w:val="18"/>
                <w:szCs w:val="18"/>
              </w:rPr>
              <w:t>视觉中国集团控股有限公司</w:t>
            </w:r>
          </w:p>
        </w:tc>
        <w:tc>
          <w:tcPr>
            <w:tcW w:w="22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00" w:right="-10"/>
              <w:jc w:val="center"/>
              <w:rPr>
                <w:rFonts w:ascii="宋体" w:hAnsi="宋体" w:cs="宋体" w:eastAsia="宋体" w:hint="default"/>
                <w:sz w:val="18"/>
                <w:szCs w:val="18"/>
              </w:rPr>
            </w:pPr>
            <w:r>
              <w:rPr>
                <w:rFonts w:ascii="宋体" w:hAnsi="宋体" w:cs="宋体" w:eastAsia="宋体" w:hint="default"/>
                <w:spacing w:val="-3"/>
                <w:sz w:val="18"/>
                <w:szCs w:val="18"/>
              </w:rPr>
              <w:t>北京汉华易美图片有限公司</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86" w:right="-5"/>
              <w:jc w:val="center"/>
              <w:rPr>
                <w:rFonts w:ascii="Times New Roman" w:hAnsi="Times New Roman" w:cs="Times New Roman" w:eastAsia="Times New Roman" w:hint="default"/>
                <w:sz w:val="18"/>
                <w:szCs w:val="18"/>
              </w:rPr>
            </w:pPr>
            <w:r>
              <w:rPr>
                <w:rFonts w:ascii="Times New Roman"/>
                <w:spacing w:val="-2"/>
                <w:sz w:val="18"/>
              </w:rPr>
              <w:t>20,000,000.00</w:t>
            </w:r>
          </w:p>
        </w:tc>
        <w:tc>
          <w:tcPr>
            <w:tcW w:w="11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2019-6-14</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2020-6-14</w:t>
            </w:r>
          </w:p>
        </w:tc>
        <w:tc>
          <w:tcPr>
            <w:tcW w:w="11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02"/>
              <w:jc w:val="righ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55" w:hRule="exact"/>
        </w:trPr>
        <w:tc>
          <w:tcPr>
            <w:tcW w:w="22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right="75"/>
              <w:jc w:val="center"/>
              <w:rPr>
                <w:rFonts w:ascii="宋体" w:hAnsi="宋体" w:cs="宋体" w:eastAsia="宋体" w:hint="default"/>
                <w:sz w:val="18"/>
                <w:szCs w:val="18"/>
              </w:rPr>
            </w:pPr>
            <w:r>
              <w:rPr>
                <w:rFonts w:ascii="宋体" w:hAnsi="宋体" w:cs="宋体" w:eastAsia="宋体" w:hint="default"/>
                <w:spacing w:val="-3"/>
                <w:sz w:val="18"/>
                <w:szCs w:val="18"/>
              </w:rPr>
              <w:t>视觉中国集团控股有限公司</w:t>
            </w:r>
          </w:p>
        </w:tc>
        <w:tc>
          <w:tcPr>
            <w:tcW w:w="22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100" w:right="-10"/>
              <w:jc w:val="center"/>
              <w:rPr>
                <w:rFonts w:ascii="宋体" w:hAnsi="宋体" w:cs="宋体" w:eastAsia="宋体" w:hint="default"/>
                <w:sz w:val="18"/>
                <w:szCs w:val="18"/>
              </w:rPr>
            </w:pPr>
            <w:r>
              <w:rPr>
                <w:rFonts w:ascii="宋体" w:hAnsi="宋体" w:cs="宋体" w:eastAsia="宋体" w:hint="default"/>
                <w:spacing w:val="-3"/>
                <w:sz w:val="18"/>
                <w:szCs w:val="18"/>
              </w:rPr>
              <w:t>北京汉华易美图片有限公司</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left="86" w:right="-5"/>
              <w:jc w:val="center"/>
              <w:rPr>
                <w:rFonts w:ascii="Times New Roman" w:hAnsi="Times New Roman" w:cs="Times New Roman" w:eastAsia="Times New Roman" w:hint="default"/>
                <w:sz w:val="18"/>
                <w:szCs w:val="18"/>
              </w:rPr>
            </w:pPr>
            <w:r>
              <w:rPr>
                <w:rFonts w:ascii="Times New Roman"/>
                <w:spacing w:val="-2"/>
                <w:sz w:val="18"/>
              </w:rPr>
              <w:t>30,000,000.00</w:t>
            </w:r>
          </w:p>
        </w:tc>
        <w:tc>
          <w:tcPr>
            <w:tcW w:w="11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5"/>
              <w:jc w:val="right"/>
              <w:rPr>
                <w:rFonts w:ascii="Times New Roman" w:hAnsi="Times New Roman" w:cs="Times New Roman" w:eastAsia="Times New Roman" w:hint="default"/>
                <w:sz w:val="18"/>
                <w:szCs w:val="18"/>
              </w:rPr>
            </w:pPr>
            <w:r>
              <w:rPr>
                <w:rFonts w:ascii="Times New Roman"/>
                <w:spacing w:val="-1"/>
                <w:sz w:val="18"/>
              </w:rPr>
              <w:t>2019-7-10</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5"/>
              <w:jc w:val="right"/>
              <w:rPr>
                <w:rFonts w:ascii="Times New Roman" w:hAnsi="Times New Roman" w:cs="Times New Roman" w:eastAsia="Times New Roman" w:hint="default"/>
                <w:sz w:val="18"/>
                <w:szCs w:val="18"/>
              </w:rPr>
            </w:pPr>
            <w:r>
              <w:rPr>
                <w:rFonts w:ascii="Times New Roman"/>
                <w:spacing w:val="-1"/>
                <w:sz w:val="18"/>
              </w:rPr>
              <w:t>2020-7-10</w:t>
            </w:r>
          </w:p>
        </w:tc>
        <w:tc>
          <w:tcPr>
            <w:tcW w:w="11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5"/>
              <w:ind w:right="502"/>
              <w:jc w:val="righ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line="240" w:lineRule="auto" w:before="3"/>
        <w:rPr>
          <w:rFonts w:ascii="宋体" w:hAnsi="宋体" w:cs="宋体" w:eastAsia="宋体" w:hint="default"/>
          <w:sz w:val="19"/>
          <w:szCs w:val="19"/>
        </w:rPr>
      </w:pPr>
    </w:p>
    <w:p>
      <w:pPr>
        <w:pStyle w:val="Heading4"/>
        <w:spacing w:line="240" w:lineRule="auto" w:before="36"/>
        <w:ind w:left="135" w:right="8638"/>
        <w:jc w:val="center"/>
        <w:rPr>
          <w:b w:val="0"/>
          <w:bCs w:val="0"/>
        </w:rPr>
      </w:pPr>
      <w:bookmarkStart w:name="（3） 关联方租赁情况" w:id="351"/>
      <w:bookmarkEnd w:id="351"/>
      <w:r>
        <w:rPr>
          <w:b w:val="0"/>
          <w:bCs w:val="0"/>
        </w:rPr>
      </w:r>
      <w:r>
        <w:rPr/>
        <w:t>（</w:t>
      </w:r>
      <w:r>
        <w:rPr>
          <w:rFonts w:ascii="Times New Roman" w:hAnsi="Times New Roman" w:cs="Times New Roman" w:eastAsia="Times New Roman" w:hint="default"/>
        </w:rPr>
        <w:t>3</w:t>
      </w:r>
      <w:r>
        <w:rPr/>
        <w:t>）</w:t>
      </w:r>
      <w:r>
        <w:rPr>
          <w:spacing w:val="2"/>
        </w:rPr>
        <w:t> </w:t>
      </w:r>
      <w:r>
        <w:rPr/>
        <w:t>关联方租赁情况</w:t>
      </w:r>
      <w:r>
        <w:rPr>
          <w:b w:val="0"/>
          <w:bCs w:val="0"/>
        </w:rPr>
      </w:r>
    </w:p>
    <w:p>
      <w:pPr>
        <w:spacing w:line="240" w:lineRule="auto" w:before="4"/>
        <w:rPr>
          <w:rFonts w:ascii="宋体" w:hAnsi="宋体" w:cs="宋体" w:eastAsia="宋体" w:hint="default"/>
          <w:b/>
          <w:bCs/>
          <w:sz w:val="26"/>
          <w:szCs w:val="26"/>
        </w:rPr>
      </w:pPr>
    </w:p>
    <w:p>
      <w:pPr>
        <w:spacing w:before="0"/>
        <w:ind w:left="102" w:right="8427" w:firstLine="0"/>
        <w:jc w:val="center"/>
        <w:rPr>
          <w:rFonts w:ascii="宋体" w:hAnsi="宋体" w:cs="宋体" w:eastAsia="宋体" w:hint="default"/>
          <w:sz w:val="18"/>
          <w:szCs w:val="18"/>
        </w:rPr>
      </w:pPr>
      <w:r>
        <w:rPr>
          <w:rFonts w:ascii="宋体" w:hAnsi="宋体" w:cs="宋体" w:eastAsia="宋体" w:hint="default"/>
          <w:sz w:val="18"/>
          <w:szCs w:val="18"/>
        </w:rPr>
        <w:t>本公司作为出租人</w:t>
      </w:r>
    </w:p>
    <w:p>
      <w:pPr>
        <w:spacing w:line="240" w:lineRule="auto" w:before="3"/>
        <w:rPr>
          <w:rFonts w:ascii="宋体" w:hAnsi="宋体" w:cs="宋体" w:eastAsia="宋体" w:hint="default"/>
          <w:sz w:val="14"/>
          <w:szCs w:val="14"/>
        </w:rPr>
      </w:pPr>
    </w:p>
    <w:tbl>
      <w:tblPr>
        <w:tblW w:w="0" w:type="auto"/>
        <w:jc w:val="left"/>
        <w:tblInd w:w="143" w:type="dxa"/>
        <w:tblLayout w:type="fixed"/>
        <w:tblCellMar>
          <w:top w:w="0" w:type="dxa"/>
          <w:left w:w="0" w:type="dxa"/>
          <w:bottom w:w="0" w:type="dxa"/>
          <w:right w:w="0" w:type="dxa"/>
        </w:tblCellMar>
        <w:tblLook w:val="01E0"/>
      </w:tblPr>
      <w:tblGrid>
        <w:gridCol w:w="2699"/>
        <w:gridCol w:w="1902"/>
        <w:gridCol w:w="2295"/>
        <w:gridCol w:w="2298"/>
      </w:tblGrid>
      <w:tr>
        <w:trPr>
          <w:trHeight w:val="358" w:hRule="exact"/>
        </w:trPr>
        <w:tc>
          <w:tcPr>
            <w:tcW w:w="26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893"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9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租赁资产种类</w:t>
            </w:r>
          </w:p>
        </w:tc>
        <w:tc>
          <w:tcPr>
            <w:tcW w:w="22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31" w:right="0"/>
              <w:jc w:val="left"/>
              <w:rPr>
                <w:rFonts w:ascii="宋体" w:hAnsi="宋体" w:cs="宋体" w:eastAsia="宋体" w:hint="default"/>
                <w:sz w:val="18"/>
                <w:szCs w:val="18"/>
              </w:rPr>
            </w:pPr>
            <w:r>
              <w:rPr>
                <w:rFonts w:ascii="宋体" w:hAnsi="宋体" w:cs="宋体" w:eastAsia="宋体" w:hint="default"/>
                <w:spacing w:val="-3"/>
                <w:sz w:val="18"/>
                <w:szCs w:val="18"/>
              </w:rPr>
              <w:t>本年确认的租赁收入</w:t>
            </w:r>
          </w:p>
        </w:tc>
        <w:tc>
          <w:tcPr>
            <w:tcW w:w="229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331" w:right="0"/>
              <w:jc w:val="left"/>
              <w:rPr>
                <w:rFonts w:ascii="宋体" w:hAnsi="宋体" w:cs="宋体" w:eastAsia="宋体" w:hint="default"/>
                <w:sz w:val="18"/>
                <w:szCs w:val="18"/>
              </w:rPr>
            </w:pPr>
            <w:r>
              <w:rPr>
                <w:rFonts w:ascii="宋体" w:hAnsi="宋体" w:cs="宋体" w:eastAsia="宋体" w:hint="default"/>
                <w:spacing w:val="-3"/>
                <w:sz w:val="18"/>
                <w:szCs w:val="18"/>
              </w:rPr>
              <w:t>上年确认的租赁收入</w:t>
            </w:r>
          </w:p>
        </w:tc>
      </w:tr>
      <w:tr>
        <w:trPr>
          <w:trHeight w:val="350" w:hRule="exact"/>
        </w:trPr>
        <w:tc>
          <w:tcPr>
            <w:tcW w:w="26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3"/>
                <w:sz w:val="18"/>
                <w:szCs w:val="18"/>
              </w:rPr>
              <w:t>北京视觉大象科技有限公司</w:t>
            </w:r>
          </w:p>
        </w:tc>
        <w:tc>
          <w:tcPr>
            <w:tcW w:w="19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办公场所</w:t>
            </w:r>
          </w:p>
        </w:tc>
        <w:tc>
          <w:tcPr>
            <w:tcW w:w="22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1473" w:right="-5"/>
              <w:jc w:val="left"/>
              <w:rPr>
                <w:rFonts w:ascii="Times New Roman" w:hAnsi="Times New Roman" w:cs="Times New Roman" w:eastAsia="Times New Roman" w:hint="default"/>
                <w:sz w:val="18"/>
                <w:szCs w:val="18"/>
              </w:rPr>
            </w:pPr>
            <w:r>
              <w:rPr>
                <w:rFonts w:ascii="Times New Roman"/>
                <w:sz w:val="18"/>
              </w:rPr>
              <w:t>665,500.34</w:t>
            </w:r>
          </w:p>
        </w:tc>
        <w:tc>
          <w:tcPr>
            <w:tcW w:w="2298" w:type="dxa"/>
            <w:tcBorders>
              <w:top w:val="single" w:sz="12" w:space="0" w:color="000000"/>
              <w:left w:val="single" w:sz="6" w:space="0" w:color="000000"/>
              <w:bottom w:val="single" w:sz="12" w:space="0" w:color="000000"/>
              <w:right w:val="nil" w:sz="6" w:space="0" w:color="auto"/>
            </w:tcBorders>
          </w:tcPr>
          <w:p>
            <w:pPr/>
          </w:p>
        </w:tc>
      </w:tr>
    </w:tbl>
    <w:p>
      <w:pPr>
        <w:spacing w:after="0"/>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4"/>
        <w:spacing w:line="240" w:lineRule="auto" w:before="36"/>
        <w:ind w:right="0"/>
        <w:jc w:val="left"/>
        <w:rPr>
          <w:b w:val="0"/>
          <w:bCs w:val="0"/>
        </w:rPr>
      </w:pPr>
      <w:bookmarkStart w:name="（4） 关联方资金拆借" w:id="352"/>
      <w:bookmarkEnd w:id="352"/>
      <w:r>
        <w:rPr>
          <w:b w:val="0"/>
          <w:bCs w:val="0"/>
        </w:rPr>
      </w:r>
      <w:r>
        <w:rPr/>
        <w:t>（</w:t>
      </w:r>
      <w:r>
        <w:rPr>
          <w:rFonts w:ascii="Times New Roman" w:hAnsi="Times New Roman" w:cs="Times New Roman" w:eastAsia="Times New Roman" w:hint="default"/>
        </w:rPr>
        <w:t>4</w:t>
      </w:r>
      <w:r>
        <w:rPr/>
        <w:t>）</w:t>
      </w:r>
      <w:r>
        <w:rPr>
          <w:spacing w:val="2"/>
        </w:rPr>
        <w:t> </w:t>
      </w:r>
      <w:r>
        <w:rPr/>
        <w:t>关联方资金拆借</w:t>
      </w:r>
      <w:r>
        <w:rPr>
          <w:b w:val="0"/>
          <w:bCs w:val="0"/>
        </w:rPr>
      </w:r>
    </w:p>
    <w:p>
      <w:pPr>
        <w:spacing w:line="240" w:lineRule="auto" w:before="7"/>
        <w:rPr>
          <w:rFonts w:ascii="宋体" w:hAnsi="宋体" w:cs="宋体" w:eastAsia="宋体" w:hint="default"/>
          <w:b/>
          <w:bCs/>
          <w:sz w:val="25"/>
          <w:szCs w:val="25"/>
        </w:rPr>
      </w:pPr>
    </w:p>
    <w:tbl>
      <w:tblPr>
        <w:tblW w:w="0" w:type="auto"/>
        <w:jc w:val="left"/>
        <w:tblInd w:w="143" w:type="dxa"/>
        <w:tblLayout w:type="fixed"/>
        <w:tblCellMar>
          <w:top w:w="0" w:type="dxa"/>
          <w:left w:w="0" w:type="dxa"/>
          <w:bottom w:w="0" w:type="dxa"/>
          <w:right w:w="0" w:type="dxa"/>
        </w:tblCellMar>
        <w:tblLook w:val="01E0"/>
      </w:tblPr>
      <w:tblGrid>
        <w:gridCol w:w="2838"/>
        <w:gridCol w:w="1705"/>
        <w:gridCol w:w="1532"/>
        <w:gridCol w:w="1527"/>
        <w:gridCol w:w="1534"/>
      </w:tblGrid>
      <w:tr>
        <w:trPr>
          <w:trHeight w:val="353" w:hRule="exact"/>
        </w:trPr>
        <w:tc>
          <w:tcPr>
            <w:tcW w:w="28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7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85"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5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89" w:right="0"/>
              <w:jc w:val="left"/>
              <w:rPr>
                <w:rFonts w:ascii="宋体" w:hAnsi="宋体" w:cs="宋体" w:eastAsia="宋体" w:hint="default"/>
                <w:sz w:val="18"/>
                <w:szCs w:val="18"/>
              </w:rPr>
            </w:pPr>
            <w:r>
              <w:rPr>
                <w:rFonts w:ascii="宋体" w:hAnsi="宋体" w:cs="宋体" w:eastAsia="宋体" w:hint="default"/>
                <w:sz w:val="18"/>
                <w:szCs w:val="18"/>
              </w:rPr>
              <w:t>起始日</w:t>
            </w:r>
          </w:p>
        </w:tc>
        <w:tc>
          <w:tcPr>
            <w:tcW w:w="15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89"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53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580" w:right="0"/>
              <w:jc w:val="left"/>
              <w:rPr>
                <w:rFonts w:ascii="宋体" w:hAnsi="宋体" w:cs="宋体" w:eastAsia="宋体" w:hint="default"/>
                <w:sz w:val="18"/>
                <w:szCs w:val="18"/>
              </w:rPr>
            </w:pPr>
            <w:r>
              <w:rPr>
                <w:rFonts w:ascii="宋体" w:hAnsi="宋体" w:cs="宋体" w:eastAsia="宋体" w:hint="default"/>
                <w:sz w:val="18"/>
                <w:szCs w:val="18"/>
              </w:rPr>
              <w:t>说明</w:t>
            </w:r>
          </w:p>
        </w:tc>
      </w:tr>
      <w:tr>
        <w:trPr>
          <w:trHeight w:val="351" w:hRule="exact"/>
        </w:trPr>
        <w:tc>
          <w:tcPr>
            <w:tcW w:w="28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借入：</w:t>
            </w:r>
          </w:p>
        </w:tc>
        <w:tc>
          <w:tcPr>
            <w:tcW w:w="1705" w:type="dxa"/>
            <w:tcBorders>
              <w:top w:val="single" w:sz="12" w:space="0" w:color="000000"/>
              <w:left w:val="single" w:sz="6" w:space="0" w:color="000000"/>
              <w:bottom w:val="single" w:sz="12" w:space="0" w:color="000000"/>
              <w:right w:val="single" w:sz="6" w:space="0" w:color="000000"/>
            </w:tcBorders>
          </w:tcPr>
          <w:p>
            <w:pPr/>
          </w:p>
        </w:tc>
        <w:tc>
          <w:tcPr>
            <w:tcW w:w="1532" w:type="dxa"/>
            <w:tcBorders>
              <w:top w:val="single" w:sz="12" w:space="0" w:color="000000"/>
              <w:left w:val="single" w:sz="6" w:space="0" w:color="000000"/>
              <w:bottom w:val="single" w:sz="12" w:space="0" w:color="000000"/>
              <w:right w:val="single" w:sz="6" w:space="0" w:color="000000"/>
            </w:tcBorders>
          </w:tcPr>
          <w:p>
            <w:pPr/>
          </w:p>
        </w:tc>
        <w:tc>
          <w:tcPr>
            <w:tcW w:w="1527" w:type="dxa"/>
            <w:tcBorders>
              <w:top w:val="single" w:sz="12" w:space="0" w:color="000000"/>
              <w:left w:val="single" w:sz="6" w:space="0" w:color="000000"/>
              <w:bottom w:val="single" w:sz="12" w:space="0" w:color="000000"/>
              <w:right w:val="single" w:sz="6" w:space="0" w:color="000000"/>
            </w:tcBorders>
          </w:tcPr>
          <w:p>
            <w:pPr/>
          </w:p>
        </w:tc>
        <w:tc>
          <w:tcPr>
            <w:tcW w:w="1534" w:type="dxa"/>
            <w:tcBorders>
              <w:top w:val="single" w:sz="12" w:space="0" w:color="000000"/>
              <w:left w:val="single" w:sz="6" w:space="0" w:color="000000"/>
              <w:bottom w:val="single" w:sz="12" w:space="0" w:color="000000"/>
              <w:right w:val="nil" w:sz="6" w:space="0" w:color="auto"/>
            </w:tcBorders>
          </w:tcPr>
          <w:p>
            <w:pPr/>
          </w:p>
        </w:tc>
      </w:tr>
      <w:tr>
        <w:trPr>
          <w:trHeight w:val="667" w:hRule="exact"/>
        </w:trPr>
        <w:tc>
          <w:tcPr>
            <w:tcW w:w="2838" w:type="dxa"/>
            <w:tcBorders>
              <w:top w:val="single" w:sz="12" w:space="0" w:color="000000"/>
              <w:left w:val="single" w:sz="6" w:space="0" w:color="000000"/>
              <w:bottom w:val="single" w:sz="12" w:space="0" w:color="000000"/>
              <w:right w:val="single" w:sz="6" w:space="0" w:color="000000"/>
            </w:tcBorders>
          </w:tcPr>
          <w:p>
            <w:pPr>
              <w:pStyle w:val="TableParagraph"/>
              <w:tabs>
                <w:tab w:pos="776" w:val="left" w:leader="none"/>
                <w:tab w:pos="1591" w:val="left" w:leader="none"/>
                <w:tab w:pos="2230" w:val="left" w:leader="none"/>
              </w:tabs>
              <w:spacing w:line="362" w:lineRule="auto" w:before="57"/>
              <w:ind w:left="4" w:right="-2" w:firstLine="76"/>
              <w:jc w:val="left"/>
              <w:rPr>
                <w:rFonts w:ascii="Times New Roman" w:hAnsi="Times New Roman" w:cs="Times New Roman" w:eastAsia="Times New Roman" w:hint="default"/>
                <w:sz w:val="18"/>
                <w:szCs w:val="18"/>
              </w:rPr>
            </w:pPr>
            <w:r>
              <w:rPr>
                <w:rFonts w:ascii="Times New Roman"/>
                <w:spacing w:val="-1"/>
                <w:sz w:val="18"/>
              </w:rPr>
              <w:t>Getty</w:t>
              <w:tab/>
            </w:r>
            <w:r>
              <w:rPr>
                <w:rFonts w:ascii="Times New Roman"/>
                <w:spacing w:val="-3"/>
                <w:sz w:val="18"/>
              </w:rPr>
              <w:t>Images</w:t>
              <w:tab/>
            </w:r>
            <w:r>
              <w:rPr>
                <w:rFonts w:ascii="Times New Roman"/>
                <w:spacing w:val="-1"/>
                <w:sz w:val="18"/>
              </w:rPr>
              <w:t>SEA</w:t>
              <w:tab/>
              <w:t>Holding</w:t>
            </w:r>
            <w:r>
              <w:rPr>
                <w:rFonts w:ascii="Times New Roman"/>
                <w:w w:val="101"/>
                <w:sz w:val="18"/>
              </w:rPr>
              <w:t> </w:t>
            </w:r>
            <w:r>
              <w:rPr>
                <w:rFonts w:ascii="Times New Roman"/>
                <w:sz w:val="18"/>
              </w:rPr>
              <w:t>Co.,Limited</w:t>
            </w:r>
          </w:p>
        </w:tc>
        <w:tc>
          <w:tcPr>
            <w:tcW w:w="17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left="335" w:right="-5"/>
              <w:jc w:val="left"/>
              <w:rPr>
                <w:rFonts w:ascii="Times New Roman" w:hAnsi="Times New Roman" w:cs="Times New Roman" w:eastAsia="Times New Roman" w:hint="default"/>
                <w:sz w:val="18"/>
                <w:szCs w:val="18"/>
              </w:rPr>
            </w:pPr>
            <w:r>
              <w:rPr>
                <w:rFonts w:ascii="Times New Roman"/>
                <w:spacing w:val="-2"/>
                <w:sz w:val="18"/>
              </w:rPr>
              <w:t>US$24,000,000.00</w:t>
            </w:r>
          </w:p>
        </w:tc>
        <w:tc>
          <w:tcPr>
            <w:tcW w:w="15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left="787" w:right="-5"/>
              <w:jc w:val="left"/>
              <w:rPr>
                <w:rFonts w:ascii="Times New Roman" w:hAnsi="Times New Roman" w:cs="Times New Roman" w:eastAsia="Times New Roman" w:hint="default"/>
                <w:sz w:val="18"/>
                <w:szCs w:val="18"/>
              </w:rPr>
            </w:pPr>
            <w:r>
              <w:rPr>
                <w:rFonts w:ascii="Times New Roman"/>
                <w:sz w:val="18"/>
              </w:rPr>
              <w:t>2016/8/18</w:t>
            </w:r>
          </w:p>
        </w:tc>
        <w:tc>
          <w:tcPr>
            <w:tcW w:w="15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right="-5"/>
              <w:jc w:val="right"/>
              <w:rPr>
                <w:rFonts w:ascii="宋体" w:hAnsi="宋体" w:cs="宋体" w:eastAsia="宋体" w:hint="default"/>
                <w:sz w:val="18"/>
                <w:szCs w:val="18"/>
              </w:rPr>
            </w:pPr>
            <w:r>
              <w:rPr>
                <w:rFonts w:ascii="宋体" w:hAnsi="宋体" w:cs="宋体" w:eastAsia="宋体" w:hint="default"/>
                <w:spacing w:val="-5"/>
                <w:sz w:val="18"/>
                <w:szCs w:val="18"/>
              </w:rPr>
              <w:t>见注</w:t>
            </w:r>
            <w:r>
              <w:rPr>
                <w:rFonts w:ascii="宋体" w:hAnsi="宋体" w:cs="宋体" w:eastAsia="宋体" w:hint="default"/>
                <w:sz w:val="18"/>
                <w:szCs w:val="18"/>
              </w:rPr>
            </w:r>
          </w:p>
        </w:tc>
        <w:tc>
          <w:tcPr>
            <w:tcW w:w="15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5"/>
              <w:ind w:left="604"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年利率</w:t>
            </w:r>
            <w:r>
              <w:rPr>
                <w:rFonts w:ascii="Times New Roman" w:hAnsi="Times New Roman" w:cs="Times New Roman" w:eastAsia="Times New Roman" w:hint="default"/>
                <w:spacing w:val="-2"/>
                <w:sz w:val="18"/>
                <w:szCs w:val="18"/>
              </w:rPr>
              <w:t>2.5%</w:t>
            </w:r>
          </w:p>
        </w:tc>
      </w:tr>
    </w:tbl>
    <w:p>
      <w:pPr>
        <w:spacing w:line="240" w:lineRule="auto" w:before="6"/>
        <w:rPr>
          <w:rFonts w:ascii="宋体" w:hAnsi="宋体" w:cs="宋体" w:eastAsia="宋体" w:hint="default"/>
          <w:b/>
          <w:bCs/>
          <w:sz w:val="6"/>
          <w:szCs w:val="6"/>
        </w:rPr>
      </w:pPr>
    </w:p>
    <w:p>
      <w:pPr>
        <w:spacing w:line="300" w:lineRule="auto" w:before="46"/>
        <w:ind w:left="153" w:right="0" w:firstLine="441"/>
        <w:jc w:val="left"/>
        <w:rPr>
          <w:rFonts w:ascii="宋体" w:hAnsi="宋体" w:cs="宋体" w:eastAsia="宋体" w:hint="default"/>
          <w:sz w:val="18"/>
          <w:szCs w:val="18"/>
        </w:rPr>
      </w:pPr>
      <w:r>
        <w:rPr>
          <w:rFonts w:ascii="宋体" w:hAnsi="宋体" w:cs="宋体" w:eastAsia="宋体" w:hint="default"/>
          <w:spacing w:val="-3"/>
          <w:sz w:val="18"/>
          <w:szCs w:val="18"/>
        </w:rPr>
        <w:t>注：根据本公司之子公司视觉控股与</w:t>
      </w:r>
      <w:r>
        <w:rPr>
          <w:rFonts w:ascii="Times New Roman" w:hAnsi="Times New Roman" w:cs="Times New Roman" w:eastAsia="Times New Roman" w:hint="default"/>
          <w:spacing w:val="-3"/>
          <w:sz w:val="18"/>
          <w:szCs w:val="18"/>
        </w:rPr>
        <w:t>Getty Images </w:t>
      </w:r>
      <w:r>
        <w:rPr>
          <w:rFonts w:ascii="Times New Roman" w:hAnsi="Times New Roman" w:cs="Times New Roman" w:eastAsia="Times New Roman" w:hint="default"/>
          <w:sz w:val="18"/>
          <w:szCs w:val="18"/>
        </w:rPr>
        <w:t>SEA Holding</w:t>
      </w:r>
      <w:r>
        <w:rPr>
          <w:rFonts w:ascii="Times New Roman" w:hAnsi="Times New Roman" w:cs="Times New Roman" w:eastAsia="Times New Roman" w:hint="default"/>
          <w:spacing w:val="20"/>
          <w:sz w:val="18"/>
          <w:szCs w:val="18"/>
        </w:rPr>
        <w:t> </w:t>
      </w:r>
      <w:r>
        <w:rPr>
          <w:rFonts w:ascii="Times New Roman" w:hAnsi="Times New Roman" w:cs="Times New Roman" w:eastAsia="Times New Roman" w:hint="default"/>
          <w:sz w:val="18"/>
          <w:szCs w:val="18"/>
        </w:rPr>
        <w:t>Co.,Limited</w:t>
      </w:r>
      <w:r>
        <w:rPr>
          <w:rFonts w:ascii="宋体" w:hAnsi="宋体" w:cs="宋体" w:eastAsia="宋体" w:hint="default"/>
          <w:sz w:val="18"/>
          <w:szCs w:val="18"/>
        </w:rPr>
        <w:t>所签订的</w:t>
      </w:r>
      <w:r>
        <w:rPr>
          <w:rFonts w:ascii="Times New Roman" w:hAnsi="Times New Roman" w:cs="Times New Roman" w:eastAsia="Times New Roman" w:hint="default"/>
          <w:sz w:val="18"/>
          <w:szCs w:val="18"/>
        </w:rPr>
        <w:t>"</w:t>
      </w:r>
      <w:r>
        <w:rPr>
          <w:rFonts w:ascii="宋体" w:hAnsi="宋体" w:cs="宋体" w:eastAsia="宋体" w:hint="default"/>
          <w:sz w:val="18"/>
          <w:szCs w:val="18"/>
        </w:rPr>
        <w:t>借款协议</w:t>
      </w:r>
      <w:r>
        <w:rPr>
          <w:rFonts w:ascii="Times New Roman" w:hAnsi="Times New Roman" w:cs="Times New Roman" w:eastAsia="Times New Roman" w:hint="default"/>
          <w:sz w:val="18"/>
          <w:szCs w:val="18"/>
        </w:rPr>
        <w:t>"</w:t>
      </w:r>
      <w:r>
        <w:rPr>
          <w:rFonts w:ascii="宋体" w:hAnsi="宋体" w:cs="宋体" w:eastAsia="宋体" w:hint="default"/>
          <w:sz w:val="18"/>
          <w:szCs w:val="18"/>
        </w:rPr>
        <w:t>，该项借款在视觉控股</w:t>
      </w:r>
      <w:r>
        <w:rPr>
          <w:rFonts w:ascii="宋体" w:hAnsi="宋体" w:cs="宋体" w:eastAsia="宋体" w:hint="default"/>
          <w:w w:val="101"/>
          <w:sz w:val="18"/>
          <w:szCs w:val="18"/>
        </w:rPr>
        <w:t> </w:t>
      </w:r>
      <w:r>
        <w:rPr>
          <w:rFonts w:ascii="宋体" w:hAnsi="宋体" w:cs="宋体" w:eastAsia="宋体" w:hint="default"/>
          <w:spacing w:val="-3"/>
          <w:sz w:val="18"/>
          <w:szCs w:val="18"/>
        </w:rPr>
        <w:t>作为其股东期间到期后将自动展期，因此本集团将其确认为长期应付款。</w:t>
      </w: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bookmarkStart w:name="（5）关键管理人员报酬" w:id="353"/>
      <w:bookmarkEnd w:id="353"/>
      <w:r>
        <w:rPr>
          <w:b w:val="0"/>
          <w:bCs w:val="0"/>
        </w:rPr>
      </w:r>
      <w:r>
        <w:rPr/>
        <w:t>（</w:t>
      </w:r>
      <w:r>
        <w:rPr>
          <w:rFonts w:ascii="Times New Roman" w:hAnsi="Times New Roman" w:cs="Times New Roman" w:eastAsia="Times New Roman" w:hint="default"/>
        </w:rPr>
        <w:t>5</w:t>
      </w:r>
      <w:r>
        <w:rPr/>
        <w:t>）关键管理人员报酬</w:t>
      </w:r>
      <w:r>
        <w:rPr>
          <w:b w:val="0"/>
          <w:bCs w:val="0"/>
        </w:rPr>
      </w:r>
    </w:p>
    <w:p>
      <w:pPr>
        <w:spacing w:line="240" w:lineRule="auto" w:before="9"/>
        <w:rPr>
          <w:rFonts w:ascii="宋体" w:hAnsi="宋体" w:cs="宋体" w:eastAsia="宋体" w:hint="default"/>
          <w:b/>
          <w:bCs/>
          <w:sz w:val="26"/>
          <w:szCs w:val="26"/>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15"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4,932,100.00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3,450,100.00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6、关联方应收应付款项" w:id="354"/>
      <w:bookmarkEnd w:id="354"/>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1）应收项目" w:id="355"/>
      <w:bookmarkEnd w:id="355"/>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398" w:hRule="exact"/>
        </w:trPr>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4"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唱游信息技术有限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2,702,617.00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2,346,884.18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2,702,617.00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1,697,385.03</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6"/>
              <w:ind w:left="23" w:right="57"/>
              <w:jc w:val="left"/>
              <w:rPr>
                <w:rFonts w:ascii="Times New Roman" w:hAnsi="Times New Roman" w:cs="Times New Roman" w:eastAsia="Times New Roman" w:hint="default"/>
                <w:sz w:val="18"/>
                <w:szCs w:val="18"/>
              </w:rPr>
            </w:pPr>
            <w:r>
              <w:rPr>
                <w:rFonts w:ascii="Times New Roman"/>
                <w:sz w:val="18"/>
              </w:rPr>
              <w:t>Getty </w:t>
            </w:r>
            <w:r>
              <w:rPr>
                <w:rFonts w:ascii="Times New Roman"/>
                <w:spacing w:val="-3"/>
                <w:sz w:val="18"/>
              </w:rPr>
              <w:t>Images </w:t>
            </w:r>
            <w:r>
              <w:rPr>
                <w:rFonts w:ascii="Times New Roman"/>
                <w:sz w:val="18"/>
              </w:rPr>
              <w:t>SEA</w:t>
            </w:r>
            <w:r>
              <w:rPr>
                <w:rFonts w:ascii="Times New Roman"/>
                <w:spacing w:val="-27"/>
                <w:sz w:val="18"/>
              </w:rPr>
              <w:t> </w:t>
            </w:r>
            <w:r>
              <w:rPr>
                <w:rFonts w:ascii="Times New Roman"/>
                <w:spacing w:val="-27"/>
                <w:sz w:val="18"/>
              </w:rPr>
            </w:r>
            <w:r>
              <w:rPr>
                <w:rFonts w:ascii="Times New Roman"/>
                <w:sz w:val="18"/>
              </w:rPr>
              <w:t>Holding</w:t>
            </w:r>
            <w:r>
              <w:rPr>
                <w:rFonts w:ascii="Times New Roman"/>
                <w:spacing w:val="-6"/>
                <w:sz w:val="18"/>
              </w:rPr>
              <w:t> </w:t>
            </w:r>
            <w:r>
              <w:rPr>
                <w:rFonts w:ascii="Times New Roman"/>
                <w:sz w:val="18"/>
              </w:rPr>
              <w:t>Co.,Limited</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4,915,065.03</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北京极光视觉文化</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传播有限公司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517,475.73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亿迅信息技术有限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40,176,472.61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6,742,994.65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51,436,472.61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4,945,549.66</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宝东信息技术有限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15,755,475.33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2,644,310.93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15,755,475.33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1,514,868.38</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6"/>
              <w:ind w:left="23" w:right="633"/>
              <w:jc w:val="left"/>
              <w:rPr>
                <w:rFonts w:ascii="Times New Roman" w:hAnsi="Times New Roman" w:cs="Times New Roman" w:eastAsia="Times New Roman" w:hint="default"/>
                <w:sz w:val="18"/>
                <w:szCs w:val="18"/>
              </w:rPr>
            </w:pPr>
            <w:r>
              <w:rPr>
                <w:rFonts w:ascii="Times New Roman"/>
                <w:spacing w:val="-3"/>
                <w:sz w:val="18"/>
              </w:rPr>
              <w:t>Esoon</w:t>
            </w:r>
            <w:r>
              <w:rPr>
                <w:rFonts w:ascii="Times New Roman"/>
                <w:spacing w:val="12"/>
                <w:sz w:val="18"/>
              </w:rPr>
              <w:t> </w:t>
            </w:r>
            <w:r>
              <w:rPr>
                <w:rFonts w:ascii="Times New Roman"/>
                <w:sz w:val="18"/>
              </w:rPr>
              <w:t>China</w:t>
            </w:r>
            <w:r>
              <w:rPr>
                <w:rFonts w:ascii="Times New Roman"/>
                <w:spacing w:val="-42"/>
                <w:sz w:val="18"/>
              </w:rPr>
              <w:t> </w:t>
            </w:r>
            <w:r>
              <w:rPr>
                <w:rFonts w:ascii="Times New Roman"/>
                <w:spacing w:val="-42"/>
                <w:sz w:val="18"/>
              </w:rPr>
            </w:r>
            <w:r>
              <w:rPr>
                <w:rFonts w:ascii="Times New Roman"/>
                <w:sz w:val="18"/>
              </w:rPr>
              <w:t>Limited</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2,785,484.48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467,500.15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2,740,365.40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263,482.57</w:t>
            </w:r>
          </w:p>
        </w:tc>
      </w:tr>
      <w:tr>
        <w:trPr>
          <w:trHeight w:val="710"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6"/>
              <w:ind w:left="23" w:right="57"/>
              <w:jc w:val="left"/>
              <w:rPr>
                <w:rFonts w:ascii="Times New Roman" w:hAnsi="Times New Roman" w:cs="Times New Roman" w:eastAsia="Times New Roman" w:hint="default"/>
                <w:sz w:val="18"/>
                <w:szCs w:val="18"/>
              </w:rPr>
            </w:pPr>
            <w:r>
              <w:rPr>
                <w:rFonts w:ascii="Times New Roman"/>
                <w:sz w:val="18"/>
              </w:rPr>
              <w:t>Getty </w:t>
            </w:r>
            <w:r>
              <w:rPr>
                <w:rFonts w:ascii="Times New Roman"/>
                <w:spacing w:val="-3"/>
                <w:sz w:val="18"/>
              </w:rPr>
              <w:t>Images </w:t>
            </w:r>
            <w:r>
              <w:rPr>
                <w:rFonts w:ascii="Times New Roman"/>
                <w:sz w:val="18"/>
              </w:rPr>
              <w:t>SEA</w:t>
            </w:r>
            <w:r>
              <w:rPr>
                <w:rFonts w:ascii="Times New Roman"/>
                <w:spacing w:val="-27"/>
                <w:sz w:val="18"/>
              </w:rPr>
              <w:t> </w:t>
            </w:r>
            <w:r>
              <w:rPr>
                <w:rFonts w:ascii="Times New Roman"/>
                <w:spacing w:val="-27"/>
                <w:sz w:val="18"/>
              </w:rPr>
            </w:r>
            <w:r>
              <w:rPr>
                <w:rFonts w:ascii="Times New Roman"/>
                <w:sz w:val="18"/>
              </w:rPr>
              <w:t>Holding</w:t>
            </w:r>
            <w:r>
              <w:rPr>
                <w:rFonts w:ascii="Times New Roman"/>
                <w:spacing w:val="-6"/>
                <w:sz w:val="18"/>
              </w:rPr>
              <w:t> </w:t>
            </w:r>
            <w:r>
              <w:rPr>
                <w:rFonts w:ascii="Times New Roman"/>
                <w:sz w:val="18"/>
              </w:rPr>
              <w:t>Co.,Limited</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12,406,467.73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广东易教优培教育</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科技有限公司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28,379,302.19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6"/>
              <w:ind w:left="23" w:right="77"/>
              <w:jc w:val="left"/>
              <w:rPr>
                <w:rFonts w:ascii="Times New Roman" w:hAnsi="Times New Roman" w:cs="Times New Roman" w:eastAsia="Times New Roman" w:hint="default"/>
                <w:sz w:val="18"/>
                <w:szCs w:val="18"/>
              </w:rPr>
            </w:pPr>
            <w:r>
              <w:rPr>
                <w:rFonts w:ascii="Times New Roman"/>
                <w:sz w:val="18"/>
              </w:rPr>
              <w:t>Gold</w:t>
            </w:r>
            <w:r>
              <w:rPr>
                <w:rFonts w:ascii="Times New Roman"/>
                <w:spacing w:val="1"/>
                <w:sz w:val="18"/>
              </w:rPr>
              <w:t> </w:t>
            </w:r>
            <w:r>
              <w:rPr>
                <w:rFonts w:ascii="Times New Roman"/>
                <w:sz w:val="18"/>
              </w:rPr>
              <w:t>Insight</w:t>
            </w:r>
            <w:r>
              <w:rPr>
                <w:rFonts w:ascii="Times New Roman"/>
                <w:w w:val="101"/>
                <w:sz w:val="18"/>
              </w:rPr>
              <w:t> </w:t>
            </w:r>
            <w:r>
              <w:rPr>
                <w:rFonts w:ascii="Times New Roman"/>
                <w:sz w:val="18"/>
              </w:rPr>
              <w:t>Investments</w:t>
            </w:r>
            <w:r>
              <w:rPr>
                <w:rFonts w:ascii="Times New Roman"/>
                <w:spacing w:val="12"/>
                <w:sz w:val="18"/>
              </w:rPr>
              <w:t> </w:t>
            </w:r>
            <w:r>
              <w:rPr>
                <w:rFonts w:ascii="Times New Roman"/>
                <w:spacing w:val="-3"/>
                <w:sz w:val="18"/>
              </w:rPr>
              <w:t>Limited</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85,953,344.43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4,094,965.41</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4"/>
        <w:spacing w:line="240" w:lineRule="auto" w:before="36"/>
        <w:ind w:right="0"/>
        <w:jc w:val="left"/>
        <w:rPr>
          <w:b w:val="0"/>
          <w:bCs w:val="0"/>
        </w:rPr>
      </w:pPr>
      <w:bookmarkStart w:name="（2）应付项目" w:id="356"/>
      <w:bookmarkEnd w:id="356"/>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5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5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95"/>
              <w:jc w:val="left"/>
              <w:rPr>
                <w:rFonts w:ascii="宋体" w:hAnsi="宋体" w:cs="宋体" w:eastAsia="宋体" w:hint="default"/>
                <w:sz w:val="18"/>
                <w:szCs w:val="18"/>
              </w:rPr>
            </w:pPr>
            <w:r>
              <w:rPr>
                <w:rFonts w:ascii="宋体" w:hAnsi="宋体" w:cs="宋体" w:eastAsia="宋体" w:hint="default"/>
                <w:spacing w:val="-3"/>
                <w:sz w:val="18"/>
                <w:szCs w:val="18"/>
              </w:rPr>
              <w:t>广东南方视觉文化传媒有限</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24,353.82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25,717.00</w:t>
            </w:r>
          </w:p>
        </w:tc>
      </w:tr>
      <w:tr>
        <w:trPr>
          <w:trHeight w:val="71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6"/>
              <w:ind w:left="23" w:right="380"/>
              <w:jc w:val="left"/>
              <w:rPr>
                <w:rFonts w:ascii="Times New Roman" w:hAnsi="Times New Roman" w:cs="Times New Roman" w:eastAsia="Times New Roman" w:hint="default"/>
                <w:sz w:val="18"/>
                <w:szCs w:val="18"/>
              </w:rPr>
            </w:pPr>
            <w:r>
              <w:rPr>
                <w:rFonts w:ascii="Times New Roman"/>
                <w:sz w:val="18"/>
              </w:rPr>
              <w:t>Getty </w:t>
            </w:r>
            <w:r>
              <w:rPr>
                <w:rFonts w:ascii="Times New Roman"/>
                <w:spacing w:val="-3"/>
                <w:sz w:val="18"/>
              </w:rPr>
              <w:t>Images </w:t>
            </w:r>
            <w:r>
              <w:rPr>
                <w:rFonts w:ascii="Times New Roman"/>
                <w:sz w:val="18"/>
              </w:rPr>
              <w:t>SEA Holding</w:t>
            </w:r>
            <w:r>
              <w:rPr>
                <w:rFonts w:ascii="Times New Roman"/>
                <w:spacing w:val="-38"/>
                <w:sz w:val="18"/>
              </w:rPr>
              <w:t> </w:t>
            </w:r>
            <w:r>
              <w:rPr>
                <w:rFonts w:ascii="Times New Roman"/>
                <w:spacing w:val="-38"/>
                <w:sz w:val="18"/>
              </w:rPr>
            </w:r>
            <w:r>
              <w:rPr>
                <w:rFonts w:ascii="Times New Roman"/>
                <w:sz w:val="18"/>
              </w:rPr>
              <w:t>Co.,Limited</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23,704,933.03</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西藏灵博文化传播有限公司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7,455,823.65</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95"/>
              <w:jc w:val="left"/>
              <w:rPr>
                <w:rFonts w:ascii="宋体" w:hAnsi="宋体" w:cs="宋体" w:eastAsia="宋体" w:hint="default"/>
                <w:sz w:val="18"/>
                <w:szCs w:val="18"/>
              </w:rPr>
            </w:pPr>
            <w:r>
              <w:rPr>
                <w:rFonts w:ascii="宋体" w:hAnsi="宋体" w:cs="宋体" w:eastAsia="宋体" w:hint="default"/>
                <w:spacing w:val="-3"/>
                <w:sz w:val="18"/>
                <w:szCs w:val="18"/>
              </w:rPr>
              <w:t>北京创新乐知信息技术有限</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公司</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6"/>
              <w:ind w:left="23" w:right="380"/>
              <w:jc w:val="left"/>
              <w:rPr>
                <w:rFonts w:ascii="Times New Roman" w:hAnsi="Times New Roman" w:cs="Times New Roman" w:eastAsia="Times New Roman" w:hint="default"/>
                <w:sz w:val="18"/>
                <w:szCs w:val="18"/>
              </w:rPr>
            </w:pPr>
            <w:r>
              <w:rPr>
                <w:rFonts w:ascii="Times New Roman"/>
                <w:sz w:val="18"/>
              </w:rPr>
              <w:t>Getty </w:t>
            </w:r>
            <w:r>
              <w:rPr>
                <w:rFonts w:ascii="Times New Roman"/>
                <w:spacing w:val="-3"/>
                <w:sz w:val="18"/>
              </w:rPr>
              <w:t>Images </w:t>
            </w:r>
            <w:r>
              <w:rPr>
                <w:rFonts w:ascii="Times New Roman"/>
                <w:sz w:val="18"/>
              </w:rPr>
              <w:t>SEA Holding</w:t>
            </w:r>
            <w:r>
              <w:rPr>
                <w:rFonts w:ascii="Times New Roman"/>
                <w:spacing w:val="-38"/>
                <w:sz w:val="18"/>
              </w:rPr>
              <w:t> </w:t>
            </w:r>
            <w:r>
              <w:rPr>
                <w:rFonts w:ascii="Times New Roman"/>
                <w:spacing w:val="-38"/>
                <w:sz w:val="18"/>
              </w:rPr>
            </w:r>
            <w:r>
              <w:rPr>
                <w:rFonts w:ascii="Times New Roman"/>
                <w:sz w:val="18"/>
              </w:rPr>
              <w:t>Co.,Limited</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1,055,030.82</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95"/>
              <w:jc w:val="left"/>
              <w:rPr>
                <w:rFonts w:ascii="宋体" w:hAnsi="宋体" w:cs="宋体" w:eastAsia="宋体" w:hint="default"/>
                <w:sz w:val="18"/>
                <w:szCs w:val="18"/>
              </w:rPr>
            </w:pPr>
            <w:r>
              <w:rPr>
                <w:rFonts w:ascii="宋体" w:hAnsi="宋体" w:cs="宋体" w:eastAsia="宋体" w:hint="default"/>
                <w:spacing w:val="-3"/>
                <w:sz w:val="18"/>
                <w:szCs w:val="18"/>
              </w:rPr>
              <w:t>北京创新乐知网络技术有限</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891,351.00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96"/>
              <w:ind w:left="23" w:right="380"/>
              <w:jc w:val="left"/>
              <w:rPr>
                <w:rFonts w:ascii="Times New Roman" w:hAnsi="Times New Roman" w:cs="Times New Roman" w:eastAsia="Times New Roman" w:hint="default"/>
                <w:sz w:val="18"/>
                <w:szCs w:val="18"/>
              </w:rPr>
            </w:pPr>
            <w:r>
              <w:rPr>
                <w:rFonts w:ascii="Times New Roman"/>
                <w:sz w:val="18"/>
              </w:rPr>
              <w:t>Getty </w:t>
            </w:r>
            <w:r>
              <w:rPr>
                <w:rFonts w:ascii="Times New Roman"/>
                <w:spacing w:val="-3"/>
                <w:sz w:val="18"/>
              </w:rPr>
              <w:t>Images </w:t>
            </w:r>
            <w:r>
              <w:rPr>
                <w:rFonts w:ascii="Times New Roman"/>
                <w:sz w:val="18"/>
              </w:rPr>
              <w:t>SEA Holding</w:t>
            </w:r>
            <w:r>
              <w:rPr>
                <w:rFonts w:ascii="Times New Roman"/>
                <w:spacing w:val="-38"/>
                <w:sz w:val="18"/>
              </w:rPr>
              <w:t> </w:t>
            </w:r>
            <w:r>
              <w:rPr>
                <w:rFonts w:ascii="Times New Roman"/>
                <w:spacing w:val="-38"/>
                <w:sz w:val="18"/>
              </w:rPr>
            </w:r>
            <w:r>
              <w:rPr>
                <w:rFonts w:ascii="Times New Roman"/>
                <w:sz w:val="18"/>
              </w:rPr>
              <w:t>Co.,Limited</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167,428,800.00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164,716,800.00</w:t>
            </w:r>
          </w:p>
        </w:tc>
      </w:tr>
    </w:tbl>
    <w:p>
      <w:pPr>
        <w:spacing w:line="240" w:lineRule="auto" w:before="3"/>
        <w:rPr>
          <w:rFonts w:ascii="宋体" w:hAnsi="宋体" w:cs="宋体" w:eastAsia="宋体" w:hint="default"/>
          <w:sz w:val="19"/>
          <w:szCs w:val="19"/>
        </w:rPr>
      </w:pPr>
    </w:p>
    <w:p>
      <w:pPr>
        <w:spacing w:line="491" w:lineRule="auto" w:before="36"/>
        <w:ind w:left="153" w:right="8341" w:firstLine="0"/>
        <w:jc w:val="left"/>
        <w:rPr>
          <w:rFonts w:ascii="宋体" w:hAnsi="宋体" w:cs="宋体" w:eastAsia="宋体" w:hint="default"/>
          <w:sz w:val="21"/>
          <w:szCs w:val="21"/>
        </w:rPr>
      </w:pPr>
      <w:bookmarkStart w:name="7、关联方承诺" w:id="357"/>
      <w:bookmarkEnd w:id="357"/>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、关联方承诺</w:t>
      </w:r>
      <w:r>
        <w:rPr>
          <w:rFonts w:ascii="宋体" w:hAnsi="宋体" w:cs="宋体" w:eastAsia="宋体" w:hint="default"/>
          <w:b/>
          <w:bCs/>
          <w:spacing w:val="-103"/>
          <w:sz w:val="21"/>
          <w:szCs w:val="21"/>
        </w:rPr>
        <w:t> </w:t>
      </w:r>
      <w:r>
        <w:rPr>
          <w:rFonts w:ascii="宋体" w:hAnsi="宋体" w:cs="宋体" w:eastAsia="宋体" w:hint="default"/>
          <w:sz w:val="21"/>
          <w:szCs w:val="21"/>
        </w:rPr>
        <w:t>详见附注十三、</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100"/>
          <w:sz w:val="21"/>
          <w:szCs w:val="21"/>
        </w:rPr>
        <w:t> </w:t>
      </w:r>
      <w:bookmarkStart w:name="十三、承诺及或有事项" w:id="358"/>
      <w:bookmarkEnd w:id="358"/>
      <w:r>
        <w:rPr>
          <w:rFonts w:ascii="宋体" w:hAnsi="宋体" w:cs="宋体" w:eastAsia="宋体" w:hint="default"/>
          <w:spacing w:val="-100"/>
          <w:sz w:val="21"/>
          <w:szCs w:val="21"/>
        </w:rPr>
      </w:r>
      <w:r>
        <w:rPr>
          <w:rFonts w:ascii="宋体" w:hAnsi="宋体" w:cs="宋体" w:eastAsia="宋体" w:hint="default"/>
          <w:b/>
          <w:bCs/>
          <w:sz w:val="24"/>
          <w:szCs w:val="24"/>
        </w:rPr>
        <w:t>十三、承诺及或有事项</w:t>
      </w:r>
      <w:r>
        <w:rPr>
          <w:rFonts w:ascii="宋体" w:hAnsi="宋体" w:cs="宋体" w:eastAsia="宋体" w:hint="default"/>
          <w:b/>
          <w:bCs/>
          <w:w w:val="99"/>
          <w:sz w:val="24"/>
          <w:szCs w:val="24"/>
        </w:rPr>
        <w:t> </w:t>
      </w:r>
      <w:bookmarkStart w:name="1、重要承诺事项" w:id="359"/>
      <w:bookmarkEnd w:id="35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before="105"/>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资产负债表日存在的重要承诺</w:t>
      </w:r>
    </w:p>
    <w:p>
      <w:pPr>
        <w:spacing w:line="240" w:lineRule="auto" w:before="0"/>
        <w:rPr>
          <w:rFonts w:ascii="宋体" w:hAnsi="宋体" w:cs="宋体" w:eastAsia="宋体" w:hint="default"/>
          <w:sz w:val="15"/>
          <w:szCs w:val="1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截至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日公司对外投资承诺明细</w:t>
      </w:r>
    </w:p>
    <w:p>
      <w:pPr>
        <w:spacing w:line="240" w:lineRule="auto" w:before="11"/>
        <w:rPr>
          <w:rFonts w:ascii="宋体" w:hAnsi="宋体" w:cs="宋体" w:eastAsia="宋体" w:hint="default"/>
          <w:sz w:val="12"/>
          <w:szCs w:val="12"/>
        </w:rPr>
      </w:pPr>
    </w:p>
    <w:tbl>
      <w:tblPr>
        <w:tblW w:w="0" w:type="auto"/>
        <w:jc w:val="left"/>
        <w:tblInd w:w="143" w:type="dxa"/>
        <w:tblLayout w:type="fixed"/>
        <w:tblCellMar>
          <w:top w:w="0" w:type="dxa"/>
          <w:left w:w="0" w:type="dxa"/>
          <w:bottom w:w="0" w:type="dxa"/>
          <w:right w:w="0" w:type="dxa"/>
        </w:tblCellMar>
        <w:tblLook w:val="01E0"/>
      </w:tblPr>
      <w:tblGrid>
        <w:gridCol w:w="2694"/>
        <w:gridCol w:w="1849"/>
        <w:gridCol w:w="1700"/>
        <w:gridCol w:w="1705"/>
        <w:gridCol w:w="1188"/>
      </w:tblGrid>
      <w:tr>
        <w:trPr>
          <w:trHeight w:val="358" w:hRule="exact"/>
        </w:trPr>
        <w:tc>
          <w:tcPr>
            <w:tcW w:w="26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left="840" w:right="0"/>
              <w:jc w:val="left"/>
              <w:rPr>
                <w:rFonts w:ascii="宋体" w:hAnsi="宋体" w:cs="宋体" w:eastAsia="宋体" w:hint="default"/>
                <w:sz w:val="20"/>
                <w:szCs w:val="20"/>
              </w:rPr>
            </w:pPr>
            <w:r>
              <w:rPr>
                <w:rFonts w:ascii="宋体" w:hAnsi="宋体" w:cs="宋体" w:eastAsia="宋体" w:hint="default"/>
                <w:sz w:val="20"/>
                <w:szCs w:val="20"/>
              </w:rPr>
              <w:t>被投资单位</w:t>
            </w:r>
          </w:p>
        </w:tc>
        <w:tc>
          <w:tcPr>
            <w:tcW w:w="18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left="321" w:right="0"/>
              <w:jc w:val="left"/>
              <w:rPr>
                <w:rFonts w:ascii="宋体" w:hAnsi="宋体" w:cs="宋体" w:eastAsia="宋体" w:hint="default"/>
                <w:sz w:val="20"/>
                <w:szCs w:val="20"/>
              </w:rPr>
            </w:pPr>
            <w:r>
              <w:rPr>
                <w:rFonts w:ascii="宋体" w:hAnsi="宋体" w:cs="宋体" w:eastAsia="宋体" w:hint="default"/>
                <w:sz w:val="20"/>
                <w:szCs w:val="20"/>
              </w:rPr>
              <w:t>承诺投资金额</w:t>
            </w:r>
          </w:p>
        </w:tc>
        <w:tc>
          <w:tcPr>
            <w:tcW w:w="17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left="244" w:right="0"/>
              <w:jc w:val="left"/>
              <w:rPr>
                <w:rFonts w:ascii="宋体" w:hAnsi="宋体" w:cs="宋体" w:eastAsia="宋体" w:hint="default"/>
                <w:sz w:val="20"/>
                <w:szCs w:val="20"/>
              </w:rPr>
            </w:pPr>
            <w:r>
              <w:rPr>
                <w:rFonts w:ascii="宋体" w:hAnsi="宋体" w:cs="宋体" w:eastAsia="宋体" w:hint="default"/>
                <w:sz w:val="20"/>
                <w:szCs w:val="20"/>
              </w:rPr>
              <w:t>尚未投出金额</w:t>
            </w:r>
          </w:p>
        </w:tc>
        <w:tc>
          <w:tcPr>
            <w:tcW w:w="17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left="244" w:right="0"/>
              <w:jc w:val="left"/>
              <w:rPr>
                <w:rFonts w:ascii="宋体" w:hAnsi="宋体" w:cs="宋体" w:eastAsia="宋体" w:hint="default"/>
                <w:sz w:val="20"/>
                <w:szCs w:val="20"/>
              </w:rPr>
            </w:pPr>
            <w:r>
              <w:rPr>
                <w:rFonts w:ascii="宋体" w:hAnsi="宋体" w:cs="宋体" w:eastAsia="宋体" w:hint="default"/>
                <w:sz w:val="20"/>
                <w:szCs w:val="20"/>
              </w:rPr>
              <w:t>累计已投金额</w:t>
            </w:r>
          </w:p>
        </w:tc>
        <w:tc>
          <w:tcPr>
            <w:tcW w:w="118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
              <w:ind w:left="389" w:right="0"/>
              <w:jc w:val="left"/>
              <w:rPr>
                <w:rFonts w:ascii="宋体" w:hAnsi="宋体" w:cs="宋体" w:eastAsia="宋体" w:hint="default"/>
                <w:sz w:val="20"/>
                <w:szCs w:val="20"/>
              </w:rPr>
            </w:pPr>
            <w:r>
              <w:rPr>
                <w:rFonts w:ascii="宋体" w:hAnsi="宋体" w:cs="宋体" w:eastAsia="宋体" w:hint="default"/>
                <w:sz w:val="20"/>
                <w:szCs w:val="20"/>
              </w:rPr>
              <w:t>备注</w:t>
            </w:r>
          </w:p>
        </w:tc>
      </w:tr>
      <w:tr>
        <w:trPr>
          <w:trHeight w:val="350" w:hRule="exact"/>
        </w:trPr>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3"/>
                <w:sz w:val="18"/>
                <w:szCs w:val="18"/>
              </w:rPr>
              <w:t>湖北司马彦文化科技有限公司</w:t>
            </w:r>
          </w:p>
        </w:tc>
        <w:tc>
          <w:tcPr>
            <w:tcW w:w="18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300,000,000.00</w:t>
            </w:r>
          </w:p>
        </w:tc>
        <w:tc>
          <w:tcPr>
            <w:tcW w:w="1700" w:type="dxa"/>
            <w:tcBorders>
              <w:top w:val="single" w:sz="12" w:space="0" w:color="000000"/>
              <w:left w:val="single" w:sz="6" w:space="0" w:color="000000"/>
              <w:bottom w:val="single" w:sz="12" w:space="0" w:color="000000"/>
              <w:right w:val="single" w:sz="6" w:space="0" w:color="000000"/>
            </w:tcBorders>
          </w:tcPr>
          <w:p>
            <w:pPr/>
          </w:p>
        </w:tc>
        <w:tc>
          <w:tcPr>
            <w:tcW w:w="17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300,000,000.00</w:t>
            </w:r>
          </w:p>
        </w:tc>
        <w:tc>
          <w:tcPr>
            <w:tcW w:w="1188"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3"/>
                <w:sz w:val="18"/>
                <w:szCs w:val="18"/>
              </w:rPr>
              <w:t>富银消费金融有限责任公司</w:t>
            </w:r>
          </w:p>
        </w:tc>
        <w:tc>
          <w:tcPr>
            <w:tcW w:w="18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102,000,000.00</w:t>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21,000,000.00</w:t>
            </w:r>
          </w:p>
        </w:tc>
        <w:tc>
          <w:tcPr>
            <w:tcW w:w="17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81,000,000.00</w:t>
            </w:r>
          </w:p>
        </w:tc>
        <w:tc>
          <w:tcPr>
            <w:tcW w:w="11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73" w:right="0"/>
              <w:jc w:val="left"/>
              <w:rPr>
                <w:rFonts w:ascii="宋体" w:hAnsi="宋体" w:cs="宋体" w:eastAsia="宋体" w:hint="default"/>
                <w:sz w:val="18"/>
                <w:szCs w:val="18"/>
              </w:rPr>
            </w:pPr>
            <w:r>
              <w:rPr>
                <w:rFonts w:ascii="宋体" w:hAnsi="宋体" w:cs="宋体" w:eastAsia="宋体" w:hint="default"/>
                <w:spacing w:val="-2"/>
                <w:sz w:val="18"/>
                <w:szCs w:val="18"/>
              </w:rPr>
              <w:t>拟设立投资</w:t>
            </w:r>
          </w:p>
        </w:tc>
      </w:tr>
      <w:tr>
        <w:trPr>
          <w:trHeight w:val="355" w:hRule="exact"/>
        </w:trPr>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pacing w:val="-3"/>
                <w:sz w:val="18"/>
                <w:szCs w:val="18"/>
              </w:rPr>
              <w:t>广东易教优培教育科技有限公司</w:t>
            </w:r>
          </w:p>
        </w:tc>
        <w:tc>
          <w:tcPr>
            <w:tcW w:w="18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5"/>
              <w:jc w:val="right"/>
              <w:rPr>
                <w:rFonts w:ascii="Times New Roman" w:hAnsi="Times New Roman" w:cs="Times New Roman" w:eastAsia="Times New Roman" w:hint="default"/>
                <w:sz w:val="18"/>
                <w:szCs w:val="18"/>
              </w:rPr>
            </w:pPr>
            <w:r>
              <w:rPr>
                <w:rFonts w:ascii="Times New Roman"/>
                <w:spacing w:val="-1"/>
                <w:sz w:val="18"/>
              </w:rPr>
              <w:t>110,000,000.00</w:t>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4"/>
              <w:jc w:val="right"/>
              <w:rPr>
                <w:rFonts w:ascii="Times New Roman" w:hAnsi="Times New Roman" w:cs="Times New Roman" w:eastAsia="Times New Roman" w:hint="default"/>
                <w:sz w:val="18"/>
                <w:szCs w:val="18"/>
              </w:rPr>
            </w:pPr>
            <w:r>
              <w:rPr>
                <w:rFonts w:ascii="Times New Roman"/>
                <w:spacing w:val="-1"/>
                <w:sz w:val="18"/>
              </w:rPr>
              <w:t>24,000,000.00</w:t>
            </w:r>
          </w:p>
        </w:tc>
        <w:tc>
          <w:tcPr>
            <w:tcW w:w="17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4"/>
              <w:jc w:val="right"/>
              <w:rPr>
                <w:rFonts w:ascii="Times New Roman" w:hAnsi="Times New Roman" w:cs="Times New Roman" w:eastAsia="Times New Roman" w:hint="default"/>
                <w:sz w:val="18"/>
                <w:szCs w:val="18"/>
              </w:rPr>
            </w:pPr>
            <w:r>
              <w:rPr>
                <w:rFonts w:ascii="Times New Roman"/>
                <w:spacing w:val="-1"/>
                <w:sz w:val="18"/>
              </w:rPr>
              <w:t>86,000,000.00</w:t>
            </w:r>
          </w:p>
        </w:tc>
        <w:tc>
          <w:tcPr>
            <w:tcW w:w="1188" w:type="dxa"/>
            <w:tcBorders>
              <w:top w:val="single" w:sz="12" w:space="0" w:color="000000"/>
              <w:left w:val="single" w:sz="6" w:space="0" w:color="000000"/>
              <w:bottom w:val="single" w:sz="12" w:space="0" w:color="000000"/>
              <w:right w:val="nil" w:sz="6" w:space="0" w:color="auto"/>
            </w:tcBorders>
          </w:tcPr>
          <w:p>
            <w:pPr/>
          </w:p>
        </w:tc>
      </w:tr>
      <w:tr>
        <w:trPr>
          <w:trHeight w:val="351" w:hRule="exact"/>
        </w:trPr>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5"/>
              <w:jc w:val="right"/>
              <w:rPr>
                <w:rFonts w:ascii="Times New Roman" w:hAnsi="Times New Roman" w:cs="Times New Roman" w:eastAsia="Times New Roman" w:hint="default"/>
                <w:sz w:val="18"/>
                <w:szCs w:val="18"/>
              </w:rPr>
            </w:pPr>
            <w:r>
              <w:rPr>
                <w:rFonts w:ascii="Times New Roman"/>
                <w:spacing w:val="-1"/>
                <w:sz w:val="18"/>
              </w:rPr>
              <w:t>512,000,000.00</w:t>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4"/>
              <w:jc w:val="right"/>
              <w:rPr>
                <w:rFonts w:ascii="Times New Roman" w:hAnsi="Times New Roman" w:cs="Times New Roman" w:eastAsia="Times New Roman" w:hint="default"/>
                <w:sz w:val="18"/>
                <w:szCs w:val="18"/>
              </w:rPr>
            </w:pPr>
            <w:r>
              <w:rPr>
                <w:rFonts w:ascii="Times New Roman"/>
                <w:spacing w:val="-1"/>
                <w:sz w:val="18"/>
              </w:rPr>
              <w:t>45,000,000.00</w:t>
            </w:r>
          </w:p>
        </w:tc>
        <w:tc>
          <w:tcPr>
            <w:tcW w:w="17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4"/>
              <w:jc w:val="right"/>
              <w:rPr>
                <w:rFonts w:ascii="Times New Roman" w:hAnsi="Times New Roman" w:cs="Times New Roman" w:eastAsia="Times New Roman" w:hint="default"/>
                <w:sz w:val="18"/>
                <w:szCs w:val="18"/>
              </w:rPr>
            </w:pPr>
            <w:r>
              <w:rPr>
                <w:rFonts w:ascii="Times New Roman"/>
                <w:spacing w:val="-1"/>
                <w:sz w:val="18"/>
              </w:rPr>
              <w:t>467,000,000.00</w:t>
            </w:r>
          </w:p>
        </w:tc>
        <w:tc>
          <w:tcPr>
            <w:tcW w:w="1188"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6"/>
          <w:szCs w:val="6"/>
        </w:rPr>
      </w:pPr>
    </w:p>
    <w:p>
      <w:pPr>
        <w:spacing w:before="46"/>
        <w:ind w:left="594"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续</w:t>
      </w:r>
      <w:r>
        <w:rPr>
          <w:rFonts w:ascii="Times New Roman" w:hAnsi="Times New Roman" w:cs="Times New Roman" w:eastAsia="Times New Roman" w:hint="default"/>
          <w:sz w:val="18"/>
          <w:szCs w:val="18"/>
        </w:rPr>
        <w:t>)</w:t>
      </w:r>
    </w:p>
    <w:p>
      <w:pPr>
        <w:spacing w:line="240" w:lineRule="auto" w:before="11"/>
        <w:rPr>
          <w:rFonts w:ascii="Times New Roman" w:hAnsi="Times New Roman" w:cs="Times New Roman" w:eastAsia="Times New Roman" w:hint="default"/>
          <w:sz w:val="14"/>
          <w:szCs w:val="14"/>
        </w:rPr>
      </w:pPr>
    </w:p>
    <w:tbl>
      <w:tblPr>
        <w:tblW w:w="0" w:type="auto"/>
        <w:jc w:val="left"/>
        <w:tblInd w:w="143" w:type="dxa"/>
        <w:tblLayout w:type="fixed"/>
        <w:tblCellMar>
          <w:top w:w="0" w:type="dxa"/>
          <w:left w:w="0" w:type="dxa"/>
          <w:bottom w:w="0" w:type="dxa"/>
          <w:right w:w="0" w:type="dxa"/>
        </w:tblCellMar>
        <w:tblLook w:val="01E0"/>
      </w:tblPr>
      <w:tblGrid>
        <w:gridCol w:w="1825"/>
        <w:gridCol w:w="1825"/>
        <w:gridCol w:w="1829"/>
        <w:gridCol w:w="1825"/>
        <w:gridCol w:w="1832"/>
      </w:tblGrid>
      <w:tr>
        <w:trPr>
          <w:trHeight w:val="358" w:hRule="exact"/>
        </w:trPr>
        <w:tc>
          <w:tcPr>
            <w:tcW w:w="1825" w:type="dxa"/>
            <w:vMerge w:val="restart"/>
            <w:tcBorders>
              <w:top w:val="single" w:sz="6" w:space="0" w:color="000000"/>
              <w:left w:val="single" w:sz="6" w:space="0" w:color="000000"/>
              <w:right w:val="single" w:sz="6" w:space="0" w:color="000000"/>
            </w:tcBorders>
          </w:tcPr>
          <w:p>
            <w:pPr>
              <w:pStyle w:val="TableParagraph"/>
              <w:spacing w:line="240" w:lineRule="auto" w:before="6"/>
              <w:ind w:left="408" w:right="0"/>
              <w:jc w:val="left"/>
              <w:rPr>
                <w:rFonts w:ascii="宋体" w:hAnsi="宋体" w:cs="宋体" w:eastAsia="宋体" w:hint="default"/>
                <w:sz w:val="20"/>
                <w:szCs w:val="20"/>
              </w:rPr>
            </w:pPr>
            <w:r>
              <w:rPr>
                <w:rFonts w:ascii="宋体" w:hAnsi="宋体" w:cs="宋体" w:eastAsia="宋体" w:hint="default"/>
                <w:sz w:val="20"/>
                <w:szCs w:val="20"/>
              </w:rPr>
              <w:t>被投资单位</w:t>
            </w:r>
          </w:p>
        </w:tc>
        <w:tc>
          <w:tcPr>
            <w:tcW w:w="7311" w:type="dxa"/>
            <w:gridSpan w:val="4"/>
            <w:tcBorders>
              <w:top w:val="single" w:sz="6" w:space="0" w:color="000000"/>
              <w:left w:val="single" w:sz="6" w:space="0" w:color="000000"/>
              <w:bottom w:val="single" w:sz="12" w:space="0" w:color="000000"/>
              <w:right w:val="nil" w:sz="6" w:space="0" w:color="auto"/>
            </w:tcBorders>
          </w:tcPr>
          <w:p>
            <w:pPr>
              <w:pStyle w:val="TableParagraph"/>
              <w:spacing w:line="240" w:lineRule="auto" w:before="6"/>
              <w:ind w:left="208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原股东在股权出让时业绩承诺</w:t>
            </w:r>
            <w:r>
              <w:rPr>
                <w:rFonts w:ascii="Times New Roman" w:hAnsi="Times New Roman" w:cs="Times New Roman" w:eastAsia="Times New Roman" w:hint="default"/>
                <w:sz w:val="20"/>
                <w:szCs w:val="20"/>
              </w:rPr>
              <w:t>(</w:t>
            </w:r>
            <w:r>
              <w:rPr>
                <w:rFonts w:ascii="宋体" w:hAnsi="宋体" w:cs="宋体" w:eastAsia="宋体" w:hint="default"/>
                <w:sz w:val="20"/>
                <w:szCs w:val="20"/>
              </w:rPr>
              <w:t>万元</w:t>
            </w:r>
            <w:r>
              <w:rPr>
                <w:rFonts w:ascii="Times New Roman" w:hAnsi="Times New Roman" w:cs="Times New Roman" w:eastAsia="Times New Roman" w:hint="default"/>
                <w:sz w:val="20"/>
                <w:szCs w:val="20"/>
              </w:rPr>
              <w:t>)</w:t>
            </w:r>
          </w:p>
        </w:tc>
      </w:tr>
      <w:tr>
        <w:trPr>
          <w:trHeight w:val="350" w:hRule="exact"/>
        </w:trPr>
        <w:tc>
          <w:tcPr>
            <w:tcW w:w="1825" w:type="dxa"/>
            <w:vMerge/>
            <w:tcBorders>
              <w:left w:val="single" w:sz="6" w:space="0" w:color="000000"/>
              <w:bottom w:val="single" w:sz="12" w:space="0" w:color="000000"/>
              <w:right w:val="single" w:sz="6" w:space="0" w:color="000000"/>
            </w:tcBorders>
          </w:tcPr>
          <w:p>
            <w:pPr/>
          </w:p>
        </w:tc>
        <w:tc>
          <w:tcPr>
            <w:tcW w:w="1825" w:type="dxa"/>
            <w:tcBorders>
              <w:top w:val="single" w:sz="12" w:space="0" w:color="000000"/>
              <w:left w:val="single" w:sz="6" w:space="0" w:color="000000"/>
              <w:bottom w:val="single" w:sz="12" w:space="0" w:color="000000"/>
              <w:right w:val="single" w:sz="6" w:space="0" w:color="000000"/>
            </w:tcBorders>
          </w:tcPr>
          <w:p>
            <w:pPr>
              <w:pStyle w:val="TableParagraph"/>
              <w:spacing w:line="269" w:lineRule="exact"/>
              <w:ind w:left="50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2017</w:t>
            </w:r>
            <w:r>
              <w:rPr>
                <w:rFonts w:ascii="宋体" w:hAnsi="宋体" w:cs="宋体" w:eastAsia="宋体" w:hint="default"/>
                <w:sz w:val="20"/>
                <w:szCs w:val="20"/>
              </w:rPr>
              <w:t>年度</w:t>
            </w:r>
          </w:p>
        </w:tc>
        <w:tc>
          <w:tcPr>
            <w:tcW w:w="1829" w:type="dxa"/>
            <w:tcBorders>
              <w:top w:val="single" w:sz="12" w:space="0" w:color="000000"/>
              <w:left w:val="single" w:sz="6" w:space="0" w:color="000000"/>
              <w:bottom w:val="single" w:sz="12" w:space="0" w:color="000000"/>
              <w:right w:val="single" w:sz="6" w:space="0" w:color="000000"/>
            </w:tcBorders>
          </w:tcPr>
          <w:p>
            <w:pPr>
              <w:pStyle w:val="TableParagraph"/>
              <w:spacing w:line="269" w:lineRule="exact"/>
              <w:ind w:left="50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2018</w:t>
            </w:r>
            <w:r>
              <w:rPr>
                <w:rFonts w:ascii="宋体" w:hAnsi="宋体" w:cs="宋体" w:eastAsia="宋体" w:hint="default"/>
                <w:sz w:val="20"/>
                <w:szCs w:val="20"/>
              </w:rPr>
              <w:t>年度</w:t>
            </w:r>
          </w:p>
        </w:tc>
        <w:tc>
          <w:tcPr>
            <w:tcW w:w="1825" w:type="dxa"/>
            <w:tcBorders>
              <w:top w:val="single" w:sz="12" w:space="0" w:color="000000"/>
              <w:left w:val="single" w:sz="6" w:space="0" w:color="000000"/>
              <w:bottom w:val="single" w:sz="12" w:space="0" w:color="000000"/>
              <w:right w:val="single" w:sz="6" w:space="0" w:color="000000"/>
            </w:tcBorders>
          </w:tcPr>
          <w:p>
            <w:pPr>
              <w:pStyle w:val="TableParagraph"/>
              <w:spacing w:line="269" w:lineRule="exact"/>
              <w:ind w:left="5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2019</w:t>
            </w:r>
            <w:r>
              <w:rPr>
                <w:rFonts w:ascii="宋体" w:hAnsi="宋体" w:cs="宋体" w:eastAsia="宋体" w:hint="default"/>
                <w:sz w:val="20"/>
                <w:szCs w:val="20"/>
              </w:rPr>
              <w:t>年度</w:t>
            </w:r>
          </w:p>
        </w:tc>
        <w:tc>
          <w:tcPr>
            <w:tcW w:w="1832" w:type="dxa"/>
            <w:tcBorders>
              <w:top w:val="single" w:sz="12" w:space="0" w:color="000000"/>
              <w:left w:val="single" w:sz="6" w:space="0" w:color="000000"/>
              <w:bottom w:val="single" w:sz="12" w:space="0" w:color="000000"/>
              <w:right w:val="nil" w:sz="6" w:space="0" w:color="auto"/>
            </w:tcBorders>
          </w:tcPr>
          <w:p>
            <w:pPr>
              <w:pStyle w:val="TableParagraph"/>
              <w:spacing w:line="269" w:lineRule="exact"/>
              <w:ind w:left="50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2020</w:t>
            </w:r>
            <w:r>
              <w:rPr>
                <w:rFonts w:ascii="宋体" w:hAnsi="宋体" w:cs="宋体" w:eastAsia="宋体" w:hint="default"/>
                <w:sz w:val="20"/>
                <w:szCs w:val="20"/>
              </w:rPr>
              <w:t>年度</w:t>
            </w:r>
          </w:p>
        </w:tc>
      </w:tr>
      <w:tr>
        <w:trPr>
          <w:trHeight w:val="668" w:hRule="exact"/>
        </w:trPr>
        <w:tc>
          <w:tcPr>
            <w:tcW w:w="1825"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1"/>
              <w:ind w:left="4" w:right="-5"/>
              <w:jc w:val="left"/>
              <w:rPr>
                <w:rFonts w:ascii="宋体" w:hAnsi="宋体" w:cs="宋体" w:eastAsia="宋体" w:hint="default"/>
                <w:sz w:val="18"/>
                <w:szCs w:val="18"/>
              </w:rPr>
            </w:pPr>
            <w:r>
              <w:rPr>
                <w:rFonts w:ascii="宋体" w:hAnsi="宋体" w:cs="宋体" w:eastAsia="宋体" w:hint="default"/>
                <w:spacing w:val="-2"/>
                <w:sz w:val="18"/>
                <w:szCs w:val="18"/>
              </w:rPr>
              <w:t>广东易教优培教育科技</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有限公司</w:t>
            </w:r>
          </w:p>
        </w:tc>
        <w:tc>
          <w:tcPr>
            <w:tcW w:w="1825"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1"/>
              <w:ind w:left="456" w:right="-5" w:hanging="447"/>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扣除非经常性损益净利</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润</w:t>
            </w:r>
            <w:r>
              <w:rPr>
                <w:rFonts w:ascii="Times New Roman" w:hAnsi="Times New Roman" w:cs="Times New Roman" w:eastAsia="Times New Roman" w:hint="default"/>
                <w:sz w:val="18"/>
                <w:szCs w:val="18"/>
              </w:rPr>
              <w:t>&gt;3,300.00</w:t>
            </w:r>
          </w:p>
        </w:tc>
        <w:tc>
          <w:tcPr>
            <w:tcW w:w="1829"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1"/>
              <w:ind w:left="456" w:right="0" w:hanging="447"/>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扣除非经常性损益净利</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润</w:t>
            </w:r>
            <w:r>
              <w:rPr>
                <w:rFonts w:ascii="Times New Roman" w:hAnsi="Times New Roman" w:cs="Times New Roman" w:eastAsia="Times New Roman" w:hint="default"/>
                <w:sz w:val="18"/>
                <w:szCs w:val="18"/>
              </w:rPr>
              <w:t>&gt;4,300.00</w:t>
            </w:r>
          </w:p>
        </w:tc>
        <w:tc>
          <w:tcPr>
            <w:tcW w:w="1825"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1"/>
              <w:ind w:left="451" w:right="0" w:hanging="447"/>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扣除非经常性损益净利</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润</w:t>
            </w:r>
            <w:r>
              <w:rPr>
                <w:rFonts w:ascii="Times New Roman" w:hAnsi="Times New Roman" w:cs="Times New Roman" w:eastAsia="Times New Roman" w:hint="default"/>
                <w:sz w:val="18"/>
                <w:szCs w:val="18"/>
              </w:rPr>
              <w:t>&gt;5,300.00</w:t>
            </w:r>
          </w:p>
        </w:tc>
        <w:tc>
          <w:tcPr>
            <w:tcW w:w="1832"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1"/>
              <w:ind w:left="455" w:right="7" w:hanging="447"/>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扣除非经常性损益净利</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润</w:t>
            </w:r>
            <w:r>
              <w:rPr>
                <w:rFonts w:ascii="Times New Roman" w:hAnsi="Times New Roman" w:cs="Times New Roman" w:eastAsia="Times New Roman" w:hint="default"/>
                <w:sz w:val="18"/>
                <w:szCs w:val="18"/>
              </w:rPr>
              <w:t>&gt;6,150.00</w:t>
            </w:r>
          </w:p>
        </w:tc>
      </w:tr>
    </w:tbl>
    <w:p>
      <w:pPr>
        <w:spacing w:line="240" w:lineRule="auto" w:before="4"/>
        <w:rPr>
          <w:rFonts w:ascii="Times New Roman" w:hAnsi="Times New Roman" w:cs="Times New Roman" w:eastAsia="Times New Roman" w:hint="default"/>
          <w:sz w:val="7"/>
          <w:szCs w:val="7"/>
        </w:rPr>
      </w:pPr>
    </w:p>
    <w:p>
      <w:pPr>
        <w:spacing w:before="46"/>
        <w:ind w:left="594"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A</w:t>
      </w:r>
      <w:r>
        <w:rPr>
          <w:rFonts w:ascii="宋体" w:hAnsi="宋体" w:cs="宋体" w:eastAsia="宋体" w:hint="default"/>
          <w:spacing w:val="-3"/>
          <w:sz w:val="18"/>
          <w:szCs w:val="18"/>
        </w:rPr>
        <w:t>、根据公司子公司北京汉华易美图片有限公司与湖北天福星科技有限公司、武汉鑫泰和商贸有限公司、武汉菲林格</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spacing w:line="309" w:lineRule="auto" w:before="46"/>
        <w:ind w:left="153" w:right="0" w:firstLine="0"/>
        <w:jc w:val="left"/>
        <w:rPr>
          <w:rFonts w:ascii="宋体" w:hAnsi="宋体" w:cs="宋体" w:eastAsia="宋体" w:hint="default"/>
          <w:sz w:val="18"/>
          <w:szCs w:val="18"/>
        </w:rPr>
      </w:pPr>
      <w:r>
        <w:rPr>
          <w:rFonts w:ascii="宋体" w:hAnsi="宋体" w:cs="宋体" w:eastAsia="宋体" w:hint="default"/>
          <w:spacing w:val="-5"/>
          <w:sz w:val="18"/>
          <w:szCs w:val="18"/>
        </w:rPr>
        <w:t>装饰设计工程有限公司、自然人司马彦、李先娥、司马新星、天津飞远信商务信息咨询有限公司签订的《关于湖北司马彦文</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pacing w:val="-3"/>
          <w:sz w:val="18"/>
          <w:szCs w:val="18"/>
        </w:rPr>
        <w:t>化科技有限公司之股权转让协议》，北京汉华易美图片有限公司受让湖北司马彦文化科技有限公司</w:t>
      </w:r>
      <w:r>
        <w:rPr>
          <w:rFonts w:ascii="Times New Roman" w:hAnsi="Times New Roman" w:cs="Times New Roman" w:eastAsia="Times New Roman" w:hint="default"/>
          <w:spacing w:val="-3"/>
          <w:sz w:val="18"/>
          <w:szCs w:val="18"/>
        </w:rPr>
        <w:t>49%</w:t>
      </w:r>
      <w:r>
        <w:rPr>
          <w:rFonts w:ascii="宋体" w:hAnsi="宋体" w:cs="宋体" w:eastAsia="宋体" w:hint="default"/>
          <w:spacing w:val="-3"/>
          <w:sz w:val="18"/>
          <w:szCs w:val="18"/>
        </w:rPr>
        <w:t>需支付股权转让款</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Times New Roman" w:hAnsi="Times New Roman" w:cs="Times New Roman" w:eastAsia="Times New Roman" w:hint="default"/>
          <w:sz w:val="18"/>
          <w:szCs w:val="18"/>
        </w:rPr>
        <w:t>30,000.00</w:t>
      </w:r>
      <w:r>
        <w:rPr>
          <w:rFonts w:ascii="宋体" w:hAnsi="宋体" w:cs="宋体" w:eastAsia="宋体" w:hint="default"/>
          <w:sz w:val="18"/>
          <w:szCs w:val="18"/>
        </w:rPr>
        <w:t>万元，截至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日已支付完毕。</w:t>
      </w:r>
    </w:p>
    <w:p>
      <w:pPr>
        <w:spacing w:line="302" w:lineRule="auto" w:before="125"/>
        <w:ind w:left="153" w:right="0" w:firstLine="44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B</w:t>
      </w:r>
      <w:r>
        <w:rPr>
          <w:rFonts w:ascii="宋体" w:hAnsi="宋体" w:cs="宋体" w:eastAsia="宋体" w:hint="default"/>
          <w:spacing w:val="-3"/>
          <w:sz w:val="18"/>
          <w:szCs w:val="18"/>
        </w:rPr>
        <w:t>、根据公司</w:t>
      </w:r>
      <w:r>
        <w:rPr>
          <w:rFonts w:ascii="Times New Roman" w:hAnsi="Times New Roman" w:cs="Times New Roman" w:eastAsia="Times New Roman" w:hint="default"/>
          <w:spacing w:val="-3"/>
          <w:sz w:val="18"/>
          <w:szCs w:val="18"/>
        </w:rPr>
        <w:t>2015</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16</w:t>
      </w:r>
      <w:r>
        <w:rPr>
          <w:rFonts w:ascii="宋体" w:hAnsi="宋体" w:cs="宋体" w:eastAsia="宋体" w:hint="default"/>
          <w:spacing w:val="-3"/>
          <w:sz w:val="18"/>
          <w:szCs w:val="18"/>
        </w:rPr>
        <w:t>日与富滇银行股份有限公司、广东网金控股股份有限公司、昆明顺城诺普商贸有限公司签</w:t>
      </w:r>
      <w:r>
        <w:rPr>
          <w:rFonts w:ascii="宋体" w:hAnsi="宋体" w:cs="宋体" w:eastAsia="宋体" w:hint="default"/>
          <w:w w:val="101"/>
          <w:sz w:val="18"/>
          <w:szCs w:val="18"/>
        </w:rPr>
        <w:t> </w:t>
      </w:r>
      <w:r>
        <w:rPr>
          <w:rFonts w:ascii="宋体" w:hAnsi="宋体" w:cs="宋体" w:eastAsia="宋体" w:hint="default"/>
          <w:spacing w:val="-4"/>
          <w:sz w:val="18"/>
          <w:szCs w:val="18"/>
        </w:rPr>
        <w:t>订的《富银消费金融有限责任公司出资协议》，公司拟出资</w:t>
      </w:r>
      <w:r>
        <w:rPr>
          <w:rFonts w:ascii="Times New Roman" w:hAnsi="Times New Roman" w:cs="Times New Roman" w:eastAsia="Times New Roman" w:hint="default"/>
          <w:spacing w:val="-4"/>
          <w:sz w:val="18"/>
          <w:szCs w:val="18"/>
        </w:rPr>
        <w:t>8,100.00</w:t>
      </w:r>
      <w:r>
        <w:rPr>
          <w:rFonts w:ascii="宋体" w:hAnsi="宋体" w:cs="宋体" w:eastAsia="宋体" w:hint="default"/>
          <w:spacing w:val="-4"/>
          <w:sz w:val="18"/>
          <w:szCs w:val="18"/>
        </w:rPr>
        <w:t>万元，认购拟设立的富银消费金融有限责任公司</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亿注册</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3"/>
          <w:sz w:val="18"/>
          <w:szCs w:val="18"/>
        </w:rPr>
        <w:t>资本的</w:t>
      </w:r>
      <w:r>
        <w:rPr>
          <w:rFonts w:ascii="Times New Roman" w:hAnsi="Times New Roman" w:cs="Times New Roman" w:eastAsia="Times New Roman" w:hint="default"/>
          <w:spacing w:val="-3"/>
          <w:sz w:val="18"/>
          <w:szCs w:val="18"/>
        </w:rPr>
        <w:t>27%</w:t>
      </w:r>
      <w:r>
        <w:rPr>
          <w:rFonts w:ascii="宋体" w:hAnsi="宋体" w:cs="宋体" w:eastAsia="宋体" w:hint="default"/>
          <w:spacing w:val="-3"/>
          <w:sz w:val="18"/>
          <w:szCs w:val="18"/>
        </w:rPr>
        <w:t>。截至</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31</w:t>
      </w:r>
      <w:r>
        <w:rPr>
          <w:rFonts w:ascii="宋体" w:hAnsi="宋体" w:cs="宋体" w:eastAsia="宋体" w:hint="default"/>
          <w:spacing w:val="-3"/>
          <w:sz w:val="18"/>
          <w:szCs w:val="18"/>
        </w:rPr>
        <w:t>日已预付出资保证金</w:t>
      </w:r>
      <w:r>
        <w:rPr>
          <w:rFonts w:ascii="Times New Roman" w:hAnsi="Times New Roman" w:cs="Times New Roman" w:eastAsia="Times New Roman" w:hint="default"/>
          <w:spacing w:val="-3"/>
          <w:sz w:val="18"/>
          <w:szCs w:val="18"/>
        </w:rPr>
        <w:t>8,100.00</w:t>
      </w:r>
      <w:r>
        <w:rPr>
          <w:rFonts w:ascii="宋体" w:hAnsi="宋体" w:cs="宋体" w:eastAsia="宋体" w:hint="default"/>
          <w:spacing w:val="-3"/>
          <w:sz w:val="18"/>
          <w:szCs w:val="18"/>
        </w:rPr>
        <w:t>万元，待该设立事项经银监会审核批准后转注册资本。于</w:t>
      </w:r>
      <w:r>
        <w:rPr>
          <w:rFonts w:ascii="Times New Roman" w:hAnsi="Times New Roman" w:cs="Times New Roman" w:eastAsia="Times New Roman" w:hint="default"/>
          <w:spacing w:val="-3"/>
          <w:sz w:val="18"/>
          <w:szCs w:val="18"/>
        </w:rPr>
        <w:t>2019</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pacing w:val="16"/>
          <w:sz w:val="18"/>
          <w:szCs w:val="18"/>
        </w:rPr>
      </w:r>
      <w:r>
        <w:rPr>
          <w:rFonts w:ascii="宋体" w:hAnsi="宋体" w:cs="宋体" w:eastAsia="宋体" w:hint="default"/>
          <w:spacing w:val="-6"/>
          <w:sz w:val="18"/>
          <w:szCs w:val="18"/>
        </w:rPr>
        <w:t>年</w:t>
      </w:r>
      <w:r>
        <w:rPr>
          <w:rFonts w:ascii="Times New Roman" w:hAnsi="Times New Roman" w:cs="Times New Roman" w:eastAsia="Times New Roman" w:hint="default"/>
          <w:spacing w:val="-6"/>
          <w:sz w:val="18"/>
          <w:szCs w:val="18"/>
        </w:rPr>
        <w:t>12</w:t>
      </w:r>
      <w:r>
        <w:rPr>
          <w:rFonts w:ascii="宋体" w:hAnsi="宋体" w:cs="宋体" w:eastAsia="宋体" w:hint="default"/>
          <w:spacing w:val="-6"/>
          <w:sz w:val="18"/>
          <w:szCs w:val="18"/>
        </w:rPr>
        <w:t>月</w:t>
      </w:r>
      <w:r>
        <w:rPr>
          <w:rFonts w:ascii="Times New Roman" w:hAnsi="Times New Roman" w:cs="Times New Roman" w:eastAsia="Times New Roman" w:hint="default"/>
          <w:spacing w:val="-6"/>
          <w:sz w:val="18"/>
          <w:szCs w:val="18"/>
        </w:rPr>
        <w:t>18</w:t>
      </w:r>
      <w:r>
        <w:rPr>
          <w:rFonts w:ascii="宋体" w:hAnsi="宋体" w:cs="宋体" w:eastAsia="宋体" w:hint="default"/>
          <w:spacing w:val="-6"/>
          <w:sz w:val="18"/>
          <w:szCs w:val="18"/>
        </w:rPr>
        <w:t>日，经本公司第九届董事会第三次会议审议通过了《关于公司追加对云南富银消费金融有限责任公司投资的议案》，</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本公司与富滇银行股份有限公司、广东网金控股股份有限公司及昆明顺城若普商贸有限公司协商一致，拟签署补充协议对富</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银消费金融公司的持股比例进行调整，并相应追加认缴出资额，出资方式均为货币出资，其中公司拟追加出资额</w:t>
      </w:r>
      <w:r>
        <w:rPr>
          <w:rFonts w:ascii="Times New Roman" w:hAnsi="Times New Roman" w:cs="Times New Roman" w:eastAsia="Times New Roman" w:hint="default"/>
          <w:spacing w:val="-3"/>
          <w:sz w:val="18"/>
          <w:szCs w:val="18"/>
        </w:rPr>
        <w:t>2,100.00</w:t>
      </w:r>
      <w:r>
        <w:rPr>
          <w:rFonts w:ascii="宋体" w:hAnsi="宋体" w:cs="宋体" w:eastAsia="宋体" w:hint="default"/>
          <w:spacing w:val="-3"/>
          <w:sz w:val="18"/>
          <w:szCs w:val="18"/>
        </w:rPr>
        <w:t>万</w:t>
      </w:r>
      <w:r>
        <w:rPr>
          <w:rFonts w:ascii="宋体" w:hAnsi="宋体" w:cs="宋体" w:eastAsia="宋体" w:hint="default"/>
          <w:spacing w:val="82"/>
          <w:sz w:val="18"/>
          <w:szCs w:val="18"/>
        </w:rPr>
        <w:t> </w:t>
      </w:r>
      <w:r>
        <w:rPr>
          <w:rFonts w:ascii="宋体" w:hAnsi="宋体" w:cs="宋体" w:eastAsia="宋体" w:hint="default"/>
          <w:spacing w:val="-3"/>
          <w:sz w:val="18"/>
          <w:szCs w:val="18"/>
        </w:rPr>
        <w:t>元人民币，追加后本公司认缴出资额变更为</w:t>
      </w:r>
      <w:r>
        <w:rPr>
          <w:rFonts w:ascii="Times New Roman" w:hAnsi="Times New Roman" w:cs="Times New Roman" w:eastAsia="Times New Roman" w:hint="default"/>
          <w:spacing w:val="-3"/>
          <w:sz w:val="18"/>
          <w:szCs w:val="18"/>
        </w:rPr>
        <w:t>2,100.00</w:t>
      </w:r>
      <w:r>
        <w:rPr>
          <w:rFonts w:ascii="宋体" w:hAnsi="宋体" w:cs="宋体" w:eastAsia="宋体" w:hint="default"/>
          <w:spacing w:val="-3"/>
          <w:sz w:val="18"/>
          <w:szCs w:val="18"/>
        </w:rPr>
        <w:t>万元。</w:t>
      </w:r>
    </w:p>
    <w:p>
      <w:pPr>
        <w:spacing w:line="300" w:lineRule="auto" w:before="131"/>
        <w:ind w:left="153" w:right="0" w:firstLine="44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C</w:t>
      </w:r>
      <w:r>
        <w:rPr>
          <w:rFonts w:ascii="宋体" w:hAnsi="宋体" w:cs="宋体" w:eastAsia="宋体" w:hint="default"/>
          <w:spacing w:val="-3"/>
          <w:sz w:val="18"/>
          <w:szCs w:val="18"/>
        </w:rPr>
        <w:t>、根据公司子公司常州远东文化产业有限公司与广州远程教育中心有限公司签订《投资协议》，远东文化以人民币</w:t>
      </w:r>
      <w:r>
        <w:rPr>
          <w:rFonts w:ascii="宋体" w:hAnsi="宋体" w:cs="宋体" w:eastAsia="宋体" w:hint="default"/>
          <w:w w:val="101"/>
          <w:sz w:val="18"/>
          <w:szCs w:val="18"/>
        </w:rPr>
        <w:t> </w:t>
      </w:r>
      <w:r>
        <w:rPr>
          <w:rFonts w:ascii="Times New Roman" w:hAnsi="Times New Roman" w:cs="Times New Roman" w:eastAsia="Times New Roman" w:hint="default"/>
          <w:spacing w:val="-3"/>
          <w:sz w:val="18"/>
          <w:szCs w:val="18"/>
        </w:rPr>
        <w:t>11,000.00</w:t>
      </w:r>
      <w:r>
        <w:rPr>
          <w:rFonts w:ascii="宋体" w:hAnsi="宋体" w:cs="宋体" w:eastAsia="宋体" w:hint="default"/>
          <w:spacing w:val="-3"/>
          <w:sz w:val="18"/>
          <w:szCs w:val="18"/>
        </w:rPr>
        <w:t>万元购买广州远程教育中心有限公司持有的广东易教优培教育科技有限公司</w:t>
      </w:r>
      <w:r>
        <w:rPr>
          <w:rFonts w:ascii="Times New Roman" w:hAnsi="Times New Roman" w:cs="Times New Roman" w:eastAsia="Times New Roman" w:hint="default"/>
          <w:spacing w:val="-3"/>
          <w:sz w:val="18"/>
          <w:szCs w:val="18"/>
        </w:rPr>
        <w:t>35%</w:t>
      </w:r>
      <w:r>
        <w:rPr>
          <w:rFonts w:ascii="宋体" w:hAnsi="宋体" w:cs="宋体" w:eastAsia="宋体" w:hint="default"/>
          <w:spacing w:val="-3"/>
          <w:sz w:val="18"/>
          <w:szCs w:val="18"/>
        </w:rPr>
        <w:t>，截至</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31</w:t>
      </w:r>
      <w:r>
        <w:rPr>
          <w:rFonts w:ascii="宋体" w:hAnsi="宋体" w:cs="宋体" w:eastAsia="宋体" w:hint="default"/>
          <w:spacing w:val="-3"/>
          <w:sz w:val="18"/>
          <w:szCs w:val="18"/>
        </w:rPr>
        <w:t>日累计已支付</w:t>
      </w:r>
    </w:p>
    <w:p>
      <w:pPr>
        <w:spacing w:before="1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8,600.00</w:t>
      </w:r>
      <w:r>
        <w:rPr>
          <w:rFonts w:ascii="宋体" w:hAnsi="宋体" w:cs="宋体" w:eastAsia="宋体" w:hint="default"/>
          <w:sz w:val="18"/>
          <w:szCs w:val="18"/>
        </w:rPr>
        <w:t>万元，尚有</w:t>
      </w:r>
      <w:r>
        <w:rPr>
          <w:rFonts w:ascii="Times New Roman" w:hAnsi="Times New Roman" w:cs="Times New Roman" w:eastAsia="Times New Roman" w:hint="default"/>
          <w:sz w:val="18"/>
          <w:szCs w:val="18"/>
        </w:rPr>
        <w:t>2,400.00</w:t>
      </w:r>
      <w:r>
        <w:rPr>
          <w:rFonts w:ascii="宋体" w:hAnsi="宋体" w:cs="宋体" w:eastAsia="宋体" w:hint="default"/>
          <w:sz w:val="18"/>
          <w:szCs w:val="18"/>
        </w:rPr>
        <w:t>万元未支付。</w:t>
      </w:r>
    </w:p>
    <w:p>
      <w:pPr>
        <w:spacing w:line="240" w:lineRule="auto" w:before="0"/>
        <w:rPr>
          <w:rFonts w:ascii="宋体" w:hAnsi="宋体" w:cs="宋体" w:eastAsia="宋体" w:hint="default"/>
          <w:sz w:val="14"/>
          <w:szCs w:val="14"/>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经营租赁承诺</w:t>
      </w:r>
    </w:p>
    <w:p>
      <w:pPr>
        <w:spacing w:line="240" w:lineRule="auto" w:before="13"/>
        <w:rPr>
          <w:rFonts w:ascii="宋体" w:hAnsi="宋体" w:cs="宋体" w:eastAsia="宋体" w:hint="default"/>
          <w:sz w:val="13"/>
          <w:szCs w:val="13"/>
        </w:rPr>
      </w:pPr>
    </w:p>
    <w:p>
      <w:pPr>
        <w:spacing w:before="0"/>
        <w:ind w:left="594" w:right="0" w:firstLine="0"/>
        <w:jc w:val="left"/>
        <w:rPr>
          <w:rFonts w:ascii="宋体" w:hAnsi="宋体" w:cs="宋体" w:eastAsia="宋体" w:hint="default"/>
          <w:sz w:val="18"/>
          <w:szCs w:val="18"/>
        </w:rPr>
      </w:pPr>
      <w:r>
        <w:rPr>
          <w:rFonts w:ascii="宋体" w:hAnsi="宋体" w:cs="宋体" w:eastAsia="宋体" w:hint="default"/>
          <w:spacing w:val="-3"/>
          <w:sz w:val="18"/>
          <w:szCs w:val="18"/>
        </w:rPr>
        <w:t>至资产负债表日止，本公司对外签订的不可撤销的经营租赁合约情况如下：</w:t>
      </w:r>
    </w:p>
    <w:p>
      <w:pPr>
        <w:spacing w:line="240" w:lineRule="auto" w:before="3"/>
        <w:rPr>
          <w:rFonts w:ascii="宋体" w:hAnsi="宋体" w:cs="宋体" w:eastAsia="宋体" w:hint="default"/>
          <w:sz w:val="14"/>
          <w:szCs w:val="14"/>
        </w:rPr>
      </w:pPr>
    </w:p>
    <w:tbl>
      <w:tblPr>
        <w:tblW w:w="0" w:type="auto"/>
        <w:jc w:val="left"/>
        <w:tblInd w:w="143" w:type="dxa"/>
        <w:tblLayout w:type="fixed"/>
        <w:tblCellMar>
          <w:top w:w="0" w:type="dxa"/>
          <w:left w:w="0" w:type="dxa"/>
          <w:bottom w:w="0" w:type="dxa"/>
          <w:right w:w="0" w:type="dxa"/>
        </w:tblCellMar>
        <w:tblLook w:val="01E0"/>
      </w:tblPr>
      <w:tblGrid>
        <w:gridCol w:w="3544"/>
        <w:gridCol w:w="2794"/>
        <w:gridCol w:w="2797"/>
      </w:tblGrid>
      <w:tr>
        <w:trPr>
          <w:trHeight w:val="353" w:hRule="exact"/>
        </w:trPr>
        <w:tc>
          <w:tcPr>
            <w:tcW w:w="35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left="4"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7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left="14" w:right="0"/>
              <w:jc w:val="center"/>
              <w:rPr>
                <w:rFonts w:ascii="宋体" w:hAnsi="宋体" w:cs="宋体" w:eastAsia="宋体" w:hint="default"/>
                <w:sz w:val="20"/>
                <w:szCs w:val="20"/>
              </w:rPr>
            </w:pPr>
            <w:r>
              <w:rPr>
                <w:rFonts w:ascii="宋体" w:hAnsi="宋体" w:cs="宋体" w:eastAsia="宋体" w:hint="default"/>
                <w:sz w:val="20"/>
                <w:szCs w:val="20"/>
              </w:rPr>
              <w:t>年末余额</w:t>
            </w:r>
          </w:p>
        </w:tc>
        <w:tc>
          <w:tcPr>
            <w:tcW w:w="279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
              <w:ind w:right="2"/>
              <w:jc w:val="center"/>
              <w:rPr>
                <w:rFonts w:ascii="宋体" w:hAnsi="宋体" w:cs="宋体" w:eastAsia="宋体" w:hint="default"/>
                <w:sz w:val="20"/>
                <w:szCs w:val="20"/>
              </w:rPr>
            </w:pPr>
            <w:r>
              <w:rPr>
                <w:rFonts w:ascii="宋体" w:hAnsi="宋体" w:cs="宋体" w:eastAsia="宋体" w:hint="default"/>
                <w:sz w:val="20"/>
                <w:szCs w:val="20"/>
              </w:rPr>
              <w:t>年初余额</w:t>
            </w:r>
          </w:p>
        </w:tc>
      </w:tr>
      <w:tr>
        <w:trPr>
          <w:trHeight w:val="355" w:hRule="exact"/>
        </w:trPr>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pacing w:val="-3"/>
                <w:sz w:val="18"/>
                <w:szCs w:val="18"/>
              </w:rPr>
              <w:t>不可撤销经营租赁的最低租赁付款额：</w:t>
            </w:r>
          </w:p>
        </w:tc>
        <w:tc>
          <w:tcPr>
            <w:tcW w:w="2794" w:type="dxa"/>
            <w:tcBorders>
              <w:top w:val="single" w:sz="12" w:space="0" w:color="000000"/>
              <w:left w:val="single" w:sz="6" w:space="0" w:color="000000"/>
              <w:bottom w:val="single" w:sz="12" w:space="0" w:color="000000"/>
              <w:right w:val="single" w:sz="6" w:space="0" w:color="000000"/>
            </w:tcBorders>
          </w:tcPr>
          <w:p>
            <w:pPr/>
          </w:p>
        </w:tc>
        <w:tc>
          <w:tcPr>
            <w:tcW w:w="2797" w:type="dxa"/>
            <w:tcBorders>
              <w:top w:val="single" w:sz="12" w:space="0" w:color="000000"/>
              <w:left w:val="single" w:sz="6" w:space="0" w:color="000000"/>
              <w:bottom w:val="single" w:sz="12" w:space="0" w:color="000000"/>
              <w:right w:val="nil" w:sz="6" w:space="0" w:color="auto"/>
            </w:tcBorders>
          </w:tcPr>
          <w:p>
            <w:pPr/>
          </w:p>
        </w:tc>
      </w:tr>
      <w:tr>
        <w:trPr>
          <w:trHeight w:val="351" w:hRule="exact"/>
        </w:trPr>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7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9"/>
              <w:jc w:val="right"/>
              <w:rPr>
                <w:rFonts w:ascii="Times New Roman" w:hAnsi="Times New Roman" w:cs="Times New Roman" w:eastAsia="Times New Roman" w:hint="default"/>
                <w:sz w:val="18"/>
                <w:szCs w:val="18"/>
              </w:rPr>
            </w:pPr>
            <w:r>
              <w:rPr>
                <w:rFonts w:ascii="Times New Roman"/>
                <w:spacing w:val="-1"/>
                <w:sz w:val="18"/>
              </w:rPr>
              <w:t>16,769,658.59</w:t>
            </w:r>
          </w:p>
        </w:tc>
        <w:tc>
          <w:tcPr>
            <w:tcW w:w="279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3"/>
              <w:ind w:right="3"/>
              <w:jc w:val="right"/>
              <w:rPr>
                <w:rFonts w:ascii="Times New Roman" w:hAnsi="Times New Roman" w:cs="Times New Roman" w:eastAsia="Times New Roman" w:hint="default"/>
                <w:sz w:val="18"/>
                <w:szCs w:val="18"/>
              </w:rPr>
            </w:pPr>
            <w:r>
              <w:rPr>
                <w:rFonts w:ascii="Times New Roman"/>
                <w:spacing w:val="-1"/>
                <w:sz w:val="18"/>
              </w:rPr>
              <w:t>7,075,188.00</w:t>
            </w:r>
          </w:p>
        </w:tc>
      </w:tr>
      <w:tr>
        <w:trPr>
          <w:trHeight w:val="350" w:hRule="exact"/>
        </w:trPr>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年以上</w:t>
            </w:r>
            <w:r>
              <w:rPr>
                <w:rFonts w:ascii="Times New Roman" w:hAnsi="Times New Roman" w:cs="Times New Roman" w:eastAsia="Times New Roman" w:hint="default"/>
                <w:sz w:val="18"/>
                <w:szCs w:val="18"/>
              </w:rPr>
              <w:t>2</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7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9"/>
              <w:jc w:val="right"/>
              <w:rPr>
                <w:rFonts w:ascii="Times New Roman" w:hAnsi="Times New Roman" w:cs="Times New Roman" w:eastAsia="Times New Roman" w:hint="default"/>
                <w:sz w:val="18"/>
                <w:szCs w:val="18"/>
              </w:rPr>
            </w:pPr>
            <w:r>
              <w:rPr>
                <w:rFonts w:ascii="Times New Roman"/>
                <w:spacing w:val="-1"/>
                <w:sz w:val="18"/>
              </w:rPr>
              <w:t>16,544,029.46</w:t>
            </w:r>
          </w:p>
        </w:tc>
        <w:tc>
          <w:tcPr>
            <w:tcW w:w="279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7,198,546.80</w:t>
            </w:r>
          </w:p>
        </w:tc>
      </w:tr>
      <w:tr>
        <w:trPr>
          <w:trHeight w:val="355" w:hRule="exact"/>
        </w:trPr>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年以上</w:t>
            </w:r>
            <w:r>
              <w:rPr>
                <w:rFonts w:ascii="Times New Roman" w:hAnsi="Times New Roman" w:cs="Times New Roman" w:eastAsia="Times New Roman" w:hint="default"/>
                <w:sz w:val="18"/>
                <w:szCs w:val="18"/>
              </w:rPr>
              <w:t>3</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7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9"/>
              <w:jc w:val="right"/>
              <w:rPr>
                <w:rFonts w:ascii="Times New Roman" w:hAnsi="Times New Roman" w:cs="Times New Roman" w:eastAsia="Times New Roman" w:hint="default"/>
                <w:sz w:val="18"/>
                <w:szCs w:val="18"/>
              </w:rPr>
            </w:pPr>
            <w:r>
              <w:rPr>
                <w:rFonts w:ascii="Times New Roman"/>
                <w:spacing w:val="-1"/>
                <w:sz w:val="18"/>
              </w:rPr>
              <w:t>13,284,120.07</w:t>
            </w:r>
          </w:p>
        </w:tc>
        <w:tc>
          <w:tcPr>
            <w:tcW w:w="279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7"/>
              <w:ind w:right="3"/>
              <w:jc w:val="right"/>
              <w:rPr>
                <w:rFonts w:ascii="Times New Roman" w:hAnsi="Times New Roman" w:cs="Times New Roman" w:eastAsia="Times New Roman" w:hint="default"/>
                <w:sz w:val="18"/>
                <w:szCs w:val="18"/>
              </w:rPr>
            </w:pPr>
            <w:r>
              <w:rPr>
                <w:rFonts w:ascii="Times New Roman"/>
                <w:spacing w:val="-1"/>
                <w:sz w:val="18"/>
              </w:rPr>
              <w:t>7,815,340.80</w:t>
            </w:r>
          </w:p>
        </w:tc>
      </w:tr>
      <w:tr>
        <w:trPr>
          <w:trHeight w:val="350" w:hRule="exact"/>
        </w:trPr>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27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9"/>
              <w:jc w:val="right"/>
              <w:rPr>
                <w:rFonts w:ascii="Times New Roman" w:hAnsi="Times New Roman" w:cs="Times New Roman" w:eastAsia="Times New Roman" w:hint="default"/>
                <w:sz w:val="18"/>
                <w:szCs w:val="18"/>
              </w:rPr>
            </w:pPr>
            <w:r>
              <w:rPr>
                <w:rFonts w:ascii="Times New Roman"/>
                <w:spacing w:val="-1"/>
                <w:sz w:val="18"/>
              </w:rPr>
              <w:t>1,148,685.05</w:t>
            </w:r>
          </w:p>
        </w:tc>
        <w:tc>
          <w:tcPr>
            <w:tcW w:w="279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6,512,784.00</w:t>
            </w:r>
          </w:p>
        </w:tc>
      </w:tr>
      <w:tr>
        <w:trPr>
          <w:trHeight w:val="355" w:hRule="exact"/>
        </w:trPr>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9"/>
              <w:jc w:val="right"/>
              <w:rPr>
                <w:rFonts w:ascii="Times New Roman" w:hAnsi="Times New Roman" w:cs="Times New Roman" w:eastAsia="Times New Roman" w:hint="default"/>
                <w:sz w:val="18"/>
                <w:szCs w:val="18"/>
              </w:rPr>
            </w:pPr>
            <w:r>
              <w:rPr>
                <w:rFonts w:ascii="Times New Roman"/>
                <w:spacing w:val="-1"/>
                <w:sz w:val="18"/>
              </w:rPr>
              <w:t>47,746,493.17</w:t>
            </w:r>
          </w:p>
        </w:tc>
        <w:tc>
          <w:tcPr>
            <w:tcW w:w="279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28,601,859.60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96"/>
        <w:ind w:right="0"/>
        <w:jc w:val="left"/>
        <w:rPr>
          <w:b w:val="0"/>
          <w:bCs w:val="0"/>
        </w:rPr>
      </w:pPr>
      <w:bookmarkStart w:name="2、或有事项" w:id="360"/>
      <w:bookmarkEnd w:id="360"/>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1）资产负债表日存在的重要或有事项" w:id="361"/>
      <w:bookmarkEnd w:id="361"/>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10"/>
        <w:rPr>
          <w:rFonts w:ascii="宋体" w:hAnsi="宋体" w:cs="宋体" w:eastAsia="宋体" w:hint="default"/>
          <w:b/>
          <w:bCs/>
          <w:sz w:val="26"/>
          <w:szCs w:val="26"/>
        </w:rPr>
      </w:pPr>
    </w:p>
    <w:p>
      <w:pPr>
        <w:spacing w:line="427" w:lineRule="auto" w:before="0"/>
        <w:ind w:left="513" w:right="5136"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本集团内部担保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本公司与子公司以及子公司之间的担保事项详见附注十二、</w:t>
      </w:r>
      <w:r>
        <w:rPr>
          <w:rFonts w:ascii="Times New Roman" w:hAnsi="Times New Roman" w:cs="Times New Roman" w:eastAsia="Times New Roman" w:hint="default"/>
          <w:spacing w:val="-3"/>
          <w:sz w:val="18"/>
          <w:szCs w:val="18"/>
        </w:rPr>
        <w:t>5(2)</w:t>
      </w:r>
      <w:r>
        <w:rPr>
          <w:rFonts w:ascii="宋体" w:hAnsi="宋体" w:cs="宋体" w:eastAsia="宋体" w:hint="default"/>
          <w:spacing w:val="-3"/>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2.</w:t>
      </w:r>
      <w:r>
        <w:rPr>
          <w:rFonts w:ascii="宋体" w:hAnsi="宋体" w:cs="宋体" w:eastAsia="宋体" w:hint="default"/>
          <w:sz w:val="18"/>
          <w:szCs w:val="18"/>
        </w:rPr>
        <w:t>股权质押</w:t>
      </w:r>
    </w:p>
    <w:p>
      <w:pPr>
        <w:spacing w:before="56"/>
        <w:ind w:left="594" w:right="0" w:firstLine="0"/>
        <w:jc w:val="left"/>
        <w:rPr>
          <w:rFonts w:ascii="宋体" w:hAnsi="宋体" w:cs="宋体" w:eastAsia="宋体" w:hint="default"/>
          <w:sz w:val="18"/>
          <w:szCs w:val="18"/>
        </w:rPr>
      </w:pPr>
      <w:r>
        <w:rPr>
          <w:rFonts w:ascii="宋体" w:hAnsi="宋体" w:cs="宋体" w:eastAsia="宋体" w:hint="default"/>
          <w:spacing w:val="-3"/>
          <w:sz w:val="18"/>
          <w:szCs w:val="18"/>
        </w:rPr>
        <w:t>截至资产负债表日，公司控制人中廖道训、吴玉瑞、吴春红、柴继军、梁世平合计持有本公司</w:t>
      </w:r>
      <w:r>
        <w:rPr>
          <w:rFonts w:ascii="Times New Roman" w:hAnsi="Times New Roman" w:cs="Times New Roman" w:eastAsia="Times New Roman" w:hint="default"/>
          <w:spacing w:val="-3"/>
          <w:sz w:val="18"/>
          <w:szCs w:val="18"/>
        </w:rPr>
        <w:t>16,907.20</w:t>
      </w:r>
      <w:r>
        <w:rPr>
          <w:rFonts w:ascii="宋体" w:hAnsi="宋体" w:cs="宋体" w:eastAsia="宋体" w:hint="default"/>
          <w:spacing w:val="-3"/>
          <w:sz w:val="18"/>
          <w:szCs w:val="18"/>
        </w:rPr>
        <w:t>万股已质押。</w:t>
      </w:r>
    </w:p>
    <w:p>
      <w:pPr>
        <w:spacing w:line="240" w:lineRule="auto" w:before="9"/>
        <w:rPr>
          <w:rFonts w:ascii="宋体" w:hAnsi="宋体" w:cs="宋体" w:eastAsia="宋体" w:hint="default"/>
          <w:sz w:val="23"/>
          <w:szCs w:val="23"/>
        </w:rPr>
      </w:pPr>
    </w:p>
    <w:p>
      <w:pPr>
        <w:pStyle w:val="Heading2"/>
        <w:spacing w:line="240" w:lineRule="auto"/>
        <w:ind w:right="0"/>
        <w:jc w:val="left"/>
        <w:rPr>
          <w:b w:val="0"/>
          <w:bCs w:val="0"/>
        </w:rPr>
      </w:pPr>
      <w:bookmarkStart w:name="十四、资产负债表日后事项" w:id="362"/>
      <w:bookmarkEnd w:id="362"/>
      <w:r>
        <w:rPr>
          <w:b w:val="0"/>
          <w:bCs w:val="0"/>
        </w:rPr>
      </w:r>
      <w:r>
        <w:rPr/>
        <w:t>十四、资产负债表日后事项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 利润分配情况" w:id="363"/>
      <w:bookmarkEnd w:id="363"/>
      <w:r>
        <w:rPr>
          <w:b w:val="0"/>
          <w:bCs w:val="0"/>
        </w:rPr>
      </w:r>
      <w:r>
        <w:rPr>
          <w:rFonts w:ascii="Times New Roman" w:hAnsi="Times New Roman" w:cs="Times New Roman" w:eastAsia="Times New Roman" w:hint="default"/>
        </w:rPr>
        <w:t>1</w:t>
      </w:r>
      <w:r>
        <w:rPr/>
        <w:t>、</w:t>
      </w:r>
      <w:r>
        <w:rPr>
          <w:spacing w:val="2"/>
        </w:rPr>
        <w:t> </w:t>
      </w:r>
      <w:r>
        <w:rPr/>
        <w:t>利润分配情况</w:t>
      </w:r>
      <w:r>
        <w:rPr>
          <w:b w:val="0"/>
          <w:bCs w:val="0"/>
        </w:rPr>
      </w:r>
    </w:p>
    <w:p>
      <w:pPr>
        <w:spacing w:line="240" w:lineRule="auto" w:before="10"/>
        <w:rPr>
          <w:rFonts w:ascii="宋体" w:hAnsi="宋体" w:cs="宋体" w:eastAsia="宋体" w:hint="default"/>
          <w:b/>
          <w:bCs/>
          <w:sz w:val="26"/>
          <w:szCs w:val="26"/>
        </w:rPr>
      </w:pPr>
    </w:p>
    <w:p>
      <w:pPr>
        <w:spacing w:line="300" w:lineRule="auto" w:before="0"/>
        <w:ind w:left="153" w:right="1128" w:firstLine="441"/>
        <w:jc w:val="both"/>
        <w:rPr>
          <w:rFonts w:ascii="宋体" w:hAnsi="宋体" w:cs="宋体" w:eastAsia="宋体" w:hint="default"/>
          <w:sz w:val="18"/>
          <w:szCs w:val="18"/>
        </w:rPr>
      </w:pPr>
      <w:r>
        <w:rPr>
          <w:rFonts w:ascii="宋体" w:hAnsi="宋体" w:cs="宋体" w:eastAsia="宋体" w:hint="default"/>
          <w:spacing w:val="-3"/>
          <w:sz w:val="18"/>
          <w:szCs w:val="18"/>
        </w:rPr>
        <w:t>于</w:t>
      </w:r>
      <w:r>
        <w:rPr>
          <w:rFonts w:ascii="Times New Roman" w:hAnsi="Times New Roman" w:cs="Times New Roman" w:eastAsia="Times New Roman" w:hint="default"/>
          <w:spacing w:val="-3"/>
          <w:sz w:val="18"/>
          <w:szCs w:val="18"/>
        </w:rPr>
        <w:t>2020</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28</w:t>
      </w:r>
      <w:r>
        <w:rPr>
          <w:rFonts w:ascii="宋体" w:hAnsi="宋体" w:cs="宋体" w:eastAsia="宋体" w:hint="default"/>
          <w:spacing w:val="-3"/>
          <w:sz w:val="18"/>
          <w:szCs w:val="18"/>
        </w:rPr>
        <w:t>日，本公司第九届董事会第十次会议，批准</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年度利润分配预案，按照每</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股派现金</w:t>
      </w:r>
      <w:r>
        <w:rPr>
          <w:rFonts w:ascii="Times New Roman" w:hAnsi="Times New Roman" w:cs="Times New Roman" w:eastAsia="Times New Roman" w:hint="default"/>
          <w:spacing w:val="-3"/>
          <w:sz w:val="18"/>
          <w:szCs w:val="18"/>
        </w:rPr>
        <w:t>0.32</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含税</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向</w:t>
      </w:r>
      <w:r>
        <w:rPr>
          <w:rFonts w:ascii="宋体" w:hAnsi="宋体" w:cs="宋体" w:eastAsia="宋体" w:hint="default"/>
          <w:w w:val="101"/>
          <w:sz w:val="18"/>
          <w:szCs w:val="18"/>
        </w:rPr>
        <w:t> </w:t>
      </w:r>
      <w:r>
        <w:rPr>
          <w:rFonts w:ascii="宋体" w:hAnsi="宋体" w:cs="宋体" w:eastAsia="宋体" w:hint="default"/>
          <w:spacing w:val="-3"/>
          <w:sz w:val="18"/>
          <w:szCs w:val="18"/>
        </w:rPr>
        <w:t>全体股东实施利润分配，共计分配利润</w:t>
      </w:r>
      <w:r>
        <w:rPr>
          <w:rFonts w:ascii="Times New Roman" w:hAnsi="Times New Roman" w:cs="Times New Roman" w:eastAsia="Times New Roman" w:hint="default"/>
          <w:spacing w:val="-3"/>
          <w:sz w:val="18"/>
          <w:szCs w:val="18"/>
        </w:rPr>
        <w:t>22,418,477.95</w:t>
      </w:r>
      <w:r>
        <w:rPr>
          <w:rFonts w:ascii="宋体" w:hAnsi="宋体" w:cs="宋体" w:eastAsia="宋体" w:hint="default"/>
          <w:spacing w:val="-3"/>
          <w:sz w:val="18"/>
          <w:szCs w:val="18"/>
        </w:rPr>
        <w:t>元。除此之外，不再进行送股或资本公积金转增股本。本预案将经股东</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大会批准后实施。</w:t>
      </w:r>
    </w:p>
    <w:p>
      <w:pPr>
        <w:spacing w:after="0" w:line="300" w:lineRule="auto"/>
        <w:jc w:val="both"/>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91"/>
        <w:ind w:right="0"/>
        <w:jc w:val="left"/>
        <w:rPr>
          <w:b w:val="0"/>
          <w:bCs w:val="0"/>
        </w:rPr>
      </w:pPr>
      <w:bookmarkStart w:name="2、 非同一控制下企业合并" w:id="364"/>
      <w:bookmarkEnd w:id="364"/>
      <w:r>
        <w:rPr>
          <w:b w:val="0"/>
          <w:bCs w:val="0"/>
        </w:rPr>
      </w:r>
      <w:r>
        <w:rPr>
          <w:rFonts w:ascii="Times New Roman" w:hAnsi="Times New Roman" w:cs="Times New Roman" w:eastAsia="Times New Roman" w:hint="default"/>
        </w:rPr>
        <w:t>2</w:t>
      </w:r>
      <w:r>
        <w:rPr/>
        <w:t>、</w:t>
      </w:r>
      <w:r>
        <w:rPr>
          <w:spacing w:val="3"/>
        </w:rPr>
        <w:t> </w:t>
      </w:r>
      <w:r>
        <w:rPr/>
        <w:t>非同一控制下企业合并</w:t>
      </w:r>
      <w:r>
        <w:rPr>
          <w:b w:val="0"/>
          <w:bCs w:val="0"/>
        </w:rPr>
      </w:r>
    </w:p>
    <w:p>
      <w:pPr>
        <w:spacing w:line="240" w:lineRule="auto" w:before="5"/>
        <w:rPr>
          <w:rFonts w:ascii="宋体" w:hAnsi="宋体" w:cs="宋体" w:eastAsia="宋体" w:hint="default"/>
          <w:b/>
          <w:bCs/>
          <w:sz w:val="26"/>
          <w:szCs w:val="26"/>
        </w:rPr>
      </w:pPr>
    </w:p>
    <w:p>
      <w:pPr>
        <w:spacing w:line="300" w:lineRule="auto" w:before="0"/>
        <w:ind w:left="153" w:right="1122" w:firstLine="340"/>
        <w:jc w:val="both"/>
        <w:rPr>
          <w:rFonts w:ascii="宋体" w:hAnsi="宋体" w:cs="宋体" w:eastAsia="宋体" w:hint="default"/>
          <w:sz w:val="18"/>
          <w:szCs w:val="18"/>
        </w:rPr>
      </w:pPr>
      <w:r>
        <w:rPr>
          <w:rFonts w:ascii="宋体" w:hAnsi="宋体" w:cs="宋体" w:eastAsia="宋体" w:hint="default"/>
          <w:spacing w:val="-4"/>
          <w:sz w:val="18"/>
          <w:szCs w:val="18"/>
        </w:rPr>
        <w:t>于</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12</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26</w:t>
      </w:r>
      <w:r>
        <w:rPr>
          <w:rFonts w:ascii="宋体" w:hAnsi="宋体" w:cs="宋体" w:eastAsia="宋体" w:hint="default"/>
          <w:spacing w:val="-4"/>
          <w:sz w:val="18"/>
          <w:szCs w:val="18"/>
        </w:rPr>
        <w:t>日，本公司之子公司常州五百像素网络科技有限公司与北京视觉像素网络科技有限公司签订股权收购协</w:t>
      </w:r>
      <w:r>
        <w:rPr>
          <w:rFonts w:ascii="宋体" w:hAnsi="宋体" w:cs="宋体" w:eastAsia="宋体" w:hint="default"/>
          <w:w w:val="101"/>
          <w:sz w:val="18"/>
          <w:szCs w:val="18"/>
        </w:rPr>
        <w:t> </w:t>
      </w:r>
      <w:r>
        <w:rPr>
          <w:rFonts w:ascii="宋体" w:hAnsi="宋体" w:cs="宋体" w:eastAsia="宋体" w:hint="default"/>
          <w:spacing w:val="-3"/>
          <w:sz w:val="18"/>
          <w:szCs w:val="18"/>
        </w:rPr>
        <w:t>议，收购其持有的天津五百像素网络科技有限公司</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股权，股权收购对价</w:t>
      </w:r>
      <w:r>
        <w:rPr>
          <w:rFonts w:ascii="Times New Roman" w:hAnsi="Times New Roman" w:cs="Times New Roman" w:eastAsia="Times New Roman" w:hint="default"/>
          <w:spacing w:val="-3"/>
          <w:sz w:val="18"/>
          <w:szCs w:val="18"/>
        </w:rPr>
        <w:t>3600</w:t>
      </w:r>
      <w:r>
        <w:rPr>
          <w:rFonts w:ascii="宋体" w:hAnsi="宋体" w:cs="宋体" w:eastAsia="宋体" w:hint="default"/>
          <w:spacing w:val="-3"/>
          <w:sz w:val="18"/>
          <w:szCs w:val="18"/>
        </w:rPr>
        <w:t>万元，于</w:t>
      </w:r>
      <w:r>
        <w:rPr>
          <w:rFonts w:ascii="Times New Roman" w:hAnsi="Times New Roman" w:cs="Times New Roman" w:eastAsia="Times New Roman" w:hint="default"/>
          <w:spacing w:val="-3"/>
          <w:sz w:val="18"/>
          <w:szCs w:val="18"/>
        </w:rPr>
        <w:t>2020</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28</w:t>
      </w:r>
      <w:r>
        <w:rPr>
          <w:rFonts w:ascii="宋体" w:hAnsi="宋体" w:cs="宋体" w:eastAsia="宋体" w:hint="default"/>
          <w:spacing w:val="-3"/>
          <w:sz w:val="18"/>
          <w:szCs w:val="18"/>
        </w:rPr>
        <w:t>日完成董事会改组纳</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入合并范围。</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bookmarkStart w:name="3、 对新型冠状病毒肺炎疫情的影响评估" w:id="365"/>
      <w:bookmarkEnd w:id="365"/>
      <w:r>
        <w:rPr>
          <w:b w:val="0"/>
          <w:bCs w:val="0"/>
        </w:rPr>
      </w:r>
      <w:r>
        <w:rPr>
          <w:rFonts w:ascii="Times New Roman" w:hAnsi="Times New Roman" w:cs="Times New Roman" w:eastAsia="Times New Roman" w:hint="default"/>
        </w:rPr>
        <w:t>3</w:t>
      </w:r>
      <w:r>
        <w:rPr/>
        <w:t>、</w:t>
      </w:r>
      <w:r>
        <w:rPr>
          <w:spacing w:val="1"/>
        </w:rPr>
        <w:t> </w:t>
      </w:r>
      <w:r>
        <w:rPr/>
        <w:t>对新型冠状病毒肺炎疫情的影响评估</w:t>
      </w:r>
      <w:r>
        <w:rPr>
          <w:b w:val="0"/>
          <w:bCs w:val="0"/>
        </w:rPr>
      </w:r>
    </w:p>
    <w:p>
      <w:pPr>
        <w:spacing w:line="240" w:lineRule="auto" w:before="9"/>
        <w:rPr>
          <w:rFonts w:ascii="宋体" w:hAnsi="宋体" w:cs="宋体" w:eastAsia="宋体" w:hint="default"/>
          <w:b/>
          <w:bCs/>
          <w:sz w:val="26"/>
          <w:szCs w:val="26"/>
        </w:rPr>
      </w:pPr>
    </w:p>
    <w:p>
      <w:pPr>
        <w:spacing w:line="300" w:lineRule="auto" w:before="0"/>
        <w:ind w:left="153" w:right="1122" w:firstLine="340"/>
        <w:jc w:val="both"/>
        <w:rPr>
          <w:rFonts w:ascii="宋体" w:hAnsi="宋体" w:cs="宋体" w:eastAsia="宋体" w:hint="default"/>
          <w:sz w:val="18"/>
          <w:szCs w:val="18"/>
        </w:rPr>
      </w:pPr>
      <w:r>
        <w:rPr>
          <w:rFonts w:ascii="宋体" w:hAnsi="宋体" w:cs="宋体" w:eastAsia="宋体" w:hint="default"/>
          <w:spacing w:val="-4"/>
          <w:sz w:val="18"/>
          <w:szCs w:val="18"/>
        </w:rPr>
        <w:t>自新型冠状病毒的传染疫情</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新冠疫情</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从</w:t>
      </w:r>
      <w:r>
        <w:rPr>
          <w:rFonts w:ascii="Times New Roman" w:hAnsi="Times New Roman" w:cs="Times New Roman" w:eastAsia="Times New Roman" w:hint="default"/>
          <w:spacing w:val="-4"/>
          <w:sz w:val="18"/>
          <w:szCs w:val="18"/>
        </w:rPr>
        <w:t>2020</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月起在全国爆发以来，本集团积极响应并严格执行党和国家各级政府</w:t>
      </w:r>
      <w:r>
        <w:rPr>
          <w:rFonts w:ascii="宋体" w:hAnsi="宋体" w:cs="宋体" w:eastAsia="宋体" w:hint="default"/>
          <w:w w:val="101"/>
          <w:sz w:val="18"/>
          <w:szCs w:val="18"/>
        </w:rPr>
        <w:t> </w:t>
      </w:r>
      <w:r>
        <w:rPr>
          <w:rFonts w:ascii="宋体" w:hAnsi="宋体" w:cs="宋体" w:eastAsia="宋体" w:hint="default"/>
          <w:spacing w:val="-3"/>
          <w:sz w:val="18"/>
          <w:szCs w:val="18"/>
        </w:rPr>
        <w:t>对病毒疫情防控的各项规定和要求，本集团自</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17</w:t>
      </w:r>
      <w:r>
        <w:rPr>
          <w:rFonts w:ascii="宋体" w:hAnsi="宋体" w:cs="宋体" w:eastAsia="宋体" w:hint="default"/>
          <w:spacing w:val="-3"/>
          <w:sz w:val="18"/>
          <w:szCs w:val="18"/>
        </w:rPr>
        <w:t>日起陆续开始复工，从供应保障、品牌渠道、社会责任、内部管理等方</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面多管齐下支持国家战疫。</w:t>
      </w:r>
    </w:p>
    <w:p>
      <w:pPr>
        <w:spacing w:line="319" w:lineRule="auto" w:before="151"/>
        <w:ind w:left="153" w:right="1047" w:firstLine="360"/>
        <w:jc w:val="both"/>
        <w:rPr>
          <w:rFonts w:ascii="宋体" w:hAnsi="宋体" w:cs="宋体" w:eastAsia="宋体" w:hint="default"/>
          <w:sz w:val="18"/>
          <w:szCs w:val="18"/>
        </w:rPr>
      </w:pPr>
      <w:r>
        <w:rPr>
          <w:rFonts w:ascii="宋体" w:hAnsi="宋体" w:cs="宋体" w:eastAsia="宋体" w:hint="default"/>
          <w:spacing w:val="-3"/>
          <w:sz w:val="18"/>
          <w:szCs w:val="18"/>
        </w:rPr>
        <w:t>本集团预计此次新冠疫情及防控措施将对本集团的经营造成一定的暂时性影响，影响程度取决于疫情防控的进展情况、</w:t>
      </w:r>
      <w:r>
        <w:rPr>
          <w:rFonts w:ascii="宋体" w:hAnsi="宋体" w:cs="宋体" w:eastAsia="宋体" w:hint="default"/>
          <w:w w:val="101"/>
          <w:sz w:val="18"/>
          <w:szCs w:val="18"/>
        </w:rPr>
        <w:t> </w:t>
      </w:r>
      <w:r>
        <w:rPr>
          <w:rFonts w:ascii="宋体" w:hAnsi="宋体" w:cs="宋体" w:eastAsia="宋体" w:hint="default"/>
          <w:spacing w:val="-3"/>
          <w:sz w:val="18"/>
          <w:szCs w:val="18"/>
        </w:rPr>
        <w:t>持续时间以及各地防控政策的实施情况。</w:t>
      </w:r>
    </w:p>
    <w:p>
      <w:pPr>
        <w:spacing w:line="316" w:lineRule="auto" w:before="137"/>
        <w:ind w:left="153" w:right="1124" w:firstLine="360"/>
        <w:jc w:val="both"/>
        <w:rPr>
          <w:rFonts w:ascii="宋体" w:hAnsi="宋体" w:cs="宋体" w:eastAsia="宋体" w:hint="default"/>
          <w:sz w:val="18"/>
          <w:szCs w:val="18"/>
        </w:rPr>
      </w:pPr>
      <w:r>
        <w:rPr>
          <w:rFonts w:ascii="宋体" w:hAnsi="宋体" w:cs="宋体" w:eastAsia="宋体" w:hint="default"/>
          <w:spacing w:val="-4"/>
          <w:sz w:val="18"/>
          <w:szCs w:val="18"/>
        </w:rPr>
        <w:t>本集团将持续密切关注新冠疫情的发展情况，并评估和积极应对其对本集团财务状况、经营成果等方面的影响。截止至</w:t>
      </w:r>
      <w:r>
        <w:rPr>
          <w:rFonts w:ascii="宋体" w:hAnsi="宋体" w:cs="宋体" w:eastAsia="宋体" w:hint="default"/>
          <w:w w:val="101"/>
          <w:sz w:val="18"/>
          <w:szCs w:val="18"/>
        </w:rPr>
        <w:t> </w:t>
      </w:r>
      <w:r>
        <w:rPr>
          <w:rFonts w:ascii="宋体" w:hAnsi="宋体" w:cs="宋体" w:eastAsia="宋体" w:hint="default"/>
          <w:spacing w:val="-3"/>
          <w:sz w:val="18"/>
          <w:szCs w:val="18"/>
        </w:rPr>
        <w:t>本报告报出日，尚未发现重大不利影响。</w:t>
      </w:r>
    </w:p>
    <w:p>
      <w:pPr>
        <w:spacing w:line="240" w:lineRule="auto" w:before="8"/>
        <w:rPr>
          <w:rFonts w:ascii="宋体" w:hAnsi="宋体" w:cs="宋体" w:eastAsia="宋体" w:hint="default"/>
          <w:sz w:val="22"/>
          <w:szCs w:val="22"/>
        </w:rPr>
      </w:pPr>
    </w:p>
    <w:p>
      <w:pPr>
        <w:pStyle w:val="Heading4"/>
        <w:spacing w:line="240" w:lineRule="auto"/>
        <w:ind w:right="0"/>
        <w:jc w:val="left"/>
        <w:rPr>
          <w:b w:val="0"/>
          <w:bCs w:val="0"/>
        </w:rPr>
      </w:pPr>
      <w:bookmarkStart w:name="4、 其他" w:id="366"/>
      <w:bookmarkEnd w:id="366"/>
      <w:r>
        <w:rPr>
          <w:b w:val="0"/>
          <w:bCs w:val="0"/>
        </w:rPr>
      </w:r>
      <w:r>
        <w:rPr>
          <w:rFonts w:ascii="Times New Roman" w:hAnsi="Times New Roman" w:cs="Times New Roman" w:eastAsia="Times New Roman" w:hint="default"/>
        </w:rPr>
        <w:t>4</w:t>
      </w:r>
      <w:r>
        <w:rPr/>
        <w:t>、 其他</w:t>
      </w:r>
      <w:r>
        <w:rPr>
          <w:b w:val="0"/>
          <w:bCs w:val="0"/>
        </w:rPr>
      </w:r>
    </w:p>
    <w:p>
      <w:pPr>
        <w:spacing w:line="240" w:lineRule="auto" w:before="5"/>
        <w:rPr>
          <w:rFonts w:ascii="宋体" w:hAnsi="宋体" w:cs="宋体" w:eastAsia="宋体" w:hint="default"/>
          <w:b/>
          <w:bCs/>
          <w:sz w:val="26"/>
          <w:szCs w:val="26"/>
        </w:rPr>
      </w:pPr>
    </w:p>
    <w:p>
      <w:pPr>
        <w:spacing w:line="316" w:lineRule="auto" w:before="0"/>
        <w:ind w:left="153" w:right="0" w:firstLine="345"/>
        <w:jc w:val="left"/>
        <w:rPr>
          <w:rFonts w:ascii="宋体" w:hAnsi="宋体" w:cs="宋体" w:eastAsia="宋体" w:hint="default"/>
          <w:sz w:val="18"/>
          <w:szCs w:val="18"/>
        </w:rPr>
      </w:pPr>
      <w:r>
        <w:rPr>
          <w:rFonts w:ascii="宋体" w:hAnsi="宋体" w:cs="宋体" w:eastAsia="宋体" w:hint="default"/>
          <w:spacing w:val="-2"/>
          <w:sz w:val="18"/>
          <w:szCs w:val="18"/>
        </w:rPr>
        <w:t>2019</w:t>
      </w:r>
      <w:r>
        <w:rPr>
          <w:rFonts w:ascii="宋体" w:hAnsi="宋体" w:cs="宋体" w:eastAsia="宋体" w:hint="default"/>
          <w:spacing w:val="-2"/>
          <w:sz w:val="18"/>
          <w:szCs w:val="18"/>
        </w:rPr>
        <w:t>年</w:t>
      </w:r>
      <w:r>
        <w:rPr>
          <w:rFonts w:ascii="宋体" w:hAnsi="宋体" w:cs="宋体" w:eastAsia="宋体" w:hint="default"/>
          <w:spacing w:val="-2"/>
          <w:sz w:val="18"/>
          <w:szCs w:val="18"/>
        </w:rPr>
        <w:t>12</w:t>
      </w:r>
      <w:r>
        <w:rPr>
          <w:rFonts w:ascii="宋体" w:hAnsi="宋体" w:cs="宋体" w:eastAsia="宋体" w:hint="default"/>
          <w:spacing w:val="-2"/>
          <w:sz w:val="18"/>
          <w:szCs w:val="18"/>
        </w:rPr>
        <w:t>月</w:t>
      </w:r>
      <w:r>
        <w:rPr>
          <w:rFonts w:ascii="宋体" w:hAnsi="宋体" w:cs="宋体" w:eastAsia="宋体" w:hint="default"/>
          <w:spacing w:val="-2"/>
          <w:sz w:val="18"/>
          <w:szCs w:val="18"/>
        </w:rPr>
        <w:t>10</w:t>
      </w:r>
      <w:r>
        <w:rPr>
          <w:rFonts w:ascii="宋体" w:hAnsi="宋体" w:cs="宋体" w:eastAsia="宋体" w:hint="default"/>
          <w:spacing w:val="-2"/>
          <w:sz w:val="18"/>
          <w:szCs w:val="18"/>
        </w:rPr>
        <w:t>日国家网信办信息办公室指导有关地方网信办约谈本公司负责人，指出本公司网站</w:t>
      </w:r>
      <w:r>
        <w:rPr>
          <w:rFonts w:ascii="宋体" w:hAnsi="宋体" w:cs="宋体" w:eastAsia="宋体" w:hint="default"/>
          <w:spacing w:val="-2"/>
          <w:sz w:val="18"/>
          <w:szCs w:val="18"/>
        </w:rPr>
        <w:t>(www.vcg.com)</w:t>
      </w:r>
      <w:r>
        <w:rPr>
          <w:rFonts w:ascii="宋体" w:hAnsi="宋体" w:cs="宋体" w:eastAsia="宋体" w:hint="default"/>
          <w:spacing w:val="-2"/>
          <w:sz w:val="18"/>
          <w:szCs w:val="18"/>
        </w:rPr>
        <w:t>违反国</w:t>
      </w:r>
      <w:r>
        <w:rPr>
          <w:rFonts w:ascii="宋体" w:hAnsi="宋体" w:cs="宋体" w:eastAsia="宋体" w:hint="default"/>
          <w:w w:val="101"/>
          <w:sz w:val="18"/>
          <w:szCs w:val="18"/>
        </w:rPr>
        <w:t> </w:t>
      </w:r>
      <w:r>
        <w:rPr>
          <w:rFonts w:ascii="宋体" w:hAnsi="宋体" w:cs="宋体" w:eastAsia="宋体" w:hint="default"/>
          <w:spacing w:val="-6"/>
          <w:w w:val="101"/>
          <w:sz w:val="18"/>
          <w:szCs w:val="18"/>
        </w:rPr>
        <w:t>家互联网有关法律法规和管理要求，要求本公司进行全面彻底整改。本公司自</w:t>
      </w:r>
      <w:r>
        <w:rPr>
          <w:rFonts w:ascii="宋体" w:hAnsi="宋体" w:cs="宋体" w:eastAsia="宋体" w:hint="default"/>
          <w:spacing w:val="-6"/>
          <w:w w:val="101"/>
          <w:sz w:val="18"/>
          <w:szCs w:val="18"/>
        </w:rPr>
        <w:t>2019</w:t>
      </w:r>
      <w:r>
        <w:rPr>
          <w:rFonts w:ascii="宋体" w:hAnsi="宋体" w:cs="宋体" w:eastAsia="宋体" w:hint="default"/>
          <w:spacing w:val="-6"/>
          <w:w w:val="101"/>
          <w:sz w:val="18"/>
          <w:szCs w:val="18"/>
        </w:rPr>
        <w:t>年</w:t>
      </w:r>
      <w:r>
        <w:rPr>
          <w:rFonts w:ascii="宋体" w:hAnsi="宋体" w:cs="宋体" w:eastAsia="宋体" w:hint="default"/>
          <w:spacing w:val="-6"/>
          <w:w w:val="101"/>
          <w:sz w:val="18"/>
          <w:szCs w:val="18"/>
        </w:rPr>
        <w:t>12</w:t>
      </w:r>
      <w:r>
        <w:rPr>
          <w:rFonts w:ascii="宋体" w:hAnsi="宋体" w:cs="宋体" w:eastAsia="宋体" w:hint="default"/>
          <w:spacing w:val="-6"/>
          <w:w w:val="101"/>
          <w:sz w:val="18"/>
          <w:szCs w:val="18"/>
        </w:rPr>
        <w:t>月</w:t>
      </w:r>
      <w:r>
        <w:rPr>
          <w:rFonts w:ascii="宋体" w:hAnsi="宋体" w:cs="宋体" w:eastAsia="宋体" w:hint="default"/>
          <w:spacing w:val="-6"/>
          <w:w w:val="101"/>
          <w:sz w:val="18"/>
          <w:szCs w:val="18"/>
        </w:rPr>
        <w:t>10</w:t>
      </w:r>
      <w:r>
        <w:rPr>
          <w:rFonts w:ascii="宋体" w:hAnsi="宋体" w:cs="宋体" w:eastAsia="宋体" w:hint="default"/>
          <w:spacing w:val="-6"/>
          <w:w w:val="101"/>
          <w:sz w:val="18"/>
          <w:szCs w:val="18"/>
        </w:rPr>
        <w:t>日起关闭公司网站开展自查整改，</w:t>
      </w:r>
      <w:r>
        <w:rPr>
          <w:rFonts w:ascii="宋体" w:hAnsi="宋体" w:cs="宋体" w:eastAsia="宋体" w:hint="default"/>
          <w:spacing w:val="-46"/>
          <w:w w:val="101"/>
          <w:sz w:val="18"/>
          <w:szCs w:val="18"/>
        </w:rPr>
        <w:t> </w:t>
      </w:r>
      <w:r>
        <w:rPr>
          <w:rFonts w:ascii="宋体" w:hAnsi="宋体" w:cs="宋体" w:eastAsia="宋体" w:hint="default"/>
          <w:spacing w:val="-46"/>
          <w:w w:val="101"/>
          <w:sz w:val="18"/>
          <w:szCs w:val="18"/>
        </w:rPr>
      </w:r>
      <w:r>
        <w:rPr>
          <w:rFonts w:ascii="宋体" w:hAnsi="宋体" w:cs="宋体" w:eastAsia="宋体" w:hint="default"/>
          <w:spacing w:val="-3"/>
          <w:sz w:val="18"/>
          <w:szCs w:val="18"/>
        </w:rPr>
        <w:t>整改期间网站暂停服务。</w:t>
      </w:r>
      <w:r>
        <w:rPr>
          <w:rFonts w:ascii="宋体" w:hAnsi="宋体" w:cs="宋体" w:eastAsia="宋体" w:hint="default"/>
          <w:spacing w:val="-3"/>
          <w:sz w:val="18"/>
          <w:szCs w:val="18"/>
        </w:rPr>
        <w:t>2020</w:t>
      </w:r>
      <w:r>
        <w:rPr>
          <w:rFonts w:ascii="宋体" w:hAnsi="宋体" w:cs="宋体" w:eastAsia="宋体" w:hint="default"/>
          <w:spacing w:val="-3"/>
          <w:sz w:val="18"/>
          <w:szCs w:val="18"/>
        </w:rPr>
        <w:t>年</w:t>
      </w:r>
      <w:r>
        <w:rPr>
          <w:rFonts w:ascii="宋体" w:hAnsi="宋体" w:cs="宋体" w:eastAsia="宋体" w:hint="default"/>
          <w:spacing w:val="-3"/>
          <w:sz w:val="18"/>
          <w:szCs w:val="18"/>
        </w:rPr>
        <w:t>2</w:t>
      </w:r>
      <w:r>
        <w:rPr>
          <w:rFonts w:ascii="宋体" w:hAnsi="宋体" w:cs="宋体" w:eastAsia="宋体" w:hint="default"/>
          <w:spacing w:val="-3"/>
          <w:sz w:val="18"/>
          <w:szCs w:val="18"/>
        </w:rPr>
        <w:t>月</w:t>
      </w:r>
      <w:r>
        <w:rPr>
          <w:rFonts w:ascii="宋体" w:hAnsi="宋体" w:cs="宋体" w:eastAsia="宋体" w:hint="default"/>
          <w:spacing w:val="-3"/>
          <w:sz w:val="18"/>
          <w:szCs w:val="18"/>
        </w:rPr>
        <w:t>4</w:t>
      </w:r>
      <w:r>
        <w:rPr>
          <w:rFonts w:ascii="宋体" w:hAnsi="宋体" w:cs="宋体" w:eastAsia="宋体" w:hint="default"/>
          <w:spacing w:val="-3"/>
          <w:sz w:val="18"/>
          <w:szCs w:val="18"/>
        </w:rPr>
        <w:t>日，本公司网站试运营，试运营期间本公司持续加强管理，巩固整改成果，自</w:t>
      </w:r>
      <w:r>
        <w:rPr>
          <w:rFonts w:ascii="宋体" w:hAnsi="宋体" w:cs="宋体" w:eastAsia="宋体" w:hint="default"/>
          <w:spacing w:val="-3"/>
          <w:sz w:val="18"/>
          <w:szCs w:val="18"/>
        </w:rPr>
        <w:t>2020</w:t>
      </w:r>
      <w:r>
        <w:rPr>
          <w:rFonts w:ascii="宋体" w:hAnsi="宋体" w:cs="宋体" w:eastAsia="宋体" w:hint="default"/>
          <w:spacing w:val="-3"/>
          <w:sz w:val="18"/>
          <w:szCs w:val="18"/>
        </w:rPr>
        <w:t>年</w:t>
      </w:r>
      <w:r>
        <w:rPr>
          <w:rFonts w:ascii="宋体" w:hAnsi="宋体" w:cs="宋体" w:eastAsia="宋体" w:hint="default"/>
          <w:spacing w:val="-3"/>
          <w:sz w:val="18"/>
          <w:szCs w:val="18"/>
        </w:rPr>
        <w:t>3</w:t>
      </w:r>
      <w:r>
        <w:rPr>
          <w:rFonts w:ascii="宋体" w:hAnsi="宋体" w:cs="宋体" w:eastAsia="宋体" w:hint="default"/>
          <w:spacing w:val="-2"/>
          <w:sz w:val="18"/>
          <w:szCs w:val="18"/>
        </w:rPr>
        <w:t> </w:t>
      </w:r>
      <w:r>
        <w:rPr>
          <w:rFonts w:ascii="宋体" w:hAnsi="宋体" w:cs="宋体" w:eastAsia="宋体" w:hint="default"/>
          <w:spacing w:val="-3"/>
          <w:sz w:val="18"/>
          <w:szCs w:val="18"/>
        </w:rPr>
        <w:t>月</w:t>
      </w:r>
      <w:r>
        <w:rPr>
          <w:rFonts w:ascii="宋体" w:hAnsi="宋体" w:cs="宋体" w:eastAsia="宋体" w:hint="default"/>
          <w:spacing w:val="-3"/>
          <w:sz w:val="18"/>
          <w:szCs w:val="18"/>
        </w:rPr>
        <w:t>20</w:t>
      </w:r>
      <w:r>
        <w:rPr>
          <w:rFonts w:ascii="宋体" w:hAnsi="宋体" w:cs="宋体" w:eastAsia="宋体" w:hint="default"/>
          <w:spacing w:val="-3"/>
          <w:sz w:val="18"/>
          <w:szCs w:val="18"/>
        </w:rPr>
        <w:t>日本公司网站已恢复正常运营。</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十五、其他重要事项" w:id="367"/>
      <w:bookmarkEnd w:id="367"/>
      <w:r>
        <w:rPr>
          <w:b w:val="0"/>
          <w:bCs w:val="0"/>
        </w:rPr>
      </w:r>
      <w:r>
        <w:rPr/>
        <w:t>十五、其他重要事项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前期会计差错更正" w:id="368"/>
      <w:bookmarkEnd w:id="368"/>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 前期差错更正" w:id="369"/>
      <w:bookmarkEnd w:id="369"/>
      <w:r>
        <w:rPr>
          <w:b w:val="0"/>
          <w:bCs w:val="0"/>
        </w:rPr>
      </w:r>
      <w:r>
        <w:rPr/>
        <w:t>（</w:t>
      </w:r>
      <w:r>
        <w:rPr>
          <w:rFonts w:ascii="Times New Roman" w:hAnsi="Times New Roman" w:cs="Times New Roman" w:eastAsia="Times New Roman" w:hint="default"/>
        </w:rPr>
        <w:t>1</w:t>
      </w:r>
      <w:r>
        <w:rPr/>
        <w:t>）</w:t>
      </w:r>
      <w:r>
        <w:rPr>
          <w:spacing w:val="1"/>
        </w:rPr>
        <w:t> </w:t>
      </w:r>
      <w:r>
        <w:rPr/>
        <w:t>前期差错更正</w:t>
      </w:r>
      <w:r>
        <w:rPr>
          <w:b w:val="0"/>
          <w:bCs w:val="0"/>
        </w:rPr>
      </w:r>
    </w:p>
    <w:p>
      <w:pPr>
        <w:spacing w:line="240" w:lineRule="auto" w:before="10"/>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本报告期，本集团未发生前期会计差错更正事项。</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2、终止经营" w:id="370"/>
      <w:bookmarkEnd w:id="370"/>
      <w:r>
        <w:rPr>
          <w:b w:val="0"/>
          <w:bCs w:val="0"/>
        </w:rPr>
      </w:r>
      <w:r>
        <w:rPr>
          <w:rFonts w:ascii="Times New Roman" w:hAnsi="Times New Roman" w:cs="Times New Roman" w:eastAsia="Times New Roman" w:hint="default"/>
        </w:rPr>
        <w:t>2</w:t>
      </w:r>
      <w:r>
        <w:rPr/>
        <w:t>、终止经营</w:t>
      </w:r>
      <w:r>
        <w:rPr>
          <w:b w:val="0"/>
          <w:bCs w:val="0"/>
        </w:rPr>
      </w:r>
    </w:p>
    <w:p>
      <w:pPr>
        <w:spacing w:line="240" w:lineRule="auto" w:before="9"/>
        <w:rPr>
          <w:rFonts w:ascii="宋体" w:hAnsi="宋体" w:cs="宋体" w:eastAsia="宋体" w:hint="default"/>
          <w:b/>
          <w:bCs/>
          <w:sz w:val="26"/>
          <w:szCs w:val="26"/>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1027"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99"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16"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0"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47" w:right="46"/>
              <w:jc w:val="center"/>
              <w:rPr>
                <w:rFonts w:ascii="宋体" w:hAnsi="宋体" w:cs="宋体" w:eastAsia="宋体" w:hint="default"/>
                <w:sz w:val="18"/>
                <w:szCs w:val="18"/>
              </w:rPr>
            </w:pPr>
            <w:r>
              <w:rPr>
                <w:rFonts w:ascii="宋体" w:hAnsi="宋体" w:cs="宋体" w:eastAsia="宋体" w:hint="default"/>
                <w:spacing w:val="-3"/>
                <w:sz w:val="18"/>
                <w:szCs w:val="18"/>
              </w:rPr>
              <w:t>归属于母公司所</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有者的终止经营</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利润</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上海卓越形象广</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告传播有限公司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231,237.73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2,078,020.45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31" w:right="0"/>
              <w:jc w:val="left"/>
              <w:rPr>
                <w:rFonts w:ascii="Times New Roman" w:hAnsi="Times New Roman" w:cs="Times New Roman" w:eastAsia="Times New Roman" w:hint="default"/>
                <w:sz w:val="18"/>
                <w:szCs w:val="18"/>
              </w:rPr>
            </w:pPr>
            <w:r>
              <w:rPr>
                <w:rFonts w:ascii="Times New Roman"/>
                <w:sz w:val="18"/>
              </w:rPr>
              <w:t>-3,074,297.27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152,864.40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31" w:right="0"/>
              <w:jc w:val="left"/>
              <w:rPr>
                <w:rFonts w:ascii="Times New Roman" w:hAnsi="Times New Roman" w:cs="Times New Roman" w:eastAsia="Times New Roman" w:hint="default"/>
                <w:sz w:val="18"/>
                <w:szCs w:val="18"/>
              </w:rPr>
            </w:pPr>
            <w:r>
              <w:rPr>
                <w:rFonts w:ascii="Times New Roman"/>
                <w:sz w:val="18"/>
              </w:rPr>
              <w:t>-3,227,161.67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31" w:right="0"/>
              <w:jc w:val="left"/>
              <w:rPr>
                <w:rFonts w:ascii="Times New Roman" w:hAnsi="Times New Roman" w:cs="Times New Roman" w:eastAsia="Times New Roman" w:hint="default"/>
                <w:sz w:val="18"/>
                <w:szCs w:val="18"/>
              </w:rPr>
            </w:pPr>
            <w:r>
              <w:rPr>
                <w:rFonts w:ascii="Times New Roman"/>
                <w:sz w:val="18"/>
              </w:rPr>
              <w:t>-1,645,852.45</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4"/>
        <w:spacing w:line="240" w:lineRule="auto" w:before="36"/>
        <w:ind w:right="0"/>
        <w:jc w:val="left"/>
        <w:rPr>
          <w:b w:val="0"/>
          <w:bCs w:val="0"/>
        </w:rPr>
      </w:pPr>
      <w:bookmarkStart w:name="3、分部信息" w:id="371"/>
      <w:bookmarkEnd w:id="371"/>
      <w:r>
        <w:rPr>
          <w:b w:val="0"/>
          <w:bCs w:val="0"/>
        </w:rPr>
      </w:r>
      <w:r>
        <w:rPr>
          <w:rFonts w:ascii="Times New Roman" w:hAnsi="Times New Roman" w:cs="Times New Roman" w:eastAsia="Times New Roman" w:hint="default"/>
        </w:rPr>
        <w:t>3</w:t>
      </w:r>
      <w:r>
        <w:rPr/>
        <w:t>、分部信息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报告分部的确定依据与会计政策" w:id="372"/>
      <w:bookmarkEnd w:id="372"/>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10"/>
        <w:rPr>
          <w:rFonts w:ascii="宋体" w:hAnsi="宋体" w:cs="宋体" w:eastAsia="宋体" w:hint="default"/>
          <w:b/>
          <w:bCs/>
          <w:sz w:val="26"/>
          <w:szCs w:val="26"/>
        </w:rPr>
      </w:pPr>
    </w:p>
    <w:p>
      <w:pPr>
        <w:spacing w:line="309" w:lineRule="auto" w:before="0"/>
        <w:ind w:left="153" w:right="1123" w:firstLine="441"/>
        <w:jc w:val="both"/>
        <w:rPr>
          <w:rFonts w:ascii="宋体" w:hAnsi="宋体" w:cs="宋体" w:eastAsia="宋体" w:hint="default"/>
          <w:sz w:val="18"/>
          <w:szCs w:val="18"/>
        </w:rPr>
      </w:pPr>
      <w:r>
        <w:rPr>
          <w:rFonts w:ascii="宋体" w:hAnsi="宋体" w:cs="宋体" w:eastAsia="宋体" w:hint="default"/>
          <w:spacing w:val="-3"/>
          <w:sz w:val="18"/>
          <w:szCs w:val="18"/>
        </w:rPr>
        <w:t>本集团以内部组织结构、管理要求、内部报告制度为依据确定经营分部，以经营分部为基础确定报告分部并披露分部</w:t>
      </w:r>
      <w:r>
        <w:rPr>
          <w:rFonts w:ascii="宋体" w:hAnsi="宋体" w:cs="宋体" w:eastAsia="宋体" w:hint="default"/>
          <w:w w:val="101"/>
          <w:sz w:val="18"/>
          <w:szCs w:val="18"/>
        </w:rPr>
        <w:t> </w:t>
      </w:r>
      <w:r>
        <w:rPr>
          <w:rFonts w:ascii="宋体" w:hAnsi="宋体" w:cs="宋体" w:eastAsia="宋体" w:hint="default"/>
          <w:spacing w:val="-3"/>
          <w:sz w:val="18"/>
          <w:szCs w:val="18"/>
        </w:rPr>
        <w:t>信息。经营分部是指视觉中国内同时满足下列条件的组成部分：</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该组成部分能够在日常活动中产生收入、发生费用；</w:t>
      </w:r>
      <w:r>
        <w:rPr>
          <w:rFonts w:ascii="Times New Roman" w:hAnsi="Times New Roman" w:cs="Times New Roman" w:eastAsia="Times New Roman" w:hint="default"/>
          <w:spacing w:val="-3"/>
          <w:sz w:val="18"/>
          <w:szCs w:val="18"/>
        </w:rPr>
        <w:t>(2)</w:t>
      </w:r>
      <w:r>
        <w:rPr>
          <w:rFonts w:ascii="Times New Roman" w:hAnsi="Times New Roman" w:cs="Times New Roman" w:eastAsia="Times New Roman" w:hint="default"/>
          <w:spacing w:val="33"/>
          <w:sz w:val="18"/>
          <w:szCs w:val="18"/>
        </w:rPr>
        <w:t> </w:t>
      </w:r>
      <w:r>
        <w:rPr>
          <w:rFonts w:ascii="Times New Roman" w:hAnsi="Times New Roman" w:cs="Times New Roman" w:eastAsia="Times New Roman" w:hint="default"/>
          <w:spacing w:val="33"/>
          <w:sz w:val="18"/>
          <w:szCs w:val="18"/>
        </w:rPr>
      </w:r>
      <w:r>
        <w:rPr>
          <w:rFonts w:ascii="宋体" w:hAnsi="宋体" w:cs="宋体" w:eastAsia="宋体" w:hint="default"/>
          <w:spacing w:val="-3"/>
          <w:sz w:val="18"/>
          <w:szCs w:val="18"/>
        </w:rPr>
        <w:t>本集团管理层能够定期评价该组成部分的经营成果，以决定向其配置资源、评价其业绩；</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本集团能够取得该组成部分的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4"/>
          <w:sz w:val="18"/>
          <w:szCs w:val="18"/>
        </w:rPr>
        <w:t>财务状况、经营成果和现金流量等有关会计信息。两个或多个经营分部具有相似的经济特征，并且满足一定条件的，则可合</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并为一个经营分部。</w:t>
      </w:r>
    </w:p>
    <w:p>
      <w:pPr>
        <w:spacing w:line="316" w:lineRule="auto" w:before="144"/>
        <w:ind w:left="153" w:right="1124" w:firstLine="441"/>
        <w:jc w:val="both"/>
        <w:rPr>
          <w:rFonts w:ascii="宋体" w:hAnsi="宋体" w:cs="宋体" w:eastAsia="宋体" w:hint="default"/>
          <w:sz w:val="18"/>
          <w:szCs w:val="18"/>
        </w:rPr>
      </w:pPr>
      <w:r>
        <w:rPr>
          <w:rFonts w:ascii="宋体" w:hAnsi="宋体" w:cs="宋体" w:eastAsia="宋体" w:hint="default"/>
          <w:spacing w:val="-3"/>
          <w:sz w:val="18"/>
          <w:szCs w:val="18"/>
        </w:rPr>
        <w:t>本集团考虑重要性原则，以经营分部为基础，确定报告分部。视觉中国的报告分部是提供不同产品或服务、或在不同</w:t>
      </w:r>
      <w:r>
        <w:rPr>
          <w:rFonts w:ascii="宋体" w:hAnsi="宋体" w:cs="宋体" w:eastAsia="宋体" w:hint="default"/>
          <w:w w:val="101"/>
          <w:sz w:val="18"/>
          <w:szCs w:val="18"/>
        </w:rPr>
        <w:t> </w:t>
      </w:r>
      <w:r>
        <w:rPr>
          <w:rFonts w:ascii="宋体" w:hAnsi="宋体" w:cs="宋体" w:eastAsia="宋体" w:hint="default"/>
          <w:spacing w:val="-4"/>
          <w:sz w:val="18"/>
          <w:szCs w:val="18"/>
        </w:rPr>
        <w:t>地区经营的业务单元。由于各种业务或地区需要不同的技术和市场战略，因此，视觉中国分别独立管理各个报告分部的生产</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经营活动，分别评价其经营成果，以决定向其配置资源并评价其业绩。</w:t>
      </w:r>
    </w:p>
    <w:p>
      <w:pPr>
        <w:spacing w:line="415" w:lineRule="auto" w:before="139"/>
        <w:ind w:left="594" w:right="0" w:firstLine="0"/>
        <w:jc w:val="left"/>
        <w:rPr>
          <w:rFonts w:ascii="宋体" w:hAnsi="宋体" w:cs="宋体" w:eastAsia="宋体" w:hint="default"/>
          <w:sz w:val="18"/>
          <w:szCs w:val="18"/>
        </w:rPr>
      </w:pPr>
      <w:r>
        <w:rPr>
          <w:rFonts w:ascii="宋体" w:hAnsi="宋体" w:cs="宋体" w:eastAsia="宋体" w:hint="default"/>
          <w:sz w:val="18"/>
          <w:szCs w:val="18"/>
        </w:rPr>
        <w:t>本集团有</w:t>
      </w:r>
      <w:r>
        <w:rPr>
          <w:rFonts w:ascii="Times New Roman" w:hAnsi="Times New Roman" w:cs="Times New Roman" w:eastAsia="Times New Roman" w:hint="default"/>
          <w:sz w:val="18"/>
          <w:szCs w:val="18"/>
        </w:rPr>
        <w:t>2</w:t>
      </w:r>
      <w:r>
        <w:rPr>
          <w:rFonts w:ascii="宋体" w:hAnsi="宋体" w:cs="宋体" w:eastAsia="宋体" w:hint="default"/>
          <w:sz w:val="18"/>
          <w:szCs w:val="18"/>
        </w:rPr>
        <w:t>个报告分部，分别为：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互联网传媒：主要经营图片</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含版权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及广告创意策划业务。主要涉及公司：华夏视觉、汉华易美、</w:t>
      </w:r>
      <w:r>
        <w:rPr>
          <w:rFonts w:ascii="Times New Roman" w:hAnsi="Times New Roman" w:cs="Times New Roman" w:eastAsia="Times New Roman" w:hint="default"/>
          <w:spacing w:val="-3"/>
          <w:sz w:val="18"/>
          <w:szCs w:val="18"/>
        </w:rPr>
        <w:t>500px</w:t>
      </w:r>
      <w:r>
        <w:rPr>
          <w:rFonts w:ascii="宋体" w:hAnsi="宋体" w:cs="宋体" w:eastAsia="宋体" w:hint="default"/>
          <w:spacing w:val="-3"/>
          <w:sz w:val="18"/>
          <w:szCs w:val="18"/>
        </w:rPr>
        <w:t>。</w:t>
      </w:r>
      <w:r>
        <w:rPr>
          <w:rFonts w:ascii="宋体" w:hAnsi="宋体" w:cs="宋体" w:eastAsia="宋体" w:hint="default"/>
          <w:spacing w:val="58"/>
          <w:sz w:val="18"/>
          <w:szCs w:val="18"/>
        </w:rPr>
        <w:t> </w:t>
      </w:r>
      <w:r>
        <w:rPr>
          <w:rFonts w:ascii="宋体" w:hAnsi="宋体" w:cs="宋体" w:eastAsia="宋体" w:hint="default"/>
          <w:spacing w:val="-3"/>
          <w:sz w:val="18"/>
          <w:szCs w:val="18"/>
        </w:rPr>
        <w:t>其他</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除互联网传媒外的业务。主要涉及公司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江苏视觉、本公司。</w:t>
      </w: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bookmarkStart w:name="（2） 报告分部的财务信息" w:id="373"/>
      <w:bookmarkEnd w:id="373"/>
      <w:r>
        <w:rPr>
          <w:b w:val="0"/>
          <w:bCs w:val="0"/>
        </w:rPr>
      </w:r>
      <w:r>
        <w:rPr/>
        <w:t>（</w:t>
      </w:r>
      <w:r>
        <w:rPr>
          <w:rFonts w:ascii="Times New Roman" w:hAnsi="Times New Roman" w:cs="Times New Roman" w:eastAsia="Times New Roman" w:hint="default"/>
        </w:rPr>
        <w:t>2</w:t>
      </w:r>
      <w:r>
        <w:rPr/>
        <w:t>）</w:t>
      </w:r>
      <w:r>
        <w:rPr>
          <w:spacing w:val="2"/>
        </w:rPr>
        <w:t> </w:t>
      </w:r>
      <w:r>
        <w:rPr/>
        <w:t>报告分部的财务信息</w:t>
      </w:r>
      <w:r>
        <w:rPr>
          <w:b w:val="0"/>
          <w:bCs w:val="0"/>
        </w:rPr>
      </w:r>
    </w:p>
    <w:p>
      <w:pPr>
        <w:spacing w:line="240" w:lineRule="auto" w:before="7"/>
        <w:rPr>
          <w:rFonts w:ascii="宋体" w:hAnsi="宋体" w:cs="宋体" w:eastAsia="宋体" w:hint="default"/>
          <w:b/>
          <w:bCs/>
          <w:sz w:val="25"/>
          <w:szCs w:val="25"/>
        </w:rPr>
      </w:pPr>
    </w:p>
    <w:tbl>
      <w:tblPr>
        <w:tblW w:w="0" w:type="auto"/>
        <w:jc w:val="left"/>
        <w:tblInd w:w="143" w:type="dxa"/>
        <w:tblLayout w:type="fixed"/>
        <w:tblCellMar>
          <w:top w:w="0" w:type="dxa"/>
          <w:left w:w="0" w:type="dxa"/>
          <w:bottom w:w="0" w:type="dxa"/>
          <w:right w:w="0" w:type="dxa"/>
        </w:tblCellMar>
        <w:tblLook w:val="01E0"/>
      </w:tblPr>
      <w:tblGrid>
        <w:gridCol w:w="1815"/>
        <w:gridCol w:w="1825"/>
        <w:gridCol w:w="1820"/>
        <w:gridCol w:w="1820"/>
        <w:gridCol w:w="1827"/>
      </w:tblGrid>
      <w:tr>
        <w:trPr>
          <w:trHeight w:val="353" w:hRule="exact"/>
        </w:trPr>
        <w:tc>
          <w:tcPr>
            <w:tcW w:w="1815" w:type="dxa"/>
            <w:vMerge w:val="restart"/>
            <w:tcBorders>
              <w:top w:val="single" w:sz="6" w:space="0" w:color="000000"/>
              <w:left w:val="single" w:sz="6" w:space="0" w:color="000000"/>
              <w:right w:val="single" w:sz="6" w:space="0" w:color="000000"/>
            </w:tcBorders>
          </w:tcPr>
          <w:p>
            <w:pPr>
              <w:pStyle w:val="TableParagraph"/>
              <w:spacing w:line="240" w:lineRule="auto" w:before="2"/>
              <w:ind w:left="499" w:right="0"/>
              <w:jc w:val="left"/>
              <w:rPr>
                <w:rFonts w:ascii="宋体" w:hAnsi="宋体" w:cs="宋体" w:eastAsia="宋体" w:hint="default"/>
                <w:sz w:val="20"/>
                <w:szCs w:val="20"/>
              </w:rPr>
            </w:pPr>
            <w:r>
              <w:rPr>
                <w:rFonts w:ascii="宋体" w:hAnsi="宋体" w:cs="宋体" w:eastAsia="宋体" w:hint="default"/>
                <w:sz w:val="20"/>
                <w:szCs w:val="20"/>
              </w:rPr>
              <w:t>分部名称</w:t>
            </w:r>
          </w:p>
        </w:tc>
        <w:tc>
          <w:tcPr>
            <w:tcW w:w="7292" w:type="dxa"/>
            <w:gridSpan w:val="4"/>
            <w:tcBorders>
              <w:top w:val="single" w:sz="6" w:space="0" w:color="000000"/>
              <w:left w:val="single" w:sz="6" w:space="0" w:color="000000"/>
              <w:bottom w:val="single" w:sz="12" w:space="0" w:color="000000"/>
              <w:right w:val="nil" w:sz="6" w:space="0" w:color="auto"/>
            </w:tcBorders>
          </w:tcPr>
          <w:p>
            <w:pPr>
              <w:pStyle w:val="TableParagraph"/>
              <w:spacing w:line="240" w:lineRule="auto" w:before="2"/>
              <w:ind w:left="4" w:right="0"/>
              <w:jc w:val="center"/>
              <w:rPr>
                <w:rFonts w:ascii="宋体" w:hAnsi="宋体" w:cs="宋体" w:eastAsia="宋体" w:hint="default"/>
                <w:sz w:val="20"/>
                <w:szCs w:val="20"/>
              </w:rPr>
            </w:pPr>
            <w:r>
              <w:rPr>
                <w:rFonts w:ascii="宋体" w:hAnsi="宋体" w:cs="宋体" w:eastAsia="宋体" w:hint="default"/>
                <w:sz w:val="20"/>
                <w:szCs w:val="20"/>
              </w:rPr>
              <w:t>期末余额</w:t>
            </w:r>
            <w:r>
              <w:rPr>
                <w:rFonts w:ascii="Times New Roman" w:hAnsi="Times New Roman" w:cs="Times New Roman" w:eastAsia="Times New Roman" w:hint="default"/>
                <w:sz w:val="20"/>
                <w:szCs w:val="20"/>
              </w:rPr>
              <w:t>/</w:t>
            </w:r>
            <w:r>
              <w:rPr>
                <w:rFonts w:ascii="宋体" w:hAnsi="宋体" w:cs="宋体" w:eastAsia="宋体" w:hint="default"/>
                <w:sz w:val="20"/>
                <w:szCs w:val="20"/>
              </w:rPr>
              <w:t>本年发生额</w:t>
            </w:r>
          </w:p>
        </w:tc>
      </w:tr>
      <w:tr>
        <w:trPr>
          <w:trHeight w:val="350" w:hRule="exact"/>
        </w:trPr>
        <w:tc>
          <w:tcPr>
            <w:tcW w:w="1815" w:type="dxa"/>
            <w:vMerge/>
            <w:tcBorders>
              <w:left w:val="single" w:sz="6" w:space="0" w:color="000000"/>
              <w:bottom w:val="single" w:sz="12" w:space="0" w:color="000000"/>
              <w:right w:val="single" w:sz="6" w:space="0" w:color="000000"/>
            </w:tcBorders>
          </w:tcPr>
          <w:p>
            <w:pPr/>
          </w:p>
        </w:tc>
        <w:tc>
          <w:tcPr>
            <w:tcW w:w="1825" w:type="dxa"/>
            <w:tcBorders>
              <w:top w:val="single" w:sz="12" w:space="0" w:color="000000"/>
              <w:left w:val="single" w:sz="6" w:space="0" w:color="000000"/>
              <w:bottom w:val="single" w:sz="12" w:space="0" w:color="000000"/>
              <w:right w:val="single" w:sz="6" w:space="0" w:color="000000"/>
            </w:tcBorders>
          </w:tcPr>
          <w:p>
            <w:pPr>
              <w:pStyle w:val="TableParagraph"/>
              <w:spacing w:line="254" w:lineRule="exact"/>
              <w:ind w:left="509" w:right="0"/>
              <w:jc w:val="left"/>
              <w:rPr>
                <w:rFonts w:ascii="宋体" w:hAnsi="宋体" w:cs="宋体" w:eastAsia="宋体" w:hint="default"/>
                <w:sz w:val="20"/>
                <w:szCs w:val="20"/>
              </w:rPr>
            </w:pPr>
            <w:r>
              <w:rPr>
                <w:rFonts w:ascii="宋体" w:hAnsi="宋体" w:cs="宋体" w:eastAsia="宋体" w:hint="default"/>
                <w:sz w:val="20"/>
                <w:szCs w:val="20"/>
              </w:rPr>
              <w:t>资产总额</w:t>
            </w:r>
          </w:p>
        </w:tc>
        <w:tc>
          <w:tcPr>
            <w:tcW w:w="1820" w:type="dxa"/>
            <w:tcBorders>
              <w:top w:val="single" w:sz="12" w:space="0" w:color="000000"/>
              <w:left w:val="single" w:sz="6" w:space="0" w:color="000000"/>
              <w:bottom w:val="single" w:sz="12" w:space="0" w:color="000000"/>
              <w:right w:val="single" w:sz="6" w:space="0" w:color="000000"/>
            </w:tcBorders>
          </w:tcPr>
          <w:p>
            <w:pPr>
              <w:pStyle w:val="TableParagraph"/>
              <w:spacing w:line="254" w:lineRule="exact"/>
              <w:ind w:left="503" w:right="0"/>
              <w:jc w:val="left"/>
              <w:rPr>
                <w:rFonts w:ascii="宋体" w:hAnsi="宋体" w:cs="宋体" w:eastAsia="宋体" w:hint="default"/>
                <w:sz w:val="20"/>
                <w:szCs w:val="20"/>
              </w:rPr>
            </w:pPr>
            <w:r>
              <w:rPr>
                <w:rFonts w:ascii="宋体" w:hAnsi="宋体" w:cs="宋体" w:eastAsia="宋体" w:hint="default"/>
                <w:sz w:val="20"/>
                <w:szCs w:val="20"/>
              </w:rPr>
              <w:t>负债总额</w:t>
            </w:r>
          </w:p>
        </w:tc>
        <w:tc>
          <w:tcPr>
            <w:tcW w:w="1820" w:type="dxa"/>
            <w:tcBorders>
              <w:top w:val="single" w:sz="12" w:space="0" w:color="000000"/>
              <w:left w:val="single" w:sz="6" w:space="0" w:color="000000"/>
              <w:bottom w:val="single" w:sz="12" w:space="0" w:color="000000"/>
              <w:right w:val="single" w:sz="6" w:space="0" w:color="000000"/>
            </w:tcBorders>
          </w:tcPr>
          <w:p>
            <w:pPr>
              <w:pStyle w:val="TableParagraph"/>
              <w:spacing w:line="254" w:lineRule="exact"/>
              <w:ind w:left="302" w:right="0"/>
              <w:jc w:val="left"/>
              <w:rPr>
                <w:rFonts w:ascii="宋体" w:hAnsi="宋体" w:cs="宋体" w:eastAsia="宋体" w:hint="default"/>
                <w:sz w:val="20"/>
                <w:szCs w:val="20"/>
              </w:rPr>
            </w:pPr>
            <w:r>
              <w:rPr>
                <w:rFonts w:ascii="宋体" w:hAnsi="宋体" w:cs="宋体" w:eastAsia="宋体" w:hint="default"/>
                <w:sz w:val="20"/>
                <w:szCs w:val="20"/>
              </w:rPr>
              <w:t>主营业务收入</w:t>
            </w:r>
          </w:p>
        </w:tc>
        <w:tc>
          <w:tcPr>
            <w:tcW w:w="1827" w:type="dxa"/>
            <w:tcBorders>
              <w:top w:val="single" w:sz="12" w:space="0" w:color="000000"/>
              <w:left w:val="single" w:sz="6" w:space="0" w:color="000000"/>
              <w:bottom w:val="single" w:sz="12" w:space="0" w:color="000000"/>
              <w:right w:val="nil" w:sz="6" w:space="0" w:color="auto"/>
            </w:tcBorders>
          </w:tcPr>
          <w:p>
            <w:pPr>
              <w:pStyle w:val="TableParagraph"/>
              <w:spacing w:line="254" w:lineRule="exact"/>
              <w:ind w:left="307" w:right="0"/>
              <w:jc w:val="left"/>
              <w:rPr>
                <w:rFonts w:ascii="宋体" w:hAnsi="宋体" w:cs="宋体" w:eastAsia="宋体" w:hint="default"/>
                <w:sz w:val="20"/>
                <w:szCs w:val="20"/>
              </w:rPr>
            </w:pPr>
            <w:r>
              <w:rPr>
                <w:rFonts w:ascii="宋体" w:hAnsi="宋体" w:cs="宋体" w:eastAsia="宋体" w:hint="default"/>
                <w:sz w:val="20"/>
                <w:szCs w:val="20"/>
              </w:rPr>
              <w:t>主营业务成本</w:t>
            </w:r>
          </w:p>
        </w:tc>
      </w:tr>
      <w:tr>
        <w:trPr>
          <w:trHeight w:val="355" w:hRule="exact"/>
        </w:trPr>
        <w:tc>
          <w:tcPr>
            <w:tcW w:w="18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互联网传媒</w:t>
            </w:r>
          </w:p>
        </w:tc>
        <w:tc>
          <w:tcPr>
            <w:tcW w:w="18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left="552" w:right="0"/>
              <w:jc w:val="left"/>
              <w:rPr>
                <w:rFonts w:ascii="Times New Roman" w:hAnsi="Times New Roman" w:cs="Times New Roman" w:eastAsia="Times New Roman" w:hint="default"/>
                <w:sz w:val="18"/>
                <w:szCs w:val="18"/>
              </w:rPr>
            </w:pPr>
            <w:r>
              <w:rPr>
                <w:rFonts w:ascii="Times New Roman"/>
                <w:spacing w:val="-2"/>
                <w:sz w:val="18"/>
              </w:rPr>
              <w:t>2,737,057,734.79</w:t>
            </w:r>
          </w:p>
        </w:tc>
        <w:tc>
          <w:tcPr>
            <w:tcW w:w="18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left="547" w:right="0"/>
              <w:jc w:val="left"/>
              <w:rPr>
                <w:rFonts w:ascii="Times New Roman" w:hAnsi="Times New Roman" w:cs="Times New Roman" w:eastAsia="Times New Roman" w:hint="default"/>
                <w:sz w:val="18"/>
                <w:szCs w:val="18"/>
              </w:rPr>
            </w:pPr>
            <w:r>
              <w:rPr>
                <w:rFonts w:ascii="Times New Roman"/>
                <w:spacing w:val="-2"/>
                <w:sz w:val="18"/>
              </w:rPr>
              <w:t>1,692,658,419.64</w:t>
            </w:r>
          </w:p>
        </w:tc>
        <w:tc>
          <w:tcPr>
            <w:tcW w:w="18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5"/>
              <w:jc w:val="right"/>
              <w:rPr>
                <w:rFonts w:ascii="Times New Roman" w:hAnsi="Times New Roman" w:cs="Times New Roman" w:eastAsia="Times New Roman" w:hint="default"/>
                <w:sz w:val="18"/>
                <w:szCs w:val="18"/>
              </w:rPr>
            </w:pPr>
            <w:r>
              <w:rPr>
                <w:rFonts w:ascii="Times New Roman"/>
                <w:spacing w:val="-2"/>
                <w:sz w:val="18"/>
              </w:rPr>
              <w:t>714,643,403.59</w:t>
            </w:r>
          </w:p>
        </w:tc>
        <w:tc>
          <w:tcPr>
            <w:tcW w:w="18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7"/>
              <w:ind w:right="3"/>
              <w:jc w:val="right"/>
              <w:rPr>
                <w:rFonts w:ascii="Times New Roman" w:hAnsi="Times New Roman" w:cs="Times New Roman" w:eastAsia="Times New Roman" w:hint="default"/>
                <w:sz w:val="18"/>
                <w:szCs w:val="18"/>
              </w:rPr>
            </w:pPr>
            <w:r>
              <w:rPr>
                <w:rFonts w:ascii="Times New Roman"/>
                <w:spacing w:val="-2"/>
                <w:sz w:val="18"/>
              </w:rPr>
              <w:t>265,411,649.69</w:t>
            </w:r>
          </w:p>
        </w:tc>
      </w:tr>
      <w:tr>
        <w:trPr>
          <w:trHeight w:val="350" w:hRule="exact"/>
        </w:trPr>
        <w:tc>
          <w:tcPr>
            <w:tcW w:w="18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552" w:right="0"/>
              <w:jc w:val="left"/>
              <w:rPr>
                <w:rFonts w:ascii="Times New Roman" w:hAnsi="Times New Roman" w:cs="Times New Roman" w:eastAsia="Times New Roman" w:hint="default"/>
                <w:sz w:val="18"/>
                <w:szCs w:val="18"/>
              </w:rPr>
            </w:pPr>
            <w:r>
              <w:rPr>
                <w:rFonts w:ascii="Times New Roman"/>
                <w:spacing w:val="-2"/>
                <w:sz w:val="18"/>
              </w:rPr>
              <w:t>4,750,940,949.60</w:t>
            </w:r>
          </w:p>
        </w:tc>
        <w:tc>
          <w:tcPr>
            <w:tcW w:w="18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547" w:right="0"/>
              <w:jc w:val="left"/>
              <w:rPr>
                <w:rFonts w:ascii="Times New Roman" w:hAnsi="Times New Roman" w:cs="Times New Roman" w:eastAsia="Times New Roman" w:hint="default"/>
                <w:sz w:val="18"/>
                <w:szCs w:val="18"/>
              </w:rPr>
            </w:pPr>
            <w:r>
              <w:rPr>
                <w:rFonts w:ascii="Times New Roman"/>
                <w:spacing w:val="-2"/>
                <w:sz w:val="18"/>
              </w:rPr>
              <w:t>1,175,687,230.49</w:t>
            </w:r>
          </w:p>
        </w:tc>
        <w:tc>
          <w:tcPr>
            <w:tcW w:w="18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2"/>
                <w:sz w:val="18"/>
              </w:rPr>
              <w:t>2,492,957.72</w:t>
            </w:r>
          </w:p>
        </w:tc>
        <w:tc>
          <w:tcPr>
            <w:tcW w:w="18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2"/>
                <w:sz w:val="18"/>
              </w:rPr>
              <w:t>1,055,594.63</w:t>
            </w:r>
          </w:p>
        </w:tc>
      </w:tr>
      <w:tr>
        <w:trPr>
          <w:trHeight w:val="351" w:hRule="exact"/>
        </w:trPr>
        <w:tc>
          <w:tcPr>
            <w:tcW w:w="18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8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94" w:right="-4"/>
              <w:jc w:val="left"/>
              <w:rPr>
                <w:rFonts w:ascii="Times New Roman" w:hAnsi="Times New Roman" w:cs="Times New Roman" w:eastAsia="Times New Roman" w:hint="default"/>
                <w:sz w:val="18"/>
                <w:szCs w:val="18"/>
              </w:rPr>
            </w:pPr>
            <w:r>
              <w:rPr>
                <w:rFonts w:ascii="Times New Roman"/>
                <w:spacing w:val="-2"/>
                <w:sz w:val="18"/>
              </w:rPr>
              <w:t>-3,370,819,512.23</w:t>
            </w:r>
          </w:p>
        </w:tc>
        <w:tc>
          <w:tcPr>
            <w:tcW w:w="18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89" w:right="-5"/>
              <w:jc w:val="left"/>
              <w:rPr>
                <w:rFonts w:ascii="Times New Roman" w:hAnsi="Times New Roman" w:cs="Times New Roman" w:eastAsia="Times New Roman" w:hint="default"/>
                <w:sz w:val="18"/>
                <w:szCs w:val="18"/>
              </w:rPr>
            </w:pPr>
            <w:r>
              <w:rPr>
                <w:rFonts w:ascii="Times New Roman"/>
                <w:spacing w:val="-2"/>
                <w:sz w:val="18"/>
              </w:rPr>
              <w:t>-1,824,858,364.27</w:t>
            </w:r>
          </w:p>
        </w:tc>
        <w:tc>
          <w:tcPr>
            <w:tcW w:w="1820" w:type="dxa"/>
            <w:tcBorders>
              <w:top w:val="single" w:sz="12" w:space="0" w:color="000000"/>
              <w:left w:val="single" w:sz="6" w:space="0" w:color="000000"/>
              <w:bottom w:val="single" w:sz="12" w:space="0" w:color="000000"/>
              <w:right w:val="single" w:sz="6" w:space="0" w:color="000000"/>
            </w:tcBorders>
          </w:tcPr>
          <w:p>
            <w:pPr/>
          </w:p>
        </w:tc>
        <w:tc>
          <w:tcPr>
            <w:tcW w:w="1827" w:type="dxa"/>
            <w:tcBorders>
              <w:top w:val="single" w:sz="12" w:space="0" w:color="000000"/>
              <w:left w:val="single" w:sz="6" w:space="0" w:color="000000"/>
              <w:bottom w:val="single" w:sz="12" w:space="0" w:color="000000"/>
              <w:right w:val="nil" w:sz="6" w:space="0" w:color="auto"/>
            </w:tcBorders>
          </w:tcPr>
          <w:p>
            <w:pPr/>
          </w:p>
        </w:tc>
      </w:tr>
      <w:tr>
        <w:trPr>
          <w:trHeight w:val="355" w:hRule="exact"/>
        </w:trPr>
        <w:tc>
          <w:tcPr>
            <w:tcW w:w="18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left="552" w:right="0"/>
              <w:jc w:val="left"/>
              <w:rPr>
                <w:rFonts w:ascii="Times New Roman" w:hAnsi="Times New Roman" w:cs="Times New Roman" w:eastAsia="Times New Roman" w:hint="default"/>
                <w:sz w:val="18"/>
                <w:szCs w:val="18"/>
              </w:rPr>
            </w:pPr>
            <w:r>
              <w:rPr>
                <w:rFonts w:ascii="Times New Roman"/>
                <w:spacing w:val="-2"/>
                <w:sz w:val="18"/>
              </w:rPr>
              <w:t>4,117,179,172.16</w:t>
            </w:r>
          </w:p>
        </w:tc>
        <w:tc>
          <w:tcPr>
            <w:tcW w:w="18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left="547" w:right="0"/>
              <w:jc w:val="left"/>
              <w:rPr>
                <w:rFonts w:ascii="Times New Roman" w:hAnsi="Times New Roman" w:cs="Times New Roman" w:eastAsia="Times New Roman" w:hint="default"/>
                <w:sz w:val="18"/>
                <w:szCs w:val="18"/>
              </w:rPr>
            </w:pPr>
            <w:r>
              <w:rPr>
                <w:rFonts w:ascii="Times New Roman"/>
                <w:spacing w:val="-2"/>
                <w:sz w:val="18"/>
              </w:rPr>
              <w:t>1,043,487,285.86</w:t>
            </w:r>
          </w:p>
        </w:tc>
        <w:tc>
          <w:tcPr>
            <w:tcW w:w="18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5"/>
              <w:jc w:val="right"/>
              <w:rPr>
                <w:rFonts w:ascii="Times New Roman" w:hAnsi="Times New Roman" w:cs="Times New Roman" w:eastAsia="Times New Roman" w:hint="default"/>
                <w:sz w:val="18"/>
                <w:szCs w:val="18"/>
              </w:rPr>
            </w:pPr>
            <w:r>
              <w:rPr>
                <w:rFonts w:ascii="Times New Roman"/>
                <w:spacing w:val="-2"/>
                <w:sz w:val="18"/>
              </w:rPr>
              <w:t>717,136,361.31</w:t>
            </w:r>
          </w:p>
        </w:tc>
        <w:tc>
          <w:tcPr>
            <w:tcW w:w="18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7"/>
              <w:ind w:right="3"/>
              <w:jc w:val="right"/>
              <w:rPr>
                <w:rFonts w:ascii="Times New Roman" w:hAnsi="Times New Roman" w:cs="Times New Roman" w:eastAsia="Times New Roman" w:hint="default"/>
                <w:sz w:val="18"/>
                <w:szCs w:val="18"/>
              </w:rPr>
            </w:pPr>
            <w:r>
              <w:rPr>
                <w:rFonts w:ascii="Times New Roman"/>
                <w:spacing w:val="-2"/>
                <w:sz w:val="18"/>
              </w:rPr>
              <w:t>266,467,244.32</w:t>
            </w:r>
          </w:p>
        </w:tc>
      </w:tr>
    </w:tbl>
    <w:p>
      <w:pPr>
        <w:spacing w:line="240" w:lineRule="auto" w:before="6"/>
        <w:rPr>
          <w:rFonts w:ascii="宋体" w:hAnsi="宋体" w:cs="宋体" w:eastAsia="宋体" w:hint="default"/>
          <w:b/>
          <w:bCs/>
          <w:sz w:val="6"/>
          <w:szCs w:val="6"/>
        </w:rPr>
      </w:pPr>
    </w:p>
    <w:p>
      <w:pPr>
        <w:spacing w:before="46"/>
        <w:ind w:left="594" w:right="0" w:firstLine="0"/>
        <w:jc w:val="left"/>
        <w:rPr>
          <w:rFonts w:ascii="宋体" w:hAnsi="宋体" w:cs="宋体" w:eastAsia="宋体" w:hint="default"/>
          <w:sz w:val="18"/>
          <w:szCs w:val="18"/>
        </w:rPr>
      </w:pPr>
      <w:r>
        <w:rPr>
          <w:rFonts w:ascii="宋体" w:hAnsi="宋体" w:cs="宋体" w:eastAsia="宋体" w:hint="default"/>
          <w:w w:val="101"/>
          <w:sz w:val="18"/>
          <w:szCs w:val="18"/>
        </w:rPr>
        <w:t>续</w:t>
      </w:r>
      <w:r>
        <w:rPr>
          <w:rFonts w:ascii="宋体" w:hAnsi="宋体" w:cs="宋体" w:eastAsia="宋体" w:hint="default"/>
          <w:sz w:val="18"/>
          <w:szCs w:val="18"/>
        </w:rPr>
      </w:r>
    </w:p>
    <w:p>
      <w:pPr>
        <w:spacing w:line="240" w:lineRule="auto" w:before="3"/>
        <w:rPr>
          <w:rFonts w:ascii="宋体" w:hAnsi="宋体" w:cs="宋体" w:eastAsia="宋体" w:hint="default"/>
          <w:sz w:val="14"/>
          <w:szCs w:val="14"/>
        </w:rPr>
      </w:pPr>
    </w:p>
    <w:tbl>
      <w:tblPr>
        <w:tblW w:w="0" w:type="auto"/>
        <w:jc w:val="left"/>
        <w:tblInd w:w="143" w:type="dxa"/>
        <w:tblLayout w:type="fixed"/>
        <w:tblCellMar>
          <w:top w:w="0" w:type="dxa"/>
          <w:left w:w="0" w:type="dxa"/>
          <w:bottom w:w="0" w:type="dxa"/>
          <w:right w:w="0" w:type="dxa"/>
        </w:tblCellMar>
        <w:tblLook w:val="01E0"/>
      </w:tblPr>
      <w:tblGrid>
        <w:gridCol w:w="1820"/>
        <w:gridCol w:w="1825"/>
        <w:gridCol w:w="1824"/>
        <w:gridCol w:w="1825"/>
        <w:gridCol w:w="1827"/>
      </w:tblGrid>
      <w:tr>
        <w:trPr>
          <w:trHeight w:val="353" w:hRule="exact"/>
        </w:trPr>
        <w:tc>
          <w:tcPr>
            <w:tcW w:w="1820" w:type="dxa"/>
            <w:vMerge w:val="restart"/>
            <w:tcBorders>
              <w:top w:val="single" w:sz="6" w:space="0" w:color="000000"/>
              <w:left w:val="single" w:sz="6" w:space="0" w:color="000000"/>
              <w:right w:val="single" w:sz="6" w:space="0" w:color="000000"/>
            </w:tcBorders>
          </w:tcPr>
          <w:p>
            <w:pPr>
              <w:pStyle w:val="TableParagraph"/>
              <w:spacing w:line="240" w:lineRule="auto" w:before="1"/>
              <w:ind w:left="504" w:right="0"/>
              <w:jc w:val="left"/>
              <w:rPr>
                <w:rFonts w:ascii="宋体" w:hAnsi="宋体" w:cs="宋体" w:eastAsia="宋体" w:hint="default"/>
                <w:sz w:val="20"/>
                <w:szCs w:val="20"/>
              </w:rPr>
            </w:pPr>
            <w:r>
              <w:rPr>
                <w:rFonts w:ascii="宋体" w:hAnsi="宋体" w:cs="宋体" w:eastAsia="宋体" w:hint="default"/>
                <w:sz w:val="20"/>
                <w:szCs w:val="20"/>
              </w:rPr>
              <w:t>分部名称</w:t>
            </w:r>
          </w:p>
        </w:tc>
        <w:tc>
          <w:tcPr>
            <w:tcW w:w="7301" w:type="dxa"/>
            <w:gridSpan w:val="4"/>
            <w:tcBorders>
              <w:top w:val="single" w:sz="6" w:space="0" w:color="000000"/>
              <w:left w:val="single" w:sz="6" w:space="0" w:color="000000"/>
              <w:bottom w:val="single" w:sz="12" w:space="0" w:color="000000"/>
              <w:right w:val="nil" w:sz="6" w:space="0" w:color="auto"/>
            </w:tcBorders>
          </w:tcPr>
          <w:p>
            <w:pPr>
              <w:pStyle w:val="TableParagraph"/>
              <w:spacing w:line="240" w:lineRule="auto" w:before="1"/>
              <w:ind w:right="2"/>
              <w:jc w:val="center"/>
              <w:rPr>
                <w:rFonts w:ascii="宋体" w:hAnsi="宋体" w:cs="宋体" w:eastAsia="宋体" w:hint="default"/>
                <w:sz w:val="20"/>
                <w:szCs w:val="20"/>
              </w:rPr>
            </w:pPr>
            <w:r>
              <w:rPr>
                <w:rFonts w:ascii="宋体" w:hAnsi="宋体" w:cs="宋体" w:eastAsia="宋体" w:hint="default"/>
                <w:sz w:val="20"/>
                <w:szCs w:val="20"/>
              </w:rPr>
              <w:t>期初余额</w:t>
            </w:r>
            <w:r>
              <w:rPr>
                <w:rFonts w:ascii="Times New Roman" w:hAnsi="Times New Roman" w:cs="Times New Roman" w:eastAsia="Times New Roman" w:hint="default"/>
                <w:sz w:val="20"/>
                <w:szCs w:val="20"/>
              </w:rPr>
              <w:t>/</w:t>
            </w:r>
            <w:r>
              <w:rPr>
                <w:rFonts w:ascii="宋体" w:hAnsi="宋体" w:cs="宋体" w:eastAsia="宋体" w:hint="default"/>
                <w:sz w:val="20"/>
                <w:szCs w:val="20"/>
              </w:rPr>
              <w:t>上年发生额</w:t>
            </w:r>
          </w:p>
        </w:tc>
      </w:tr>
      <w:tr>
        <w:trPr>
          <w:trHeight w:val="355" w:hRule="exact"/>
        </w:trPr>
        <w:tc>
          <w:tcPr>
            <w:tcW w:w="1820" w:type="dxa"/>
            <w:vMerge/>
            <w:tcBorders>
              <w:left w:val="single" w:sz="6" w:space="0" w:color="000000"/>
              <w:bottom w:val="single" w:sz="12" w:space="0" w:color="000000"/>
              <w:right w:val="single" w:sz="6" w:space="0" w:color="000000"/>
            </w:tcBorders>
          </w:tcPr>
          <w:p>
            <w:pPr/>
          </w:p>
        </w:tc>
        <w:tc>
          <w:tcPr>
            <w:tcW w:w="1825" w:type="dxa"/>
            <w:tcBorders>
              <w:top w:val="single" w:sz="12" w:space="0" w:color="000000"/>
              <w:left w:val="single" w:sz="6" w:space="0" w:color="000000"/>
              <w:bottom w:val="single" w:sz="12" w:space="0" w:color="000000"/>
              <w:right w:val="single" w:sz="6" w:space="0" w:color="000000"/>
            </w:tcBorders>
          </w:tcPr>
          <w:p>
            <w:pPr>
              <w:pStyle w:val="TableParagraph"/>
              <w:spacing w:line="259" w:lineRule="exact"/>
              <w:ind w:left="504" w:right="0"/>
              <w:jc w:val="left"/>
              <w:rPr>
                <w:rFonts w:ascii="宋体" w:hAnsi="宋体" w:cs="宋体" w:eastAsia="宋体" w:hint="default"/>
                <w:sz w:val="20"/>
                <w:szCs w:val="20"/>
              </w:rPr>
            </w:pPr>
            <w:r>
              <w:rPr>
                <w:rFonts w:ascii="宋体" w:hAnsi="宋体" w:cs="宋体" w:eastAsia="宋体" w:hint="default"/>
                <w:sz w:val="20"/>
                <w:szCs w:val="20"/>
              </w:rPr>
              <w:t>资产总额</w:t>
            </w:r>
          </w:p>
        </w:tc>
        <w:tc>
          <w:tcPr>
            <w:tcW w:w="1824" w:type="dxa"/>
            <w:tcBorders>
              <w:top w:val="single" w:sz="12" w:space="0" w:color="000000"/>
              <w:left w:val="single" w:sz="6" w:space="0" w:color="000000"/>
              <w:bottom w:val="single" w:sz="12" w:space="0" w:color="000000"/>
              <w:right w:val="single" w:sz="6" w:space="0" w:color="000000"/>
            </w:tcBorders>
          </w:tcPr>
          <w:p>
            <w:pPr>
              <w:pStyle w:val="TableParagraph"/>
              <w:spacing w:line="259" w:lineRule="exact"/>
              <w:ind w:left="503" w:right="0"/>
              <w:jc w:val="left"/>
              <w:rPr>
                <w:rFonts w:ascii="宋体" w:hAnsi="宋体" w:cs="宋体" w:eastAsia="宋体" w:hint="default"/>
                <w:sz w:val="20"/>
                <w:szCs w:val="20"/>
              </w:rPr>
            </w:pPr>
            <w:r>
              <w:rPr>
                <w:rFonts w:ascii="宋体" w:hAnsi="宋体" w:cs="宋体" w:eastAsia="宋体" w:hint="default"/>
                <w:sz w:val="20"/>
                <w:szCs w:val="20"/>
              </w:rPr>
              <w:t>负债总额</w:t>
            </w:r>
          </w:p>
        </w:tc>
        <w:tc>
          <w:tcPr>
            <w:tcW w:w="1825" w:type="dxa"/>
            <w:tcBorders>
              <w:top w:val="single" w:sz="12" w:space="0" w:color="000000"/>
              <w:left w:val="single" w:sz="6" w:space="0" w:color="000000"/>
              <w:bottom w:val="single" w:sz="12" w:space="0" w:color="000000"/>
              <w:right w:val="single" w:sz="6" w:space="0" w:color="000000"/>
            </w:tcBorders>
          </w:tcPr>
          <w:p>
            <w:pPr>
              <w:pStyle w:val="TableParagraph"/>
              <w:spacing w:line="259" w:lineRule="exact"/>
              <w:ind w:left="307" w:right="0"/>
              <w:jc w:val="left"/>
              <w:rPr>
                <w:rFonts w:ascii="宋体" w:hAnsi="宋体" w:cs="宋体" w:eastAsia="宋体" w:hint="default"/>
                <w:sz w:val="20"/>
                <w:szCs w:val="20"/>
              </w:rPr>
            </w:pPr>
            <w:r>
              <w:rPr>
                <w:rFonts w:ascii="宋体" w:hAnsi="宋体" w:cs="宋体" w:eastAsia="宋体" w:hint="default"/>
                <w:sz w:val="20"/>
                <w:szCs w:val="20"/>
              </w:rPr>
              <w:t>主营业务收入</w:t>
            </w:r>
          </w:p>
        </w:tc>
        <w:tc>
          <w:tcPr>
            <w:tcW w:w="1827" w:type="dxa"/>
            <w:tcBorders>
              <w:top w:val="single" w:sz="12" w:space="0" w:color="000000"/>
              <w:left w:val="single" w:sz="6" w:space="0" w:color="000000"/>
              <w:bottom w:val="single" w:sz="12" w:space="0" w:color="000000"/>
              <w:right w:val="nil" w:sz="6" w:space="0" w:color="auto"/>
            </w:tcBorders>
          </w:tcPr>
          <w:p>
            <w:pPr>
              <w:pStyle w:val="TableParagraph"/>
              <w:spacing w:line="259" w:lineRule="exact"/>
              <w:ind w:left="307" w:right="0"/>
              <w:jc w:val="left"/>
              <w:rPr>
                <w:rFonts w:ascii="宋体" w:hAnsi="宋体" w:cs="宋体" w:eastAsia="宋体" w:hint="default"/>
                <w:sz w:val="20"/>
                <w:szCs w:val="20"/>
              </w:rPr>
            </w:pPr>
            <w:r>
              <w:rPr>
                <w:rFonts w:ascii="宋体" w:hAnsi="宋体" w:cs="宋体" w:eastAsia="宋体" w:hint="default"/>
                <w:sz w:val="20"/>
                <w:szCs w:val="20"/>
              </w:rPr>
              <w:t>主营业务成本</w:t>
            </w:r>
          </w:p>
        </w:tc>
      </w:tr>
      <w:tr>
        <w:trPr>
          <w:trHeight w:val="351" w:hRule="exact"/>
        </w:trPr>
        <w:tc>
          <w:tcPr>
            <w:tcW w:w="18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互联网传媒</w:t>
            </w:r>
          </w:p>
        </w:tc>
        <w:tc>
          <w:tcPr>
            <w:tcW w:w="18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left="552" w:right="-4"/>
              <w:jc w:val="left"/>
              <w:rPr>
                <w:rFonts w:ascii="Times New Roman" w:hAnsi="Times New Roman" w:cs="Times New Roman" w:eastAsia="Times New Roman" w:hint="default"/>
                <w:sz w:val="18"/>
                <w:szCs w:val="18"/>
              </w:rPr>
            </w:pPr>
            <w:r>
              <w:rPr>
                <w:rFonts w:ascii="Times New Roman"/>
                <w:spacing w:val="-2"/>
                <w:sz w:val="18"/>
              </w:rPr>
              <w:t>2,646,468,959.53</w:t>
            </w:r>
          </w:p>
        </w:tc>
        <w:tc>
          <w:tcPr>
            <w:tcW w:w="18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left="552" w:right="-5"/>
              <w:jc w:val="left"/>
              <w:rPr>
                <w:rFonts w:ascii="Times New Roman" w:hAnsi="Times New Roman" w:cs="Times New Roman" w:eastAsia="Times New Roman" w:hint="default"/>
                <w:sz w:val="18"/>
                <w:szCs w:val="18"/>
              </w:rPr>
            </w:pPr>
            <w:r>
              <w:rPr>
                <w:rFonts w:ascii="Times New Roman"/>
                <w:spacing w:val="-2"/>
                <w:sz w:val="18"/>
              </w:rPr>
              <w:t>1,627,826,322.17</w:t>
            </w:r>
          </w:p>
        </w:tc>
        <w:tc>
          <w:tcPr>
            <w:tcW w:w="18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4"/>
              <w:jc w:val="right"/>
              <w:rPr>
                <w:rFonts w:ascii="Times New Roman" w:hAnsi="Times New Roman" w:cs="Times New Roman" w:eastAsia="Times New Roman" w:hint="default"/>
                <w:sz w:val="18"/>
                <w:szCs w:val="18"/>
              </w:rPr>
            </w:pPr>
            <w:r>
              <w:rPr>
                <w:rFonts w:ascii="Times New Roman"/>
                <w:spacing w:val="-1"/>
                <w:sz w:val="18"/>
              </w:rPr>
              <w:t>820,881,431.10</w:t>
            </w:r>
          </w:p>
        </w:tc>
        <w:tc>
          <w:tcPr>
            <w:tcW w:w="18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3"/>
              <w:ind w:right="3"/>
              <w:jc w:val="right"/>
              <w:rPr>
                <w:rFonts w:ascii="Times New Roman" w:hAnsi="Times New Roman" w:cs="Times New Roman" w:eastAsia="Times New Roman" w:hint="default"/>
                <w:sz w:val="18"/>
                <w:szCs w:val="18"/>
              </w:rPr>
            </w:pPr>
            <w:r>
              <w:rPr>
                <w:rFonts w:ascii="Times New Roman"/>
                <w:spacing w:val="-1"/>
                <w:sz w:val="18"/>
              </w:rPr>
              <w:t>260,194,573.51</w:t>
            </w:r>
          </w:p>
        </w:tc>
      </w:tr>
      <w:tr>
        <w:trPr>
          <w:trHeight w:val="350" w:hRule="exact"/>
        </w:trPr>
        <w:tc>
          <w:tcPr>
            <w:tcW w:w="18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552" w:right="-4"/>
              <w:jc w:val="left"/>
              <w:rPr>
                <w:rFonts w:ascii="Times New Roman" w:hAnsi="Times New Roman" w:cs="Times New Roman" w:eastAsia="Times New Roman" w:hint="default"/>
                <w:sz w:val="18"/>
                <w:szCs w:val="18"/>
              </w:rPr>
            </w:pPr>
            <w:r>
              <w:rPr>
                <w:rFonts w:ascii="Times New Roman"/>
                <w:spacing w:val="-2"/>
                <w:sz w:val="18"/>
              </w:rPr>
              <w:t>4,912,475,589.69</w:t>
            </w:r>
          </w:p>
        </w:tc>
        <w:tc>
          <w:tcPr>
            <w:tcW w:w="18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552" w:right="-5"/>
              <w:jc w:val="left"/>
              <w:rPr>
                <w:rFonts w:ascii="Times New Roman" w:hAnsi="Times New Roman" w:cs="Times New Roman" w:eastAsia="Times New Roman" w:hint="default"/>
                <w:sz w:val="18"/>
                <w:szCs w:val="18"/>
              </w:rPr>
            </w:pPr>
            <w:r>
              <w:rPr>
                <w:rFonts w:ascii="Times New Roman"/>
                <w:spacing w:val="-2"/>
                <w:sz w:val="18"/>
              </w:rPr>
              <w:t>1,311,714,275.87</w:t>
            </w:r>
          </w:p>
        </w:tc>
        <w:tc>
          <w:tcPr>
            <w:tcW w:w="18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166,956,086.33</w:t>
            </w:r>
          </w:p>
        </w:tc>
        <w:tc>
          <w:tcPr>
            <w:tcW w:w="18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88,971,808.12</w:t>
            </w:r>
          </w:p>
        </w:tc>
      </w:tr>
      <w:tr>
        <w:trPr>
          <w:trHeight w:val="355" w:hRule="exact"/>
        </w:trPr>
        <w:tc>
          <w:tcPr>
            <w:tcW w:w="18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8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left="490" w:right="-4"/>
              <w:jc w:val="left"/>
              <w:rPr>
                <w:rFonts w:ascii="Times New Roman" w:hAnsi="Times New Roman" w:cs="Times New Roman" w:eastAsia="Times New Roman" w:hint="default"/>
                <w:sz w:val="18"/>
                <w:szCs w:val="18"/>
              </w:rPr>
            </w:pPr>
            <w:r>
              <w:rPr>
                <w:rFonts w:ascii="Times New Roman"/>
                <w:spacing w:val="-1"/>
                <w:sz w:val="18"/>
              </w:rPr>
              <w:t>-3,328,919,865.46</w:t>
            </w:r>
          </w:p>
        </w:tc>
        <w:tc>
          <w:tcPr>
            <w:tcW w:w="18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left="489" w:right="-4"/>
              <w:jc w:val="left"/>
              <w:rPr>
                <w:rFonts w:ascii="Times New Roman" w:hAnsi="Times New Roman" w:cs="Times New Roman" w:eastAsia="Times New Roman" w:hint="default"/>
                <w:sz w:val="18"/>
                <w:szCs w:val="18"/>
              </w:rPr>
            </w:pPr>
            <w:r>
              <w:rPr>
                <w:rFonts w:ascii="Times New Roman"/>
                <w:spacing w:val="-1"/>
                <w:sz w:val="18"/>
              </w:rPr>
              <w:t>-1,619,251,837.91</w:t>
            </w:r>
          </w:p>
        </w:tc>
        <w:tc>
          <w:tcPr>
            <w:tcW w:w="1825" w:type="dxa"/>
            <w:tcBorders>
              <w:top w:val="single" w:sz="12" w:space="0" w:color="000000"/>
              <w:left w:val="single" w:sz="6" w:space="0" w:color="000000"/>
              <w:bottom w:val="single" w:sz="12" w:space="0" w:color="000000"/>
              <w:right w:val="single" w:sz="6" w:space="0" w:color="000000"/>
            </w:tcBorders>
          </w:tcPr>
          <w:p>
            <w:pPr/>
          </w:p>
        </w:tc>
        <w:tc>
          <w:tcPr>
            <w:tcW w:w="1827"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18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552" w:right="-4"/>
              <w:jc w:val="left"/>
              <w:rPr>
                <w:rFonts w:ascii="Times New Roman" w:hAnsi="Times New Roman" w:cs="Times New Roman" w:eastAsia="Times New Roman" w:hint="default"/>
                <w:sz w:val="18"/>
                <w:szCs w:val="18"/>
              </w:rPr>
            </w:pPr>
            <w:r>
              <w:rPr>
                <w:rFonts w:ascii="Times New Roman"/>
                <w:spacing w:val="-2"/>
                <w:sz w:val="18"/>
              </w:rPr>
              <w:t>4,230,024,683.76</w:t>
            </w:r>
          </w:p>
        </w:tc>
        <w:tc>
          <w:tcPr>
            <w:tcW w:w="18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552" w:right="-5"/>
              <w:jc w:val="left"/>
              <w:rPr>
                <w:rFonts w:ascii="Times New Roman" w:hAnsi="Times New Roman" w:cs="Times New Roman" w:eastAsia="Times New Roman" w:hint="default"/>
                <w:sz w:val="18"/>
                <w:szCs w:val="18"/>
              </w:rPr>
            </w:pPr>
            <w:r>
              <w:rPr>
                <w:rFonts w:ascii="Times New Roman"/>
                <w:spacing w:val="-2"/>
                <w:sz w:val="18"/>
              </w:rPr>
              <w:t>1,320,288,760.13</w:t>
            </w:r>
          </w:p>
        </w:tc>
        <w:tc>
          <w:tcPr>
            <w:tcW w:w="18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987,837,517.43</w:t>
            </w:r>
          </w:p>
        </w:tc>
        <w:tc>
          <w:tcPr>
            <w:tcW w:w="18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349,166,381.63</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240" w:lineRule="auto" w:before="36"/>
        <w:ind w:right="0"/>
        <w:jc w:val="left"/>
        <w:rPr>
          <w:b w:val="0"/>
          <w:bCs w:val="0"/>
        </w:rPr>
      </w:pPr>
      <w:bookmarkStart w:name="4、 政府补助" w:id="374"/>
      <w:bookmarkEnd w:id="374"/>
      <w:r>
        <w:rPr>
          <w:b w:val="0"/>
          <w:bCs w:val="0"/>
        </w:rPr>
      </w:r>
      <w:r>
        <w:rPr>
          <w:rFonts w:ascii="Times New Roman" w:hAnsi="Times New Roman" w:cs="Times New Roman" w:eastAsia="Times New Roman" w:hint="default"/>
        </w:rPr>
        <w:t>4</w:t>
      </w:r>
      <w:r>
        <w:rPr/>
        <w:t>、</w:t>
      </w:r>
      <w:r>
        <w:rPr>
          <w:spacing w:val="1"/>
        </w:rPr>
        <w:t> </w:t>
      </w:r>
      <w:r>
        <w:rPr/>
        <w:t>政府补助</w:t>
      </w:r>
      <w:r>
        <w:rPr>
          <w:b w:val="0"/>
          <w:bCs w:val="0"/>
        </w:rPr>
      </w:r>
    </w:p>
    <w:p>
      <w:pPr>
        <w:spacing w:line="240" w:lineRule="auto" w:before="4"/>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pacing w:val="28"/>
          <w:sz w:val="18"/>
          <w:szCs w:val="18"/>
        </w:rPr>
        <w:t> </w:t>
      </w:r>
      <w:r>
        <w:rPr>
          <w:rFonts w:ascii="宋体" w:hAnsi="宋体" w:cs="宋体" w:eastAsia="宋体" w:hint="default"/>
          <w:spacing w:val="-3"/>
          <w:sz w:val="18"/>
          <w:szCs w:val="18"/>
        </w:rPr>
        <w:t>收益相关的政府补助</w:t>
      </w:r>
    </w:p>
    <w:p>
      <w:pPr>
        <w:spacing w:line="430" w:lineRule="atLeast" w:before="15"/>
        <w:ind w:left="671"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用于补偿以后期间的相关成本费用或损失的政府补助详见附注七、</w:t>
      </w:r>
      <w:r>
        <w:rPr>
          <w:rFonts w:ascii="Times New Roman" w:hAnsi="Times New Roman" w:cs="Times New Roman" w:eastAsia="Times New Roman" w:hint="default"/>
          <w:spacing w:val="-3"/>
          <w:sz w:val="18"/>
          <w:szCs w:val="18"/>
        </w:rPr>
        <w:t>41</w:t>
      </w:r>
      <w:r>
        <w:rPr>
          <w:rFonts w:ascii="宋体" w:hAnsi="宋体" w:cs="宋体" w:eastAsia="宋体" w:hint="default"/>
          <w:spacing w:val="-3"/>
          <w:sz w:val="18"/>
          <w:szCs w:val="18"/>
        </w:rPr>
        <w:t>其他收益。</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用于补偿已发生的相关成本费用或损失的政府补助的本期发生额共计</w:t>
      </w:r>
      <w:r>
        <w:rPr>
          <w:rFonts w:ascii="Times New Roman" w:hAnsi="Times New Roman" w:cs="Times New Roman" w:eastAsia="Times New Roman" w:hint="default"/>
          <w:spacing w:val="-3"/>
          <w:sz w:val="18"/>
          <w:szCs w:val="18"/>
        </w:rPr>
        <w:t>1,151,500.00</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上年发生额共计</w:t>
      </w:r>
      <w:r>
        <w:rPr>
          <w:rFonts w:ascii="Times New Roman" w:hAnsi="Times New Roman" w:cs="Times New Roman" w:eastAsia="Times New Roman" w:hint="default"/>
          <w:spacing w:val="-3"/>
          <w:sz w:val="18"/>
          <w:szCs w:val="18"/>
        </w:rPr>
        <w:t>10,715,974.42</w:t>
      </w:r>
    </w:p>
    <w:p>
      <w:pPr>
        <w:spacing w:before="62"/>
        <w:ind w:left="153" w:right="0" w:firstLine="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，其中计入其他收益</w:t>
      </w:r>
      <w:r>
        <w:rPr>
          <w:rFonts w:ascii="Times New Roman" w:hAnsi="Times New Roman" w:cs="Times New Roman" w:eastAsia="Times New Roman" w:hint="default"/>
          <w:sz w:val="18"/>
          <w:szCs w:val="18"/>
        </w:rPr>
        <w:t>1,151,500.00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上年发生额共计</w:t>
      </w:r>
      <w:r>
        <w:rPr>
          <w:rFonts w:ascii="Times New Roman" w:hAnsi="Times New Roman" w:cs="Times New Roman" w:eastAsia="Times New Roman" w:hint="default"/>
          <w:sz w:val="18"/>
          <w:szCs w:val="18"/>
        </w:rPr>
        <w:t>10,715,974.42</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，详见附注七、</w:t>
      </w:r>
      <w:r>
        <w:rPr>
          <w:rFonts w:ascii="Times New Roman" w:hAnsi="Times New Roman" w:cs="Times New Roman" w:eastAsia="Times New Roman" w:hint="default"/>
          <w:sz w:val="18"/>
          <w:szCs w:val="18"/>
        </w:rPr>
        <w:t>41</w:t>
      </w:r>
      <w:r>
        <w:rPr>
          <w:rFonts w:ascii="宋体" w:hAnsi="宋体" w:cs="宋体" w:eastAsia="宋体" w:hint="default"/>
          <w:sz w:val="18"/>
          <w:szCs w:val="18"/>
        </w:rPr>
        <w:t>；无冲减相关成本费用事项。</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spacing w:line="415" w:lineRule="auto" w:before="46"/>
        <w:ind w:left="594" w:right="1127" w:hanging="365"/>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 </w:t>
      </w:r>
      <w:r>
        <w:rPr>
          <w:rFonts w:ascii="宋体" w:hAnsi="宋体" w:cs="宋体" w:eastAsia="宋体" w:hint="default"/>
          <w:spacing w:val="-3"/>
          <w:sz w:val="18"/>
          <w:szCs w:val="18"/>
        </w:rPr>
        <w:t>资产相关的政府补助</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确认为递延收益，并在相关资产使用寿命内按照合理、系统的方法分期计入当期损益的金额合计为</w:t>
      </w:r>
      <w:r>
        <w:rPr>
          <w:rFonts w:ascii="Times New Roman" w:hAnsi="Times New Roman" w:cs="Times New Roman" w:eastAsia="Times New Roman" w:hint="default"/>
          <w:spacing w:val="-3"/>
          <w:sz w:val="18"/>
          <w:szCs w:val="18"/>
        </w:rPr>
        <w:t>0.00</w:t>
      </w:r>
      <w:r>
        <w:rPr>
          <w:rFonts w:ascii="宋体" w:hAnsi="宋体" w:cs="宋体" w:eastAsia="宋体" w:hint="default"/>
          <w:spacing w:val="-3"/>
          <w:sz w:val="18"/>
          <w:szCs w:val="18"/>
        </w:rPr>
        <w:t>元。</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冲减相关资产的账面价值的情况</w:t>
      </w:r>
      <w:r>
        <w:rPr>
          <w:rFonts w:ascii="宋体" w:hAnsi="宋体" w:cs="宋体" w:eastAsia="宋体" w:hint="default"/>
          <w:w w:val="101"/>
          <w:sz w:val="18"/>
          <w:szCs w:val="18"/>
        </w:rPr>
        <w:t> </w:t>
      </w:r>
      <w:r>
        <w:rPr>
          <w:rFonts w:ascii="宋体" w:hAnsi="宋体" w:cs="宋体" w:eastAsia="宋体" w:hint="default"/>
          <w:spacing w:val="-3"/>
          <w:sz w:val="18"/>
          <w:szCs w:val="18"/>
        </w:rPr>
        <w:t>本期收到的与资产相关的政府补助并冲减相关资产账面价值的金额合计为</w:t>
      </w:r>
      <w:r>
        <w:rPr>
          <w:rFonts w:ascii="Times New Roman" w:hAnsi="Times New Roman" w:cs="Times New Roman" w:eastAsia="Times New Roman" w:hint="default"/>
          <w:spacing w:val="-3"/>
          <w:sz w:val="18"/>
          <w:szCs w:val="18"/>
        </w:rPr>
        <w:t>0.00</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上年合计金额为</w:t>
      </w:r>
      <w:r>
        <w:rPr>
          <w:rFonts w:ascii="Times New Roman" w:hAnsi="Times New Roman" w:cs="Times New Roman" w:eastAsia="Times New Roman" w:hint="default"/>
          <w:spacing w:val="-3"/>
          <w:sz w:val="18"/>
          <w:szCs w:val="18"/>
        </w:rPr>
        <w:t>0.00</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p>
      <w:pPr>
        <w:spacing w:before="37"/>
        <w:ind w:left="23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 </w:t>
      </w:r>
      <w:r>
        <w:rPr>
          <w:rFonts w:ascii="Times New Roman" w:hAnsi="Times New Roman" w:cs="Times New Roman" w:eastAsia="Times New Roman" w:hint="default"/>
          <w:spacing w:val="30"/>
          <w:sz w:val="18"/>
          <w:szCs w:val="18"/>
        </w:rPr>
        <w:t> </w:t>
      </w:r>
      <w:r>
        <w:rPr>
          <w:rFonts w:ascii="宋体" w:hAnsi="宋体" w:cs="宋体" w:eastAsia="宋体" w:hint="default"/>
          <w:spacing w:val="-3"/>
          <w:sz w:val="18"/>
          <w:szCs w:val="18"/>
        </w:rPr>
        <w:t>计入当期损益的政府补助金额</w:t>
      </w:r>
    </w:p>
    <w:p>
      <w:pPr>
        <w:spacing w:line="240" w:lineRule="auto" w:before="2"/>
        <w:rPr>
          <w:rFonts w:ascii="宋体" w:hAnsi="宋体" w:cs="宋体" w:eastAsia="宋体" w:hint="default"/>
          <w:sz w:val="13"/>
          <w:szCs w:val="13"/>
        </w:rPr>
      </w:pPr>
    </w:p>
    <w:tbl>
      <w:tblPr>
        <w:tblW w:w="0" w:type="auto"/>
        <w:jc w:val="left"/>
        <w:tblInd w:w="143" w:type="dxa"/>
        <w:tblLayout w:type="fixed"/>
        <w:tblCellMar>
          <w:top w:w="0" w:type="dxa"/>
          <w:left w:w="0" w:type="dxa"/>
          <w:bottom w:w="0" w:type="dxa"/>
          <w:right w:w="0" w:type="dxa"/>
        </w:tblCellMar>
        <w:tblLook w:val="01E0"/>
      </w:tblPr>
      <w:tblGrid>
        <w:gridCol w:w="2281"/>
        <w:gridCol w:w="2286"/>
        <w:gridCol w:w="2280"/>
        <w:gridCol w:w="2288"/>
      </w:tblGrid>
      <w:tr>
        <w:trPr>
          <w:trHeight w:val="353" w:hRule="exact"/>
        </w:trPr>
        <w:tc>
          <w:tcPr>
            <w:tcW w:w="2281" w:type="dxa"/>
            <w:vMerge w:val="restart"/>
            <w:tcBorders>
              <w:top w:val="single" w:sz="6" w:space="0" w:color="000000"/>
              <w:left w:val="single" w:sz="6" w:space="0" w:color="000000"/>
              <w:right w:val="single" w:sz="6" w:space="0" w:color="000000"/>
            </w:tcBorders>
          </w:tcPr>
          <w:p>
            <w:pPr>
              <w:pStyle w:val="TableParagraph"/>
              <w:spacing w:line="240" w:lineRule="auto" w:before="20"/>
              <w:ind w:left="326" w:right="0"/>
              <w:jc w:val="left"/>
              <w:rPr>
                <w:rFonts w:ascii="宋体" w:hAnsi="宋体" w:cs="宋体" w:eastAsia="宋体" w:hint="default"/>
                <w:sz w:val="18"/>
                <w:szCs w:val="18"/>
              </w:rPr>
            </w:pPr>
            <w:r>
              <w:rPr>
                <w:rFonts w:ascii="宋体" w:hAnsi="宋体" w:cs="宋体" w:eastAsia="宋体" w:hint="default"/>
                <w:spacing w:val="-3"/>
                <w:sz w:val="18"/>
                <w:szCs w:val="18"/>
              </w:rPr>
              <w:t>计入当期损益的方式</w:t>
            </w:r>
          </w:p>
        </w:tc>
        <w:tc>
          <w:tcPr>
            <w:tcW w:w="6854"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本年发生额</w:t>
            </w:r>
          </w:p>
        </w:tc>
      </w:tr>
      <w:tr>
        <w:trPr>
          <w:trHeight w:val="356" w:hRule="exact"/>
        </w:trPr>
        <w:tc>
          <w:tcPr>
            <w:tcW w:w="2281" w:type="dxa"/>
            <w:vMerge/>
            <w:tcBorders>
              <w:left w:val="single" w:sz="6" w:space="0" w:color="000000"/>
              <w:bottom w:val="single" w:sz="12" w:space="0" w:color="000000"/>
              <w:right w:val="single" w:sz="6" w:space="0" w:color="000000"/>
            </w:tcBorders>
          </w:tcPr>
          <w:p>
            <w:pPr/>
          </w:p>
        </w:tc>
        <w:tc>
          <w:tcPr>
            <w:tcW w:w="22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240"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2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235"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22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5"/>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0" w:hRule="exact"/>
        </w:trPr>
        <w:tc>
          <w:tcPr>
            <w:tcW w:w="22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计入其他收益</w:t>
            </w:r>
          </w:p>
        </w:tc>
        <w:tc>
          <w:tcPr>
            <w:tcW w:w="22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1,151,500.00</w:t>
            </w:r>
          </w:p>
        </w:tc>
        <w:tc>
          <w:tcPr>
            <w:tcW w:w="2280" w:type="dxa"/>
            <w:tcBorders>
              <w:top w:val="single" w:sz="12" w:space="0" w:color="000000"/>
              <w:left w:val="single" w:sz="6" w:space="0" w:color="000000"/>
              <w:bottom w:val="single" w:sz="12" w:space="0" w:color="000000"/>
              <w:right w:val="single" w:sz="6" w:space="0" w:color="000000"/>
            </w:tcBorders>
          </w:tcPr>
          <w:p>
            <w:pPr/>
          </w:p>
        </w:tc>
        <w:tc>
          <w:tcPr>
            <w:tcW w:w="22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1,151,500.00</w:t>
            </w:r>
          </w:p>
        </w:tc>
      </w:tr>
      <w:tr>
        <w:trPr>
          <w:trHeight w:val="355" w:hRule="exact"/>
        </w:trPr>
        <w:tc>
          <w:tcPr>
            <w:tcW w:w="22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1,151,500.00</w:t>
            </w:r>
          </w:p>
        </w:tc>
        <w:tc>
          <w:tcPr>
            <w:tcW w:w="2280" w:type="dxa"/>
            <w:tcBorders>
              <w:top w:val="single" w:sz="12" w:space="0" w:color="000000"/>
              <w:left w:val="single" w:sz="6" w:space="0" w:color="000000"/>
              <w:bottom w:val="single" w:sz="12" w:space="0" w:color="000000"/>
              <w:right w:val="single" w:sz="6" w:space="0" w:color="000000"/>
            </w:tcBorders>
          </w:tcPr>
          <w:p>
            <w:pPr/>
          </w:p>
        </w:tc>
        <w:tc>
          <w:tcPr>
            <w:tcW w:w="22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1,151,500.00</w:t>
            </w:r>
          </w:p>
        </w:tc>
      </w:tr>
    </w:tbl>
    <w:p>
      <w:pPr>
        <w:spacing w:line="240" w:lineRule="auto" w:before="0"/>
        <w:rPr>
          <w:rFonts w:ascii="宋体" w:hAnsi="宋体" w:cs="宋体" w:eastAsia="宋体" w:hint="default"/>
          <w:sz w:val="5"/>
          <w:szCs w:val="5"/>
        </w:rPr>
      </w:pPr>
    </w:p>
    <w:p>
      <w:pPr>
        <w:pStyle w:val="Heading3"/>
        <w:spacing w:line="240" w:lineRule="auto"/>
        <w:ind w:right="0"/>
        <w:jc w:val="left"/>
      </w:pPr>
      <w:r>
        <w:rPr>
          <w:w w:val="100"/>
        </w:rPr>
        <w:t>续</w:t>
      </w:r>
    </w:p>
    <w:p>
      <w:pPr>
        <w:spacing w:line="240" w:lineRule="auto" w:before="9"/>
        <w:rPr>
          <w:rFonts w:ascii="宋体" w:hAnsi="宋体" w:cs="宋体" w:eastAsia="宋体" w:hint="default"/>
          <w:sz w:val="12"/>
          <w:szCs w:val="12"/>
        </w:rPr>
      </w:pPr>
    </w:p>
    <w:tbl>
      <w:tblPr>
        <w:tblW w:w="0" w:type="auto"/>
        <w:jc w:val="left"/>
        <w:tblInd w:w="143" w:type="dxa"/>
        <w:tblLayout w:type="fixed"/>
        <w:tblCellMar>
          <w:top w:w="0" w:type="dxa"/>
          <w:left w:w="0" w:type="dxa"/>
          <w:bottom w:w="0" w:type="dxa"/>
          <w:right w:w="0" w:type="dxa"/>
        </w:tblCellMar>
        <w:tblLook w:val="01E0"/>
      </w:tblPr>
      <w:tblGrid>
        <w:gridCol w:w="2281"/>
        <w:gridCol w:w="2286"/>
        <w:gridCol w:w="2280"/>
        <w:gridCol w:w="2288"/>
      </w:tblGrid>
      <w:tr>
        <w:trPr>
          <w:trHeight w:val="353" w:hRule="exact"/>
        </w:trPr>
        <w:tc>
          <w:tcPr>
            <w:tcW w:w="2281" w:type="dxa"/>
            <w:vMerge w:val="restart"/>
            <w:tcBorders>
              <w:top w:val="single" w:sz="6" w:space="0" w:color="000000"/>
              <w:left w:val="single" w:sz="6" w:space="0" w:color="000000"/>
              <w:right w:val="single" w:sz="6" w:space="0" w:color="000000"/>
            </w:tcBorders>
          </w:tcPr>
          <w:p>
            <w:pPr>
              <w:pStyle w:val="TableParagraph"/>
              <w:spacing w:line="240" w:lineRule="auto" w:before="1"/>
              <w:ind w:left="235" w:right="0"/>
              <w:jc w:val="left"/>
              <w:rPr>
                <w:rFonts w:ascii="宋体" w:hAnsi="宋体" w:cs="宋体" w:eastAsia="宋体" w:hint="default"/>
                <w:sz w:val="20"/>
                <w:szCs w:val="20"/>
              </w:rPr>
            </w:pPr>
            <w:r>
              <w:rPr>
                <w:rFonts w:ascii="宋体" w:hAnsi="宋体" w:cs="宋体" w:eastAsia="宋体" w:hint="default"/>
                <w:sz w:val="20"/>
                <w:szCs w:val="20"/>
              </w:rPr>
              <w:t>计入当期损益的方式</w:t>
            </w:r>
          </w:p>
        </w:tc>
        <w:tc>
          <w:tcPr>
            <w:tcW w:w="6854"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1"/>
              <w:ind w:left="4" w:right="0"/>
              <w:jc w:val="center"/>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350" w:hRule="exact"/>
        </w:trPr>
        <w:tc>
          <w:tcPr>
            <w:tcW w:w="2281" w:type="dxa"/>
            <w:vMerge/>
            <w:tcBorders>
              <w:left w:val="single" w:sz="6" w:space="0" w:color="000000"/>
              <w:bottom w:val="single" w:sz="12" w:space="0" w:color="000000"/>
              <w:right w:val="single" w:sz="6" w:space="0" w:color="000000"/>
            </w:tcBorders>
          </w:tcPr>
          <w:p>
            <w:pPr/>
          </w:p>
        </w:tc>
        <w:tc>
          <w:tcPr>
            <w:tcW w:w="2286" w:type="dxa"/>
            <w:tcBorders>
              <w:top w:val="single" w:sz="12" w:space="0" w:color="000000"/>
              <w:left w:val="single" w:sz="6" w:space="0" w:color="000000"/>
              <w:bottom w:val="single" w:sz="12" w:space="0" w:color="000000"/>
              <w:right w:val="single" w:sz="6" w:space="0" w:color="000000"/>
            </w:tcBorders>
          </w:tcPr>
          <w:p>
            <w:pPr>
              <w:pStyle w:val="TableParagraph"/>
              <w:spacing w:line="254" w:lineRule="exact"/>
              <w:ind w:left="139" w:right="0"/>
              <w:jc w:val="left"/>
              <w:rPr>
                <w:rFonts w:ascii="宋体" w:hAnsi="宋体" w:cs="宋体" w:eastAsia="宋体" w:hint="default"/>
                <w:sz w:val="20"/>
                <w:szCs w:val="20"/>
              </w:rPr>
            </w:pPr>
            <w:r>
              <w:rPr>
                <w:rFonts w:ascii="宋体" w:hAnsi="宋体" w:cs="宋体" w:eastAsia="宋体" w:hint="default"/>
                <w:sz w:val="20"/>
                <w:szCs w:val="20"/>
              </w:rPr>
              <w:t>与收益相关的政府补助</w:t>
            </w:r>
          </w:p>
        </w:tc>
        <w:tc>
          <w:tcPr>
            <w:tcW w:w="2280" w:type="dxa"/>
            <w:tcBorders>
              <w:top w:val="single" w:sz="12" w:space="0" w:color="000000"/>
              <w:left w:val="single" w:sz="6" w:space="0" w:color="000000"/>
              <w:bottom w:val="single" w:sz="12" w:space="0" w:color="000000"/>
              <w:right w:val="single" w:sz="6" w:space="0" w:color="000000"/>
            </w:tcBorders>
          </w:tcPr>
          <w:p>
            <w:pPr>
              <w:pStyle w:val="TableParagraph"/>
              <w:spacing w:line="254" w:lineRule="exact"/>
              <w:ind w:left="134" w:right="0"/>
              <w:jc w:val="left"/>
              <w:rPr>
                <w:rFonts w:ascii="宋体" w:hAnsi="宋体" w:cs="宋体" w:eastAsia="宋体" w:hint="default"/>
                <w:sz w:val="20"/>
                <w:szCs w:val="20"/>
              </w:rPr>
            </w:pPr>
            <w:r>
              <w:rPr>
                <w:rFonts w:ascii="宋体" w:hAnsi="宋体" w:cs="宋体" w:eastAsia="宋体" w:hint="default"/>
                <w:sz w:val="20"/>
                <w:szCs w:val="20"/>
              </w:rPr>
              <w:t>与资产相关的政府补助</w:t>
            </w:r>
          </w:p>
        </w:tc>
        <w:tc>
          <w:tcPr>
            <w:tcW w:w="2288" w:type="dxa"/>
            <w:tcBorders>
              <w:top w:val="single" w:sz="12" w:space="0" w:color="000000"/>
              <w:left w:val="single" w:sz="6" w:space="0" w:color="000000"/>
              <w:bottom w:val="single" w:sz="12" w:space="0" w:color="000000"/>
              <w:right w:val="nil" w:sz="6" w:space="0" w:color="auto"/>
            </w:tcBorders>
          </w:tcPr>
          <w:p>
            <w:pPr>
              <w:pStyle w:val="TableParagraph"/>
              <w:spacing w:line="254" w:lineRule="exact"/>
              <w:ind w:left="5" w:right="0"/>
              <w:jc w:val="center"/>
              <w:rPr>
                <w:rFonts w:ascii="宋体" w:hAnsi="宋体" w:cs="宋体" w:eastAsia="宋体" w:hint="default"/>
                <w:sz w:val="20"/>
                <w:szCs w:val="20"/>
              </w:rPr>
            </w:pPr>
            <w:r>
              <w:rPr>
                <w:rFonts w:ascii="宋体" w:hAnsi="宋体" w:cs="宋体" w:eastAsia="宋体" w:hint="default"/>
                <w:sz w:val="20"/>
                <w:szCs w:val="20"/>
              </w:rPr>
              <w:t>合计</w:t>
            </w:r>
          </w:p>
        </w:tc>
      </w:tr>
      <w:tr>
        <w:trPr>
          <w:trHeight w:val="350" w:hRule="exact"/>
        </w:trPr>
        <w:tc>
          <w:tcPr>
            <w:tcW w:w="22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计入其他收益</w:t>
            </w:r>
          </w:p>
        </w:tc>
        <w:tc>
          <w:tcPr>
            <w:tcW w:w="22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10,715,974.42</w:t>
            </w:r>
          </w:p>
        </w:tc>
        <w:tc>
          <w:tcPr>
            <w:tcW w:w="2280" w:type="dxa"/>
            <w:tcBorders>
              <w:top w:val="single" w:sz="12" w:space="0" w:color="000000"/>
              <w:left w:val="single" w:sz="6" w:space="0" w:color="000000"/>
              <w:bottom w:val="single" w:sz="12" w:space="0" w:color="000000"/>
              <w:right w:val="single" w:sz="6" w:space="0" w:color="000000"/>
            </w:tcBorders>
          </w:tcPr>
          <w:p>
            <w:pPr/>
          </w:p>
        </w:tc>
        <w:tc>
          <w:tcPr>
            <w:tcW w:w="22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10,715,974.42</w:t>
            </w:r>
          </w:p>
        </w:tc>
      </w:tr>
      <w:tr>
        <w:trPr>
          <w:trHeight w:val="355" w:hRule="exact"/>
        </w:trPr>
        <w:tc>
          <w:tcPr>
            <w:tcW w:w="22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4"/>
              <w:jc w:val="right"/>
              <w:rPr>
                <w:rFonts w:ascii="Times New Roman" w:hAnsi="Times New Roman" w:cs="Times New Roman" w:eastAsia="Times New Roman" w:hint="default"/>
                <w:sz w:val="18"/>
                <w:szCs w:val="18"/>
              </w:rPr>
            </w:pPr>
            <w:r>
              <w:rPr>
                <w:rFonts w:ascii="Times New Roman"/>
                <w:spacing w:val="-1"/>
                <w:sz w:val="18"/>
              </w:rPr>
              <w:t>10,715,974.42</w:t>
            </w:r>
          </w:p>
        </w:tc>
        <w:tc>
          <w:tcPr>
            <w:tcW w:w="2280" w:type="dxa"/>
            <w:tcBorders>
              <w:top w:val="single" w:sz="12" w:space="0" w:color="000000"/>
              <w:left w:val="single" w:sz="6" w:space="0" w:color="000000"/>
              <w:bottom w:val="single" w:sz="12" w:space="0" w:color="000000"/>
              <w:right w:val="single" w:sz="6" w:space="0" w:color="000000"/>
            </w:tcBorders>
          </w:tcPr>
          <w:p>
            <w:pPr/>
          </w:p>
        </w:tc>
        <w:tc>
          <w:tcPr>
            <w:tcW w:w="22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7"/>
              <w:ind w:right="3"/>
              <w:jc w:val="right"/>
              <w:rPr>
                <w:rFonts w:ascii="Times New Roman" w:hAnsi="Times New Roman" w:cs="Times New Roman" w:eastAsia="Times New Roman" w:hint="default"/>
                <w:sz w:val="18"/>
                <w:szCs w:val="18"/>
              </w:rPr>
            </w:pPr>
            <w:r>
              <w:rPr>
                <w:rFonts w:ascii="Times New Roman"/>
                <w:spacing w:val="-1"/>
                <w:sz w:val="18"/>
              </w:rPr>
              <w:t>10,715,974.42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6"/>
        <w:ind w:right="0"/>
        <w:jc w:val="left"/>
        <w:rPr>
          <w:b w:val="0"/>
          <w:bCs w:val="0"/>
        </w:rPr>
      </w:pPr>
      <w:bookmarkStart w:name="十六、母公司财务报表主要项目注释" w:id="375"/>
      <w:bookmarkEnd w:id="375"/>
      <w:r>
        <w:rPr>
          <w:b w:val="0"/>
          <w:bCs w:val="0"/>
        </w:rPr>
      </w:r>
      <w:r>
        <w:rPr/>
        <w:t>十六、母公司财务报表主要项目注释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其他应收款" w:id="376"/>
      <w:bookmarkEnd w:id="376"/>
      <w:r>
        <w:rPr>
          <w:b w:val="0"/>
          <w:bCs w:val="0"/>
        </w:rPr>
      </w:r>
      <w:r>
        <w:rPr>
          <w:rFonts w:ascii="Times New Roman" w:hAnsi="Times New Roman" w:cs="Times New Roman" w:eastAsia="Times New Roman" w:hint="default"/>
        </w:rPr>
        <w:t>1</w:t>
      </w:r>
      <w:r>
        <w:rPr/>
        <w:t>、其他应收款</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333,200,000.00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282,106,712.13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207,489,194.42</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382,106,712.13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540,689,194.42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1）应收股利" w:id="377"/>
      <w:bookmarkEnd w:id="377"/>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1）应收股利分类" w:id="378"/>
      <w:bookmarkEnd w:id="378"/>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华夏视觉</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北京</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文化发展有限公司</w:t>
            </w:r>
          </w:p>
        </w:tc>
        <w:tc>
          <w:tcPr>
            <w:tcW w:w="3189"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108,200,000.00</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北京汉华易美图片有限公司</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100,000,000.00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225,000,000.00</w:t>
            </w:r>
          </w:p>
        </w:tc>
      </w:tr>
      <w:tr>
        <w:trPr>
          <w:trHeight w:val="40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100,000,000.00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333,200,000.00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4"/>
        <w:spacing w:line="240" w:lineRule="auto" w:before="36"/>
        <w:ind w:right="0"/>
        <w:jc w:val="left"/>
        <w:rPr>
          <w:b w:val="0"/>
          <w:bCs w:val="0"/>
        </w:rPr>
      </w:pPr>
      <w:bookmarkStart w:name="（2）其他应收款" w:id="379"/>
      <w:bookmarkEnd w:id="379"/>
      <w:r>
        <w:rPr>
          <w:b w:val="0"/>
          <w:bCs w:val="0"/>
        </w:rPr>
      </w:r>
      <w:r>
        <w:rPr/>
        <w:t>（</w:t>
      </w:r>
      <w:r>
        <w:rPr>
          <w:rFonts w:ascii="Times New Roman" w:hAnsi="Times New Roman" w:cs="Times New Roman" w:eastAsia="Times New Roman" w:hint="default"/>
        </w:rPr>
        <w:t>2</w:t>
      </w:r>
      <w:r>
        <w:rPr/>
        <w:t>）其他应收款</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1）其他应收款按款项性质分类情况" w:id="380"/>
      <w:bookmarkEnd w:id="380"/>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277,447,319.77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197,217,319.77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32,420.00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拆迁补偿款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4,659,392.36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1,668,230.16</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其他应收款坏账准备</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-3,428,775.51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282,106,712.13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207,489,194.42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坏账准备计提情况" w:id="381"/>
      <w:bookmarkEnd w:id="381"/>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4"/>
        <w:gridCol w:w="1662"/>
        <w:gridCol w:w="2098"/>
        <w:gridCol w:w="2103"/>
        <w:gridCol w:w="1800"/>
      </w:tblGrid>
      <w:tr>
        <w:trPr>
          <w:trHeight w:val="399" w:hRule="exact"/>
        </w:trPr>
        <w:tc>
          <w:tcPr>
            <w:tcW w:w="18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4"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5" w:hRule="exact"/>
        </w:trPr>
        <w:tc>
          <w:tcPr>
            <w:tcW w:w="18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
              <w:ind w:left="5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2" w:type="dxa"/>
            <w:vMerge w:val="restart"/>
            <w:tcBorders>
              <w:top w:val="single" w:sz="4" w:space="0" w:color="000000"/>
              <w:left w:val="single" w:sz="4" w:space="0" w:color="000000"/>
              <w:right w:val="single" w:sz="4" w:space="0" w:color="000000"/>
            </w:tcBorders>
            <w:shd w:val="clear" w:color="auto" w:fill="D2D2D2"/>
          </w:tcPr>
          <w:p>
            <w:pPr>
              <w:pStyle w:val="TableParagraph"/>
              <w:spacing w:line="304" w:lineRule="auto" w:before="53"/>
              <w:ind w:left="561" w:right="51" w:hanging="50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w:t>
            </w:r>
            <w:r>
              <w:rPr>
                <w:rFonts w:ascii="宋体" w:hAnsi="宋体" w:cs="宋体" w:eastAsia="宋体" w:hint="default"/>
                <w:w w:val="101"/>
                <w:sz w:val="18"/>
                <w:szCs w:val="18"/>
              </w:rPr>
              <w:t> </w:t>
            </w:r>
            <w:r>
              <w:rPr>
                <w:rFonts w:ascii="宋体" w:hAnsi="宋体" w:cs="宋体" w:eastAsia="宋体" w:hint="default"/>
                <w:sz w:val="18"/>
                <w:szCs w:val="18"/>
              </w:rPr>
              <w:t>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81"/>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未发生信用减值</w:t>
            </w:r>
            <w:r>
              <w:rPr>
                <w:rFonts w:ascii="Times New Roman" w:hAnsi="Times New Roman" w:cs="Times New Roman" w:eastAsia="Times New Roman" w:hint="default"/>
                <w:spacing w:val="-3"/>
                <w:sz w:val="18"/>
                <w:szCs w:val="18"/>
              </w:rPr>
              <w:t>)</w:t>
            </w:r>
          </w:p>
        </w:tc>
        <w:tc>
          <w:tcPr>
            <w:tcW w:w="21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8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已发生信用减值</w:t>
            </w:r>
            <w:r>
              <w:rPr>
                <w:rFonts w:ascii="Times New Roman" w:hAnsi="Times New Roman" w:cs="Times New Roman" w:eastAsia="Times New Roman" w:hint="default"/>
                <w:spacing w:val="-3"/>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
              <w:ind w:left="715"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0" w:hRule="exact"/>
        </w:trPr>
        <w:tc>
          <w:tcPr>
            <w:tcW w:w="18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2"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3" w:type="dxa"/>
            <w:vMerge/>
            <w:tcBorders>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62" w:type="dxa"/>
            <w:tcBorders>
              <w:top w:val="single" w:sz="4" w:space="0" w:color="000000"/>
              <w:left w:val="single" w:sz="8"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3,428,775.51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3,428,775.51</w:t>
            </w:r>
          </w:p>
        </w:tc>
      </w:tr>
      <w:tr>
        <w:trPr>
          <w:trHeight w:val="158" w:hRule="exact"/>
        </w:trPr>
        <w:tc>
          <w:tcPr>
            <w:tcW w:w="1894"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4"/>
              <w:ind w:left="11"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日余额在</w:t>
            </w:r>
            <w:r>
              <w:rPr>
                <w:rFonts w:ascii="宋体" w:hAnsi="宋体" w:cs="宋体" w:eastAsia="宋体" w:hint="default"/>
                <w:w w:val="101"/>
                <w:sz w:val="18"/>
                <w:szCs w:val="18"/>
              </w:rPr>
              <w:t> </w:t>
            </w:r>
            <w:r>
              <w:rPr>
                <w:rFonts w:ascii="宋体" w:hAnsi="宋体" w:cs="宋体" w:eastAsia="宋体" w:hint="default"/>
                <w:sz w:val="18"/>
                <w:szCs w:val="18"/>
              </w:rPr>
              <w:t>本期</w:t>
            </w:r>
          </w:p>
        </w:tc>
        <w:tc>
          <w:tcPr>
            <w:tcW w:w="1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894" w:type="dxa"/>
            <w:vMerge/>
            <w:tcBorders>
              <w:left w:val="single" w:sz="4" w:space="0" w:color="000000"/>
              <w:right w:val="single" w:sz="4" w:space="0" w:color="000000"/>
            </w:tcBorders>
            <w:shd w:val="clear" w:color="auto" w:fill="D2D2D2"/>
          </w:tcPr>
          <w:p>
            <w:pPr/>
          </w:p>
        </w:tc>
        <w:tc>
          <w:tcPr>
            <w:tcW w:w="16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7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3" w:hRule="exact"/>
        </w:trPr>
        <w:tc>
          <w:tcPr>
            <w:tcW w:w="1894" w:type="dxa"/>
            <w:vMerge/>
            <w:tcBorders>
              <w:left w:val="single" w:sz="4" w:space="0" w:color="000000"/>
              <w:bottom w:val="single" w:sz="4" w:space="0" w:color="000000"/>
              <w:right w:val="single" w:sz="4" w:space="0" w:color="000000"/>
            </w:tcBorders>
            <w:shd w:val="clear" w:color="auto" w:fill="D2D2D2"/>
          </w:tcPr>
          <w:p>
            <w:pPr/>
          </w:p>
        </w:tc>
        <w:tc>
          <w:tcPr>
            <w:tcW w:w="1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2" w:type="dxa"/>
            <w:tcBorders>
              <w:top w:val="single" w:sz="4" w:space="0" w:color="000000"/>
              <w:left w:val="single" w:sz="8"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-428,775.51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-428,775.51</w:t>
            </w: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62" w:type="dxa"/>
            <w:tcBorders>
              <w:top w:val="single" w:sz="4" w:space="0" w:color="000000"/>
              <w:left w:val="single" w:sz="8"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-59,980.00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-59,980.00</w:t>
            </w:r>
          </w:p>
        </w:tc>
      </w:tr>
      <w:tr>
        <w:trPr>
          <w:trHeight w:val="404"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62" w:type="dxa"/>
            <w:tcBorders>
              <w:top w:val="single" w:sz="4" w:space="0" w:color="000000"/>
              <w:left w:val="single" w:sz="8"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-2,940,020.00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-2,940,020.00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损失准备本期变动金额重大的账面余额变动情况</w:t>
      </w:r>
    </w:p>
    <w:p>
      <w:pPr>
        <w:spacing w:line="338" w:lineRule="auto" w:before="119"/>
        <w:ind w:left="153" w:right="1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937" w:space="4894"/>
            <w:col w:w="2099"/>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399"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183,239,162.20</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97,216,319.77</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1,651,230.16</w:t>
            </w:r>
          </w:p>
        </w:tc>
      </w:tr>
      <w:tr>
        <w:trPr>
          <w:trHeight w:val="399"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282,106,712.13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5"/>
          <w:szCs w:val="25"/>
        </w:rPr>
      </w:pPr>
    </w:p>
    <w:p>
      <w:pPr>
        <w:pStyle w:val="Heading4"/>
        <w:spacing w:line="240" w:lineRule="auto" w:before="36"/>
        <w:ind w:right="0"/>
        <w:jc w:val="left"/>
        <w:rPr>
          <w:b w:val="0"/>
          <w:bCs w:val="0"/>
        </w:rPr>
      </w:pPr>
      <w:bookmarkStart w:name="3）本期计提、收回或转回的坏账准备情况" w:id="382"/>
      <w:bookmarkEnd w:id="382"/>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2"/>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本期计提坏账准备情况：</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80"/>
        <w:gridCol w:w="1085"/>
        <w:gridCol w:w="1335"/>
        <w:gridCol w:w="1330"/>
        <w:gridCol w:w="1090"/>
        <w:gridCol w:w="1575"/>
        <w:gridCol w:w="1580"/>
      </w:tblGrid>
      <w:tr>
        <w:trPr>
          <w:trHeight w:val="401"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085" w:type="dxa"/>
            <w:vMerge/>
            <w:tcBorders>
              <w:left w:val="single" w:sz="4" w:space="0" w:color="000000"/>
              <w:bottom w:val="single" w:sz="4" w:space="0" w:color="000000"/>
              <w:right w:val="single" w:sz="4" w:space="0" w:color="000000"/>
            </w:tcBorders>
            <w:shd w:val="clear" w:color="auto" w:fill="D2D2D2"/>
          </w:tcPr>
          <w:p>
            <w:pP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80"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99"/>
              <w:jc w:val="left"/>
              <w:rPr>
                <w:rFonts w:ascii="宋体" w:hAnsi="宋体" w:cs="宋体" w:eastAsia="宋体" w:hint="default"/>
                <w:sz w:val="18"/>
                <w:szCs w:val="18"/>
              </w:rPr>
            </w:pPr>
            <w:r>
              <w:rPr>
                <w:rFonts w:ascii="宋体" w:hAnsi="宋体" w:cs="宋体" w:eastAsia="宋体" w:hint="default"/>
                <w:spacing w:val="-2"/>
                <w:sz w:val="18"/>
                <w:szCs w:val="18"/>
              </w:rPr>
              <w:t>按单项计提坏账准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备的其他应收款</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-59,980.00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-2,940,020.00</w:t>
            </w:r>
          </w:p>
        </w:tc>
        <w:tc>
          <w:tcPr>
            <w:tcW w:w="157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99"/>
              <w:jc w:val="left"/>
              <w:rPr>
                <w:rFonts w:ascii="宋体" w:hAnsi="宋体" w:cs="宋体" w:eastAsia="宋体" w:hint="default"/>
                <w:sz w:val="18"/>
                <w:szCs w:val="18"/>
              </w:rPr>
            </w:pPr>
            <w:r>
              <w:rPr>
                <w:rFonts w:ascii="宋体" w:hAnsi="宋体" w:cs="宋体" w:eastAsia="宋体" w:hint="default"/>
                <w:spacing w:val="-2"/>
                <w:sz w:val="18"/>
                <w:szCs w:val="18"/>
              </w:rPr>
              <w:t>按组合计提坏账准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备的其他应收款</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428,775.51</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-428,775.51</w:t>
            </w:r>
          </w:p>
        </w:tc>
        <w:tc>
          <w:tcPr>
            <w:tcW w:w="13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3,428,775.51</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-428,775.51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-59,980.00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2" w:right="0"/>
              <w:jc w:val="center"/>
              <w:rPr>
                <w:rFonts w:ascii="Times New Roman" w:hAnsi="Times New Roman" w:cs="Times New Roman" w:eastAsia="Times New Roman" w:hint="default"/>
                <w:sz w:val="18"/>
                <w:szCs w:val="18"/>
              </w:rPr>
            </w:pPr>
            <w:r>
              <w:rPr>
                <w:rFonts w:ascii="Times New Roman"/>
                <w:sz w:val="18"/>
              </w:rPr>
              <w:t>-2,940,020.00</w:t>
            </w:r>
          </w:p>
        </w:tc>
        <w:tc>
          <w:tcPr>
            <w:tcW w:w="157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其中本期坏账准备转回或收回金额重要的：</w:t>
      </w:r>
    </w:p>
    <w:p>
      <w:pPr>
        <w:spacing w:before="12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0" w:right="0"/>
              <w:jc w:val="left"/>
              <w:rPr>
                <w:rFonts w:ascii="宋体" w:hAnsi="宋体" w:cs="宋体" w:eastAsia="宋体" w:hint="default"/>
                <w:sz w:val="18"/>
                <w:szCs w:val="18"/>
              </w:rPr>
            </w:pPr>
            <w:r>
              <w:rPr>
                <w:rFonts w:ascii="宋体" w:hAnsi="宋体" w:cs="宋体" w:eastAsia="宋体" w:hint="default"/>
                <w:spacing w:val="-3"/>
                <w:sz w:val="18"/>
                <w:szCs w:val="18"/>
              </w:rPr>
              <w:t>转回或收回金额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4）按欠款方归集的期末余额前五名的其他应收款情况" w:id="383"/>
      <w:bookmarkEnd w:id="383"/>
      <w:r>
        <w:rPr>
          <w:b w:val="0"/>
          <w:bCs w:val="0"/>
        </w:rPr>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1"/>
        <w:gridCol w:w="1556"/>
        <w:gridCol w:w="1613"/>
        <w:gridCol w:w="1618"/>
      </w:tblGrid>
      <w:tr>
        <w:trPr>
          <w:trHeight w:val="710"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81" w:right="75"/>
              <w:jc w:val="left"/>
              <w:rPr>
                <w:rFonts w:ascii="宋体" w:hAnsi="宋体" w:cs="宋体" w:eastAsia="宋体" w:hint="default"/>
                <w:sz w:val="18"/>
                <w:szCs w:val="18"/>
              </w:rPr>
            </w:pPr>
            <w:r>
              <w:rPr>
                <w:rFonts w:ascii="宋体" w:hAnsi="宋体" w:cs="宋体" w:eastAsia="宋体" w:hint="default"/>
                <w:spacing w:val="-2"/>
                <w:sz w:val="18"/>
                <w:szCs w:val="18"/>
              </w:rPr>
              <w:t>占其他应收款期末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余额合计数的比例</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27"/>
              <w:jc w:val="left"/>
              <w:rPr>
                <w:rFonts w:ascii="宋体" w:hAnsi="宋体" w:cs="宋体" w:eastAsia="宋体" w:hint="default"/>
                <w:sz w:val="18"/>
                <w:szCs w:val="18"/>
              </w:rPr>
            </w:pPr>
            <w:r>
              <w:rPr>
                <w:rFonts w:ascii="宋体" w:hAnsi="宋体" w:cs="宋体" w:eastAsia="宋体" w:hint="default"/>
                <w:spacing w:val="-3"/>
                <w:sz w:val="18"/>
                <w:szCs w:val="18"/>
              </w:rPr>
              <w:t>常州远东文化产业有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150,254,319.77</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53.26%</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4" w:right="84"/>
              <w:jc w:val="left"/>
              <w:rPr>
                <w:rFonts w:ascii="宋体" w:hAnsi="宋体" w:cs="宋体" w:eastAsia="宋体" w:hint="default"/>
                <w:sz w:val="18"/>
                <w:szCs w:val="18"/>
              </w:rPr>
            </w:pPr>
            <w:r>
              <w:rPr>
                <w:rFonts w:ascii="宋体" w:hAnsi="宋体" w:cs="宋体" w:eastAsia="宋体" w:hint="default"/>
                <w:spacing w:val="-2"/>
                <w:sz w:val="18"/>
                <w:szCs w:val="18"/>
              </w:rPr>
              <w:t>汉华易美</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天津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图像</w:t>
            </w:r>
            <w:r>
              <w:rPr>
                <w:rFonts w:ascii="宋体" w:hAnsi="宋体" w:cs="宋体" w:eastAsia="宋体" w:hint="default"/>
                <w:spacing w:val="-67"/>
                <w:sz w:val="18"/>
                <w:szCs w:val="18"/>
              </w:rPr>
              <w:t> </w:t>
            </w:r>
            <w:r>
              <w:rPr>
                <w:rFonts w:ascii="宋体" w:hAnsi="宋体" w:cs="宋体" w:eastAsia="宋体" w:hint="default"/>
                <w:sz w:val="18"/>
                <w:szCs w:val="18"/>
              </w:rPr>
              <w:t>技术有限公司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92,430,000.00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32.76%</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84"/>
              <w:jc w:val="left"/>
              <w:rPr>
                <w:rFonts w:ascii="宋体" w:hAnsi="宋体" w:cs="宋体" w:eastAsia="宋体" w:hint="default"/>
                <w:sz w:val="18"/>
                <w:szCs w:val="18"/>
              </w:rPr>
            </w:pPr>
            <w:r>
              <w:rPr>
                <w:rFonts w:ascii="宋体" w:hAnsi="宋体" w:cs="宋体" w:eastAsia="宋体" w:hint="default"/>
                <w:spacing w:val="-2"/>
                <w:sz w:val="18"/>
                <w:szCs w:val="18"/>
              </w:rPr>
              <w:t>华盖创意</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天津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视讯</w:t>
            </w:r>
            <w:r>
              <w:rPr>
                <w:rFonts w:ascii="宋体" w:hAnsi="宋体" w:cs="宋体" w:eastAsia="宋体" w:hint="default"/>
                <w:spacing w:val="-67"/>
                <w:sz w:val="18"/>
                <w:szCs w:val="18"/>
              </w:rPr>
              <w:t> </w:t>
            </w:r>
            <w:r>
              <w:rPr>
                <w:rFonts w:ascii="宋体" w:hAnsi="宋体" w:cs="宋体" w:eastAsia="宋体" w:hint="default"/>
                <w:sz w:val="18"/>
                <w:szCs w:val="18"/>
              </w:rPr>
              <w:t>科技有限公司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30,000,000.00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10.63%</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26"/>
              <w:jc w:val="left"/>
              <w:rPr>
                <w:rFonts w:ascii="宋体" w:hAnsi="宋体" w:cs="宋体" w:eastAsia="宋体" w:hint="default"/>
                <w:sz w:val="18"/>
                <w:szCs w:val="18"/>
              </w:rPr>
            </w:pPr>
            <w:r>
              <w:rPr>
                <w:rFonts w:ascii="宋体" w:hAnsi="宋体" w:cs="宋体" w:eastAsia="宋体" w:hint="default"/>
                <w:spacing w:val="-3"/>
                <w:sz w:val="18"/>
                <w:szCs w:val="18"/>
              </w:rPr>
              <w:t>常州视觉家信息技术</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咨询有限公司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4,763,000.00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1.69%</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27"/>
              <w:jc w:val="left"/>
              <w:rPr>
                <w:rFonts w:ascii="宋体" w:hAnsi="宋体" w:cs="宋体" w:eastAsia="宋体" w:hint="default"/>
                <w:sz w:val="18"/>
                <w:szCs w:val="18"/>
              </w:rPr>
            </w:pPr>
            <w:r>
              <w:rPr>
                <w:rFonts w:ascii="宋体" w:hAnsi="宋体" w:cs="宋体" w:eastAsia="宋体" w:hint="default"/>
                <w:spacing w:val="-3"/>
                <w:sz w:val="18"/>
                <w:szCs w:val="18"/>
              </w:rPr>
              <w:t>北京英赫世纪置业有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4,144,446.00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1.47%</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281,591,765.77</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99.81%</w:t>
            </w:r>
          </w:p>
        </w:tc>
        <w:tc>
          <w:tcPr>
            <w:tcW w:w="16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长期股权投资" w:id="384"/>
      <w:bookmarkEnd w:id="384"/>
      <w:r>
        <w:rPr>
          <w:b w:val="0"/>
          <w:bCs w:val="0"/>
        </w:rPr>
      </w:r>
      <w:r>
        <w:rPr>
          <w:rFonts w:ascii="Times New Roman" w:hAnsi="Times New Roman" w:cs="Times New Roman" w:eastAsia="Times New Roman" w:hint="default"/>
        </w:rPr>
        <w:t>2</w:t>
      </w:r>
      <w:r>
        <w:rPr/>
        <w:t>、长期股权投资</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6"/>
        <w:gridCol w:w="1368"/>
        <w:gridCol w:w="1369"/>
        <w:gridCol w:w="1368"/>
        <w:gridCol w:w="1364"/>
        <w:gridCol w:w="1369"/>
        <w:gridCol w:w="1357"/>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87"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4105" w:type="dxa"/>
            <w:gridSpan w:val="3"/>
            <w:vMerge/>
            <w:tcBorders>
              <w:left w:val="single" w:sz="4" w:space="0" w:color="000000"/>
              <w:bottom w:val="single" w:sz="4" w:space="0" w:color="000000"/>
              <w:right w:val="single" w:sz="4" w:space="0" w:color="000000"/>
            </w:tcBorders>
            <w:shd w:val="clear" w:color="auto" w:fill="D2D2D2"/>
          </w:tcPr>
          <w:p>
            <w:pPr/>
          </w:p>
        </w:tc>
        <w:tc>
          <w:tcPr>
            <w:tcW w:w="4089"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5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64" w:right="0"/>
              <w:jc w:val="left"/>
              <w:rPr>
                <w:rFonts w:ascii="Times New Roman" w:hAnsi="Times New Roman" w:cs="Times New Roman" w:eastAsia="Times New Roman" w:hint="default"/>
                <w:sz w:val="18"/>
                <w:szCs w:val="18"/>
              </w:rPr>
            </w:pPr>
            <w:r>
              <w:rPr>
                <w:rFonts w:ascii="Times New Roman"/>
                <w:sz w:val="18"/>
              </w:rPr>
              <w:t>2,681,130,000.00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2,681,130,000.00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2,681,130,000.00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pacing w:val="-2"/>
                <w:sz w:val="18"/>
              </w:rPr>
              <w:t>2,681,130,000.00</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57"/>
        <w:gridCol w:w="1380"/>
        <w:gridCol w:w="1369"/>
        <w:gridCol w:w="1368"/>
        <w:gridCol w:w="1364"/>
        <w:gridCol w:w="1369"/>
        <w:gridCol w:w="1369"/>
      </w:tblGrid>
      <w:tr>
        <w:trPr>
          <w:trHeight w:val="715"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58"/>
              <w:jc w:val="left"/>
              <w:rPr>
                <w:rFonts w:ascii="宋体" w:hAnsi="宋体" w:cs="宋体" w:eastAsia="宋体" w:hint="default"/>
                <w:sz w:val="18"/>
                <w:szCs w:val="18"/>
              </w:rPr>
            </w:pPr>
            <w:r>
              <w:rPr>
                <w:rFonts w:ascii="宋体" w:hAnsi="宋体" w:cs="宋体" w:eastAsia="宋体" w:hint="default"/>
                <w:spacing w:val="-3"/>
                <w:sz w:val="18"/>
                <w:szCs w:val="18"/>
              </w:rPr>
              <w:t>对联营、合营企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业投资</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14,630,711.82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14,630,711.82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131,735,716.21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131,735,716.21</w:t>
            </w:r>
          </w:p>
        </w:tc>
      </w:tr>
      <w:tr>
        <w:trPr>
          <w:trHeight w:val="40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2,695,760,711.82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2,695,760,711.82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2,812,865,716.21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2,812,865,716.21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1）对子公司投资" w:id="385"/>
      <w:bookmarkEnd w:id="385"/>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68"/>
        <w:gridCol w:w="1167"/>
        <w:gridCol w:w="1167"/>
        <w:gridCol w:w="1167"/>
        <w:gridCol w:w="1167"/>
        <w:gridCol w:w="1210"/>
        <w:gridCol w:w="1215"/>
        <w:gridCol w:w="1215"/>
      </w:tblGrid>
      <w:tr>
        <w:trPr>
          <w:trHeight w:val="404"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101"/>
              <w:ind w:left="278" w:right="95" w:hanging="183"/>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期初余额</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账</w:t>
            </w:r>
            <w:r>
              <w:rPr>
                <w:rFonts w:ascii="宋体" w:hAnsi="宋体" w:cs="宋体" w:eastAsia="宋体" w:hint="default"/>
                <w:spacing w:val="-75"/>
                <w:sz w:val="18"/>
                <w:szCs w:val="18"/>
              </w:rPr>
              <w:t> </w:t>
            </w:r>
            <w:r>
              <w:rPr>
                <w:rFonts w:ascii="宋体" w:hAnsi="宋体" w:cs="宋体" w:eastAsia="宋体" w:hint="default"/>
                <w:sz w:val="18"/>
                <w:szCs w:val="18"/>
              </w:rPr>
              <w:t>面价值</w:t>
            </w:r>
            <w:r>
              <w:rPr>
                <w:rFonts w:ascii="Times New Roman" w:hAnsi="Times New Roman" w:cs="Times New Roman" w:eastAsia="Times New Roman" w:hint="default"/>
                <w:sz w:val="18"/>
                <w:szCs w:val="18"/>
              </w:rPr>
              <w:t>)</w:t>
            </w:r>
          </w:p>
        </w:tc>
        <w:tc>
          <w:tcPr>
            <w:tcW w:w="471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101"/>
              <w:ind w:left="393" w:right="33" w:hanging="36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期末余额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账面</w:t>
            </w:r>
            <w:r>
              <w:rPr>
                <w:rFonts w:ascii="宋体" w:hAnsi="宋体" w:cs="宋体" w:eastAsia="宋体" w:hint="default"/>
                <w:spacing w:val="-73"/>
                <w:sz w:val="18"/>
                <w:szCs w:val="18"/>
              </w:rPr>
              <w:t> </w:t>
            </w:r>
            <w:r>
              <w:rPr>
                <w:rFonts w:ascii="宋体" w:hAnsi="宋体" w:cs="宋体" w:eastAsia="宋体" w:hint="default"/>
                <w:sz w:val="18"/>
                <w:szCs w:val="18"/>
              </w:rPr>
              <w:t>价值</w:t>
            </w:r>
            <w:r>
              <w:rPr>
                <w:rFonts w:ascii="Times New Roman" w:hAnsi="Times New Roman" w:cs="Times New Roman" w:eastAsia="Times New Roman" w:hint="default"/>
                <w:sz w:val="18"/>
                <w:szCs w:val="18"/>
              </w:rPr>
              <w:t>)</w:t>
            </w:r>
          </w:p>
        </w:tc>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422" w:right="55" w:hanging="360"/>
              <w:jc w:val="left"/>
              <w:rPr>
                <w:rFonts w:ascii="宋体" w:hAnsi="宋体" w:cs="宋体" w:eastAsia="宋体" w:hint="default"/>
                <w:sz w:val="18"/>
                <w:szCs w:val="18"/>
              </w:rPr>
            </w:pPr>
            <w:r>
              <w:rPr>
                <w:rFonts w:ascii="宋体" w:hAnsi="宋体" w:cs="宋体" w:eastAsia="宋体" w:hint="default"/>
                <w:spacing w:val="-2"/>
                <w:sz w:val="18"/>
                <w:szCs w:val="18"/>
              </w:rPr>
              <w:t>减值准备期末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r>
      <w:tr>
        <w:trPr>
          <w:trHeight w:val="403"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6"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5"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5" w:type="dxa"/>
            <w:vMerge/>
            <w:tcBorders>
              <w:left w:val="single" w:sz="4" w:space="0" w:color="000000"/>
              <w:bottom w:val="single" w:sz="4" w:space="0" w:color="000000"/>
              <w:right w:val="single" w:sz="4" w:space="0" w:color="000000"/>
            </w:tcBorders>
            <w:shd w:val="clear" w:color="auto" w:fill="D2D2D2"/>
          </w:tcPr>
          <w:p>
            <w:pPr/>
          </w:p>
        </w:tc>
        <w:tc>
          <w:tcPr>
            <w:tcW w:w="1215" w:type="dxa"/>
            <w:vMerge/>
            <w:tcBorders>
              <w:left w:val="single" w:sz="4" w:space="0" w:color="000000"/>
              <w:bottom w:val="single" w:sz="4" w:space="0" w:color="000000"/>
              <w:right w:val="single" w:sz="4" w:space="0" w:color="000000"/>
            </w:tcBorders>
            <w:shd w:val="clear" w:color="auto" w:fill="D2D2D2"/>
          </w:tcPr>
          <w:p>
            <w:pPr/>
          </w:p>
        </w:tc>
      </w:tr>
      <w:tr>
        <w:trPr>
          <w:trHeight w:val="1022"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4" w:right="28"/>
              <w:jc w:val="left"/>
              <w:rPr>
                <w:rFonts w:ascii="宋体" w:hAnsi="宋体" w:cs="宋体" w:eastAsia="宋体" w:hint="default"/>
                <w:sz w:val="18"/>
                <w:szCs w:val="18"/>
              </w:rPr>
            </w:pPr>
            <w:r>
              <w:rPr>
                <w:rFonts w:ascii="宋体" w:hAnsi="宋体" w:cs="宋体" w:eastAsia="宋体" w:hint="default"/>
                <w:spacing w:val="-2"/>
                <w:sz w:val="18"/>
                <w:szCs w:val="18"/>
              </w:rPr>
              <w:t>华夏视觉</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北京</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文化发展有限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1,205,560,000.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1,205,560,000.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4" w:right="147"/>
              <w:jc w:val="left"/>
              <w:rPr>
                <w:rFonts w:ascii="宋体" w:hAnsi="宋体" w:cs="宋体" w:eastAsia="宋体" w:hint="default"/>
                <w:sz w:val="18"/>
                <w:szCs w:val="18"/>
              </w:rPr>
            </w:pPr>
            <w:r>
              <w:rPr>
                <w:rFonts w:ascii="宋体" w:hAnsi="宋体" w:cs="宋体" w:eastAsia="宋体" w:hint="default"/>
                <w:spacing w:val="-2"/>
                <w:sz w:val="18"/>
                <w:szCs w:val="18"/>
              </w:rPr>
              <w:t>北京汉华易美</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图片有限公司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spacing w:val="-1"/>
                <w:sz w:val="18"/>
              </w:rPr>
              <w:t>1,325,570,000.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spacing w:val="-1"/>
                <w:sz w:val="18"/>
              </w:rPr>
              <w:t>1,325,570,000.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常州远东文化</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发展有限公司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150,000,000.0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150,000,000.00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2,681,130,000.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2,681,130,000.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2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对联营、合营企业投资" w:id="386"/>
      <w:bookmarkEnd w:id="386"/>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404"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2" w:lineRule="auto"/>
              <w:ind w:left="33" w:right="26"/>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期初余额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63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2" w:lineRule="auto"/>
              <w:ind w:left="33" w:right="27"/>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期末余额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33" w:right="26"/>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期末余额</w:t>
            </w:r>
          </w:p>
        </w:tc>
      </w:tr>
      <w:tr>
        <w:trPr>
          <w:trHeight w:val="1027"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33" w:right="27"/>
              <w:jc w:val="both"/>
              <w:rPr>
                <w:rFonts w:ascii="宋体" w:hAnsi="宋体" w:cs="宋体" w:eastAsia="宋体" w:hint="default"/>
                <w:sz w:val="18"/>
                <w:szCs w:val="18"/>
              </w:rPr>
            </w:pPr>
            <w:r>
              <w:rPr>
                <w:rFonts w:ascii="宋体" w:hAnsi="宋体" w:cs="宋体" w:eastAsia="宋体" w:hint="default"/>
                <w:sz w:val="18"/>
                <w:szCs w:val="18"/>
              </w:rPr>
              <w:t>权益法下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确认的投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资损益</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收益调整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15" w:right="26" w:hanging="183"/>
              <w:jc w:val="left"/>
              <w:rPr>
                <w:rFonts w:ascii="宋体" w:hAnsi="宋体" w:cs="宋体" w:eastAsia="宋体" w:hint="default"/>
                <w:sz w:val="18"/>
                <w:szCs w:val="18"/>
              </w:rPr>
            </w:pPr>
            <w:r>
              <w:rPr>
                <w:rFonts w:ascii="宋体" w:hAnsi="宋体" w:cs="宋体" w:eastAsia="宋体" w:hint="default"/>
                <w:sz w:val="18"/>
                <w:szCs w:val="18"/>
              </w:rPr>
              <w:t>其他权益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33" w:right="27"/>
              <w:jc w:val="both"/>
              <w:rPr>
                <w:rFonts w:ascii="宋体" w:hAnsi="宋体" w:cs="宋体" w:eastAsia="宋体" w:hint="default"/>
                <w:sz w:val="18"/>
                <w:szCs w:val="18"/>
              </w:rPr>
            </w:pPr>
            <w:r>
              <w:rPr>
                <w:rFonts w:ascii="宋体" w:hAnsi="宋体" w:cs="宋体" w:eastAsia="宋体" w:hint="default"/>
                <w:sz w:val="18"/>
                <w:szCs w:val="18"/>
              </w:rPr>
              <w:t>宣告发放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现金股利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或利润</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15" w:right="27" w:hanging="183"/>
              <w:jc w:val="left"/>
              <w:rPr>
                <w:rFonts w:ascii="宋体" w:hAnsi="宋体" w:cs="宋体" w:eastAsia="宋体" w:hint="default"/>
                <w:sz w:val="18"/>
                <w:szCs w:val="18"/>
              </w:rPr>
            </w:pPr>
            <w:r>
              <w:rPr>
                <w:rFonts w:ascii="宋体" w:hAnsi="宋体" w:cs="宋体" w:eastAsia="宋体" w:hint="default"/>
                <w:sz w:val="18"/>
                <w:szCs w:val="18"/>
              </w:rPr>
              <w:t>计提减值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准备</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399"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5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北京华盖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映月影视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文化投资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管理有限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13,325,68</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7.75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-60,285.7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13,265,40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2.01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华融创新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投资股份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117,154,1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37.26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-1,033,74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4.03</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-116,120,</w:t>
            </w:r>
          </w:p>
          <w:p>
            <w:pPr>
              <w:pStyle w:val="TableParagraph"/>
              <w:spacing w:line="240" w:lineRule="auto" w:before="105"/>
              <w:ind w:left="254" w:right="0"/>
              <w:jc w:val="center"/>
              <w:rPr>
                <w:rFonts w:ascii="Times New Roman" w:hAnsi="Times New Roman" w:cs="Times New Roman" w:eastAsia="Times New Roman" w:hint="default"/>
                <w:sz w:val="18"/>
                <w:szCs w:val="18"/>
              </w:rPr>
            </w:pPr>
            <w:r>
              <w:rPr>
                <w:rFonts w:ascii="Times New Roman"/>
                <w:sz w:val="18"/>
              </w:rPr>
              <w:t>393.23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广东南方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视觉文化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传媒有限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1,255,891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109,418.6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1,365,309</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.81</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131,735,7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16.21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-984,611.</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16</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4" w:right="0"/>
              <w:jc w:val="center"/>
              <w:rPr>
                <w:rFonts w:ascii="Times New Roman" w:hAnsi="Times New Roman" w:cs="Times New Roman" w:eastAsia="Times New Roman" w:hint="default"/>
                <w:sz w:val="18"/>
                <w:szCs w:val="18"/>
              </w:rPr>
            </w:pPr>
            <w:r>
              <w:rPr>
                <w:rFonts w:ascii="Times New Roman"/>
                <w:sz w:val="18"/>
              </w:rPr>
              <w:t>-116,120,</w:t>
            </w:r>
          </w:p>
          <w:p>
            <w:pPr>
              <w:pStyle w:val="TableParagraph"/>
              <w:spacing w:line="240" w:lineRule="auto" w:before="105"/>
              <w:ind w:left="254" w:right="0"/>
              <w:jc w:val="center"/>
              <w:rPr>
                <w:rFonts w:ascii="Times New Roman" w:hAnsi="Times New Roman" w:cs="Times New Roman" w:eastAsia="Times New Roman" w:hint="default"/>
                <w:sz w:val="18"/>
                <w:szCs w:val="18"/>
              </w:rPr>
            </w:pPr>
            <w:r>
              <w:rPr>
                <w:rFonts w:ascii="Times New Roman"/>
                <w:sz w:val="18"/>
              </w:rPr>
              <w:t>393.23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14,630,71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1.82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131,735,7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16.21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-984,611.</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16</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4" w:right="0"/>
              <w:jc w:val="center"/>
              <w:rPr>
                <w:rFonts w:ascii="Times New Roman" w:hAnsi="Times New Roman" w:cs="Times New Roman" w:eastAsia="Times New Roman" w:hint="default"/>
                <w:sz w:val="18"/>
                <w:szCs w:val="18"/>
              </w:rPr>
            </w:pPr>
            <w:r>
              <w:rPr>
                <w:rFonts w:ascii="Times New Roman"/>
                <w:sz w:val="18"/>
              </w:rPr>
              <w:t>-116,120,</w:t>
            </w:r>
          </w:p>
          <w:p>
            <w:pPr>
              <w:pStyle w:val="TableParagraph"/>
              <w:spacing w:line="240" w:lineRule="auto" w:before="105"/>
              <w:ind w:left="254" w:right="0"/>
              <w:jc w:val="center"/>
              <w:rPr>
                <w:rFonts w:ascii="Times New Roman" w:hAnsi="Times New Roman" w:cs="Times New Roman" w:eastAsia="Times New Roman" w:hint="default"/>
                <w:sz w:val="18"/>
                <w:szCs w:val="18"/>
              </w:rPr>
            </w:pPr>
            <w:r>
              <w:rPr>
                <w:rFonts w:ascii="Times New Roman"/>
                <w:sz w:val="18"/>
              </w:rPr>
              <w:t>393.23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14,630,71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1.82</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营业收入和营业成本" w:id="387"/>
      <w:bookmarkEnd w:id="387"/>
      <w:r>
        <w:rPr>
          <w:b w:val="0"/>
          <w:bCs w:val="0"/>
        </w:rPr>
      </w:r>
      <w:r>
        <w:rPr>
          <w:rFonts w:ascii="Times New Roman" w:hAnsi="Times New Roman" w:cs="Times New Roman" w:eastAsia="Times New Roman" w:hint="default"/>
        </w:rPr>
        <w:t>3</w:t>
      </w:r>
      <w:r>
        <w:rPr/>
        <w:t>、营业收入和营业成本</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6"/>
        <w:gridCol w:w="1911"/>
        <w:gridCol w:w="1916"/>
      </w:tblGrid>
      <w:tr>
        <w:trPr>
          <w:trHeight w:val="207"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2" w:type="dxa"/>
            <w:gridSpan w:val="2"/>
            <w:vMerge/>
            <w:tcBorders>
              <w:left w:val="single" w:sz="4" w:space="0" w:color="000000"/>
              <w:bottom w:val="single" w:sz="4" w:space="0" w:color="000000"/>
              <w:right w:val="single" w:sz="4" w:space="0" w:color="000000"/>
            </w:tcBorders>
            <w:shd w:val="clear" w:color="auto" w:fill="D2D2D2"/>
          </w:tcPr>
          <w:p>
            <w:pP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7"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5,051,085.32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3,953,400.98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68,268.32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35,750.00</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14,006,769.55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10,830,416.00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148,207.54</w:t>
            </w:r>
          </w:p>
        </w:tc>
      </w:tr>
      <w:tr>
        <w:trPr>
          <w:trHeight w:val="40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19,057,854.87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3,953,400.98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10,898,684.32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183,957.54</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338" w:lineRule="auto" w:before="119"/>
        <w:ind w:left="153" w:right="93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w:t>
      </w:r>
      <w:r>
        <w:rPr>
          <w:rFonts w:ascii="宋体" w:hAnsi="宋体" w:cs="宋体" w:eastAsia="宋体" w:hint="default"/>
          <w:spacing w:val="-89"/>
          <w:sz w:val="18"/>
          <w:szCs w:val="18"/>
        </w:rPr>
        <w:t> </w:t>
      </w:r>
      <w:r>
        <w:rPr>
          <w:rFonts w:ascii="宋体" w:hAnsi="宋体" w:cs="宋体" w:eastAsia="宋体" w:hint="default"/>
          <w:sz w:val="18"/>
          <w:szCs w:val="18"/>
        </w:rPr>
        <w:t>其他说明：</w:t>
      </w:r>
    </w:p>
    <w:p>
      <w:pPr>
        <w:spacing w:line="240" w:lineRule="auto" w:before="9"/>
        <w:rPr>
          <w:rFonts w:ascii="宋体" w:hAnsi="宋体" w:cs="宋体" w:eastAsia="宋体" w:hint="default"/>
          <w:sz w:val="20"/>
          <w:szCs w:val="20"/>
        </w:rPr>
      </w:pPr>
    </w:p>
    <w:p>
      <w:pPr>
        <w:pStyle w:val="Heading4"/>
        <w:spacing w:line="240" w:lineRule="auto"/>
        <w:ind w:right="0"/>
        <w:jc w:val="left"/>
        <w:rPr>
          <w:b w:val="0"/>
          <w:bCs w:val="0"/>
        </w:rPr>
      </w:pPr>
      <w:bookmarkStart w:name="4、投资收益" w:id="388"/>
      <w:bookmarkEnd w:id="388"/>
      <w:r>
        <w:rPr>
          <w:b w:val="0"/>
          <w:bCs w:val="0"/>
        </w:rPr>
      </w:r>
      <w:r>
        <w:rPr>
          <w:rFonts w:ascii="Times New Roman" w:hAnsi="Times New Roman" w:cs="Times New Roman" w:eastAsia="Times New Roman" w:hint="default"/>
        </w:rPr>
        <w:t>4</w:t>
      </w:r>
      <w:r>
        <w:rPr/>
        <w:t>、投资收益</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4"/>
        <w:gridCol w:w="3070"/>
        <w:gridCol w:w="3188"/>
      </w:tblGrid>
      <w:tr>
        <w:trPr>
          <w:trHeight w:val="398"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成本法核算的长期股权投资收益</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100,000,000.00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65,000,000.00</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权益法核算的长期股权投资收益</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-984,611.16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9,420,973.38</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处置可供出售金融资产取得的投资收益</w:t>
            </w:r>
          </w:p>
        </w:tc>
        <w:tc>
          <w:tcPr>
            <w:tcW w:w="3070" w:type="dxa"/>
            <w:tcBorders>
              <w:top w:val="single" w:sz="4" w:space="0" w:color="000000"/>
              <w:left w:val="single" w:sz="13" w:space="0" w:color="D2D2D2"/>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-102,691.92</w:t>
            </w:r>
          </w:p>
        </w:tc>
      </w:tr>
      <w:tr>
        <w:trPr>
          <w:trHeight w:val="398" w:hRule="exact"/>
        </w:trPr>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70"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-179,484.50</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99,015,388.84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74,138,796.96</w:t>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十七、补充资料" w:id="389"/>
      <w:bookmarkEnd w:id="389"/>
      <w:r>
        <w:rPr>
          <w:b w:val="0"/>
          <w:bCs w:val="0"/>
        </w:rPr>
      </w:r>
      <w:r>
        <w:rPr/>
        <w:t>十七、补充资料</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当期非经常性损益明细表" w:id="390"/>
      <w:bookmarkEnd w:id="390"/>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7"/>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4"/>
        <w:gridCol w:w="3070"/>
        <w:gridCol w:w="3188"/>
      </w:tblGrid>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98"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1,534,868.28</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36"/>
              <w:jc w:val="both"/>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切相关，按照国家统一标准定额或定量享</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受的政府补助除外）</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1,151,500.00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1" w:right="0"/>
              <w:jc w:val="left"/>
              <w:rPr>
                <w:rFonts w:ascii="宋体" w:hAnsi="宋体" w:cs="宋体" w:eastAsia="宋体" w:hint="default"/>
                <w:sz w:val="18"/>
                <w:szCs w:val="18"/>
              </w:rPr>
            </w:pPr>
            <w:r>
              <w:rPr>
                <w:rFonts w:ascii="宋体" w:hAnsi="宋体" w:cs="宋体" w:eastAsia="宋体" w:hint="default"/>
                <w:spacing w:val="-3"/>
                <w:sz w:val="18"/>
                <w:szCs w:val="18"/>
              </w:rPr>
              <w:t>除同公司正常经营业务相关的有效套期保</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21,253,266.28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详见附注七、</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交易性金融资产</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16"/>
        <w:gridCol w:w="3070"/>
        <w:gridCol w:w="3188"/>
      </w:tblGrid>
      <w:tr>
        <w:trPr>
          <w:trHeight w:val="1921"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4" w:right="36"/>
              <w:jc w:val="both"/>
              <w:rPr>
                <w:rFonts w:ascii="宋体" w:hAnsi="宋体" w:cs="宋体" w:eastAsia="宋体" w:hint="default"/>
                <w:sz w:val="18"/>
                <w:szCs w:val="18"/>
              </w:rPr>
            </w:pPr>
            <w:r>
              <w:rPr>
                <w:rFonts w:ascii="宋体" w:hAnsi="宋体" w:cs="宋体" w:eastAsia="宋体" w:hint="default"/>
                <w:spacing w:val="-3"/>
                <w:sz w:val="18"/>
                <w:szCs w:val="18"/>
              </w:rPr>
              <w:t>值业务外，持有交易性金融资产、衍生金</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融资产、交易性金融负债、衍生金融负债</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产生的公允价值变动损益，以及处置交易</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性金融资产、衍生金融资产、交易性金融</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负债、衍生金融负债和其他债权投资取得</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的投资收益</w:t>
            </w:r>
          </w:p>
        </w:tc>
        <w:tc>
          <w:tcPr>
            <w:tcW w:w="3070" w:type="dxa"/>
            <w:tcBorders>
              <w:top w:val="single" w:sz="4" w:space="0" w:color="000000"/>
              <w:left w:val="single" w:sz="13" w:space="0" w:color="D2D2D2"/>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36"/>
              <w:jc w:val="left"/>
              <w:rPr>
                <w:rFonts w:ascii="宋体" w:hAnsi="宋体" w:cs="宋体" w:eastAsia="宋体" w:hint="default"/>
                <w:sz w:val="18"/>
                <w:szCs w:val="18"/>
              </w:rPr>
            </w:pPr>
            <w:r>
              <w:rPr>
                <w:rFonts w:ascii="宋体" w:hAnsi="宋体" w:cs="宋体" w:eastAsia="宋体" w:hint="default"/>
                <w:spacing w:val="-3"/>
                <w:sz w:val="18"/>
                <w:szCs w:val="18"/>
              </w:rPr>
              <w:t>单独进行减值测试的应收款项、合同资产</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减值准备转回</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59,980.00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-457,380.41</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5,807,383.29</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少数股东权益影响额</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-19,513.78</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17,754,364.64</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w w:val="101"/>
          <w:sz w:val="18"/>
          <w:szCs w:val="18"/>
        </w:rPr>
        <w:t>对</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根</w:t>
      </w:r>
      <w:r>
        <w:rPr>
          <w:rFonts w:ascii="宋体" w:hAnsi="宋体" w:cs="宋体" w:eastAsia="宋体" w:hint="default"/>
          <w:spacing w:val="-68"/>
          <w:w w:val="101"/>
          <w:sz w:val="18"/>
          <w:szCs w:val="18"/>
        </w:rPr>
        <w:t>据</w:t>
      </w: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开</w:t>
      </w:r>
      <w:r>
        <w:rPr>
          <w:rFonts w:ascii="宋体" w:hAnsi="宋体" w:cs="宋体" w:eastAsia="宋体" w:hint="default"/>
          <w:spacing w:val="-5"/>
          <w:w w:val="101"/>
          <w:sz w:val="18"/>
          <w:szCs w:val="18"/>
        </w:rPr>
        <w:t>发</w:t>
      </w:r>
      <w:r>
        <w:rPr>
          <w:rFonts w:ascii="宋体" w:hAnsi="宋体" w:cs="宋体" w:eastAsia="宋体" w:hint="default"/>
          <w:w w:val="101"/>
          <w:sz w:val="18"/>
          <w:szCs w:val="18"/>
        </w:rPr>
        <w:t>行</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的</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信</w:t>
      </w:r>
      <w:r>
        <w:rPr>
          <w:rFonts w:ascii="宋体" w:hAnsi="宋体" w:cs="宋体" w:eastAsia="宋体" w:hint="default"/>
          <w:spacing w:val="-5"/>
          <w:w w:val="101"/>
          <w:sz w:val="18"/>
          <w:szCs w:val="18"/>
        </w:rPr>
        <w:t>息</w:t>
      </w:r>
      <w:r>
        <w:rPr>
          <w:rFonts w:ascii="宋体" w:hAnsi="宋体" w:cs="宋体" w:eastAsia="宋体" w:hint="default"/>
          <w:w w:val="101"/>
          <w:sz w:val="18"/>
          <w:szCs w:val="18"/>
        </w:rPr>
        <w:t>披</w:t>
      </w:r>
      <w:r>
        <w:rPr>
          <w:rFonts w:ascii="宋体" w:hAnsi="宋体" w:cs="宋体" w:eastAsia="宋体" w:hint="default"/>
          <w:spacing w:val="-5"/>
          <w:w w:val="101"/>
          <w:sz w:val="18"/>
          <w:szCs w:val="18"/>
        </w:rPr>
        <w:t>露</w:t>
      </w:r>
      <w:r>
        <w:rPr>
          <w:rFonts w:ascii="宋体" w:hAnsi="宋体" w:cs="宋体" w:eastAsia="宋体" w:hint="default"/>
          <w:w w:val="101"/>
          <w:sz w:val="18"/>
          <w:szCs w:val="18"/>
        </w:rPr>
        <w:t>解</w:t>
      </w:r>
      <w:r>
        <w:rPr>
          <w:rFonts w:ascii="宋体" w:hAnsi="宋体" w:cs="宋体" w:eastAsia="宋体" w:hint="default"/>
          <w:spacing w:val="-5"/>
          <w:w w:val="101"/>
          <w:sz w:val="18"/>
          <w:szCs w:val="18"/>
        </w:rPr>
        <w:t>释</w:t>
      </w:r>
      <w:r>
        <w:rPr>
          <w:rFonts w:ascii="宋体" w:hAnsi="宋体" w:cs="宋体" w:eastAsia="宋体" w:hint="default"/>
          <w:w w:val="101"/>
          <w:sz w:val="18"/>
          <w:szCs w:val="18"/>
        </w:rPr>
        <w:t>性</w:t>
      </w:r>
      <w:r>
        <w:rPr>
          <w:rFonts w:ascii="宋体" w:hAnsi="宋体" w:cs="宋体" w:eastAsia="宋体" w:hint="default"/>
          <w:spacing w:val="-5"/>
          <w:w w:val="101"/>
          <w:sz w:val="18"/>
          <w:szCs w:val="18"/>
        </w:rPr>
        <w:t>公</w:t>
      </w:r>
      <w:r>
        <w:rPr>
          <w:rFonts w:ascii="宋体" w:hAnsi="宋体" w:cs="宋体" w:eastAsia="宋体" w:hint="default"/>
          <w:w w:val="101"/>
          <w:sz w:val="18"/>
          <w:szCs w:val="18"/>
        </w:rPr>
        <w:t>告第</w:t>
      </w:r>
      <w:r>
        <w:rPr>
          <w:rFonts w:ascii="宋体" w:hAnsi="宋体" w:cs="宋体" w:eastAsia="宋体" w:hint="default"/>
          <w:spacing w:val="-46"/>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号</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非</w:t>
      </w:r>
      <w:r>
        <w:rPr>
          <w:rFonts w:ascii="宋体" w:hAnsi="宋体" w:cs="宋体" w:eastAsia="宋体" w:hint="default"/>
          <w:spacing w:val="-5"/>
          <w:w w:val="101"/>
          <w:sz w:val="18"/>
          <w:szCs w:val="18"/>
        </w:rPr>
        <w:t>经</w:t>
      </w:r>
      <w:r>
        <w:rPr>
          <w:rFonts w:ascii="宋体" w:hAnsi="宋体" w:cs="宋体" w:eastAsia="宋体" w:hint="default"/>
          <w:w w:val="101"/>
          <w:sz w:val="18"/>
          <w:szCs w:val="18"/>
        </w:rPr>
        <w:t>常</w:t>
      </w:r>
      <w:r>
        <w:rPr>
          <w:rFonts w:ascii="宋体" w:hAnsi="宋体" w:cs="宋体" w:eastAsia="宋体" w:hint="default"/>
          <w:spacing w:val="-5"/>
          <w:w w:val="101"/>
          <w:sz w:val="18"/>
          <w:szCs w:val="18"/>
        </w:rPr>
        <w:t>性</w:t>
      </w:r>
      <w:r>
        <w:rPr>
          <w:rFonts w:ascii="宋体" w:hAnsi="宋体" w:cs="宋体" w:eastAsia="宋体" w:hint="default"/>
          <w:w w:val="101"/>
          <w:sz w:val="18"/>
          <w:szCs w:val="18"/>
        </w:rPr>
        <w:t>损益</w:t>
      </w:r>
      <w:r>
        <w:rPr>
          <w:rFonts w:ascii="宋体" w:hAnsi="宋体" w:cs="宋体" w:eastAsia="宋体" w:hint="default"/>
          <w:spacing w:val="-73"/>
          <w:w w:val="101"/>
          <w:sz w:val="18"/>
          <w:szCs w:val="18"/>
        </w:rPr>
        <w:t>》</w:t>
      </w:r>
      <w:r>
        <w:rPr>
          <w:rFonts w:ascii="宋体" w:hAnsi="宋体" w:cs="宋体" w:eastAsia="宋体" w:hint="default"/>
          <w:w w:val="101"/>
          <w:sz w:val="18"/>
          <w:szCs w:val="18"/>
        </w:rPr>
        <w:t>定</w:t>
      </w:r>
      <w:r>
        <w:rPr>
          <w:rFonts w:ascii="宋体" w:hAnsi="宋体" w:cs="宋体" w:eastAsia="宋体" w:hint="default"/>
          <w:spacing w:val="-5"/>
          <w:w w:val="101"/>
          <w:sz w:val="18"/>
          <w:szCs w:val="18"/>
        </w:rPr>
        <w:t>义</w:t>
      </w:r>
      <w:r>
        <w:rPr>
          <w:rFonts w:ascii="宋体" w:hAnsi="宋体" w:cs="宋体" w:eastAsia="宋体" w:hint="default"/>
          <w:w w:val="101"/>
          <w:sz w:val="18"/>
          <w:szCs w:val="18"/>
        </w:rPr>
        <w:t>界</w:t>
      </w:r>
      <w:r>
        <w:rPr>
          <w:rFonts w:ascii="宋体" w:hAnsi="宋体" w:cs="宋体" w:eastAsia="宋体" w:hint="default"/>
          <w:spacing w:val="-5"/>
          <w:w w:val="101"/>
          <w:sz w:val="18"/>
          <w:szCs w:val="18"/>
        </w:rPr>
        <w:t>定</w:t>
      </w:r>
      <w:r>
        <w:rPr>
          <w:rFonts w:ascii="宋体" w:hAnsi="宋体" w:cs="宋体" w:eastAsia="宋体" w:hint="default"/>
          <w:w w:val="101"/>
          <w:sz w:val="18"/>
          <w:szCs w:val="18"/>
        </w:rPr>
        <w:t>的</w:t>
      </w:r>
      <w:r>
        <w:rPr>
          <w:rFonts w:ascii="宋体" w:hAnsi="宋体" w:cs="宋体" w:eastAsia="宋体" w:hint="default"/>
          <w:spacing w:val="-5"/>
          <w:w w:val="101"/>
          <w:sz w:val="18"/>
          <w:szCs w:val="18"/>
        </w:rPr>
        <w:t>非</w:t>
      </w:r>
      <w:r>
        <w:rPr>
          <w:rFonts w:ascii="宋体" w:hAnsi="宋体" w:cs="宋体" w:eastAsia="宋体" w:hint="default"/>
          <w:w w:val="101"/>
          <w:sz w:val="18"/>
          <w:szCs w:val="18"/>
        </w:rPr>
        <w:t>经</w:t>
      </w:r>
      <w:r>
        <w:rPr>
          <w:rFonts w:ascii="宋体" w:hAnsi="宋体" w:cs="宋体" w:eastAsia="宋体" w:hint="default"/>
          <w:spacing w:val="-5"/>
          <w:w w:val="101"/>
          <w:sz w:val="18"/>
          <w:szCs w:val="18"/>
        </w:rPr>
        <w:t>常</w:t>
      </w:r>
      <w:r>
        <w:rPr>
          <w:rFonts w:ascii="宋体" w:hAnsi="宋体" w:cs="宋体" w:eastAsia="宋体" w:hint="default"/>
          <w:w w:val="101"/>
          <w:sz w:val="18"/>
          <w:szCs w:val="18"/>
        </w:rPr>
        <w:t>性</w:t>
      </w:r>
      <w:r>
        <w:rPr>
          <w:rFonts w:ascii="宋体" w:hAnsi="宋体" w:cs="宋体" w:eastAsia="宋体" w:hint="default"/>
          <w:spacing w:val="-5"/>
          <w:w w:val="101"/>
          <w:sz w:val="18"/>
          <w:szCs w:val="18"/>
        </w:rPr>
        <w:t>损</w:t>
      </w:r>
      <w:r>
        <w:rPr>
          <w:rFonts w:ascii="宋体" w:hAnsi="宋体" w:cs="宋体" w:eastAsia="宋体" w:hint="default"/>
          <w:w w:val="101"/>
          <w:sz w:val="18"/>
          <w:szCs w:val="18"/>
        </w:rPr>
        <w:t>益</w:t>
      </w:r>
      <w:r>
        <w:rPr>
          <w:rFonts w:ascii="宋体" w:hAnsi="宋体" w:cs="宋体" w:eastAsia="宋体" w:hint="default"/>
          <w:spacing w:val="-5"/>
          <w:w w:val="101"/>
          <w:sz w:val="18"/>
          <w:szCs w:val="18"/>
        </w:rPr>
        <w:t>项</w:t>
      </w:r>
      <w:r>
        <w:rPr>
          <w:rFonts w:ascii="宋体" w:hAnsi="宋体" w:cs="宋体" w:eastAsia="宋体" w:hint="default"/>
          <w:w w:val="101"/>
          <w:sz w:val="18"/>
          <w:szCs w:val="18"/>
        </w:rPr>
        <w:t>目</w:t>
      </w:r>
      <w:r>
        <w:rPr>
          <w:rFonts w:ascii="宋体" w:hAnsi="宋体" w:cs="宋体" w:eastAsia="宋体" w:hint="default"/>
          <w:spacing w:val="-68"/>
          <w:w w:val="101"/>
          <w:sz w:val="18"/>
          <w:szCs w:val="18"/>
        </w:rPr>
        <w:t>，</w:t>
      </w:r>
      <w:r>
        <w:rPr>
          <w:rFonts w:ascii="宋体" w:hAnsi="宋体" w:cs="宋体" w:eastAsia="宋体" w:hint="default"/>
          <w:spacing w:val="-5"/>
          <w:w w:val="101"/>
          <w:sz w:val="18"/>
          <w:szCs w:val="18"/>
        </w:rPr>
        <w:t>以</w:t>
      </w:r>
      <w:r>
        <w:rPr>
          <w:rFonts w:ascii="宋体" w:hAnsi="宋体" w:cs="宋体" w:eastAsia="宋体" w:hint="default"/>
          <w:w w:val="101"/>
          <w:sz w:val="18"/>
          <w:szCs w:val="18"/>
        </w:rPr>
        <w:t>及</w:t>
      </w:r>
      <w:r>
        <w:rPr>
          <w:rFonts w:ascii="宋体" w:hAnsi="宋体" w:cs="宋体" w:eastAsia="宋体" w:hint="default"/>
          <w:spacing w:val="-73"/>
          <w:w w:val="101"/>
          <w:sz w:val="18"/>
          <w:szCs w:val="18"/>
        </w:rPr>
        <w:t>把</w:t>
      </w:r>
      <w:r>
        <w:rPr>
          <w:rFonts w:ascii="宋体" w:hAnsi="宋体" w:cs="宋体" w:eastAsia="宋体" w:hint="default"/>
          <w:w w:val="101"/>
          <w:sz w:val="18"/>
          <w:szCs w:val="18"/>
        </w:rPr>
        <w:t>《公</w:t>
      </w:r>
      <w:r>
        <w:rPr>
          <w:rFonts w:ascii="宋体" w:hAnsi="宋体" w:cs="宋体" w:eastAsia="宋体" w:hint="default"/>
          <w:sz w:val="18"/>
          <w:szCs w:val="18"/>
        </w:rPr>
      </w:r>
    </w:p>
    <w:p>
      <w:pPr>
        <w:spacing w:line="304" w:lineRule="auto" w:before="63"/>
        <w:ind w:left="153" w:right="1127" w:firstLine="0"/>
        <w:jc w:val="left"/>
        <w:rPr>
          <w:rFonts w:ascii="宋体" w:hAnsi="宋体" w:cs="宋体" w:eastAsia="宋体" w:hint="default"/>
          <w:sz w:val="18"/>
          <w:szCs w:val="18"/>
        </w:rPr>
      </w:pPr>
      <w:r>
        <w:rPr>
          <w:rFonts w:ascii="宋体" w:hAnsi="宋体" w:cs="宋体" w:eastAsia="宋体" w:hint="default"/>
          <w:spacing w:val="-3"/>
          <w:sz w:val="18"/>
          <w:szCs w:val="18"/>
        </w:rPr>
        <w:t>开发行证券的公司信息披露解释性公告第 </w:t>
      </w:r>
      <w:r>
        <w:rPr>
          <w:rFonts w:ascii="Times New Roman" w:hAnsi="Times New Roman" w:cs="Times New Roman" w:eastAsia="Times New Roman" w:hint="default"/>
          <w:sz w:val="18"/>
          <w:szCs w:val="18"/>
        </w:rPr>
        <w:t>1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非经常性损益》中列举的非经常性损益项目界定为经常性损益的项目，应</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说明原因。</w:t>
      </w:r>
    </w:p>
    <w:p>
      <w:pPr>
        <w:spacing w:before="6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2、 净资产收益率及每股收益" w:id="391"/>
      <w:bookmarkEnd w:id="391"/>
      <w:r>
        <w:rPr>
          <w:b w:val="0"/>
          <w:bCs w:val="0"/>
        </w:rPr>
      </w:r>
      <w:r>
        <w:rPr>
          <w:rFonts w:ascii="Times New Roman" w:hAnsi="Times New Roman" w:cs="Times New Roman" w:eastAsia="Times New Roman" w:hint="default"/>
        </w:rPr>
        <w:t>2</w:t>
      </w:r>
      <w:r>
        <w:rPr/>
        <w:t>、</w:t>
      </w:r>
      <w:r>
        <w:rPr>
          <w:spacing w:val="4"/>
        </w:rPr>
        <w:t> </w:t>
      </w:r>
      <w:r>
        <w:rPr/>
        <w:t>净资产收益率及每股收益</w:t>
      </w:r>
      <w:r>
        <w:rPr>
          <w:b w:val="0"/>
          <w:bCs w:val="0"/>
        </w:rPr>
      </w:r>
    </w:p>
    <w:p>
      <w:pPr>
        <w:spacing w:line="240" w:lineRule="auto" w:before="9"/>
        <w:rPr>
          <w:rFonts w:ascii="宋体" w:hAnsi="宋体" w:cs="宋体" w:eastAsia="宋体" w:hint="default"/>
          <w:b/>
          <w:bCs/>
          <w:sz w:val="26"/>
          <w:szCs w:val="26"/>
        </w:rPr>
      </w:pPr>
    </w:p>
    <w:p>
      <w:pPr>
        <w:spacing w:line="300" w:lineRule="auto" w:before="0"/>
        <w:ind w:left="153" w:right="0" w:firstLine="441"/>
        <w:jc w:val="left"/>
        <w:rPr>
          <w:rFonts w:ascii="宋体" w:hAnsi="宋体" w:cs="宋体" w:eastAsia="宋体" w:hint="default"/>
          <w:sz w:val="18"/>
          <w:szCs w:val="18"/>
        </w:rPr>
      </w:pPr>
      <w:r>
        <w:rPr>
          <w:rFonts w:ascii="宋体" w:hAnsi="宋体" w:cs="宋体" w:eastAsia="宋体" w:hint="default"/>
          <w:spacing w:val="-5"/>
          <w:sz w:val="18"/>
          <w:szCs w:val="18"/>
        </w:rPr>
        <w:t>根据中国证监会《公开发行证券的公司信息披露编报规则第</w:t>
      </w:r>
      <w:r>
        <w:rPr>
          <w:rFonts w:ascii="Times New Roman" w:hAnsi="Times New Roman" w:cs="Times New Roman" w:eastAsia="Times New Roman" w:hint="default"/>
          <w:spacing w:val="-5"/>
          <w:sz w:val="18"/>
          <w:szCs w:val="18"/>
        </w:rPr>
        <w:t>9</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净资产收益率和每股收益的计算及披露》</w:t>
      </w:r>
      <w:r>
        <w:rPr>
          <w:rFonts w:ascii="Times New Roman" w:hAnsi="Times New Roman" w:cs="Times New Roman" w:eastAsia="Times New Roman" w:hint="default"/>
          <w:spacing w:val="-5"/>
          <w:sz w:val="18"/>
          <w:szCs w:val="18"/>
        </w:rPr>
        <w:t>(2010</w:t>
      </w:r>
      <w:r>
        <w:rPr>
          <w:rFonts w:ascii="宋体" w:hAnsi="宋体" w:cs="宋体" w:eastAsia="宋体" w:hint="default"/>
          <w:spacing w:val="-5"/>
          <w:sz w:val="18"/>
          <w:szCs w:val="18"/>
        </w:rPr>
        <w:t>年修订</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pacing w:val="-3"/>
          <w:sz w:val="18"/>
          <w:szCs w:val="18"/>
        </w:rPr>
        <w:t>的要求计算净资产收益率、每股收益：</w:t>
      </w:r>
    </w:p>
    <w:p>
      <w:pPr>
        <w:spacing w:line="240" w:lineRule="auto" w:before="9"/>
        <w:rPr>
          <w:rFonts w:ascii="宋体" w:hAnsi="宋体" w:cs="宋体" w:eastAsia="宋体" w:hint="default"/>
          <w:sz w:val="13"/>
          <w:szCs w:val="13"/>
        </w:rPr>
      </w:pPr>
    </w:p>
    <w:tbl>
      <w:tblPr>
        <w:tblW w:w="0" w:type="auto"/>
        <w:jc w:val="left"/>
        <w:tblInd w:w="143" w:type="dxa"/>
        <w:tblLayout w:type="fixed"/>
        <w:tblCellMar>
          <w:top w:w="0" w:type="dxa"/>
          <w:left w:w="0" w:type="dxa"/>
          <w:bottom w:w="0" w:type="dxa"/>
          <w:right w:w="0" w:type="dxa"/>
        </w:tblCellMar>
        <w:tblLook w:val="01E0"/>
      </w:tblPr>
      <w:tblGrid>
        <w:gridCol w:w="3832"/>
        <w:gridCol w:w="1556"/>
        <w:gridCol w:w="1873"/>
        <w:gridCol w:w="1875"/>
      </w:tblGrid>
      <w:tr>
        <w:trPr>
          <w:trHeight w:val="353" w:hRule="exact"/>
        </w:trPr>
        <w:tc>
          <w:tcPr>
            <w:tcW w:w="3832" w:type="dxa"/>
            <w:vMerge w:val="restart"/>
            <w:tcBorders>
              <w:top w:val="single" w:sz="6" w:space="0" w:color="000000"/>
              <w:left w:val="single" w:sz="6" w:space="0" w:color="000000"/>
              <w:right w:val="single" w:sz="6" w:space="0" w:color="000000"/>
            </w:tcBorders>
          </w:tcPr>
          <w:p>
            <w:pPr>
              <w:pStyle w:val="TableParagraph"/>
              <w:spacing w:line="240" w:lineRule="auto" w:before="1"/>
              <w:ind w:left="9" w:right="0"/>
              <w:jc w:val="center"/>
              <w:rPr>
                <w:rFonts w:ascii="宋体" w:hAnsi="宋体" w:cs="宋体" w:eastAsia="宋体" w:hint="default"/>
                <w:sz w:val="20"/>
                <w:szCs w:val="20"/>
              </w:rPr>
            </w:pPr>
            <w:r>
              <w:rPr>
                <w:rFonts w:ascii="宋体" w:hAnsi="宋体" w:cs="宋体" w:eastAsia="宋体" w:hint="default"/>
                <w:sz w:val="20"/>
                <w:szCs w:val="20"/>
              </w:rPr>
              <w:t>报告期利润</w:t>
            </w:r>
          </w:p>
        </w:tc>
        <w:tc>
          <w:tcPr>
            <w:tcW w:w="1556" w:type="dxa"/>
            <w:vMerge w:val="restart"/>
            <w:tcBorders>
              <w:top w:val="single" w:sz="6" w:space="0" w:color="000000"/>
              <w:left w:val="single" w:sz="6" w:space="0" w:color="000000"/>
              <w:right w:val="single" w:sz="6" w:space="0" w:color="000000"/>
            </w:tcBorders>
          </w:tcPr>
          <w:p>
            <w:pPr>
              <w:pStyle w:val="TableParagraph"/>
              <w:spacing w:line="285" w:lineRule="auto" w:before="1"/>
              <w:ind w:left="321" w:right="60" w:hanging="250"/>
              <w:jc w:val="left"/>
              <w:rPr>
                <w:rFonts w:ascii="Times New Roman" w:hAnsi="Times New Roman" w:cs="Times New Roman" w:eastAsia="Times New Roman" w:hint="default"/>
                <w:sz w:val="20"/>
                <w:szCs w:val="20"/>
              </w:rPr>
            </w:pPr>
            <w:r>
              <w:rPr>
                <w:rFonts w:ascii="宋体" w:hAnsi="宋体" w:cs="宋体" w:eastAsia="宋体" w:hint="default"/>
                <w:sz w:val="20"/>
                <w:szCs w:val="20"/>
              </w:rPr>
              <w:t>加权平均净资产</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收益率</w:t>
            </w:r>
            <w:r>
              <w:rPr>
                <w:rFonts w:ascii="Times New Roman" w:hAnsi="Times New Roman" w:cs="Times New Roman" w:eastAsia="Times New Roman" w:hint="default"/>
                <w:sz w:val="20"/>
                <w:szCs w:val="20"/>
              </w:rPr>
              <w:t>(%)</w:t>
            </w:r>
          </w:p>
        </w:tc>
        <w:tc>
          <w:tcPr>
            <w:tcW w:w="3748"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1"/>
              <w:ind w:left="4" w:right="0"/>
              <w:jc w:val="center"/>
              <w:rPr>
                <w:rFonts w:ascii="宋体" w:hAnsi="宋体" w:cs="宋体" w:eastAsia="宋体" w:hint="default"/>
                <w:sz w:val="20"/>
                <w:szCs w:val="20"/>
              </w:rPr>
            </w:pPr>
            <w:r>
              <w:rPr>
                <w:rFonts w:ascii="宋体" w:hAnsi="宋体" w:cs="宋体" w:eastAsia="宋体" w:hint="default"/>
                <w:sz w:val="20"/>
                <w:szCs w:val="20"/>
              </w:rPr>
              <w:t>每股收益</w:t>
            </w:r>
          </w:p>
        </w:tc>
      </w:tr>
      <w:tr>
        <w:trPr>
          <w:trHeight w:val="351" w:hRule="exact"/>
        </w:trPr>
        <w:tc>
          <w:tcPr>
            <w:tcW w:w="3832" w:type="dxa"/>
            <w:vMerge/>
            <w:tcBorders>
              <w:left w:val="single" w:sz="6" w:space="0" w:color="000000"/>
              <w:bottom w:val="single" w:sz="12" w:space="0" w:color="000000"/>
              <w:right w:val="single" w:sz="6" w:space="0" w:color="000000"/>
            </w:tcBorders>
          </w:tcPr>
          <w:p>
            <w:pPr/>
          </w:p>
        </w:tc>
        <w:tc>
          <w:tcPr>
            <w:tcW w:w="1556" w:type="dxa"/>
            <w:vMerge/>
            <w:tcBorders>
              <w:left w:val="single" w:sz="6" w:space="0" w:color="000000"/>
              <w:bottom w:val="single" w:sz="12" w:space="0" w:color="000000"/>
              <w:right w:val="single" w:sz="6" w:space="0" w:color="000000"/>
            </w:tcBorders>
          </w:tcPr>
          <w:p>
            <w:pPr/>
          </w:p>
        </w:tc>
        <w:tc>
          <w:tcPr>
            <w:tcW w:w="1873" w:type="dxa"/>
            <w:tcBorders>
              <w:top w:val="single" w:sz="12" w:space="0" w:color="000000"/>
              <w:left w:val="single" w:sz="6" w:space="0" w:color="000000"/>
              <w:bottom w:val="single" w:sz="12" w:space="0" w:color="000000"/>
              <w:right w:val="single" w:sz="6" w:space="0" w:color="000000"/>
            </w:tcBorders>
          </w:tcPr>
          <w:p>
            <w:pPr>
              <w:pStyle w:val="TableParagraph"/>
              <w:spacing w:line="254" w:lineRule="exact"/>
              <w:ind w:left="331" w:right="0"/>
              <w:jc w:val="left"/>
              <w:rPr>
                <w:rFonts w:ascii="宋体" w:hAnsi="宋体" w:cs="宋体" w:eastAsia="宋体" w:hint="default"/>
                <w:sz w:val="20"/>
                <w:szCs w:val="20"/>
              </w:rPr>
            </w:pPr>
            <w:r>
              <w:rPr>
                <w:rFonts w:ascii="宋体" w:hAnsi="宋体" w:cs="宋体" w:eastAsia="宋体" w:hint="default"/>
                <w:sz w:val="20"/>
                <w:szCs w:val="20"/>
              </w:rPr>
              <w:t>基本每股收益</w:t>
            </w:r>
          </w:p>
        </w:tc>
        <w:tc>
          <w:tcPr>
            <w:tcW w:w="1875" w:type="dxa"/>
            <w:tcBorders>
              <w:top w:val="single" w:sz="12" w:space="0" w:color="000000"/>
              <w:left w:val="single" w:sz="6" w:space="0" w:color="000000"/>
              <w:bottom w:val="single" w:sz="12" w:space="0" w:color="000000"/>
              <w:right w:val="nil" w:sz="6" w:space="0" w:color="auto"/>
            </w:tcBorders>
          </w:tcPr>
          <w:p>
            <w:pPr>
              <w:pStyle w:val="TableParagraph"/>
              <w:spacing w:line="254" w:lineRule="exact"/>
              <w:ind w:left="331" w:right="0"/>
              <w:jc w:val="left"/>
              <w:rPr>
                <w:rFonts w:ascii="宋体" w:hAnsi="宋体" w:cs="宋体" w:eastAsia="宋体" w:hint="default"/>
                <w:sz w:val="20"/>
                <w:szCs w:val="20"/>
              </w:rPr>
            </w:pPr>
            <w:r>
              <w:rPr>
                <w:rFonts w:ascii="宋体" w:hAnsi="宋体" w:cs="宋体" w:eastAsia="宋体" w:hint="default"/>
                <w:sz w:val="20"/>
                <w:szCs w:val="20"/>
              </w:rPr>
              <w:t>稀释每股收益</w:t>
            </w:r>
          </w:p>
        </w:tc>
      </w:tr>
      <w:tr>
        <w:trPr>
          <w:trHeight w:val="355" w:hRule="exact"/>
        </w:trPr>
        <w:tc>
          <w:tcPr>
            <w:tcW w:w="38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归属于公司普通股股东的净利润</w:t>
            </w:r>
          </w:p>
        </w:tc>
        <w:tc>
          <w:tcPr>
            <w:tcW w:w="15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5"/>
              <w:jc w:val="right"/>
              <w:rPr>
                <w:rFonts w:ascii="Times New Roman" w:hAnsi="Times New Roman" w:cs="Times New Roman" w:eastAsia="Times New Roman" w:hint="default"/>
                <w:sz w:val="18"/>
                <w:szCs w:val="18"/>
              </w:rPr>
            </w:pPr>
            <w:r>
              <w:rPr>
                <w:rFonts w:ascii="Times New Roman"/>
                <w:sz w:val="18"/>
              </w:rPr>
              <w:t>7.36</w:t>
            </w:r>
          </w:p>
        </w:tc>
        <w:tc>
          <w:tcPr>
            <w:tcW w:w="18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5"/>
              <w:jc w:val="right"/>
              <w:rPr>
                <w:rFonts w:ascii="Times New Roman" w:hAnsi="Times New Roman" w:cs="Times New Roman" w:eastAsia="Times New Roman" w:hint="default"/>
                <w:sz w:val="18"/>
                <w:szCs w:val="18"/>
              </w:rPr>
            </w:pPr>
            <w:r>
              <w:rPr>
                <w:rFonts w:ascii="Times New Roman"/>
                <w:spacing w:val="-1"/>
                <w:sz w:val="18"/>
              </w:rPr>
              <w:t>0.3127</w:t>
            </w:r>
          </w:p>
        </w:tc>
        <w:tc>
          <w:tcPr>
            <w:tcW w:w="187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pacing w:val="-1"/>
                <w:sz w:val="18"/>
              </w:rPr>
              <w:t>0.3127</w:t>
            </w:r>
          </w:p>
        </w:tc>
      </w:tr>
      <w:tr>
        <w:trPr>
          <w:trHeight w:val="350" w:hRule="exact"/>
        </w:trPr>
        <w:tc>
          <w:tcPr>
            <w:tcW w:w="38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3"/>
                <w:sz w:val="18"/>
                <w:szCs w:val="18"/>
              </w:rPr>
              <w:t>扣除非经常损益后归属于普通股股东的净利润</w:t>
            </w:r>
          </w:p>
        </w:tc>
        <w:tc>
          <w:tcPr>
            <w:tcW w:w="15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z w:val="18"/>
              </w:rPr>
              <w:t>6.76</w:t>
            </w:r>
          </w:p>
        </w:tc>
        <w:tc>
          <w:tcPr>
            <w:tcW w:w="18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0.2873</w:t>
            </w:r>
          </w:p>
        </w:tc>
        <w:tc>
          <w:tcPr>
            <w:tcW w:w="187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0.2873</w:t>
            </w:r>
          </w:p>
        </w:tc>
      </w:tr>
    </w:tbl>
    <w:p>
      <w:pPr>
        <w:spacing w:line="240" w:lineRule="auto" w:before="6"/>
        <w:rPr>
          <w:rFonts w:ascii="宋体" w:hAnsi="宋体" w:cs="宋体" w:eastAsia="宋体" w:hint="default"/>
          <w:sz w:val="6"/>
          <w:szCs w:val="6"/>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pacing w:val="3"/>
          <w:sz w:val="18"/>
          <w:szCs w:val="18"/>
        </w:rPr>
        <w:t> </w:t>
      </w:r>
      <w:r>
        <w:rPr>
          <w:rFonts w:ascii="宋体" w:hAnsi="宋体" w:cs="宋体" w:eastAsia="宋体" w:hint="default"/>
          <w:sz w:val="18"/>
          <w:szCs w:val="18"/>
        </w:rPr>
        <w:t>加权平均净资产收益率</w:t>
      </w:r>
    </w:p>
    <w:p>
      <w:pPr>
        <w:spacing w:line="240" w:lineRule="auto" w:before="3"/>
        <w:rPr>
          <w:rFonts w:ascii="宋体" w:hAnsi="宋体" w:cs="宋体" w:eastAsia="宋体" w:hint="default"/>
          <w:sz w:val="14"/>
          <w:szCs w:val="14"/>
        </w:rPr>
      </w:pPr>
    </w:p>
    <w:tbl>
      <w:tblPr>
        <w:tblW w:w="0" w:type="auto"/>
        <w:jc w:val="left"/>
        <w:tblInd w:w="143" w:type="dxa"/>
        <w:tblLayout w:type="fixed"/>
        <w:tblCellMar>
          <w:top w:w="0" w:type="dxa"/>
          <w:left w:w="0" w:type="dxa"/>
          <w:bottom w:w="0" w:type="dxa"/>
          <w:right w:w="0" w:type="dxa"/>
        </w:tblCellMar>
        <w:tblLook w:val="01E0"/>
      </w:tblPr>
      <w:tblGrid>
        <w:gridCol w:w="5388"/>
        <w:gridCol w:w="1844"/>
        <w:gridCol w:w="1904"/>
      </w:tblGrid>
      <w:tr>
        <w:trPr>
          <w:trHeight w:val="358" w:hRule="exact"/>
        </w:trPr>
        <w:tc>
          <w:tcPr>
            <w:tcW w:w="53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left="4"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left="14" w:right="0"/>
              <w:jc w:val="center"/>
              <w:rPr>
                <w:rFonts w:ascii="宋体" w:hAnsi="宋体" w:cs="宋体" w:eastAsia="宋体" w:hint="default"/>
                <w:sz w:val="20"/>
                <w:szCs w:val="20"/>
              </w:rPr>
            </w:pPr>
            <w:r>
              <w:rPr>
                <w:rFonts w:ascii="宋体" w:hAnsi="宋体" w:cs="宋体" w:eastAsia="宋体" w:hint="default"/>
                <w:sz w:val="20"/>
                <w:szCs w:val="20"/>
              </w:rPr>
              <w:t>序号</w:t>
            </w:r>
          </w:p>
        </w:tc>
        <w:tc>
          <w:tcPr>
            <w:tcW w:w="190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
              <w:ind w:right="3"/>
              <w:jc w:val="center"/>
              <w:rPr>
                <w:rFonts w:ascii="宋体" w:hAnsi="宋体" w:cs="宋体" w:eastAsia="宋体" w:hint="default"/>
                <w:sz w:val="20"/>
                <w:szCs w:val="20"/>
              </w:rPr>
            </w:pPr>
            <w:r>
              <w:rPr>
                <w:rFonts w:ascii="宋体" w:hAnsi="宋体" w:cs="宋体" w:eastAsia="宋体" w:hint="default"/>
                <w:sz w:val="20"/>
                <w:szCs w:val="20"/>
              </w:rPr>
              <w:t>本期数</w:t>
            </w:r>
          </w:p>
        </w:tc>
      </w:tr>
      <w:tr>
        <w:trPr>
          <w:trHeight w:val="350" w:hRule="exact"/>
        </w:trPr>
        <w:tc>
          <w:tcPr>
            <w:tcW w:w="53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18" w:right="0"/>
              <w:jc w:val="center"/>
              <w:rPr>
                <w:rFonts w:ascii="Times New Roman" w:hAnsi="Times New Roman" w:cs="Times New Roman" w:eastAsia="Times New Roman" w:hint="default"/>
                <w:sz w:val="18"/>
                <w:szCs w:val="18"/>
              </w:rPr>
            </w:pPr>
            <w:r>
              <w:rPr>
                <w:rFonts w:ascii="Times New Roman"/>
                <w:sz w:val="18"/>
              </w:rPr>
              <w:t>1.00</w:t>
            </w:r>
          </w:p>
        </w:tc>
        <w:tc>
          <w:tcPr>
            <w:tcW w:w="19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pacing w:val="-1"/>
                <w:sz w:val="18"/>
              </w:rPr>
              <w:t>262,424,091.96</w:t>
            </w:r>
          </w:p>
        </w:tc>
      </w:tr>
      <w:tr>
        <w:trPr>
          <w:trHeight w:val="350" w:hRule="exact"/>
        </w:trPr>
        <w:tc>
          <w:tcPr>
            <w:tcW w:w="53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归属于公司普通股股东的净利润</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12" w:right="0"/>
              <w:jc w:val="center"/>
              <w:rPr>
                <w:rFonts w:ascii="Times New Roman" w:hAnsi="Times New Roman" w:cs="Times New Roman" w:eastAsia="Times New Roman" w:hint="default"/>
                <w:sz w:val="18"/>
                <w:szCs w:val="18"/>
              </w:rPr>
            </w:pPr>
            <w:r>
              <w:rPr>
                <w:rFonts w:ascii="Times New Roman"/>
                <w:sz w:val="18"/>
              </w:rPr>
              <w:t>2(P)</w:t>
            </w:r>
          </w:p>
        </w:tc>
        <w:tc>
          <w:tcPr>
            <w:tcW w:w="19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pacing w:val="-1"/>
                <w:sz w:val="18"/>
              </w:rPr>
              <w:t>219,048,159.38</w:t>
            </w:r>
          </w:p>
        </w:tc>
      </w:tr>
      <w:tr>
        <w:trPr>
          <w:trHeight w:val="355" w:hRule="exact"/>
        </w:trPr>
        <w:tc>
          <w:tcPr>
            <w:tcW w:w="53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18" w:right="0"/>
              <w:jc w:val="center"/>
              <w:rPr>
                <w:rFonts w:ascii="Times New Roman" w:hAnsi="Times New Roman" w:cs="Times New Roman" w:eastAsia="Times New Roman" w:hint="default"/>
                <w:sz w:val="18"/>
                <w:szCs w:val="18"/>
              </w:rPr>
            </w:pPr>
            <w:r>
              <w:rPr>
                <w:rFonts w:ascii="Times New Roman"/>
                <w:sz w:val="18"/>
              </w:rPr>
              <w:t>3.00</w:t>
            </w:r>
          </w:p>
        </w:tc>
        <w:tc>
          <w:tcPr>
            <w:tcW w:w="19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pacing w:val="-1"/>
                <w:sz w:val="18"/>
              </w:rPr>
              <w:t>17,754,364.64</w:t>
            </w:r>
          </w:p>
        </w:tc>
      </w:tr>
      <w:tr>
        <w:trPr>
          <w:trHeight w:val="350" w:hRule="exact"/>
        </w:trPr>
        <w:tc>
          <w:tcPr>
            <w:tcW w:w="53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3"/>
                <w:sz w:val="18"/>
                <w:szCs w:val="18"/>
              </w:rPr>
              <w:t>扣除非经常性损益后归属于公司普通股股东的净利润</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17" w:right="0"/>
              <w:jc w:val="center"/>
              <w:rPr>
                <w:rFonts w:ascii="Times New Roman" w:hAnsi="Times New Roman" w:cs="Times New Roman" w:eastAsia="Times New Roman" w:hint="default"/>
                <w:sz w:val="18"/>
                <w:szCs w:val="18"/>
              </w:rPr>
            </w:pPr>
            <w:r>
              <w:rPr>
                <w:rFonts w:ascii="Times New Roman"/>
                <w:sz w:val="18"/>
              </w:rPr>
              <w:t>4=2-3(P)</w:t>
            </w:r>
          </w:p>
        </w:tc>
        <w:tc>
          <w:tcPr>
            <w:tcW w:w="19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pacing w:val="-1"/>
                <w:sz w:val="18"/>
              </w:rPr>
              <w:t>201,293,794.74</w:t>
            </w:r>
          </w:p>
        </w:tc>
      </w:tr>
      <w:tr>
        <w:trPr>
          <w:trHeight w:val="351" w:hRule="exact"/>
        </w:trPr>
        <w:tc>
          <w:tcPr>
            <w:tcW w:w="53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归属于公司普通股股东的期末净资产</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left="12" w:right="0"/>
              <w:jc w:val="center"/>
              <w:rPr>
                <w:rFonts w:ascii="Times New Roman" w:hAnsi="Times New Roman" w:cs="Times New Roman" w:eastAsia="Times New Roman" w:hint="default"/>
                <w:sz w:val="18"/>
                <w:szCs w:val="18"/>
              </w:rPr>
            </w:pPr>
            <w:r>
              <w:rPr>
                <w:rFonts w:ascii="Times New Roman"/>
                <w:sz w:val="18"/>
              </w:rPr>
              <w:t>5(E)</w:t>
            </w:r>
          </w:p>
        </w:tc>
        <w:tc>
          <w:tcPr>
            <w:tcW w:w="19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3"/>
              <w:ind w:right="8"/>
              <w:jc w:val="right"/>
              <w:rPr>
                <w:rFonts w:ascii="Times New Roman" w:hAnsi="Times New Roman" w:cs="Times New Roman" w:eastAsia="Times New Roman" w:hint="default"/>
                <w:sz w:val="18"/>
                <w:szCs w:val="18"/>
              </w:rPr>
            </w:pPr>
            <w:r>
              <w:rPr>
                <w:rFonts w:ascii="Times New Roman"/>
                <w:spacing w:val="-2"/>
                <w:sz w:val="18"/>
              </w:rPr>
              <w:t>3,073,699,436.25</w:t>
            </w:r>
          </w:p>
        </w:tc>
      </w:tr>
      <w:tr>
        <w:trPr>
          <w:trHeight w:val="355" w:hRule="exact"/>
        </w:trPr>
        <w:tc>
          <w:tcPr>
            <w:tcW w:w="53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归属于公司普通股股东的期初净资产</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12" w:right="0"/>
              <w:jc w:val="center"/>
              <w:rPr>
                <w:rFonts w:ascii="Times New Roman" w:hAnsi="Times New Roman" w:cs="Times New Roman" w:eastAsia="Times New Roman" w:hint="default"/>
                <w:sz w:val="18"/>
                <w:szCs w:val="18"/>
              </w:rPr>
            </w:pPr>
            <w:r>
              <w:rPr>
                <w:rFonts w:ascii="Times New Roman"/>
                <w:sz w:val="18"/>
              </w:rPr>
              <w:t>6(Eo)</w:t>
            </w:r>
          </w:p>
        </w:tc>
        <w:tc>
          <w:tcPr>
            <w:tcW w:w="19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pacing w:val="-2"/>
                <w:sz w:val="18"/>
              </w:rPr>
              <w:t>2,879,793,072.89</w:t>
            </w:r>
          </w:p>
        </w:tc>
      </w:tr>
      <w:tr>
        <w:trPr>
          <w:trHeight w:val="350" w:hRule="exact"/>
        </w:trPr>
        <w:tc>
          <w:tcPr>
            <w:tcW w:w="53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4"/>
                <w:sz w:val="18"/>
                <w:szCs w:val="18"/>
              </w:rPr>
              <w:t>报告期发行新股或债转股等新增的、归属于公司普通股股东的净资产</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12" w:right="0"/>
              <w:jc w:val="center"/>
              <w:rPr>
                <w:rFonts w:ascii="Times New Roman" w:hAnsi="Times New Roman" w:cs="Times New Roman" w:eastAsia="Times New Roman" w:hint="default"/>
                <w:sz w:val="18"/>
                <w:szCs w:val="18"/>
              </w:rPr>
            </w:pPr>
            <w:r>
              <w:rPr>
                <w:rFonts w:ascii="Times New Roman"/>
                <w:sz w:val="18"/>
              </w:rPr>
              <w:t>7(Ei)</w:t>
            </w:r>
          </w:p>
        </w:tc>
        <w:tc>
          <w:tcPr>
            <w:tcW w:w="1904"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53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3"/>
                <w:sz w:val="18"/>
                <w:szCs w:val="18"/>
              </w:rPr>
              <w:t>报告期回购或现金分红等减少的、归属于公司普通股股东的净资产</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12" w:right="0"/>
              <w:jc w:val="center"/>
              <w:rPr>
                <w:rFonts w:ascii="Times New Roman" w:hAnsi="Times New Roman" w:cs="Times New Roman" w:eastAsia="Times New Roman" w:hint="default"/>
                <w:sz w:val="18"/>
                <w:szCs w:val="18"/>
              </w:rPr>
            </w:pPr>
            <w:r>
              <w:rPr>
                <w:rFonts w:ascii="Times New Roman"/>
                <w:sz w:val="18"/>
              </w:rPr>
              <w:t>8(Ej)</w:t>
            </w:r>
          </w:p>
        </w:tc>
        <w:tc>
          <w:tcPr>
            <w:tcW w:w="19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pacing w:val="-1"/>
                <w:sz w:val="18"/>
              </w:rPr>
              <w:t>32,226,562.06</w:t>
            </w:r>
          </w:p>
        </w:tc>
      </w:tr>
      <w:tr>
        <w:trPr>
          <w:trHeight w:val="355" w:hRule="exact"/>
        </w:trPr>
        <w:tc>
          <w:tcPr>
            <w:tcW w:w="53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17" w:right="0"/>
              <w:jc w:val="center"/>
              <w:rPr>
                <w:rFonts w:ascii="Times New Roman" w:hAnsi="Times New Roman" w:cs="Times New Roman" w:eastAsia="Times New Roman" w:hint="default"/>
                <w:sz w:val="18"/>
                <w:szCs w:val="18"/>
              </w:rPr>
            </w:pPr>
            <w:r>
              <w:rPr>
                <w:rFonts w:ascii="Times New Roman"/>
                <w:sz w:val="18"/>
              </w:rPr>
              <w:t>9(Mo)</w:t>
            </w:r>
          </w:p>
        </w:tc>
        <w:tc>
          <w:tcPr>
            <w:tcW w:w="19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z w:val="18"/>
              </w:rPr>
              <w:t>12</w:t>
            </w:r>
          </w:p>
        </w:tc>
      </w:tr>
      <w:tr>
        <w:trPr>
          <w:trHeight w:val="663" w:hRule="exact"/>
        </w:trPr>
        <w:tc>
          <w:tcPr>
            <w:tcW w:w="5388"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1"/>
              <w:ind w:left="4" w:right="1"/>
              <w:jc w:val="left"/>
              <w:rPr>
                <w:rFonts w:ascii="宋体" w:hAnsi="宋体" w:cs="宋体" w:eastAsia="宋体" w:hint="default"/>
                <w:sz w:val="18"/>
                <w:szCs w:val="18"/>
              </w:rPr>
            </w:pPr>
            <w:r>
              <w:rPr>
                <w:rFonts w:ascii="宋体" w:hAnsi="宋体" w:cs="宋体" w:eastAsia="宋体" w:hint="default"/>
                <w:spacing w:val="-4"/>
                <w:sz w:val="18"/>
                <w:szCs w:val="18"/>
              </w:rPr>
              <w:t>归属于公司普通股股东的、新增净资产下一月份起至报告期期末的月</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份数</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left="17" w:right="0"/>
              <w:jc w:val="center"/>
              <w:rPr>
                <w:rFonts w:ascii="Times New Roman" w:hAnsi="Times New Roman" w:cs="Times New Roman" w:eastAsia="Times New Roman" w:hint="default"/>
                <w:sz w:val="18"/>
                <w:szCs w:val="18"/>
              </w:rPr>
            </w:pPr>
            <w:r>
              <w:rPr>
                <w:rFonts w:ascii="Times New Roman"/>
                <w:sz w:val="18"/>
              </w:rPr>
              <w:t>10(Mi)</w:t>
            </w:r>
          </w:p>
        </w:tc>
        <w:tc>
          <w:tcPr>
            <w:tcW w:w="1904"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53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4"/>
                <w:sz w:val="18"/>
                <w:szCs w:val="18"/>
              </w:rPr>
              <w:t>归属于公司普通股股东的、减少净资产下一月份起至报告期期末的月</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17" w:right="0"/>
              <w:jc w:val="center"/>
              <w:rPr>
                <w:rFonts w:ascii="Times New Roman" w:hAnsi="Times New Roman" w:cs="Times New Roman" w:eastAsia="Times New Roman" w:hint="default"/>
                <w:sz w:val="18"/>
                <w:szCs w:val="18"/>
              </w:rPr>
            </w:pPr>
            <w:r>
              <w:rPr>
                <w:rFonts w:ascii="Times New Roman"/>
                <w:sz w:val="18"/>
              </w:rPr>
              <w:t>11(Mj)</w:t>
            </w:r>
          </w:p>
        </w:tc>
        <w:tc>
          <w:tcPr>
            <w:tcW w:w="19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
              <w:ind w:right="12"/>
              <w:jc w:val="right"/>
              <w:rPr>
                <w:rFonts w:ascii="等线" w:hAnsi="等线" w:cs="等线" w:eastAsia="等线" w:hint="default"/>
                <w:sz w:val="18"/>
                <w:szCs w:val="18"/>
              </w:rPr>
            </w:pPr>
            <w:r>
              <w:rPr>
                <w:rFonts w:ascii="等线"/>
                <w:w w:val="101"/>
                <w:sz w:val="18"/>
              </w:rPr>
              <w:t>7</w:t>
            </w:r>
            <w:r>
              <w:rPr>
                <w:rFonts w:ascii="等线"/>
                <w:sz w:val="18"/>
              </w:rPr>
            </w:r>
          </w:p>
        </w:tc>
      </w:tr>
    </w:tbl>
    <w:p>
      <w:pPr>
        <w:spacing w:after="0" w:line="240" w:lineRule="auto"/>
        <w:jc w:val="right"/>
        <w:rPr>
          <w:rFonts w:ascii="等线" w:hAnsi="等线" w:cs="等线" w:eastAsia="等线"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5388"/>
        <w:gridCol w:w="1844"/>
        <w:gridCol w:w="1904"/>
      </w:tblGrid>
      <w:tr>
        <w:trPr>
          <w:trHeight w:val="353" w:hRule="exact"/>
        </w:trPr>
        <w:tc>
          <w:tcPr>
            <w:tcW w:w="53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份数</w:t>
            </w:r>
          </w:p>
        </w:tc>
        <w:tc>
          <w:tcPr>
            <w:tcW w:w="1844" w:type="dxa"/>
            <w:tcBorders>
              <w:top w:val="single" w:sz="6" w:space="0" w:color="000000"/>
              <w:left w:val="single" w:sz="6" w:space="0" w:color="000000"/>
              <w:bottom w:val="single" w:sz="12" w:space="0" w:color="000000"/>
              <w:right w:val="single" w:sz="6" w:space="0" w:color="000000"/>
            </w:tcBorders>
          </w:tcPr>
          <w:p>
            <w:pPr/>
          </w:p>
        </w:tc>
        <w:tc>
          <w:tcPr>
            <w:tcW w:w="1904" w:type="dxa"/>
            <w:tcBorders>
              <w:top w:val="single" w:sz="6" w:space="0" w:color="000000"/>
              <w:left w:val="single" w:sz="6" w:space="0" w:color="000000"/>
              <w:bottom w:val="single" w:sz="12" w:space="0" w:color="000000"/>
              <w:right w:val="nil" w:sz="6" w:space="0" w:color="auto"/>
            </w:tcBorders>
          </w:tcPr>
          <w:p>
            <w:pPr/>
          </w:p>
        </w:tc>
      </w:tr>
      <w:tr>
        <w:trPr>
          <w:trHeight w:val="667" w:hRule="exact"/>
        </w:trPr>
        <w:tc>
          <w:tcPr>
            <w:tcW w:w="5388" w:type="dxa"/>
            <w:vMerge w:val="restart"/>
            <w:tcBorders>
              <w:top w:val="single" w:sz="12" w:space="0" w:color="000000"/>
              <w:left w:val="single" w:sz="6"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pacing w:val="-3"/>
                <w:sz w:val="18"/>
                <w:szCs w:val="18"/>
              </w:rPr>
              <w:t>其他交易或事项引起的净资产增减变动</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left="12" w:right="0"/>
              <w:jc w:val="center"/>
              <w:rPr>
                <w:rFonts w:ascii="Times New Roman" w:hAnsi="Times New Roman" w:cs="Times New Roman" w:eastAsia="Times New Roman" w:hint="default"/>
                <w:sz w:val="18"/>
                <w:szCs w:val="18"/>
              </w:rPr>
            </w:pPr>
            <w:r>
              <w:rPr>
                <w:rFonts w:ascii="Times New Roman"/>
                <w:sz w:val="18"/>
              </w:rPr>
              <w:t>12(Ek1)</w:t>
            </w:r>
          </w:p>
        </w:tc>
        <w:tc>
          <w:tcPr>
            <w:tcW w:w="1904" w:type="dxa"/>
            <w:tcBorders>
              <w:top w:val="single" w:sz="12" w:space="0" w:color="000000"/>
              <w:left w:val="single" w:sz="6"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4" w:right="0"/>
              <w:jc w:val="left"/>
              <w:rPr>
                <w:rFonts w:ascii="Times New Roman" w:hAnsi="Times New Roman" w:cs="Times New Roman" w:eastAsia="Times New Roman" w:hint="default"/>
                <w:sz w:val="18"/>
                <w:szCs w:val="18"/>
              </w:rPr>
            </w:pPr>
            <w:r>
              <w:rPr>
                <w:rFonts w:ascii="Times New Roman"/>
                <w:sz w:val="18"/>
              </w:rPr>
              <w:t>14135159.27</w:t>
            </w:r>
          </w:p>
        </w:tc>
      </w:tr>
      <w:tr>
        <w:trPr>
          <w:trHeight w:val="663" w:hRule="exact"/>
        </w:trPr>
        <w:tc>
          <w:tcPr>
            <w:tcW w:w="5388" w:type="dxa"/>
            <w:vMerge/>
            <w:tcBorders>
              <w:left w:val="single" w:sz="6" w:space="0" w:color="000000"/>
              <w:bottom w:val="single" w:sz="12" w:space="0" w:color="000000"/>
              <w:right w:val="single" w:sz="6" w:space="0" w:color="000000"/>
            </w:tcBorders>
          </w:tcPr>
          <w:p>
            <w:pP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left="12" w:right="0"/>
              <w:jc w:val="center"/>
              <w:rPr>
                <w:rFonts w:ascii="Times New Roman" w:hAnsi="Times New Roman" w:cs="Times New Roman" w:eastAsia="Times New Roman" w:hint="default"/>
                <w:sz w:val="18"/>
                <w:szCs w:val="18"/>
              </w:rPr>
            </w:pPr>
            <w:r>
              <w:rPr>
                <w:rFonts w:ascii="Times New Roman"/>
                <w:sz w:val="18"/>
              </w:rPr>
              <w:t>12(Ek2)</w:t>
            </w:r>
          </w:p>
        </w:tc>
        <w:tc>
          <w:tcPr>
            <w:tcW w:w="1904" w:type="dxa"/>
            <w:tcBorders>
              <w:top w:val="single" w:sz="12" w:space="0" w:color="000000"/>
              <w:left w:val="single" w:sz="6"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left"/>
              <w:rPr>
                <w:rFonts w:ascii="Times New Roman" w:hAnsi="Times New Roman" w:cs="Times New Roman" w:eastAsia="Times New Roman" w:hint="default"/>
                <w:sz w:val="18"/>
                <w:szCs w:val="18"/>
              </w:rPr>
            </w:pPr>
            <w:r>
              <w:rPr>
                <w:rFonts w:ascii="Times New Roman"/>
                <w:sz w:val="18"/>
              </w:rPr>
              <w:t>-7050393.23</w:t>
            </w:r>
          </w:p>
        </w:tc>
      </w:tr>
      <w:tr>
        <w:trPr>
          <w:trHeight w:val="350" w:hRule="exact"/>
        </w:trPr>
        <w:tc>
          <w:tcPr>
            <w:tcW w:w="5388" w:type="dxa"/>
            <w:vMerge w:val="restart"/>
            <w:tcBorders>
              <w:top w:val="single" w:sz="12" w:space="0" w:color="000000"/>
              <w:left w:val="single" w:sz="6"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3"/>
                <w:sz w:val="18"/>
                <w:szCs w:val="18"/>
              </w:rPr>
              <w:t>发生其他净资产增减变动下一月份起至报告期期末的月份数</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12" w:right="0"/>
              <w:jc w:val="center"/>
              <w:rPr>
                <w:rFonts w:ascii="Times New Roman" w:hAnsi="Times New Roman" w:cs="Times New Roman" w:eastAsia="Times New Roman" w:hint="default"/>
                <w:sz w:val="18"/>
                <w:szCs w:val="18"/>
              </w:rPr>
            </w:pPr>
            <w:r>
              <w:rPr>
                <w:rFonts w:ascii="Times New Roman"/>
                <w:sz w:val="18"/>
              </w:rPr>
              <w:t>13(Mk1)</w:t>
            </w:r>
          </w:p>
        </w:tc>
        <w:tc>
          <w:tcPr>
            <w:tcW w:w="19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12"/>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r>
      <w:tr>
        <w:trPr>
          <w:trHeight w:val="355" w:hRule="exact"/>
        </w:trPr>
        <w:tc>
          <w:tcPr>
            <w:tcW w:w="5388" w:type="dxa"/>
            <w:vMerge/>
            <w:tcBorders>
              <w:left w:val="single" w:sz="6" w:space="0" w:color="000000"/>
              <w:bottom w:val="single" w:sz="12" w:space="0" w:color="000000"/>
              <w:right w:val="single" w:sz="6" w:space="0" w:color="000000"/>
            </w:tcBorders>
          </w:tcPr>
          <w:p>
            <w:pP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left="12" w:right="0"/>
              <w:jc w:val="center"/>
              <w:rPr>
                <w:rFonts w:ascii="Times New Roman" w:hAnsi="Times New Roman" w:cs="Times New Roman" w:eastAsia="Times New Roman" w:hint="default"/>
                <w:sz w:val="18"/>
                <w:szCs w:val="18"/>
              </w:rPr>
            </w:pPr>
            <w:r>
              <w:rPr>
                <w:rFonts w:ascii="Times New Roman"/>
                <w:sz w:val="18"/>
              </w:rPr>
              <w:t>13(Mk2)</w:t>
            </w:r>
          </w:p>
        </w:tc>
        <w:tc>
          <w:tcPr>
            <w:tcW w:w="19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7"/>
              <w:ind w:right="12"/>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r>
        <w:trPr>
          <w:trHeight w:val="975" w:hRule="exact"/>
        </w:trPr>
        <w:tc>
          <w:tcPr>
            <w:tcW w:w="53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归属于公司普通股股东的净资产加权平均数</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1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14=Eo+P÷2+Ei×Mi÷Mo</w:t>
            </w:r>
          </w:p>
          <w:p>
            <w:pPr>
              <w:pStyle w:val="TableParagraph"/>
              <w:spacing w:line="240" w:lineRule="auto" w:before="63"/>
              <w:ind w:left="14"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240" w:lineRule="auto" w:before="118"/>
              <w:ind w:left="9" w:right="-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Ej×Mj÷Mo±Ek×Mk÷Mo</w:t>
            </w:r>
          </w:p>
        </w:tc>
        <w:tc>
          <w:tcPr>
            <w:tcW w:w="1904" w:type="dxa"/>
            <w:tcBorders>
              <w:top w:val="single" w:sz="12" w:space="0" w:color="000000"/>
              <w:left w:val="single" w:sz="6"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 w:right="0"/>
              <w:jc w:val="left"/>
              <w:rPr>
                <w:rFonts w:ascii="Times New Roman" w:hAnsi="Times New Roman" w:cs="Times New Roman" w:eastAsia="Times New Roman" w:hint="default"/>
                <w:sz w:val="18"/>
                <w:szCs w:val="18"/>
              </w:rPr>
            </w:pPr>
            <w:r>
              <w:rPr>
                <w:rFonts w:ascii="Times New Roman"/>
                <w:sz w:val="18"/>
              </w:rPr>
              <w:t>2,975,823,306.04</w:t>
            </w:r>
          </w:p>
        </w:tc>
      </w:tr>
      <w:tr>
        <w:trPr>
          <w:trHeight w:val="350" w:hRule="exact"/>
        </w:trPr>
        <w:tc>
          <w:tcPr>
            <w:tcW w:w="53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加权平均净资产收益率</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Ⅰ</w:t>
            </w:r>
            <w:r>
              <w:rPr>
                <w:rFonts w:ascii="Times New Roman" w:hAnsi="Times New Roman" w:cs="Times New Roman" w:eastAsia="Times New Roman" w:hint="default"/>
                <w:spacing w:val="-3"/>
                <w:sz w:val="18"/>
                <w:szCs w:val="18"/>
              </w:rPr>
              <w:t>)</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1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15=2÷14</w:t>
            </w:r>
          </w:p>
        </w:tc>
        <w:tc>
          <w:tcPr>
            <w:tcW w:w="19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
              <w:ind w:right="9"/>
              <w:jc w:val="right"/>
              <w:rPr>
                <w:rFonts w:ascii="Times New Roman" w:hAnsi="Times New Roman" w:cs="Times New Roman" w:eastAsia="Times New Roman" w:hint="default"/>
                <w:sz w:val="18"/>
                <w:szCs w:val="18"/>
              </w:rPr>
            </w:pPr>
            <w:r>
              <w:rPr>
                <w:rFonts w:ascii="Times New Roman"/>
                <w:spacing w:val="-1"/>
                <w:sz w:val="18"/>
              </w:rPr>
              <w:t>7.3</w:t>
            </w:r>
            <w:r>
              <w:rPr>
                <w:rFonts w:ascii="等线"/>
                <w:spacing w:val="-1"/>
                <w:sz w:val="18"/>
              </w:rPr>
              <w:t>6</w:t>
            </w:r>
            <w:r>
              <w:rPr>
                <w:rFonts w:ascii="Times New Roman"/>
                <w:spacing w:val="-1"/>
                <w:sz w:val="18"/>
              </w:rPr>
              <w:t>%</w:t>
            </w:r>
          </w:p>
        </w:tc>
      </w:tr>
      <w:tr>
        <w:trPr>
          <w:trHeight w:val="355" w:hRule="exact"/>
        </w:trPr>
        <w:tc>
          <w:tcPr>
            <w:tcW w:w="53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加权平均净资产收益率</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Ⅱ</w:t>
            </w:r>
            <w:r>
              <w:rPr>
                <w:rFonts w:ascii="Times New Roman" w:hAnsi="Times New Roman" w:cs="Times New Roman" w:eastAsia="Times New Roman" w:hint="default"/>
                <w:spacing w:val="-3"/>
                <w:sz w:val="18"/>
                <w:szCs w:val="18"/>
              </w:rPr>
              <w:t>)</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left="1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16=4÷14</w:t>
            </w:r>
          </w:p>
        </w:tc>
        <w:tc>
          <w:tcPr>
            <w:tcW w:w="19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7"/>
              <w:ind w:right="9"/>
              <w:jc w:val="right"/>
              <w:rPr>
                <w:rFonts w:ascii="Times New Roman" w:hAnsi="Times New Roman" w:cs="Times New Roman" w:eastAsia="Times New Roman" w:hint="default"/>
                <w:sz w:val="18"/>
                <w:szCs w:val="18"/>
              </w:rPr>
            </w:pPr>
            <w:r>
              <w:rPr>
                <w:rFonts w:ascii="Times New Roman"/>
                <w:spacing w:val="-1"/>
                <w:sz w:val="18"/>
              </w:rPr>
              <w:t>6.7</w:t>
            </w:r>
            <w:r>
              <w:rPr>
                <w:rFonts w:ascii="等线"/>
                <w:spacing w:val="-1"/>
                <w:sz w:val="18"/>
              </w:rPr>
              <w:t>6</w:t>
            </w:r>
            <w:r>
              <w:rPr>
                <w:rFonts w:ascii="Times New Roman"/>
                <w:spacing w:val="-1"/>
                <w:sz w:val="18"/>
              </w:rPr>
              <w:t>%</w:t>
            </w:r>
          </w:p>
        </w:tc>
      </w:tr>
    </w:tbl>
    <w:p>
      <w:pPr>
        <w:spacing w:line="240" w:lineRule="auto" w:before="6"/>
        <w:rPr>
          <w:rFonts w:ascii="宋体" w:hAnsi="宋体" w:cs="宋体" w:eastAsia="宋体" w:hint="default"/>
          <w:sz w:val="6"/>
          <w:szCs w:val="6"/>
        </w:rPr>
      </w:pPr>
    </w:p>
    <w:p>
      <w:pPr>
        <w:spacing w:before="46"/>
        <w:ind w:left="335"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12(Ek)</w:t>
      </w:r>
      <w:r>
        <w:rPr>
          <w:rFonts w:ascii="宋体" w:hAnsi="宋体" w:cs="宋体" w:eastAsia="宋体" w:hint="default"/>
          <w:sz w:val="18"/>
          <w:szCs w:val="18"/>
        </w:rPr>
        <w:t>为其他综合收益。</w:t>
      </w:r>
    </w:p>
    <w:p>
      <w:pPr>
        <w:spacing w:line="240" w:lineRule="auto" w:before="0"/>
        <w:rPr>
          <w:rFonts w:ascii="宋体" w:hAnsi="宋体" w:cs="宋体" w:eastAsia="宋体" w:hint="default"/>
          <w:sz w:val="14"/>
          <w:szCs w:val="14"/>
        </w:rPr>
      </w:pPr>
    </w:p>
    <w:p>
      <w:pPr>
        <w:spacing w:before="0"/>
        <w:ind w:left="23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  </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基本每股收益和稀释每股收益的计算过程</w:t>
      </w:r>
    </w:p>
    <w:p>
      <w:pPr>
        <w:spacing w:line="240" w:lineRule="auto" w:before="13"/>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）基本每股收益</w:t>
      </w:r>
    </w:p>
    <w:p>
      <w:pPr>
        <w:spacing w:line="240" w:lineRule="auto" w:before="2"/>
        <w:rPr>
          <w:rFonts w:ascii="宋体" w:hAnsi="宋体" w:cs="宋体" w:eastAsia="宋体" w:hint="default"/>
          <w:sz w:val="13"/>
          <w:szCs w:val="13"/>
        </w:rPr>
      </w:pPr>
    </w:p>
    <w:tbl>
      <w:tblPr>
        <w:tblW w:w="0" w:type="auto"/>
        <w:jc w:val="left"/>
        <w:tblInd w:w="143" w:type="dxa"/>
        <w:tblLayout w:type="fixed"/>
        <w:tblCellMar>
          <w:top w:w="0" w:type="dxa"/>
          <w:left w:w="0" w:type="dxa"/>
          <w:bottom w:w="0" w:type="dxa"/>
          <w:right w:w="0" w:type="dxa"/>
        </w:tblCellMar>
        <w:tblLook w:val="01E0"/>
      </w:tblPr>
      <w:tblGrid>
        <w:gridCol w:w="3981"/>
        <w:gridCol w:w="2574"/>
        <w:gridCol w:w="2581"/>
      </w:tblGrid>
      <w:tr>
        <w:trPr>
          <w:trHeight w:val="353" w:hRule="exact"/>
        </w:trPr>
        <w:tc>
          <w:tcPr>
            <w:tcW w:w="39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left="9"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5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left="782" w:right="0"/>
              <w:jc w:val="left"/>
              <w:rPr>
                <w:rFonts w:ascii="宋体" w:hAnsi="宋体" w:cs="宋体" w:eastAsia="宋体" w:hint="default"/>
                <w:sz w:val="20"/>
                <w:szCs w:val="20"/>
              </w:rPr>
            </w:pPr>
            <w:r>
              <w:rPr>
                <w:rFonts w:ascii="宋体" w:hAnsi="宋体" w:cs="宋体" w:eastAsia="宋体" w:hint="default"/>
                <w:sz w:val="20"/>
                <w:szCs w:val="20"/>
              </w:rPr>
              <w:t>本年发生额</w:t>
            </w:r>
          </w:p>
        </w:tc>
        <w:tc>
          <w:tcPr>
            <w:tcW w:w="258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
              <w:ind w:left="787" w:right="0"/>
              <w:jc w:val="left"/>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351" w:hRule="exact"/>
        </w:trPr>
        <w:tc>
          <w:tcPr>
            <w:tcW w:w="39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归属于母公司普通股股东的净利润</w:t>
            </w:r>
          </w:p>
        </w:tc>
        <w:tc>
          <w:tcPr>
            <w:tcW w:w="25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219,048,159.38</w:t>
            </w:r>
          </w:p>
        </w:tc>
        <w:tc>
          <w:tcPr>
            <w:tcW w:w="258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321,211,367.56</w:t>
            </w:r>
          </w:p>
        </w:tc>
      </w:tr>
      <w:tr>
        <w:trPr>
          <w:trHeight w:val="355" w:hRule="exact"/>
        </w:trPr>
        <w:tc>
          <w:tcPr>
            <w:tcW w:w="39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pacing w:val="-3"/>
                <w:sz w:val="18"/>
                <w:szCs w:val="18"/>
              </w:rPr>
              <w:t>发行在外普通股的加权平均数</w:t>
            </w:r>
          </w:p>
        </w:tc>
        <w:tc>
          <w:tcPr>
            <w:tcW w:w="25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5"/>
              <w:jc w:val="right"/>
              <w:rPr>
                <w:rFonts w:ascii="Times New Roman" w:hAnsi="Times New Roman" w:cs="Times New Roman" w:eastAsia="Times New Roman" w:hint="default"/>
                <w:sz w:val="18"/>
                <w:szCs w:val="18"/>
              </w:rPr>
            </w:pPr>
            <w:r>
              <w:rPr>
                <w:rFonts w:ascii="Times New Roman"/>
                <w:spacing w:val="-1"/>
                <w:sz w:val="18"/>
              </w:rPr>
              <w:t>700,577,436.00</w:t>
            </w:r>
          </w:p>
        </w:tc>
        <w:tc>
          <w:tcPr>
            <w:tcW w:w="258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7"/>
              <w:ind w:right="3"/>
              <w:jc w:val="right"/>
              <w:rPr>
                <w:rFonts w:ascii="Times New Roman" w:hAnsi="Times New Roman" w:cs="Times New Roman" w:eastAsia="Times New Roman" w:hint="default"/>
                <w:sz w:val="18"/>
                <w:szCs w:val="18"/>
              </w:rPr>
            </w:pPr>
            <w:r>
              <w:rPr>
                <w:rFonts w:ascii="Times New Roman"/>
                <w:spacing w:val="-1"/>
                <w:sz w:val="18"/>
              </w:rPr>
              <w:t>700,577,436.00</w:t>
            </w:r>
          </w:p>
        </w:tc>
      </w:tr>
      <w:tr>
        <w:trPr>
          <w:trHeight w:val="350" w:hRule="exact"/>
        </w:trPr>
        <w:tc>
          <w:tcPr>
            <w:tcW w:w="39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基本每股收益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Times New Roman" w:hAnsi="Times New Roman" w:cs="Times New Roman" w:eastAsia="Times New Roman" w:hint="default"/>
                <w:spacing w:val="-3"/>
                <w:sz w:val="18"/>
                <w:szCs w:val="18"/>
              </w:rPr>
              <w:t>)</w:t>
            </w:r>
          </w:p>
        </w:tc>
        <w:tc>
          <w:tcPr>
            <w:tcW w:w="25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0.3127</w:t>
            </w:r>
          </w:p>
        </w:tc>
        <w:tc>
          <w:tcPr>
            <w:tcW w:w="258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0.4585</w:t>
            </w:r>
          </w:p>
        </w:tc>
      </w:tr>
    </w:tbl>
    <w:p>
      <w:pPr>
        <w:spacing w:line="240" w:lineRule="auto" w:before="6"/>
        <w:rPr>
          <w:rFonts w:ascii="宋体" w:hAnsi="宋体" w:cs="宋体" w:eastAsia="宋体" w:hint="default"/>
          <w:sz w:val="6"/>
          <w:szCs w:val="6"/>
        </w:rPr>
      </w:pPr>
    </w:p>
    <w:p>
      <w:pPr>
        <w:spacing w:line="439" w:lineRule="auto" w:before="46"/>
        <w:ind w:left="594" w:right="0" w:firstLine="0"/>
        <w:jc w:val="left"/>
        <w:rPr>
          <w:rFonts w:ascii="宋体" w:hAnsi="宋体" w:cs="宋体" w:eastAsia="宋体" w:hint="default"/>
          <w:sz w:val="18"/>
          <w:szCs w:val="18"/>
        </w:rPr>
      </w:pPr>
      <w:r>
        <w:rPr>
          <w:rFonts w:ascii="宋体" w:hAnsi="宋体" w:cs="宋体" w:eastAsia="宋体" w:hint="default"/>
          <w:spacing w:val="-3"/>
          <w:sz w:val="18"/>
          <w:szCs w:val="18"/>
        </w:rPr>
        <w:t>基本每股收益按照归属于本公司普通股股东的当期净利润，除以发行在外普通股的加权平均数计算。</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3"/>
          <w:sz w:val="18"/>
          <w:szCs w:val="18"/>
        </w:rPr>
        <w:t>发行在外普通股的加权平均数的计算过程如下：</w:t>
      </w:r>
    </w:p>
    <w:p>
      <w:pPr>
        <w:spacing w:line="240" w:lineRule="auto" w:before="11"/>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3981"/>
        <w:gridCol w:w="2574"/>
        <w:gridCol w:w="2581"/>
      </w:tblGrid>
      <w:tr>
        <w:trPr>
          <w:trHeight w:val="358" w:hRule="exact"/>
        </w:trPr>
        <w:tc>
          <w:tcPr>
            <w:tcW w:w="39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left="9"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5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left="782" w:right="0"/>
              <w:jc w:val="left"/>
              <w:rPr>
                <w:rFonts w:ascii="宋体" w:hAnsi="宋体" w:cs="宋体" w:eastAsia="宋体" w:hint="default"/>
                <w:sz w:val="20"/>
                <w:szCs w:val="20"/>
              </w:rPr>
            </w:pPr>
            <w:r>
              <w:rPr>
                <w:rFonts w:ascii="宋体" w:hAnsi="宋体" w:cs="宋体" w:eastAsia="宋体" w:hint="default"/>
                <w:sz w:val="20"/>
                <w:szCs w:val="20"/>
              </w:rPr>
              <w:t>本年发生额</w:t>
            </w:r>
          </w:p>
        </w:tc>
        <w:tc>
          <w:tcPr>
            <w:tcW w:w="258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
              <w:ind w:left="787" w:right="0"/>
              <w:jc w:val="left"/>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350" w:hRule="exact"/>
        </w:trPr>
        <w:tc>
          <w:tcPr>
            <w:tcW w:w="39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3"/>
                <w:sz w:val="18"/>
                <w:szCs w:val="18"/>
              </w:rPr>
              <w:t>年初发行在外的普通股股数</w:t>
            </w:r>
          </w:p>
        </w:tc>
        <w:tc>
          <w:tcPr>
            <w:tcW w:w="25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700,577,436.00</w:t>
            </w:r>
          </w:p>
        </w:tc>
        <w:tc>
          <w:tcPr>
            <w:tcW w:w="258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700,577,436.00</w:t>
            </w:r>
          </w:p>
        </w:tc>
      </w:tr>
      <w:tr>
        <w:trPr>
          <w:trHeight w:val="350" w:hRule="exact"/>
        </w:trPr>
        <w:tc>
          <w:tcPr>
            <w:tcW w:w="39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3"/>
                <w:sz w:val="18"/>
                <w:szCs w:val="18"/>
              </w:rPr>
              <w:t>加：本期发行的普通股加权数</w:t>
            </w:r>
          </w:p>
        </w:tc>
        <w:tc>
          <w:tcPr>
            <w:tcW w:w="2574" w:type="dxa"/>
            <w:tcBorders>
              <w:top w:val="single" w:sz="12" w:space="0" w:color="000000"/>
              <w:left w:val="single" w:sz="6" w:space="0" w:color="000000"/>
              <w:bottom w:val="single" w:sz="12" w:space="0" w:color="000000"/>
              <w:right w:val="single" w:sz="6" w:space="0" w:color="000000"/>
            </w:tcBorders>
          </w:tcPr>
          <w:p>
            <w:pPr/>
          </w:p>
        </w:tc>
        <w:tc>
          <w:tcPr>
            <w:tcW w:w="2581" w:type="dxa"/>
            <w:tcBorders>
              <w:top w:val="single" w:sz="12" w:space="0" w:color="000000"/>
              <w:left w:val="single" w:sz="6" w:space="0" w:color="000000"/>
              <w:bottom w:val="single" w:sz="12" w:space="0" w:color="000000"/>
              <w:right w:val="nil" w:sz="6" w:space="0" w:color="auto"/>
            </w:tcBorders>
          </w:tcPr>
          <w:p>
            <w:pPr/>
          </w:p>
        </w:tc>
      </w:tr>
      <w:tr>
        <w:trPr>
          <w:trHeight w:val="355" w:hRule="exact"/>
        </w:trPr>
        <w:tc>
          <w:tcPr>
            <w:tcW w:w="39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pacing w:val="-3"/>
                <w:sz w:val="18"/>
                <w:szCs w:val="18"/>
              </w:rPr>
              <w:t>减：本期回购的普通股加权数</w:t>
            </w:r>
          </w:p>
        </w:tc>
        <w:tc>
          <w:tcPr>
            <w:tcW w:w="2574" w:type="dxa"/>
            <w:tcBorders>
              <w:top w:val="single" w:sz="12" w:space="0" w:color="000000"/>
              <w:left w:val="single" w:sz="6" w:space="0" w:color="000000"/>
              <w:bottom w:val="single" w:sz="12" w:space="0" w:color="000000"/>
              <w:right w:val="single" w:sz="6" w:space="0" w:color="000000"/>
            </w:tcBorders>
          </w:tcPr>
          <w:p>
            <w:pPr/>
          </w:p>
        </w:tc>
        <w:tc>
          <w:tcPr>
            <w:tcW w:w="2581" w:type="dxa"/>
            <w:tcBorders>
              <w:top w:val="single" w:sz="12" w:space="0" w:color="000000"/>
              <w:left w:val="single" w:sz="6" w:space="0" w:color="000000"/>
              <w:bottom w:val="single" w:sz="12" w:space="0" w:color="000000"/>
              <w:right w:val="nil" w:sz="6" w:space="0" w:color="auto"/>
            </w:tcBorders>
          </w:tcPr>
          <w:p>
            <w:pPr/>
          </w:p>
        </w:tc>
      </w:tr>
      <w:tr>
        <w:trPr>
          <w:trHeight w:val="351" w:hRule="exact"/>
        </w:trPr>
        <w:tc>
          <w:tcPr>
            <w:tcW w:w="39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pacing w:val="-3"/>
                <w:sz w:val="18"/>
                <w:szCs w:val="18"/>
              </w:rPr>
              <w:t>发行在外普通股的加权平均数</w:t>
            </w:r>
          </w:p>
        </w:tc>
        <w:tc>
          <w:tcPr>
            <w:tcW w:w="25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5"/>
              <w:jc w:val="right"/>
              <w:rPr>
                <w:rFonts w:ascii="Times New Roman" w:hAnsi="Times New Roman" w:cs="Times New Roman" w:eastAsia="Times New Roman" w:hint="default"/>
                <w:sz w:val="18"/>
                <w:szCs w:val="18"/>
              </w:rPr>
            </w:pPr>
            <w:r>
              <w:rPr>
                <w:rFonts w:ascii="Times New Roman"/>
                <w:spacing w:val="-1"/>
                <w:sz w:val="18"/>
              </w:rPr>
              <w:t>700,577,436.00</w:t>
            </w:r>
          </w:p>
        </w:tc>
        <w:tc>
          <w:tcPr>
            <w:tcW w:w="258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3"/>
              <w:ind w:right="3"/>
              <w:jc w:val="right"/>
              <w:rPr>
                <w:rFonts w:ascii="Times New Roman" w:hAnsi="Times New Roman" w:cs="Times New Roman" w:eastAsia="Times New Roman" w:hint="default"/>
                <w:sz w:val="18"/>
                <w:szCs w:val="18"/>
              </w:rPr>
            </w:pPr>
            <w:r>
              <w:rPr>
                <w:rFonts w:ascii="Times New Roman"/>
                <w:spacing w:val="-1"/>
                <w:sz w:val="18"/>
              </w:rPr>
              <w:t>700,577,436.00</w:t>
            </w:r>
          </w:p>
        </w:tc>
      </w:tr>
    </w:tbl>
    <w:p>
      <w:pPr>
        <w:spacing w:line="240" w:lineRule="auto" w:before="6"/>
        <w:rPr>
          <w:rFonts w:ascii="宋体" w:hAnsi="宋体" w:cs="宋体" w:eastAsia="宋体" w:hint="default"/>
          <w:sz w:val="6"/>
          <w:szCs w:val="6"/>
        </w:rPr>
      </w:pPr>
    </w:p>
    <w:p>
      <w:pPr>
        <w:spacing w:line="448" w:lineRule="auto" w:before="46"/>
        <w:ind w:left="594" w:right="7272" w:hanging="44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）稀释每股收益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本公司无稀释性潜在普通股。</w:t>
      </w:r>
    </w:p>
    <w:p>
      <w:pPr>
        <w:spacing w:after="0" w:line="448"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1"/>
        <w:spacing w:line="240" w:lineRule="auto"/>
        <w:ind w:left="3283" w:right="0"/>
        <w:jc w:val="left"/>
        <w:rPr>
          <w:b w:val="0"/>
          <w:bCs w:val="0"/>
        </w:rPr>
      </w:pPr>
      <w:bookmarkStart w:name="第十三节 备查文件目录" w:id="392"/>
      <w:bookmarkEnd w:id="392"/>
      <w:r>
        <w:rPr>
          <w:b w:val="0"/>
          <w:bCs w:val="0"/>
        </w:rPr>
      </w:r>
      <w:bookmarkStart w:name="_bookmark12" w:id="393"/>
      <w:bookmarkEnd w:id="393"/>
      <w:r>
        <w:rPr>
          <w:b w:val="0"/>
          <w:bCs w:val="0"/>
        </w:rPr>
      </w:r>
      <w:r>
        <w:rPr/>
        <w:t>第十三节</w:t>
      </w:r>
      <w:r>
        <w:rPr>
          <w:spacing w:val="1"/>
        </w:rPr>
        <w:t> </w:t>
      </w:r>
      <w:r>
        <w:rPr/>
        <w:t>备查文件目录</w:t>
      </w:r>
      <w:r>
        <w:rPr>
          <w:b w:val="0"/>
          <w:bCs w:val="0"/>
        </w:rPr>
      </w:r>
    </w:p>
    <w:p>
      <w:pPr>
        <w:spacing w:line="240" w:lineRule="auto" w:before="2"/>
        <w:rPr>
          <w:rFonts w:ascii="宋体" w:hAnsi="宋体" w:cs="宋体" w:eastAsia="宋体" w:hint="default"/>
          <w:b/>
          <w:bCs/>
          <w:sz w:val="42"/>
          <w:szCs w:val="42"/>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载有公司负责人、主管会计工作负责人、会计机构负责人（会计主管人员）签名并盖章的财务报表。</w:t>
      </w:r>
    </w:p>
    <w:p>
      <w:pPr>
        <w:spacing w:before="6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载有会计师事务所盖章、注册会计师签名并盖章的审计报告原件。</w:t>
      </w:r>
    </w:p>
    <w:p>
      <w:pPr>
        <w:spacing w:before="6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pacing w:val="-3"/>
          <w:sz w:val="18"/>
          <w:szCs w:val="18"/>
        </w:rPr>
        <w:t>报告期内在中国证监会指定网站上公开披露过的所有公司文件的正本及公告的原稿。</w:t>
      </w:r>
    </w:p>
    <w:sectPr>
      <w:footerReference w:type="default" r:id="rId18"/>
      <w:pgSz w:w="11910" w:h="16840"/>
      <w:pgMar w:footer="979" w:header="741"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等线">
    <w:altName w:val="等线"/>
    <w:charset w:val="86"/>
    <w:family w:val="auto"/>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68312" type="#_x0000_t75" stroked="false">
          <v:imagedata r:id="rId1" o:title=""/>
        </v:shape>
      </w:pict>
    </w:r>
    <w:r>
      <w:rPr/>
      <w:pict>
        <v:shape style="position:absolute;margin-left:533.190002pt;margin-top:795.661377pt;width:6.6pt;height:11.15pt;mso-position-horizontal-relative:page;mso-position-vertical-relative:page;z-index:-1168288"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68264" type="#_x0000_t75" stroked="false">
          <v:imagedata r:id="rId1" o:title=""/>
        </v:shape>
      </w:pict>
    </w:r>
    <w:r>
      <w:rPr/>
      <w:pict>
        <v:shape style="position:absolute;margin-left:527.869995pt;margin-top:781.957336pt;width:13.15pt;height:11.15pt;mso-position-horizontal-relative:page;mso-position-vertical-relative:page;z-index:-1168240"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68216" type="#_x0000_t75" stroked="false">
          <v:imagedata r:id="rId1" o:title=""/>
        </v:shape>
      </w:pict>
    </w:r>
    <w:r>
      <w:rPr/>
      <w:pict>
        <v:shape style="position:absolute;margin-left:524.309998pt;margin-top:781.957336pt;width:15.7pt;height:11.15pt;mso-position-horizontal-relative:page;mso-position-vertical-relative:page;z-index:-1168192"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68168" type="#_x0000_t75" stroked="false">
          <v:imagedata r:id="rId1" o:title=""/>
        </v:shape>
      </w:pict>
    </w:r>
    <w:r>
      <w:rPr/>
      <w:pict>
        <v:shape style="position:absolute;margin-left:523.309998pt;margin-top:781.957336pt;width:17.7pt;height:11.15pt;mso-position-horizontal-relative:page;mso-position-vertical-relative:page;z-index:-1168144"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68120" type="#_x0000_t75" stroked="false">
          <v:imagedata r:id="rId1" o:title=""/>
        </v:shape>
      </w:pict>
    </w:r>
    <w:r>
      <w:rPr/>
      <w:pict>
        <v:shape style="position:absolute;margin-left:524.309998pt;margin-top:781.957336pt;width:15.7pt;height:11.15pt;mso-position-horizontal-relative:page;mso-position-vertical-relative:page;z-index:-1168096"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08.239990pt;margin-top:36.062485pt;width:231.8pt;height:11.65pt;mso-position-horizontal-relative:page;mso-position-vertical-relative:page;z-index:-1168336"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视觉（中国）文化发展股份有限公司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8"/>
                    <w:sz w:val="18"/>
                    <w:szCs w:val="18"/>
                  </w:rPr>
                  <w:t> </w:t>
                </w:r>
                <w:r>
                  <w:rPr>
                    <w:rFonts w:ascii="宋体" w:hAnsi="宋体" w:cs="宋体" w:eastAsia="宋体" w:hint="default"/>
                    <w:spacing w:val="-3"/>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1"/>
      <w:ind w:left="153"/>
    </w:pPr>
    <w:rPr>
      <w:rFonts w:ascii="宋体" w:hAnsi="宋体" w:eastAsia="宋体"/>
      <w:sz w:val="18"/>
      <w:szCs w:val="18"/>
    </w:rPr>
  </w:style>
  <w:style w:styleId="BodyText" w:type="paragraph">
    <w:name w:val="Body Text"/>
    <w:basedOn w:val="Normal"/>
    <w:uiPriority w:val="1"/>
    <w:qFormat/>
    <w:pPr>
      <w:spacing w:before="7"/>
      <w:ind w:left="153"/>
    </w:pPr>
    <w:rPr>
      <w:rFonts w:ascii="宋体" w:hAnsi="宋体" w:eastAsia="宋体"/>
      <w:sz w:val="21"/>
      <w:szCs w:val="21"/>
    </w:rPr>
  </w:style>
  <w:style w:styleId="Heading1" w:type="paragraph">
    <w:name w:val="Heading 1"/>
    <w:basedOn w:val="Normal"/>
    <w:uiPriority w:val="1"/>
    <w:qFormat/>
    <w:pPr>
      <w:spacing w:before="2"/>
      <w:ind w:left="135"/>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spacing w:before="32"/>
      <w:ind w:left="594"/>
      <w:outlineLvl w:val="3"/>
    </w:pPr>
    <w:rPr>
      <w:rFonts w:ascii="宋体" w:hAnsi="宋体" w:eastAsia="宋体"/>
      <w:sz w:val="22"/>
      <w:szCs w:val="22"/>
    </w:rPr>
  </w:style>
  <w:style w:styleId="Heading4" w:type="paragraph">
    <w:name w:val="Heading 4"/>
    <w:basedOn w:val="Normal"/>
    <w:uiPriority w:val="1"/>
    <w:qFormat/>
    <w:pPr>
      <w:ind w:left="153"/>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vcg.com/" TargetMode="External"/><Relationship Id="rId10" Type="http://schemas.openxmlformats.org/officeDocument/2006/relationships/hyperlink" Target="mailto:000681@vcg.com" TargetMode="External"/><Relationship Id="rId11" Type="http://schemas.openxmlformats.org/officeDocument/2006/relationships/hyperlink" Target="http://www.cninfo.com.cn/" TargetMode="External"/><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hyperlink" Target="http://www.cninfo.co/" TargetMode="External"/><Relationship Id="rId15" Type="http://schemas.openxmlformats.org/officeDocument/2006/relationships/image" Target="media/image5.jpeg"/><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视觉（中国）文化发展股份有限公司</dc:creator>
  <dc:title>视觉（中国）文化发展股份有限公司2019年年度报告全文</dc:title>
  <dcterms:created xsi:type="dcterms:W3CDTF">2020-05-19T22:16:02Z</dcterms:created>
  <dcterms:modified xsi:type="dcterms:W3CDTF">2020-05-19T22:16:02Z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2020-04-28T00:00:00Z</vt:filetime>
  </property>
  <property fmtid="{D5CDD505-2E9C-101B-9397-08002B2CF9AE}" pid="3" name="Creator">
    <vt:lpwstr>Microsoft® Office Word 2007</vt:lpwstr>
  </property>
  <property fmtid="{D5CDD505-2E9C-101B-9397-08002B2CF9AE}" pid="4" name="LastSaved">
    <vt:filetime>2020-05-19T00:00:00Z</vt:filetime>
  </property>
</Properties>
</file>