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line="674" w:lineRule="exact" w:before="8"/>
        <w:ind w:left="1979" w:right="2028" w:hanging="1042"/>
        <w:jc w:val="left"/>
        <w:rPr>
          <w:rFonts w:ascii="宋体" w:hAnsi="宋体" w:cs="宋体" w:eastAsia="宋体" w:hint="default"/>
          <w:sz w:val="52"/>
          <w:szCs w:val="52"/>
        </w:rPr>
      </w:pPr>
      <w:r>
        <w:rPr>
          <w:rFonts w:ascii="宋体" w:hAnsi="宋体" w:cs="宋体" w:eastAsia="宋体" w:hint="default"/>
          <w:sz w:val="52"/>
          <w:szCs w:val="52"/>
        </w:rPr>
        <w:t>黑龙江天伦置业股份有限公司</w:t>
      </w:r>
      <w:r>
        <w:rPr>
          <w:rFonts w:ascii="宋体" w:hAnsi="宋体" w:cs="宋体" w:eastAsia="宋体" w:hint="default"/>
          <w:spacing w:val="-238"/>
          <w:sz w:val="52"/>
          <w:szCs w:val="52"/>
        </w:rPr>
        <w:t> </w:t>
      </w:r>
      <w:r>
        <w:rPr>
          <w:rFonts w:ascii="宋体" w:hAnsi="宋体" w:cs="宋体" w:eastAsia="宋体" w:hint="default"/>
          <w:spacing w:val="-238"/>
          <w:sz w:val="52"/>
          <w:szCs w:val="52"/>
        </w:rPr>
      </w:r>
      <w:r>
        <w:rPr>
          <w:rFonts w:ascii="宋体" w:hAnsi="宋体" w:cs="宋体" w:eastAsia="宋体" w:hint="default"/>
          <w:sz w:val="52"/>
          <w:szCs w:val="52"/>
        </w:rPr>
        <w:t>二</w:t>
      </w:r>
      <w:r>
        <w:rPr>
          <w:rFonts w:ascii="宋体" w:hAnsi="宋体" w:cs="宋体" w:eastAsia="宋体" w:hint="default"/>
          <w:spacing w:val="-122"/>
          <w:sz w:val="52"/>
          <w:szCs w:val="52"/>
        </w:rPr>
        <w:t> </w:t>
      </w:r>
      <w:r>
        <w:rPr>
          <w:rFonts w:ascii="宋体" w:hAnsi="宋体" w:cs="宋体" w:eastAsia="宋体" w:hint="default"/>
          <w:sz w:val="52"/>
          <w:szCs w:val="52"/>
        </w:rPr>
        <w:t>O</w:t>
      </w:r>
      <w:r>
        <w:rPr>
          <w:rFonts w:ascii="宋体" w:hAnsi="宋体" w:cs="宋体" w:eastAsia="宋体" w:hint="default"/>
          <w:spacing w:val="-121"/>
          <w:sz w:val="52"/>
          <w:szCs w:val="52"/>
        </w:rPr>
        <w:t> </w:t>
      </w:r>
      <w:r>
        <w:rPr>
          <w:rFonts w:ascii="宋体" w:hAnsi="宋体" w:cs="宋体" w:eastAsia="宋体" w:hint="default"/>
          <w:sz w:val="52"/>
          <w:szCs w:val="52"/>
        </w:rPr>
        <w:t>一一年年度报告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1"/>
        <w:rPr>
          <w:rFonts w:ascii="宋体" w:hAnsi="宋体" w:cs="宋体" w:eastAsia="宋体" w:hint="default"/>
          <w:sz w:val="59"/>
          <w:szCs w:val="59"/>
        </w:rPr>
      </w:pPr>
    </w:p>
    <w:p>
      <w:pPr>
        <w:spacing w:before="0"/>
        <w:ind w:left="3863" w:right="4162" w:firstLine="0"/>
        <w:jc w:val="center"/>
        <w:rPr>
          <w:rFonts w:ascii="宋体" w:hAnsi="宋体" w:cs="宋体" w:eastAsia="宋体" w:hint="default"/>
          <w:sz w:val="36"/>
          <w:szCs w:val="36"/>
        </w:rPr>
      </w:pPr>
      <w:r>
        <w:rPr/>
        <w:pict>
          <v:shape style="position:absolute;margin-left:103.08847pt;margin-top:-35.198273pt;width:392.95pt;height:64.3pt;mso-position-horizontal-relative:page;mso-position-vertical-relative:paragraph;z-index:-556192;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z w:val="36"/>
          <w:szCs w:val="36"/>
        </w:rPr>
        <w:t>董事长签名：</w:t>
      </w:r>
    </w:p>
    <w:p>
      <w:pPr>
        <w:spacing w:after="0"/>
        <w:jc w:val="center"/>
        <w:rPr>
          <w:rFonts w:ascii="宋体" w:hAnsi="宋体" w:cs="宋体" w:eastAsia="宋体" w:hint="default"/>
          <w:sz w:val="36"/>
          <w:szCs w:val="36"/>
        </w:rPr>
        <w:sectPr>
          <w:footerReference w:type="default" r:id="rId5"/>
          <w:type w:val="continuous"/>
          <w:pgSz w:w="11910" w:h="16840"/>
          <w:pgMar w:footer="837" w:top="1580" w:bottom="102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line="580" w:lineRule="exact" w:before="0"/>
        <w:ind w:left="3406" w:right="0" w:firstLine="0"/>
        <w:jc w:val="left"/>
        <w:rPr>
          <w:rFonts w:ascii="宋体" w:hAnsi="宋体" w:cs="宋体" w:eastAsia="宋体" w:hint="default"/>
          <w:sz w:val="48"/>
          <w:szCs w:val="48"/>
        </w:rPr>
      </w:pPr>
      <w:r>
        <w:rPr>
          <w:rFonts w:ascii="宋体" w:hAnsi="宋体" w:cs="宋体" w:eastAsia="宋体" w:hint="default"/>
          <w:sz w:val="48"/>
          <w:szCs w:val="48"/>
        </w:rPr>
        <w:t>重要提示</w:t>
      </w:r>
    </w:p>
    <w:p>
      <w:pPr>
        <w:spacing w:line="240" w:lineRule="auto" w:before="3"/>
        <w:rPr>
          <w:rFonts w:ascii="宋体" w:hAnsi="宋体" w:cs="宋体" w:eastAsia="宋体" w:hint="default"/>
          <w:sz w:val="67"/>
          <w:szCs w:val="67"/>
        </w:rPr>
      </w:pPr>
    </w:p>
    <w:p>
      <w:pPr>
        <w:pStyle w:val="Heading2"/>
        <w:spacing w:line="357" w:lineRule="auto" w:before="0"/>
        <w:ind w:left="483" w:right="0" w:firstLine="561"/>
        <w:jc w:val="left"/>
      </w:pPr>
      <w:r>
        <w:rPr>
          <w:spacing w:val="-4"/>
        </w:rPr>
        <w:t>本公司董事会、监事会及董事、监事、高级管理人员保证本</w:t>
      </w:r>
      <w:r>
        <w:rPr>
          <w:w w:val="100"/>
        </w:rPr>
        <w:t> </w:t>
      </w:r>
      <w:r>
        <w:rPr/>
        <w:t>报告所载资料不存在任何虚假记载、误导性陈述或者重大遗漏，</w:t>
      </w:r>
      <w:r>
        <w:rPr>
          <w:spacing w:val="-110"/>
        </w:rPr>
        <w:t> </w:t>
      </w:r>
      <w:r>
        <w:rPr>
          <w:spacing w:val="-110"/>
        </w:rPr>
      </w:r>
      <w:r>
        <w:rPr/>
        <w:t>并对其内容的真实性、准确性和完整性承担个别及连带责任。</w:t>
      </w:r>
    </w:p>
    <w:p>
      <w:pPr>
        <w:spacing w:line="357" w:lineRule="auto" w:before="41"/>
        <w:ind w:left="483" w:right="1992" w:firstLine="561"/>
        <w:jc w:val="left"/>
        <w:rPr>
          <w:rFonts w:ascii="宋体" w:hAnsi="宋体" w:cs="宋体" w:eastAsia="宋体" w:hint="default"/>
          <w:sz w:val="28"/>
          <w:szCs w:val="28"/>
        </w:rPr>
      </w:pPr>
      <w:r>
        <w:rPr>
          <w:rFonts w:ascii="宋体" w:hAnsi="宋体" w:cs="宋体" w:eastAsia="宋体" w:hint="default"/>
          <w:sz w:val="28"/>
          <w:szCs w:val="28"/>
        </w:rPr>
        <w:t>公司 2011</w:t>
      </w:r>
      <w:r>
        <w:rPr>
          <w:rFonts w:ascii="宋体" w:hAnsi="宋体" w:cs="宋体" w:eastAsia="宋体" w:hint="default"/>
          <w:spacing w:val="-71"/>
          <w:sz w:val="28"/>
          <w:szCs w:val="28"/>
        </w:rPr>
        <w:t> </w:t>
      </w:r>
      <w:r>
        <w:rPr>
          <w:rFonts w:ascii="宋体" w:hAnsi="宋体" w:cs="宋体" w:eastAsia="宋体" w:hint="default"/>
          <w:sz w:val="28"/>
          <w:szCs w:val="28"/>
        </w:rPr>
        <w:t>年年度报告已经广东正中珠江会计师事务所有限</w:t>
      </w:r>
      <w:r>
        <w:rPr>
          <w:rFonts w:ascii="宋体" w:hAnsi="宋体" w:cs="宋体" w:eastAsia="宋体" w:hint="default"/>
          <w:w w:val="100"/>
          <w:sz w:val="28"/>
          <w:szCs w:val="28"/>
        </w:rPr>
        <w:t> </w:t>
      </w:r>
      <w:r>
        <w:rPr>
          <w:rFonts w:ascii="宋体" w:hAnsi="宋体" w:cs="宋体" w:eastAsia="宋体" w:hint="default"/>
          <w:sz w:val="28"/>
          <w:szCs w:val="28"/>
        </w:rPr>
        <w:t>公司审计并出具标准无保留意见的审计报告。</w:t>
      </w:r>
    </w:p>
    <w:p>
      <w:pPr>
        <w:pStyle w:val="Heading2"/>
        <w:spacing w:line="357" w:lineRule="auto" w:before="41"/>
        <w:ind w:left="483" w:right="2001" w:firstLine="561"/>
        <w:jc w:val="both"/>
      </w:pPr>
      <w:r>
        <w:rPr/>
        <w:pict>
          <v:shape style="position:absolute;margin-left:103.08847pt;margin-top:75.219864pt;width:392.95pt;height:64.3pt;mso-position-horizontal-relative:page;mso-position-vertical-relative:paragraph;z-index:-556168;rotation:315" type="#_x0000_t136" fillcolor="#e0e0e0" stroked="f">
            <o:extrusion v:ext="view" autorotationcenter="t"/>
            <v:textpath style="font-family:&amp;quot;Arial&amp;quot;;font-size:64pt;v-text-kern:t;mso-text-shadow:auto" string="UnRegistered"/>
            <w10:wrap type="none"/>
          </v:shape>
        </w:pict>
      </w:r>
      <w:r>
        <w:rPr>
          <w:spacing w:val="-4"/>
        </w:rPr>
        <w:t>公司董事长许环曜先生、总经理李智先生、财务负责人兼会</w:t>
      </w:r>
      <w:r>
        <w:rPr>
          <w:w w:val="100"/>
        </w:rPr>
        <w:t> </w:t>
      </w:r>
      <w:r>
        <w:rPr>
          <w:spacing w:val="6"/>
        </w:rPr>
        <w:t>计机构负责人陈凤林女士声明：保证年度报告中的财务报告真</w:t>
      </w:r>
      <w:r>
        <w:rPr>
          <w:spacing w:val="-93"/>
        </w:rPr>
        <w:t> </w:t>
      </w:r>
      <w:r>
        <w:rPr>
          <w:spacing w:val="-93"/>
        </w:rPr>
      </w:r>
      <w:r>
        <w:rPr/>
        <w:t>实、完整。</w:t>
      </w:r>
    </w:p>
    <w:p>
      <w:pPr>
        <w:spacing w:after="0" w:line="357" w:lineRule="auto"/>
        <w:jc w:val="both"/>
        <w:sectPr>
          <w:headerReference w:type="default" r:id="rId6"/>
          <w:footerReference w:type="default" r:id="rId7"/>
          <w:pgSz w:w="11910" w:h="16840"/>
          <w:pgMar w:header="929" w:footer="837" w:top="1140" w:bottom="1020" w:left="1640" w:right="0"/>
          <w:pgNumType w:start="1"/>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556144;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tabs>
          <w:tab w:pos="5096" w:val="left" w:leader="none"/>
        </w:tabs>
        <w:spacing w:line="580" w:lineRule="exact" w:before="0"/>
        <w:ind w:left="3409" w:right="0" w:firstLine="0"/>
        <w:jc w:val="left"/>
        <w:rPr>
          <w:rFonts w:ascii="宋体" w:hAnsi="宋体" w:cs="宋体" w:eastAsia="宋体" w:hint="default"/>
          <w:sz w:val="48"/>
          <w:szCs w:val="48"/>
        </w:rPr>
      </w:pPr>
      <w:r>
        <w:rPr>
          <w:rFonts w:ascii="宋体" w:hAnsi="宋体" w:cs="宋体" w:eastAsia="宋体" w:hint="default"/>
          <w:sz w:val="48"/>
          <w:szCs w:val="48"/>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2"/>
          <w:szCs w:val="12"/>
        </w:rPr>
      </w:pPr>
    </w:p>
    <w:tbl>
      <w:tblPr>
        <w:tblW w:w="0" w:type="auto"/>
        <w:jc w:val="left"/>
        <w:tblInd w:w="568" w:type="dxa"/>
        <w:tblLayout w:type="fixed"/>
        <w:tblCellMar>
          <w:top w:w="0" w:type="dxa"/>
          <w:left w:w="0" w:type="dxa"/>
          <w:bottom w:w="0" w:type="dxa"/>
          <w:right w:w="0" w:type="dxa"/>
        </w:tblCellMar>
        <w:tblLook w:val="01E0"/>
      </w:tblPr>
      <w:tblGrid>
        <w:gridCol w:w="1026"/>
        <w:gridCol w:w="5844"/>
        <w:gridCol w:w="528"/>
      </w:tblGrid>
      <w:tr>
        <w:trPr>
          <w:trHeight w:val="513"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8"/>
                <w:szCs w:val="28"/>
              </w:rPr>
            </w:pPr>
            <w:r>
              <w:rPr>
                <w:rFonts w:ascii="宋体" w:hAnsi="宋体" w:cs="宋体" w:eastAsia="宋体" w:hint="default"/>
                <w:sz w:val="28"/>
                <w:szCs w:val="28"/>
              </w:rPr>
              <w:t>一、</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3" w:right="0"/>
              <w:jc w:val="left"/>
              <w:rPr>
                <w:rFonts w:ascii="宋体" w:hAnsi="宋体" w:cs="宋体" w:eastAsia="宋体" w:hint="default"/>
                <w:sz w:val="28"/>
                <w:szCs w:val="28"/>
              </w:rPr>
            </w:pPr>
            <w:r>
              <w:rPr>
                <w:rFonts w:ascii="宋体" w:hAnsi="宋体" w:cs="宋体" w:eastAsia="宋体" w:hint="default"/>
                <w:sz w:val="28"/>
                <w:szCs w:val="28"/>
              </w:rPr>
              <w:t>公司基本情况简介………………………………</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3" w:right="0"/>
              <w:jc w:val="left"/>
              <w:rPr>
                <w:rFonts w:ascii="宋体" w:hAnsi="宋体" w:cs="宋体" w:eastAsia="宋体" w:hint="default"/>
                <w:sz w:val="28"/>
                <w:szCs w:val="28"/>
              </w:rPr>
            </w:pPr>
            <w:r>
              <w:rPr>
                <w:rFonts w:ascii="宋体"/>
                <w:w w:val="100"/>
                <w:sz w:val="28"/>
              </w:rPr>
              <w:t>3</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二、</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会计数据和业务数据摘要………………………</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3" w:right="0"/>
              <w:jc w:val="left"/>
              <w:rPr>
                <w:rFonts w:ascii="宋体" w:hAnsi="宋体" w:cs="宋体" w:eastAsia="宋体" w:hint="default"/>
                <w:sz w:val="28"/>
                <w:szCs w:val="28"/>
              </w:rPr>
            </w:pPr>
            <w:r>
              <w:rPr>
                <w:rFonts w:ascii="宋体"/>
                <w:w w:val="100"/>
                <w:sz w:val="28"/>
              </w:rPr>
              <w:t>4</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三、</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股本变动及股东情况……………………………</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3" w:right="0"/>
              <w:jc w:val="left"/>
              <w:rPr>
                <w:rFonts w:ascii="宋体" w:hAnsi="宋体" w:cs="宋体" w:eastAsia="宋体" w:hint="default"/>
                <w:sz w:val="28"/>
                <w:szCs w:val="28"/>
              </w:rPr>
            </w:pPr>
            <w:r>
              <w:rPr>
                <w:rFonts w:ascii="宋体"/>
                <w:w w:val="100"/>
                <w:sz w:val="28"/>
              </w:rPr>
              <w:t>6</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四、</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董事、监事、高级管理人员和员工情况……</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3" w:right="0"/>
              <w:jc w:val="left"/>
              <w:rPr>
                <w:rFonts w:ascii="宋体" w:hAnsi="宋体" w:cs="宋体" w:eastAsia="宋体" w:hint="default"/>
                <w:sz w:val="28"/>
                <w:szCs w:val="28"/>
              </w:rPr>
            </w:pPr>
            <w:r>
              <w:rPr>
                <w:rFonts w:ascii="宋体"/>
                <w:w w:val="100"/>
                <w:sz w:val="28"/>
              </w:rPr>
              <w:t>8</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五、</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公司治理结构</w:t>
            </w:r>
            <w:r>
              <w:rPr>
                <w:rFonts w:ascii="宋体" w:hAnsi="宋体" w:cs="宋体" w:eastAsia="宋体" w:hint="default"/>
                <w:spacing w:val="17"/>
                <w:sz w:val="28"/>
                <w:szCs w:val="28"/>
              </w:rPr>
              <w:t> </w:t>
            </w:r>
            <w:r>
              <w:rPr>
                <w:rFonts w:ascii="宋体" w:hAnsi="宋体" w:cs="宋体" w:eastAsia="宋体" w:hint="default"/>
                <w:sz w:val="28"/>
                <w:szCs w:val="28"/>
              </w:rPr>
              <w:t>………………………………</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1" w:right="0"/>
              <w:jc w:val="left"/>
              <w:rPr>
                <w:rFonts w:ascii="宋体" w:hAnsi="宋体" w:cs="宋体" w:eastAsia="宋体" w:hint="default"/>
                <w:sz w:val="28"/>
                <w:szCs w:val="28"/>
              </w:rPr>
            </w:pPr>
            <w:r>
              <w:rPr>
                <w:rFonts w:ascii="宋体"/>
                <w:sz w:val="28"/>
              </w:rPr>
              <w:t>10</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六、</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内部控制……………………………………</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1" w:right="0"/>
              <w:jc w:val="left"/>
              <w:rPr>
                <w:rFonts w:ascii="宋体" w:hAnsi="宋体" w:cs="宋体" w:eastAsia="宋体" w:hint="default"/>
                <w:sz w:val="28"/>
                <w:szCs w:val="28"/>
              </w:rPr>
            </w:pPr>
            <w:r>
              <w:rPr>
                <w:rFonts w:ascii="宋体"/>
                <w:sz w:val="28"/>
              </w:rPr>
              <w:t>12</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七、</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股东大会情况简介</w:t>
            </w:r>
            <w:r>
              <w:rPr>
                <w:rFonts w:ascii="宋体" w:hAnsi="宋体" w:cs="宋体" w:eastAsia="宋体" w:hint="default"/>
                <w:spacing w:val="17"/>
                <w:sz w:val="28"/>
                <w:szCs w:val="28"/>
              </w:rPr>
              <w:t> </w:t>
            </w:r>
            <w:r>
              <w:rPr>
                <w:rFonts w:ascii="宋体" w:hAnsi="宋体" w:cs="宋体" w:eastAsia="宋体" w:hint="default"/>
                <w:sz w:val="28"/>
                <w:szCs w:val="28"/>
              </w:rPr>
              <w:t>…………………………</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2" w:right="0"/>
              <w:jc w:val="left"/>
              <w:rPr>
                <w:rFonts w:ascii="宋体" w:hAnsi="宋体" w:cs="宋体" w:eastAsia="宋体" w:hint="default"/>
                <w:sz w:val="28"/>
                <w:szCs w:val="28"/>
              </w:rPr>
            </w:pPr>
            <w:r>
              <w:rPr>
                <w:rFonts w:ascii="宋体"/>
                <w:sz w:val="28"/>
              </w:rPr>
              <w:t>13</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八、</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董事会报告</w:t>
            </w:r>
            <w:r>
              <w:rPr>
                <w:rFonts w:ascii="宋体" w:hAnsi="宋体" w:cs="宋体" w:eastAsia="宋体" w:hint="default"/>
                <w:spacing w:val="17"/>
                <w:sz w:val="28"/>
                <w:szCs w:val="28"/>
              </w:rPr>
              <w:t> </w:t>
            </w:r>
            <w:r>
              <w:rPr>
                <w:rFonts w:ascii="宋体" w:hAnsi="宋体" w:cs="宋体" w:eastAsia="宋体" w:hint="default"/>
                <w:sz w:val="28"/>
                <w:szCs w:val="28"/>
              </w:rPr>
              <w:t>……………………………………</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1" w:right="0"/>
              <w:jc w:val="left"/>
              <w:rPr>
                <w:rFonts w:ascii="宋体" w:hAnsi="宋体" w:cs="宋体" w:eastAsia="宋体" w:hint="default"/>
                <w:sz w:val="28"/>
                <w:szCs w:val="28"/>
              </w:rPr>
            </w:pPr>
            <w:r>
              <w:rPr>
                <w:rFonts w:ascii="宋体"/>
                <w:sz w:val="28"/>
              </w:rPr>
              <w:t>13</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九、</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监事会报告……………………………………</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2" w:right="0"/>
              <w:jc w:val="left"/>
              <w:rPr>
                <w:rFonts w:ascii="宋体" w:hAnsi="宋体" w:cs="宋体" w:eastAsia="宋体" w:hint="default"/>
                <w:sz w:val="28"/>
                <w:szCs w:val="28"/>
              </w:rPr>
            </w:pPr>
            <w:r>
              <w:rPr>
                <w:rFonts w:ascii="宋体"/>
                <w:sz w:val="28"/>
              </w:rPr>
              <w:t>28</w:t>
            </w:r>
          </w:p>
        </w:tc>
      </w:tr>
      <w:tr>
        <w:trPr>
          <w:trHeight w:val="545"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十、</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3" w:right="0"/>
              <w:jc w:val="left"/>
              <w:rPr>
                <w:rFonts w:ascii="宋体" w:hAnsi="宋体" w:cs="宋体" w:eastAsia="宋体" w:hint="default"/>
                <w:sz w:val="28"/>
                <w:szCs w:val="28"/>
              </w:rPr>
            </w:pPr>
            <w:r>
              <w:rPr>
                <w:rFonts w:ascii="宋体" w:hAnsi="宋体" w:cs="宋体" w:eastAsia="宋体" w:hint="default"/>
                <w:sz w:val="28"/>
                <w:szCs w:val="28"/>
              </w:rPr>
              <w:t>重要事项</w:t>
            </w:r>
            <w:r>
              <w:rPr>
                <w:rFonts w:ascii="宋体" w:hAnsi="宋体" w:cs="宋体" w:eastAsia="宋体" w:hint="default"/>
                <w:spacing w:val="16"/>
                <w:sz w:val="28"/>
                <w:szCs w:val="28"/>
              </w:rPr>
              <w:t> </w:t>
            </w:r>
            <w:r>
              <w:rPr>
                <w:rFonts w:ascii="宋体" w:hAnsi="宋体" w:cs="宋体" w:eastAsia="宋体" w:hint="default"/>
                <w:sz w:val="28"/>
                <w:szCs w:val="28"/>
              </w:rPr>
              <w:t>……………………………………</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1" w:right="0"/>
              <w:jc w:val="left"/>
              <w:rPr>
                <w:rFonts w:ascii="宋体" w:hAnsi="宋体" w:cs="宋体" w:eastAsia="宋体" w:hint="default"/>
                <w:sz w:val="28"/>
                <w:szCs w:val="28"/>
              </w:rPr>
            </w:pPr>
            <w:r>
              <w:rPr>
                <w:rFonts w:ascii="宋体"/>
                <w:sz w:val="28"/>
              </w:rPr>
              <w:t>30</w:t>
            </w:r>
          </w:p>
        </w:tc>
      </w:tr>
      <w:tr>
        <w:trPr>
          <w:trHeight w:val="544"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8"/>
                <w:szCs w:val="28"/>
              </w:rPr>
            </w:pPr>
            <w:r>
              <w:rPr>
                <w:rFonts w:ascii="宋体" w:hAnsi="宋体" w:cs="宋体" w:eastAsia="宋体" w:hint="default"/>
                <w:sz w:val="28"/>
                <w:szCs w:val="28"/>
              </w:rPr>
              <w:t>十一、</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8" w:right="0"/>
              <w:jc w:val="left"/>
              <w:rPr>
                <w:rFonts w:ascii="宋体" w:hAnsi="宋体" w:cs="宋体" w:eastAsia="宋体" w:hint="default"/>
                <w:sz w:val="28"/>
                <w:szCs w:val="28"/>
              </w:rPr>
            </w:pPr>
            <w:r>
              <w:rPr>
                <w:rFonts w:ascii="宋体" w:hAnsi="宋体" w:cs="宋体" w:eastAsia="宋体" w:hint="default"/>
                <w:sz w:val="28"/>
                <w:szCs w:val="28"/>
              </w:rPr>
              <w:t>财务报告………………………………………</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9" w:right="0"/>
              <w:jc w:val="left"/>
              <w:rPr>
                <w:rFonts w:ascii="宋体" w:hAnsi="宋体" w:cs="宋体" w:eastAsia="宋体" w:hint="default"/>
                <w:sz w:val="28"/>
                <w:szCs w:val="28"/>
              </w:rPr>
            </w:pPr>
            <w:r>
              <w:rPr>
                <w:rFonts w:ascii="宋体"/>
                <w:sz w:val="28"/>
              </w:rPr>
              <w:t>33</w:t>
            </w:r>
          </w:p>
        </w:tc>
      </w:tr>
      <w:tr>
        <w:trPr>
          <w:trHeight w:val="512"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8"/>
                <w:szCs w:val="28"/>
              </w:rPr>
            </w:pPr>
            <w:r>
              <w:rPr>
                <w:rFonts w:ascii="宋体" w:hAnsi="宋体" w:cs="宋体" w:eastAsia="宋体" w:hint="default"/>
                <w:sz w:val="28"/>
                <w:szCs w:val="28"/>
              </w:rPr>
              <w:t>十二、</w:t>
            </w:r>
          </w:p>
        </w:tc>
        <w:tc>
          <w:tcPr>
            <w:tcW w:w="584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8" w:right="0"/>
              <w:jc w:val="left"/>
              <w:rPr>
                <w:rFonts w:ascii="宋体" w:hAnsi="宋体" w:cs="宋体" w:eastAsia="宋体" w:hint="default"/>
                <w:sz w:val="28"/>
                <w:szCs w:val="28"/>
              </w:rPr>
            </w:pPr>
            <w:r>
              <w:rPr>
                <w:rFonts w:ascii="宋体" w:hAnsi="宋体" w:cs="宋体" w:eastAsia="宋体" w:hint="default"/>
                <w:sz w:val="28"/>
                <w:szCs w:val="28"/>
              </w:rPr>
              <w:t>备查文件目录</w:t>
            </w:r>
            <w:r>
              <w:rPr>
                <w:rFonts w:ascii="宋体" w:hAnsi="宋体" w:cs="宋体" w:eastAsia="宋体" w:hint="default"/>
                <w:spacing w:val="19"/>
                <w:sz w:val="28"/>
                <w:szCs w:val="28"/>
              </w:rPr>
              <w:t> </w:t>
            </w:r>
            <w:r>
              <w:rPr>
                <w:rFonts w:ascii="宋体" w:hAnsi="宋体" w:cs="宋体" w:eastAsia="宋体" w:hint="default"/>
                <w:sz w:val="28"/>
                <w:szCs w:val="28"/>
              </w:rPr>
              <w:t>………………………………</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9" w:right="0"/>
              <w:jc w:val="left"/>
              <w:rPr>
                <w:rFonts w:ascii="宋体" w:hAnsi="宋体" w:cs="宋体" w:eastAsia="宋体" w:hint="default"/>
                <w:sz w:val="28"/>
                <w:szCs w:val="28"/>
              </w:rPr>
            </w:pPr>
            <w:r>
              <w:rPr>
                <w:rFonts w:ascii="宋体"/>
                <w:sz w:val="28"/>
              </w:rPr>
              <w:t>100</w:t>
            </w:r>
          </w:p>
        </w:tc>
      </w:tr>
    </w:tbl>
    <w:p>
      <w:pPr>
        <w:spacing w:after="0" w:line="240" w:lineRule="auto"/>
        <w:jc w:val="left"/>
        <w:rPr>
          <w:rFonts w:ascii="宋体" w:hAnsi="宋体" w:cs="宋体" w:eastAsia="宋体" w:hint="default"/>
          <w:sz w:val="28"/>
          <w:szCs w:val="28"/>
        </w:rPr>
        <w:sectPr>
          <w:footerReference w:type="default" r:id="rId8"/>
          <w:pgSz w:w="11910" w:h="16840"/>
          <w:pgMar w:footer="837" w:header="929" w:top="1140" w:bottom="1020" w:left="1640" w:right="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240" w:lineRule="auto"/>
        <w:ind w:left="3039" w:right="0"/>
        <w:jc w:val="left"/>
      </w:pPr>
      <w:r>
        <w:rPr/>
        <w:t>一、公司基本情况简介</w:t>
      </w:r>
    </w:p>
    <w:p>
      <w:pPr>
        <w:spacing w:line="240" w:lineRule="auto" w:before="8"/>
        <w:rPr>
          <w:rFonts w:ascii="宋体" w:hAnsi="宋体" w:cs="宋体" w:eastAsia="宋体" w:hint="default"/>
          <w:sz w:val="43"/>
          <w:szCs w:val="43"/>
        </w:rPr>
      </w:pPr>
    </w:p>
    <w:p>
      <w:pPr>
        <w:pStyle w:val="Heading2"/>
        <w:spacing w:line="302" w:lineRule="auto" w:before="0"/>
        <w:ind w:left="622" w:right="0"/>
        <w:jc w:val="left"/>
      </w:pPr>
      <w:r>
        <w:rPr/>
        <w:t>1、公司法定中文名称：黑龙江天伦置业股份有限公司</w:t>
      </w:r>
      <w:r>
        <w:rPr>
          <w:w w:val="100"/>
        </w:rPr>
        <w:t> </w:t>
      </w:r>
      <w:r>
        <w:rPr>
          <w:spacing w:val="-13"/>
        </w:rPr>
        <w:t>公司英文名称：HEILONGJIANG</w:t>
      </w:r>
      <w:r>
        <w:rPr>
          <w:spacing w:val="-84"/>
        </w:rPr>
        <w:t> </w:t>
      </w:r>
      <w:r>
        <w:rPr>
          <w:spacing w:val="-18"/>
        </w:rPr>
        <w:t>TIANLUN</w:t>
      </w:r>
      <w:r>
        <w:rPr>
          <w:spacing w:val="-84"/>
        </w:rPr>
        <w:t> </w:t>
      </w:r>
      <w:r>
        <w:rPr>
          <w:spacing w:val="-16"/>
        </w:rPr>
        <w:t>REAL</w:t>
      </w:r>
      <w:r>
        <w:rPr>
          <w:spacing w:val="-84"/>
        </w:rPr>
        <w:t> </w:t>
      </w:r>
      <w:r>
        <w:rPr>
          <w:spacing w:val="-18"/>
        </w:rPr>
        <w:t>ESTATE</w:t>
      </w:r>
      <w:r>
        <w:rPr>
          <w:spacing w:val="-84"/>
        </w:rPr>
        <w:t> </w:t>
      </w:r>
      <w:r>
        <w:rPr>
          <w:spacing w:val="-20"/>
        </w:rPr>
        <w:t>DEVELOPMENT</w:t>
      </w:r>
      <w:r>
        <w:rPr>
          <w:spacing w:val="-84"/>
        </w:rPr>
        <w:t> </w:t>
      </w:r>
      <w:r>
        <w:rPr>
          <w:spacing w:val="-19"/>
        </w:rPr>
        <w:t>CO.,LTD.</w:t>
      </w:r>
    </w:p>
    <w:p>
      <w:pPr>
        <w:spacing w:line="300" w:lineRule="auto" w:before="21"/>
        <w:ind w:left="622" w:right="4241" w:firstLine="0"/>
        <w:jc w:val="left"/>
        <w:rPr>
          <w:rFonts w:ascii="宋体" w:hAnsi="宋体" w:cs="宋体" w:eastAsia="宋体" w:hint="default"/>
          <w:sz w:val="28"/>
          <w:szCs w:val="28"/>
        </w:rPr>
      </w:pPr>
      <w:r>
        <w:rPr>
          <w:rFonts w:ascii="宋体" w:hAnsi="宋体" w:cs="宋体" w:eastAsia="宋体" w:hint="default"/>
          <w:spacing w:val="3"/>
          <w:sz w:val="28"/>
          <w:szCs w:val="28"/>
        </w:rPr>
        <w:t>公司英文名称缩写：TianLun </w:t>
      </w:r>
      <w:r>
        <w:rPr>
          <w:rFonts w:ascii="宋体" w:hAnsi="宋体" w:cs="宋体" w:eastAsia="宋体" w:hint="default"/>
          <w:spacing w:val="7"/>
          <w:sz w:val="28"/>
          <w:szCs w:val="28"/>
        </w:rPr>
        <w:t>Real</w:t>
      </w:r>
      <w:r>
        <w:rPr>
          <w:rFonts w:ascii="宋体" w:hAnsi="宋体" w:cs="宋体" w:eastAsia="宋体" w:hint="default"/>
          <w:spacing w:val="75"/>
          <w:sz w:val="28"/>
          <w:szCs w:val="28"/>
        </w:rPr>
        <w:t> </w:t>
      </w:r>
      <w:r>
        <w:rPr>
          <w:rFonts w:ascii="宋体" w:hAnsi="宋体" w:cs="宋体" w:eastAsia="宋体" w:hint="default"/>
          <w:spacing w:val="8"/>
          <w:sz w:val="28"/>
          <w:szCs w:val="28"/>
        </w:rPr>
        <w:t>Estate</w:t>
      </w:r>
      <w:r>
        <w:rPr>
          <w:rFonts w:ascii="宋体" w:hAnsi="宋体" w:cs="宋体" w:eastAsia="宋体" w:hint="default"/>
          <w:w w:val="100"/>
          <w:sz w:val="28"/>
          <w:szCs w:val="28"/>
        </w:rPr>
        <w:t> </w:t>
      </w:r>
      <w:r>
        <w:rPr>
          <w:rFonts w:ascii="宋体" w:hAnsi="宋体" w:cs="宋体" w:eastAsia="宋体" w:hint="default"/>
          <w:sz w:val="28"/>
          <w:szCs w:val="28"/>
        </w:rPr>
        <w:t>2、公司法定代表人：许环曜</w:t>
      </w:r>
    </w:p>
    <w:p>
      <w:pPr>
        <w:spacing w:line="300" w:lineRule="auto" w:before="24"/>
        <w:ind w:left="903" w:right="4317" w:hanging="281"/>
        <w:jc w:val="left"/>
        <w:rPr>
          <w:rFonts w:ascii="宋体" w:hAnsi="宋体" w:cs="宋体" w:eastAsia="宋体" w:hint="default"/>
          <w:sz w:val="28"/>
          <w:szCs w:val="28"/>
        </w:rPr>
      </w:pPr>
      <w:r>
        <w:rPr>
          <w:rFonts w:ascii="宋体" w:hAnsi="宋体" w:cs="宋体" w:eastAsia="宋体" w:hint="default"/>
          <w:sz w:val="28"/>
          <w:szCs w:val="28"/>
        </w:rPr>
        <w:t>3、公司董事会秘书：赵润涛</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地址：广州市天河路</w:t>
      </w:r>
      <w:r>
        <w:rPr>
          <w:rFonts w:ascii="宋体" w:hAnsi="宋体" w:cs="宋体" w:eastAsia="宋体" w:hint="default"/>
          <w:spacing w:val="-71"/>
          <w:sz w:val="28"/>
          <w:szCs w:val="28"/>
        </w:rPr>
        <w:t> </w:t>
      </w:r>
      <w:r>
        <w:rPr>
          <w:rFonts w:ascii="宋体" w:hAnsi="宋体" w:cs="宋体" w:eastAsia="宋体" w:hint="default"/>
          <w:sz w:val="28"/>
          <w:szCs w:val="28"/>
        </w:rPr>
        <w:t>45</w:t>
      </w:r>
      <w:r>
        <w:rPr>
          <w:rFonts w:ascii="宋体" w:hAnsi="宋体" w:cs="宋体" w:eastAsia="宋体" w:hint="default"/>
          <w:spacing w:val="-70"/>
          <w:sz w:val="28"/>
          <w:szCs w:val="28"/>
        </w:rPr>
        <w:t> </w:t>
      </w:r>
      <w:r>
        <w:rPr>
          <w:rFonts w:ascii="宋体" w:hAnsi="宋体" w:cs="宋体" w:eastAsia="宋体" w:hint="default"/>
          <w:sz w:val="28"/>
          <w:szCs w:val="28"/>
        </w:rPr>
        <w:t>号天伦大厦</w:t>
      </w:r>
      <w:r>
        <w:rPr>
          <w:rFonts w:ascii="宋体" w:hAnsi="宋体" w:cs="宋体" w:eastAsia="宋体" w:hint="default"/>
          <w:spacing w:val="-73"/>
          <w:sz w:val="28"/>
          <w:szCs w:val="28"/>
        </w:rPr>
        <w:t> </w:t>
      </w:r>
      <w:r>
        <w:rPr>
          <w:rFonts w:ascii="宋体" w:hAnsi="宋体" w:cs="宋体" w:eastAsia="宋体" w:hint="default"/>
          <w:sz w:val="28"/>
          <w:szCs w:val="28"/>
        </w:rPr>
        <w:t>25</w:t>
      </w:r>
      <w:r>
        <w:rPr>
          <w:rFonts w:ascii="宋体" w:hAnsi="宋体" w:cs="宋体" w:eastAsia="宋体" w:hint="default"/>
          <w:spacing w:val="-70"/>
          <w:sz w:val="28"/>
          <w:szCs w:val="28"/>
        </w:rPr>
        <w:t> </w:t>
      </w:r>
      <w:r>
        <w:rPr>
          <w:rFonts w:ascii="宋体" w:hAnsi="宋体" w:cs="宋体" w:eastAsia="宋体" w:hint="default"/>
          <w:sz w:val="28"/>
          <w:szCs w:val="28"/>
        </w:rPr>
        <w:t>楼</w:t>
      </w:r>
      <w:r>
        <w:rPr>
          <w:rFonts w:ascii="宋体" w:hAnsi="宋体" w:cs="宋体" w:eastAsia="宋体" w:hint="default"/>
          <w:w w:val="100"/>
          <w:sz w:val="28"/>
          <w:szCs w:val="28"/>
        </w:rPr>
        <w:t> </w:t>
      </w:r>
      <w:r>
        <w:rPr>
          <w:rFonts w:ascii="宋体" w:hAnsi="宋体" w:cs="宋体" w:eastAsia="宋体" w:hint="default"/>
          <w:sz w:val="28"/>
          <w:szCs w:val="28"/>
        </w:rPr>
        <w:t>电话：020-38303068</w:t>
      </w:r>
    </w:p>
    <w:p>
      <w:pPr>
        <w:spacing w:before="24"/>
        <w:ind w:left="903" w:right="0" w:firstLine="0"/>
        <w:jc w:val="left"/>
        <w:rPr>
          <w:rFonts w:ascii="宋体" w:hAnsi="宋体" w:cs="宋体" w:eastAsia="宋体" w:hint="default"/>
          <w:sz w:val="28"/>
          <w:szCs w:val="28"/>
        </w:rPr>
      </w:pPr>
      <w:r>
        <w:rPr>
          <w:rFonts w:ascii="宋体" w:hAnsi="宋体" w:cs="宋体" w:eastAsia="宋体" w:hint="default"/>
          <w:sz w:val="28"/>
          <w:szCs w:val="28"/>
        </w:rPr>
        <w:t>传真：020-38303000</w:t>
      </w:r>
    </w:p>
    <w:p>
      <w:pPr>
        <w:pStyle w:val="Heading2"/>
        <w:spacing w:line="302" w:lineRule="auto" w:before="94"/>
        <w:ind w:left="903" w:right="4317"/>
        <w:jc w:val="left"/>
      </w:pPr>
      <w:r>
        <w:rPr/>
        <w:pict>
          <v:shape style="position:absolute;margin-left:103.08847pt;margin-top:74.149857pt;width:392.95pt;height:64.3pt;mso-position-horizontal-relative:page;mso-position-vertical-relative:paragraph;z-index:-556120;rotation:315" type="#_x0000_t136" fillcolor="#e0e0e0" stroked="f">
            <o:extrusion v:ext="view" autorotationcenter="t"/>
            <v:textpath style="font-family:&amp;quot;Arial&amp;quot;;font-size:64pt;v-text-kern:t;mso-text-shadow:auto" string="UnRegistered"/>
            <w10:wrap type="none"/>
          </v:shape>
        </w:pict>
      </w:r>
      <w:r>
        <w:rPr/>
        <w:t>电子信箱：</w:t>
      </w:r>
      <w:hyperlink r:id="rId9">
        <w:r>
          <w:rPr>
            <w:u w:val="single" w:color="000000"/>
          </w:rPr>
          <w:t>zrt0001@sina.com</w:t>
        </w:r>
        <w:r>
          <w:rPr>
            <w:w w:val="100"/>
          </w:rPr>
        </w:r>
      </w:hyperlink>
      <w:r>
        <w:rPr>
          <w:w w:val="100"/>
        </w:rPr>
        <w:t> </w:t>
      </w:r>
      <w:r>
        <w:rPr/>
        <w:t>公司证券事务代表：刘捷</w:t>
      </w:r>
      <w:r>
        <w:rPr>
          <w:w w:val="100"/>
        </w:rPr>
        <w:t> </w:t>
      </w:r>
      <w:r>
        <w:rPr/>
        <w:t>地址：广州市天河路</w:t>
      </w:r>
      <w:r>
        <w:rPr>
          <w:spacing w:val="-71"/>
        </w:rPr>
        <w:t> </w:t>
      </w:r>
      <w:r>
        <w:rPr/>
        <w:t>45</w:t>
      </w:r>
      <w:r>
        <w:rPr>
          <w:spacing w:val="-70"/>
        </w:rPr>
        <w:t> </w:t>
      </w:r>
      <w:r>
        <w:rPr/>
        <w:t>号天伦大厦</w:t>
      </w:r>
      <w:r>
        <w:rPr>
          <w:spacing w:val="-73"/>
        </w:rPr>
        <w:t> </w:t>
      </w:r>
      <w:r>
        <w:rPr/>
        <w:t>25</w:t>
      </w:r>
      <w:r>
        <w:rPr>
          <w:spacing w:val="-70"/>
        </w:rPr>
        <w:t> </w:t>
      </w:r>
      <w:r>
        <w:rPr/>
        <w:t>楼</w:t>
      </w:r>
      <w:r>
        <w:rPr>
          <w:w w:val="100"/>
        </w:rPr>
        <w:t> </w:t>
      </w:r>
      <w:r>
        <w:rPr/>
        <w:t>电话：020-38303219</w:t>
      </w:r>
    </w:p>
    <w:p>
      <w:pPr>
        <w:spacing w:before="19"/>
        <w:ind w:left="903" w:right="0" w:firstLine="0"/>
        <w:jc w:val="left"/>
        <w:rPr>
          <w:rFonts w:ascii="宋体" w:hAnsi="宋体" w:cs="宋体" w:eastAsia="宋体" w:hint="default"/>
          <w:sz w:val="28"/>
          <w:szCs w:val="28"/>
        </w:rPr>
      </w:pPr>
      <w:r>
        <w:rPr>
          <w:rFonts w:ascii="宋体" w:hAnsi="宋体" w:cs="宋体" w:eastAsia="宋体" w:hint="default"/>
          <w:sz w:val="28"/>
          <w:szCs w:val="28"/>
        </w:rPr>
        <w:t>传真：020-38303000</w:t>
      </w:r>
    </w:p>
    <w:p>
      <w:pPr>
        <w:spacing w:line="302" w:lineRule="auto" w:before="94"/>
        <w:ind w:left="543" w:right="0" w:firstLine="338"/>
        <w:jc w:val="left"/>
        <w:rPr>
          <w:rFonts w:ascii="宋体" w:hAnsi="宋体" w:cs="宋体" w:eastAsia="宋体" w:hint="default"/>
          <w:sz w:val="28"/>
          <w:szCs w:val="28"/>
        </w:rPr>
      </w:pPr>
      <w:r>
        <w:rPr>
          <w:rFonts w:ascii="宋体" w:hAnsi="宋体" w:cs="宋体" w:eastAsia="宋体" w:hint="default"/>
          <w:sz w:val="28"/>
          <w:szCs w:val="28"/>
        </w:rPr>
        <w:t>电子信箱：</w:t>
      </w:r>
      <w:hyperlink r:id="rId10">
        <w:r>
          <w:rPr>
            <w:rFonts w:ascii="宋体" w:hAnsi="宋体" w:cs="宋体" w:eastAsia="宋体" w:hint="default"/>
            <w:sz w:val="28"/>
            <w:szCs w:val="28"/>
          </w:rPr>
          <w:t>J</w:t>
        </w:r>
        <w:r>
          <w:rPr>
            <w:rFonts w:ascii="宋体" w:hAnsi="宋体" w:cs="宋体" w:eastAsia="宋体" w:hint="default"/>
            <w:sz w:val="28"/>
            <w:szCs w:val="28"/>
            <w:u w:val="single" w:color="000000"/>
          </w:rPr>
          <w:t>essie88520@hotmail.com</w:t>
        </w:r>
        <w:r>
          <w:rPr>
            <w:rFonts w:ascii="宋体" w:hAnsi="宋体" w:cs="宋体" w:eastAsia="宋体" w:hint="default"/>
            <w:w w:val="100"/>
            <w:sz w:val="28"/>
            <w:szCs w:val="28"/>
          </w:rPr>
        </w:r>
      </w:hyperlink>
      <w:r>
        <w:rPr>
          <w:rFonts w:ascii="宋体" w:hAnsi="宋体" w:cs="宋体" w:eastAsia="宋体" w:hint="default"/>
          <w:w w:val="100"/>
          <w:sz w:val="28"/>
          <w:szCs w:val="28"/>
        </w:rPr>
        <w:t> </w:t>
      </w:r>
      <w:r>
        <w:rPr>
          <w:rFonts w:ascii="宋体" w:hAnsi="宋体" w:cs="宋体" w:eastAsia="宋体" w:hint="default"/>
          <w:spacing w:val="-1"/>
          <w:sz w:val="28"/>
          <w:szCs w:val="28"/>
        </w:rPr>
        <w:t>4、公司注册地址：哈尔滨经济技术开发区</w:t>
      </w:r>
    </w:p>
    <w:p>
      <w:pPr>
        <w:spacing w:line="302" w:lineRule="auto" w:before="19"/>
        <w:ind w:left="903" w:right="3750" w:firstLine="0"/>
        <w:jc w:val="left"/>
        <w:rPr>
          <w:rFonts w:ascii="宋体" w:hAnsi="宋体" w:cs="宋体" w:eastAsia="宋体" w:hint="default"/>
          <w:sz w:val="28"/>
          <w:szCs w:val="28"/>
        </w:rPr>
      </w:pPr>
      <w:r>
        <w:rPr>
          <w:rFonts w:ascii="宋体" w:hAnsi="宋体" w:cs="宋体" w:eastAsia="宋体" w:hint="default"/>
          <w:sz w:val="28"/>
          <w:szCs w:val="28"/>
        </w:rPr>
        <w:t>办公地址：广州市天河路</w:t>
      </w:r>
      <w:r>
        <w:rPr>
          <w:rFonts w:ascii="宋体" w:hAnsi="宋体" w:cs="宋体" w:eastAsia="宋体" w:hint="default"/>
          <w:spacing w:val="-72"/>
          <w:sz w:val="28"/>
          <w:szCs w:val="28"/>
        </w:rPr>
        <w:t> </w:t>
      </w:r>
      <w:r>
        <w:rPr>
          <w:rFonts w:ascii="宋体" w:hAnsi="宋体" w:cs="宋体" w:eastAsia="宋体" w:hint="default"/>
          <w:sz w:val="28"/>
          <w:szCs w:val="28"/>
        </w:rPr>
        <w:t>45</w:t>
      </w:r>
      <w:r>
        <w:rPr>
          <w:rFonts w:ascii="宋体" w:hAnsi="宋体" w:cs="宋体" w:eastAsia="宋体" w:hint="default"/>
          <w:spacing w:val="-71"/>
          <w:sz w:val="28"/>
          <w:szCs w:val="28"/>
        </w:rPr>
        <w:t> </w:t>
      </w:r>
      <w:r>
        <w:rPr>
          <w:rFonts w:ascii="宋体" w:hAnsi="宋体" w:cs="宋体" w:eastAsia="宋体" w:hint="default"/>
          <w:sz w:val="28"/>
          <w:szCs w:val="28"/>
        </w:rPr>
        <w:t>号天伦大厦</w:t>
      </w:r>
      <w:r>
        <w:rPr>
          <w:rFonts w:ascii="宋体" w:hAnsi="宋体" w:cs="宋体" w:eastAsia="宋体" w:hint="default"/>
          <w:spacing w:val="-72"/>
          <w:sz w:val="28"/>
          <w:szCs w:val="28"/>
        </w:rPr>
        <w:t> </w:t>
      </w:r>
      <w:r>
        <w:rPr>
          <w:rFonts w:ascii="宋体" w:hAnsi="宋体" w:cs="宋体" w:eastAsia="宋体" w:hint="default"/>
          <w:sz w:val="28"/>
          <w:szCs w:val="28"/>
        </w:rPr>
        <w:t>25</w:t>
      </w:r>
      <w:r>
        <w:rPr>
          <w:rFonts w:ascii="宋体" w:hAnsi="宋体" w:cs="宋体" w:eastAsia="宋体" w:hint="default"/>
          <w:spacing w:val="-73"/>
          <w:sz w:val="28"/>
          <w:szCs w:val="28"/>
        </w:rPr>
        <w:t> </w:t>
      </w:r>
      <w:r>
        <w:rPr>
          <w:rFonts w:ascii="宋体" w:hAnsi="宋体" w:cs="宋体" w:eastAsia="宋体" w:hint="default"/>
          <w:sz w:val="28"/>
          <w:szCs w:val="28"/>
        </w:rPr>
        <w:t>楼</w:t>
      </w:r>
      <w:r>
        <w:rPr>
          <w:rFonts w:ascii="宋体" w:hAnsi="宋体" w:cs="宋体" w:eastAsia="宋体" w:hint="default"/>
          <w:w w:val="100"/>
          <w:sz w:val="28"/>
          <w:szCs w:val="28"/>
        </w:rPr>
        <w:t> </w:t>
      </w:r>
      <w:r>
        <w:rPr>
          <w:rFonts w:ascii="宋体" w:hAnsi="宋体" w:cs="宋体" w:eastAsia="宋体" w:hint="default"/>
          <w:sz w:val="28"/>
          <w:szCs w:val="28"/>
        </w:rPr>
        <w:t>邮政编码：510060</w:t>
      </w:r>
      <w:r>
        <w:rPr>
          <w:rFonts w:ascii="宋体" w:hAnsi="宋体" w:cs="宋体" w:eastAsia="宋体" w:hint="default"/>
          <w:w w:val="100"/>
          <w:sz w:val="28"/>
          <w:szCs w:val="28"/>
        </w:rPr>
        <w:t> </w:t>
      </w:r>
      <w:r>
        <w:rPr>
          <w:rFonts w:ascii="宋体" w:hAnsi="宋体" w:cs="宋体" w:eastAsia="宋体" w:hint="default"/>
          <w:sz w:val="28"/>
          <w:szCs w:val="28"/>
        </w:rPr>
        <w:t>公司网址</w:t>
      </w:r>
      <w:hyperlink r:id="rId11">
        <w:r>
          <w:rPr>
            <w:rFonts w:ascii="宋体" w:hAnsi="宋体" w:cs="宋体" w:eastAsia="宋体" w:hint="default"/>
            <w:sz w:val="28"/>
            <w:szCs w:val="28"/>
          </w:rPr>
          <w:t>：www.tlzy.com.cn</w:t>
        </w:r>
      </w:hyperlink>
      <w:r>
        <w:rPr>
          <w:rFonts w:ascii="宋体" w:hAnsi="宋体" w:cs="宋体" w:eastAsia="宋体" w:hint="default"/>
          <w:w w:val="100"/>
          <w:sz w:val="28"/>
          <w:szCs w:val="28"/>
        </w:rPr>
        <w:t> </w:t>
      </w:r>
      <w:r>
        <w:rPr>
          <w:rFonts w:ascii="宋体" w:hAnsi="宋体" w:cs="宋体" w:eastAsia="宋体" w:hint="default"/>
          <w:sz w:val="28"/>
          <w:szCs w:val="28"/>
        </w:rPr>
        <w:t>电子信箱：</w:t>
      </w:r>
      <w:hyperlink r:id="rId12">
        <w:r>
          <w:rPr>
            <w:rFonts w:ascii="宋体" w:hAnsi="宋体" w:cs="宋体" w:eastAsia="宋体" w:hint="default"/>
            <w:sz w:val="28"/>
            <w:szCs w:val="28"/>
          </w:rPr>
          <w:t>hljtlzy@126.com</w:t>
        </w:r>
      </w:hyperlink>
    </w:p>
    <w:p>
      <w:pPr>
        <w:spacing w:line="302" w:lineRule="auto" w:before="21"/>
        <w:ind w:left="560" w:right="0" w:firstLine="62"/>
        <w:jc w:val="left"/>
        <w:rPr>
          <w:rFonts w:ascii="宋体" w:hAnsi="宋体" w:cs="宋体" w:eastAsia="宋体" w:hint="default"/>
          <w:sz w:val="28"/>
          <w:szCs w:val="28"/>
        </w:rPr>
      </w:pPr>
      <w:r>
        <w:rPr>
          <w:rFonts w:ascii="宋体" w:hAnsi="宋体" w:cs="宋体" w:eastAsia="宋体" w:hint="default"/>
          <w:spacing w:val="-18"/>
          <w:w w:val="100"/>
          <w:sz w:val="28"/>
          <w:szCs w:val="28"/>
        </w:rPr>
        <w:t>5、公司信息披露报刊：《中国证券报》、《证券时报》</w:t>
      </w:r>
      <w:r>
        <w:rPr>
          <w:rFonts w:ascii="宋体" w:hAnsi="宋体" w:cs="宋体" w:eastAsia="宋体" w:hint="default"/>
          <w:w w:val="100"/>
          <w:sz w:val="28"/>
          <w:szCs w:val="28"/>
        </w:rPr>
        <w:t> </w:t>
      </w:r>
      <w:r>
        <w:rPr>
          <w:rFonts w:ascii="宋体" w:hAnsi="宋体" w:cs="宋体" w:eastAsia="宋体" w:hint="default"/>
          <w:spacing w:val="-14"/>
          <w:sz w:val="28"/>
          <w:szCs w:val="28"/>
        </w:rPr>
        <w:t>中国证监会指定登载公司年度报告网址：</w:t>
      </w:r>
      <w:hyperlink r:id="rId13">
        <w:r>
          <w:rPr>
            <w:rFonts w:ascii="宋体" w:hAnsi="宋体" w:cs="宋体" w:eastAsia="宋体" w:hint="default"/>
            <w:spacing w:val="-14"/>
            <w:sz w:val="28"/>
            <w:szCs w:val="28"/>
            <w:u w:val="single" w:color="000000"/>
          </w:rPr>
          <w:t>http://www.cninfo.com.cn</w:t>
        </w:r>
        <w:r>
          <w:rPr>
            <w:rFonts w:ascii="宋体" w:hAnsi="宋体" w:cs="宋体" w:eastAsia="宋体" w:hint="default"/>
            <w:spacing w:val="-115"/>
            <w:sz w:val="28"/>
            <w:szCs w:val="28"/>
            <w:u w:val="single" w:color="000000"/>
          </w:rPr>
          <w:t> </w:t>
        </w:r>
        <w:r>
          <w:rPr>
            <w:rFonts w:ascii="宋体" w:hAnsi="宋体" w:cs="宋体" w:eastAsia="宋体" w:hint="default"/>
            <w:spacing w:val="-115"/>
            <w:sz w:val="28"/>
            <w:szCs w:val="28"/>
          </w:rPr>
        </w:r>
      </w:hyperlink>
      <w:r>
        <w:rPr>
          <w:rFonts w:ascii="宋体" w:hAnsi="宋体" w:cs="宋体" w:eastAsia="宋体" w:hint="default"/>
          <w:spacing w:val="-115"/>
          <w:sz w:val="28"/>
          <w:szCs w:val="28"/>
        </w:rPr>
      </w:r>
      <w:r>
        <w:rPr>
          <w:rFonts w:ascii="宋体" w:hAnsi="宋体" w:cs="宋体" w:eastAsia="宋体" w:hint="default"/>
          <w:sz w:val="28"/>
          <w:szCs w:val="28"/>
        </w:rPr>
        <w:t>公司年度报告备置地点：公司董事会秘书处</w:t>
      </w:r>
      <w:r>
        <w:rPr>
          <w:rFonts w:ascii="宋体" w:hAnsi="宋体" w:cs="宋体" w:eastAsia="宋体" w:hint="default"/>
          <w:w w:val="100"/>
          <w:sz w:val="28"/>
          <w:szCs w:val="28"/>
        </w:rPr>
        <w:t> </w:t>
      </w:r>
      <w:r>
        <w:rPr>
          <w:rFonts w:ascii="宋体" w:hAnsi="宋体" w:cs="宋体" w:eastAsia="宋体" w:hint="default"/>
          <w:sz w:val="28"/>
          <w:szCs w:val="28"/>
        </w:rPr>
        <w:t>6、公司股票上市交易所：深圳证券交易所</w:t>
      </w:r>
    </w:p>
    <w:p>
      <w:pPr>
        <w:spacing w:line="300" w:lineRule="auto" w:before="21"/>
        <w:ind w:left="622" w:right="7112" w:firstLine="0"/>
        <w:jc w:val="left"/>
        <w:rPr>
          <w:rFonts w:ascii="宋体" w:hAnsi="宋体" w:cs="宋体" w:eastAsia="宋体" w:hint="default"/>
          <w:sz w:val="28"/>
          <w:szCs w:val="28"/>
        </w:rPr>
      </w:pPr>
      <w:r>
        <w:rPr>
          <w:rFonts w:ascii="宋体" w:hAnsi="宋体" w:cs="宋体" w:eastAsia="宋体" w:hint="default"/>
          <w:spacing w:val="-1"/>
          <w:sz w:val="28"/>
          <w:szCs w:val="28"/>
        </w:rPr>
        <w:t>股票简称：天伦置业</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股票代码：000711</w:t>
      </w:r>
      <w:r>
        <w:rPr>
          <w:rFonts w:ascii="宋体" w:hAnsi="宋体" w:cs="宋体" w:eastAsia="宋体" w:hint="default"/>
          <w:w w:val="100"/>
          <w:sz w:val="28"/>
          <w:szCs w:val="28"/>
        </w:rPr>
        <w:t> </w:t>
      </w:r>
      <w:r>
        <w:rPr>
          <w:rFonts w:ascii="宋体" w:hAnsi="宋体" w:cs="宋体" w:eastAsia="宋体" w:hint="default"/>
          <w:sz w:val="28"/>
          <w:szCs w:val="28"/>
        </w:rPr>
        <w:t>7、其他有关资料：</w:t>
      </w:r>
    </w:p>
    <w:p>
      <w:pPr>
        <w:spacing w:before="24"/>
        <w:ind w:left="622" w:right="0" w:firstLine="0"/>
        <w:jc w:val="left"/>
        <w:rPr>
          <w:rFonts w:ascii="宋体" w:hAnsi="宋体" w:cs="宋体" w:eastAsia="宋体" w:hint="default"/>
          <w:sz w:val="28"/>
          <w:szCs w:val="28"/>
        </w:rPr>
      </w:pPr>
      <w:r>
        <w:rPr>
          <w:rFonts w:ascii="宋体" w:hAnsi="宋体" w:cs="宋体" w:eastAsia="宋体" w:hint="default"/>
          <w:sz w:val="28"/>
          <w:szCs w:val="28"/>
        </w:rPr>
        <w:t>公司首次注册登记日期：1993</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3</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31</w:t>
      </w:r>
      <w:r>
        <w:rPr>
          <w:rFonts w:ascii="宋体" w:hAnsi="宋体" w:cs="宋体" w:eastAsia="宋体" w:hint="default"/>
          <w:spacing w:val="-70"/>
          <w:sz w:val="28"/>
          <w:szCs w:val="28"/>
        </w:rPr>
        <w:t> </w:t>
      </w:r>
      <w:r>
        <w:rPr>
          <w:rFonts w:ascii="宋体" w:hAnsi="宋体" w:cs="宋体" w:eastAsia="宋体" w:hint="default"/>
          <w:sz w:val="28"/>
          <w:szCs w:val="28"/>
        </w:rPr>
        <w:t>日</w:t>
      </w:r>
    </w:p>
    <w:p>
      <w:pPr>
        <w:spacing w:after="0"/>
        <w:jc w:val="left"/>
        <w:rPr>
          <w:rFonts w:ascii="宋体" w:hAnsi="宋体" w:cs="宋体" w:eastAsia="宋体" w:hint="default"/>
          <w:sz w:val="28"/>
          <w:szCs w:val="28"/>
        </w:rPr>
        <w:sectPr>
          <w:pgSz w:w="11910" w:h="16840"/>
          <w:pgMar w:header="929" w:footer="837" w:top="1140" w:bottom="1020" w:left="1640" w:right="0"/>
        </w:sectPr>
      </w:pPr>
    </w:p>
    <w:p>
      <w:pPr>
        <w:spacing w:line="240" w:lineRule="auto" w:before="6"/>
        <w:rPr>
          <w:rFonts w:ascii="宋体" w:hAnsi="宋体" w:cs="宋体" w:eastAsia="宋体" w:hint="default"/>
          <w:sz w:val="18"/>
          <w:szCs w:val="18"/>
        </w:rPr>
      </w:pPr>
    </w:p>
    <w:p>
      <w:pPr>
        <w:spacing w:line="302" w:lineRule="auto" w:before="14"/>
        <w:ind w:left="1502" w:right="3760" w:firstLine="0"/>
        <w:jc w:val="left"/>
        <w:rPr>
          <w:rFonts w:ascii="宋体" w:hAnsi="宋体" w:cs="宋体" w:eastAsia="宋体" w:hint="default"/>
          <w:sz w:val="28"/>
          <w:szCs w:val="28"/>
        </w:rPr>
      </w:pPr>
      <w:r>
        <w:rPr>
          <w:rFonts w:ascii="宋体" w:hAnsi="宋体" w:cs="宋体" w:eastAsia="宋体" w:hint="default"/>
          <w:spacing w:val="-2"/>
          <w:sz w:val="28"/>
          <w:szCs w:val="28"/>
        </w:rPr>
        <w:t>公司首次注册登记地点：哈尔滨经济技术开发区</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z w:val="28"/>
          <w:szCs w:val="28"/>
        </w:rPr>
        <w:t>企业法人营业执照注册号：2300001100930</w:t>
      </w:r>
      <w:r>
        <w:rPr>
          <w:rFonts w:ascii="宋体" w:hAnsi="宋体" w:cs="宋体" w:eastAsia="宋体" w:hint="default"/>
          <w:w w:val="100"/>
          <w:sz w:val="28"/>
          <w:szCs w:val="28"/>
        </w:rPr>
        <w:t> </w:t>
      </w:r>
      <w:r>
        <w:rPr>
          <w:rFonts w:ascii="宋体" w:hAnsi="宋体" w:cs="宋体" w:eastAsia="宋体" w:hint="default"/>
          <w:sz w:val="28"/>
          <w:szCs w:val="28"/>
        </w:rPr>
        <w:t>税务登记号码：230109126976973</w:t>
      </w:r>
      <w:r>
        <w:rPr>
          <w:rFonts w:ascii="宋体" w:hAnsi="宋体" w:cs="宋体" w:eastAsia="宋体" w:hint="default"/>
          <w:w w:val="100"/>
          <w:sz w:val="28"/>
          <w:szCs w:val="28"/>
        </w:rPr>
        <w:t> </w:t>
      </w:r>
      <w:r>
        <w:rPr>
          <w:rFonts w:ascii="宋体" w:hAnsi="宋体" w:cs="宋体" w:eastAsia="宋体" w:hint="default"/>
          <w:sz w:val="28"/>
          <w:szCs w:val="28"/>
        </w:rPr>
        <w:t>组织机构代码：12697697-3</w:t>
      </w:r>
    </w:p>
    <w:p>
      <w:pPr>
        <w:spacing w:line="302" w:lineRule="auto" w:before="21"/>
        <w:ind w:left="1502" w:right="0" w:firstLine="0"/>
        <w:jc w:val="left"/>
        <w:rPr>
          <w:rFonts w:ascii="宋体" w:hAnsi="宋体" w:cs="宋体" w:eastAsia="宋体" w:hint="default"/>
          <w:sz w:val="28"/>
          <w:szCs w:val="28"/>
        </w:rPr>
      </w:pPr>
      <w:r>
        <w:rPr>
          <w:rFonts w:ascii="宋体" w:hAnsi="宋体" w:cs="宋体" w:eastAsia="宋体" w:hint="default"/>
          <w:spacing w:val="-2"/>
          <w:sz w:val="28"/>
          <w:szCs w:val="28"/>
        </w:rPr>
        <w:t>聘请会计师事务所名称：广东正中珠江会计师事务所有限公司</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办公地址：广州市东风东路</w:t>
      </w:r>
      <w:r>
        <w:rPr>
          <w:rFonts w:ascii="宋体" w:hAnsi="宋体" w:cs="宋体" w:eastAsia="宋体" w:hint="default"/>
          <w:spacing w:val="-73"/>
          <w:sz w:val="28"/>
          <w:szCs w:val="28"/>
        </w:rPr>
        <w:t> </w:t>
      </w:r>
      <w:r>
        <w:rPr>
          <w:rFonts w:ascii="宋体" w:hAnsi="宋体" w:cs="宋体" w:eastAsia="宋体" w:hint="default"/>
          <w:sz w:val="28"/>
          <w:szCs w:val="28"/>
        </w:rPr>
        <w:t>555</w:t>
      </w:r>
      <w:r>
        <w:rPr>
          <w:rFonts w:ascii="宋体" w:hAnsi="宋体" w:cs="宋体" w:eastAsia="宋体" w:hint="default"/>
          <w:spacing w:val="-70"/>
          <w:sz w:val="28"/>
          <w:szCs w:val="28"/>
        </w:rPr>
        <w:t> </w:t>
      </w:r>
      <w:r>
        <w:rPr>
          <w:rFonts w:ascii="宋体" w:hAnsi="宋体" w:cs="宋体" w:eastAsia="宋体" w:hint="default"/>
          <w:sz w:val="28"/>
          <w:szCs w:val="28"/>
        </w:rPr>
        <w:t>号粤海集团大厦</w:t>
      </w:r>
      <w:r>
        <w:rPr>
          <w:rFonts w:ascii="宋体" w:hAnsi="宋体" w:cs="宋体" w:eastAsia="宋体" w:hint="default"/>
          <w:spacing w:val="-73"/>
          <w:sz w:val="28"/>
          <w:szCs w:val="28"/>
        </w:rPr>
        <w:t> </w:t>
      </w:r>
      <w:r>
        <w:rPr>
          <w:rFonts w:ascii="宋体" w:hAnsi="宋体" w:cs="宋体" w:eastAsia="宋体" w:hint="default"/>
          <w:sz w:val="28"/>
          <w:szCs w:val="28"/>
        </w:rPr>
        <w:t>10</w:t>
      </w:r>
      <w:r>
        <w:rPr>
          <w:rFonts w:ascii="宋体" w:hAnsi="宋体" w:cs="宋体" w:eastAsia="宋体" w:hint="default"/>
          <w:spacing w:val="-70"/>
          <w:sz w:val="28"/>
          <w:szCs w:val="28"/>
        </w:rPr>
        <w:t> </w:t>
      </w:r>
      <w:r>
        <w:rPr>
          <w:rFonts w:ascii="宋体" w:hAnsi="宋体" w:cs="宋体" w:eastAsia="宋体" w:hint="default"/>
          <w:sz w:val="28"/>
          <w:szCs w:val="28"/>
        </w:rPr>
        <w:t>楼</w:t>
      </w:r>
    </w:p>
    <w:p>
      <w:pPr>
        <w:spacing w:line="240" w:lineRule="auto" w:before="11"/>
        <w:rPr>
          <w:rFonts w:ascii="宋体" w:hAnsi="宋体" w:cs="宋体" w:eastAsia="宋体" w:hint="default"/>
          <w:sz w:val="35"/>
          <w:szCs w:val="35"/>
        </w:rPr>
      </w:pPr>
    </w:p>
    <w:p>
      <w:pPr>
        <w:spacing w:before="0"/>
        <w:ind w:left="3161" w:right="3760" w:firstLine="0"/>
        <w:jc w:val="left"/>
        <w:rPr>
          <w:rFonts w:ascii="宋体" w:hAnsi="宋体" w:cs="宋体" w:eastAsia="宋体" w:hint="default"/>
          <w:sz w:val="32"/>
          <w:szCs w:val="32"/>
        </w:rPr>
      </w:pPr>
      <w:r>
        <w:rPr>
          <w:rFonts w:ascii="宋体" w:hAnsi="宋体" w:cs="宋体" w:eastAsia="宋体" w:hint="default"/>
          <w:sz w:val="32"/>
          <w:szCs w:val="32"/>
        </w:rPr>
        <w:t>二、会计数据和业务数据摘要</w:t>
      </w:r>
    </w:p>
    <w:p>
      <w:pPr>
        <w:spacing w:line="240" w:lineRule="auto" w:before="12"/>
        <w:rPr>
          <w:rFonts w:ascii="宋体" w:hAnsi="宋体" w:cs="宋体" w:eastAsia="宋体" w:hint="default"/>
          <w:sz w:val="44"/>
          <w:szCs w:val="44"/>
        </w:rPr>
      </w:pPr>
    </w:p>
    <w:p>
      <w:pPr>
        <w:spacing w:before="0"/>
        <w:ind w:left="943" w:right="3760" w:firstLine="0"/>
        <w:jc w:val="left"/>
        <w:rPr>
          <w:rFonts w:ascii="宋体" w:hAnsi="宋体" w:cs="宋体" w:eastAsia="宋体" w:hint="default"/>
          <w:sz w:val="28"/>
          <w:szCs w:val="28"/>
        </w:rPr>
      </w:pPr>
      <w:r>
        <w:rPr>
          <w:rFonts w:ascii="宋体" w:hAnsi="宋体" w:cs="宋体" w:eastAsia="宋体" w:hint="default"/>
          <w:sz w:val="28"/>
          <w:szCs w:val="28"/>
        </w:rPr>
        <w:t>（一）本年度主要会计数据</w:t>
      </w:r>
    </w:p>
    <w:p>
      <w:pPr>
        <w:spacing w:line="240" w:lineRule="auto" w:before="4"/>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5616"/>
        <w:gridCol w:w="4392"/>
      </w:tblGrid>
      <w:tr>
        <w:trPr>
          <w:trHeight w:val="485" w:hRule="exact"/>
        </w:trPr>
        <w:tc>
          <w:tcPr>
            <w:tcW w:w="56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739" w:val="left" w:leader="none"/>
              </w:tabs>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4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7" w:val="left" w:leader="none"/>
              </w:tabs>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金</w:t>
              <w:tab/>
              <w:t>额（元）</w:t>
            </w:r>
          </w:p>
        </w:tc>
      </w:tr>
      <w:tr>
        <w:trPr>
          <w:trHeight w:val="496" w:hRule="exact"/>
        </w:trPr>
        <w:tc>
          <w:tcPr>
            <w:tcW w:w="56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24,964,403.30</w:t>
            </w:r>
          </w:p>
        </w:tc>
      </w:tr>
      <w:tr>
        <w:trPr>
          <w:trHeight w:val="491" w:hRule="exact"/>
        </w:trPr>
        <w:tc>
          <w:tcPr>
            <w:tcW w:w="56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0"/>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宋体" w:hAnsi="宋体" w:cs="宋体" w:eastAsia="宋体" w:hint="default"/>
                <w:sz w:val="21"/>
                <w:szCs w:val="21"/>
              </w:rPr>
            </w:pPr>
            <w:r>
              <w:rPr>
                <w:rFonts w:ascii="宋体"/>
                <w:spacing w:val="-1"/>
                <w:sz w:val="21"/>
              </w:rPr>
              <w:t>25,011,109.23</w:t>
            </w:r>
          </w:p>
        </w:tc>
      </w:tr>
      <w:tr>
        <w:trPr>
          <w:trHeight w:val="490" w:hRule="exact"/>
        </w:trPr>
        <w:tc>
          <w:tcPr>
            <w:tcW w:w="56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18,632,180.09</w:t>
            </w:r>
          </w:p>
        </w:tc>
      </w:tr>
      <w:tr>
        <w:trPr>
          <w:trHeight w:val="490" w:hRule="exact"/>
        </w:trPr>
        <w:tc>
          <w:tcPr>
            <w:tcW w:w="56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1,885,860.95</w:t>
            </w:r>
          </w:p>
        </w:tc>
      </w:tr>
      <w:tr>
        <w:trPr>
          <w:trHeight w:val="490" w:hRule="exact"/>
        </w:trPr>
        <w:tc>
          <w:tcPr>
            <w:tcW w:w="56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82,380,072.52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6"/>
        <w:ind w:left="1363" w:right="3760"/>
        <w:jc w:val="left"/>
        <w:rPr>
          <w:rFonts w:ascii="宋体" w:hAnsi="宋体" w:cs="宋体" w:eastAsia="宋体" w:hint="default"/>
        </w:rPr>
      </w:pPr>
      <w:r>
        <w:rPr/>
        <w:pict>
          <v:shape style="position:absolute;margin-left:103.08847pt;margin-top:-83.078049pt;width:392.95pt;height:64.3pt;mso-position-horizontal-relative:page;mso-position-vertical-relative:paragraph;z-index:-556096;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rPr>
        <w:t>说明：扣除的非经常性损益项目</w:t>
      </w:r>
    </w:p>
    <w:p>
      <w:pPr>
        <w:spacing w:line="240" w:lineRule="auto" w:before="3"/>
        <w:rPr>
          <w:rFonts w:ascii="宋体" w:hAnsi="宋体" w:cs="宋体" w:eastAsia="宋体" w:hint="default"/>
          <w:sz w:val="5"/>
          <w:szCs w:val="5"/>
        </w:rPr>
      </w:pPr>
    </w:p>
    <w:tbl>
      <w:tblPr>
        <w:tblW w:w="0" w:type="auto"/>
        <w:jc w:val="left"/>
        <w:tblInd w:w="257" w:type="dxa"/>
        <w:tblLayout w:type="fixed"/>
        <w:tblCellMar>
          <w:top w:w="0" w:type="dxa"/>
          <w:left w:w="0" w:type="dxa"/>
          <w:bottom w:w="0" w:type="dxa"/>
          <w:right w:w="0" w:type="dxa"/>
        </w:tblCellMar>
        <w:tblLook w:val="01E0"/>
      </w:tblPr>
      <w:tblGrid>
        <w:gridCol w:w="3562"/>
        <w:gridCol w:w="271"/>
        <w:gridCol w:w="1277"/>
        <w:gridCol w:w="1625"/>
        <w:gridCol w:w="1548"/>
        <w:gridCol w:w="1546"/>
      </w:tblGrid>
      <w:tr>
        <w:trPr>
          <w:trHeight w:val="418" w:hRule="exact"/>
        </w:trPr>
        <w:tc>
          <w:tcPr>
            <w:tcW w:w="3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93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2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年金额</w:t>
            </w:r>
          </w:p>
        </w:tc>
      </w:tr>
      <w:tr>
        <w:trPr>
          <w:trHeight w:val="283" w:hRule="exact"/>
        </w:trPr>
        <w:tc>
          <w:tcPr>
            <w:tcW w:w="35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4" w:right="0"/>
              <w:jc w:val="left"/>
              <w:rPr>
                <w:rFonts w:ascii="Times New Roman" w:hAnsi="Times New Roman" w:cs="Times New Roman" w:eastAsia="Times New Roman" w:hint="default"/>
                <w:sz w:val="21"/>
                <w:szCs w:val="21"/>
              </w:rPr>
            </w:pPr>
            <w:r>
              <w:rPr>
                <w:rFonts w:ascii="Times New Roman"/>
                <w:sz w:val="21"/>
              </w:rPr>
              <w:t>22,090,726.72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-12,325.92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-48,851.77</w:t>
            </w:r>
          </w:p>
        </w:tc>
      </w:tr>
      <w:tr>
        <w:trPr>
          <w:trHeight w:val="276" w:hRule="exact"/>
        </w:trPr>
        <w:tc>
          <w:tcPr>
            <w:tcW w:w="356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除同公司正常经营业务相关的有效套</w:t>
            </w:r>
          </w:p>
        </w:tc>
        <w:tc>
          <w:tcPr>
            <w:tcW w:w="271" w:type="dxa"/>
            <w:tcBorders>
              <w:top w:val="single" w:sz="4" w:space="0" w:color="000000"/>
              <w:left w:val="single" w:sz="4" w:space="0" w:color="000000"/>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c>
          <w:tcPr>
            <w:tcW w:w="1548" w:type="dxa"/>
            <w:tcBorders>
              <w:top w:val="single" w:sz="4" w:space="0" w:color="000000"/>
              <w:left w:val="single" w:sz="4" w:space="0" w:color="000000"/>
              <w:bottom w:val="nil" w:sz="6" w:space="0" w:color="auto"/>
              <w:right w:val="single" w:sz="4" w:space="0" w:color="000000"/>
            </w:tcBorders>
          </w:tcPr>
          <w:p>
            <w:pPr/>
          </w:p>
        </w:tc>
        <w:tc>
          <w:tcPr>
            <w:tcW w:w="1546"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3562"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期保值业务外，持有交易性金融资产</w:t>
            </w:r>
          </w:p>
        </w:tc>
        <w:tc>
          <w:tcPr>
            <w:tcW w:w="271" w:type="dxa"/>
            <w:tcBorders>
              <w:top w:val="nil" w:sz="6" w:space="0" w:color="auto"/>
              <w:left w:val="single" w:sz="4" w:space="0" w:color="000000"/>
              <w:bottom w:val="nil" w:sz="6" w:space="0" w:color="auto"/>
              <w:right w:val="nil" w:sz="6" w:space="0" w:color="auto"/>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277" w:type="dxa"/>
            <w:tcBorders>
              <w:top w:val="nil" w:sz="6" w:space="0" w:color="auto"/>
              <w:left w:val="nil" w:sz="6" w:space="0" w:color="auto"/>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r>
      <w:tr>
        <w:trPr>
          <w:trHeight w:val="544" w:hRule="exact"/>
        </w:trPr>
        <w:tc>
          <w:tcPr>
            <w:tcW w:w="3562"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交易性金融负债产生的公允价值变动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损益，以及处置交易性金融资产、交易</w:t>
            </w:r>
          </w:p>
        </w:tc>
        <w:tc>
          <w:tcPr>
            <w:tcW w:w="271" w:type="dxa"/>
            <w:tcBorders>
              <w:top w:val="nil" w:sz="6" w:space="0" w:color="auto"/>
              <w:left w:val="single" w:sz="4" w:space="0" w:color="000000"/>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Style w:val="TableParagraph"/>
              <w:spacing w:line="240" w:lineRule="auto" w:before="146"/>
              <w:ind w:left="230" w:right="0"/>
              <w:jc w:val="left"/>
              <w:rPr>
                <w:rFonts w:ascii="Times New Roman" w:hAnsi="Times New Roman" w:cs="Times New Roman" w:eastAsia="Times New Roman" w:hint="default"/>
                <w:sz w:val="21"/>
                <w:szCs w:val="21"/>
              </w:rPr>
            </w:pPr>
            <w:r>
              <w:rPr>
                <w:rFonts w:ascii="Times New Roman"/>
                <w:sz w:val="21"/>
              </w:rPr>
              <w:t>-520,833.33</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21"/>
                <w:szCs w:val="21"/>
              </w:rPr>
            </w:pPr>
            <w:r>
              <w:rPr>
                <w:rFonts w:ascii="Times New Roman"/>
                <w:spacing w:val="-1"/>
                <w:sz w:val="21"/>
              </w:rPr>
              <w:t>599,574.01</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21"/>
                <w:szCs w:val="21"/>
              </w:rPr>
            </w:pPr>
            <w:r>
              <w:rPr>
                <w:rFonts w:ascii="Times New Roman"/>
                <w:spacing w:val="-1"/>
                <w:sz w:val="21"/>
              </w:rPr>
              <w:t>-377,821.66</w:t>
            </w:r>
          </w:p>
        </w:tc>
      </w:tr>
      <w:tr>
        <w:trPr>
          <w:trHeight w:val="272" w:hRule="exact"/>
        </w:trPr>
        <w:tc>
          <w:tcPr>
            <w:tcW w:w="3562"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性金融负债和可供出售金融资产取得</w:t>
            </w:r>
          </w:p>
        </w:tc>
        <w:tc>
          <w:tcPr>
            <w:tcW w:w="271" w:type="dxa"/>
            <w:tcBorders>
              <w:top w:val="nil" w:sz="6" w:space="0" w:color="auto"/>
              <w:left w:val="single" w:sz="4" w:space="0" w:color="000000"/>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c>
          <w:tcPr>
            <w:tcW w:w="1548"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356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271" w:type="dxa"/>
            <w:tcBorders>
              <w:top w:val="nil" w:sz="6" w:space="0" w:color="auto"/>
              <w:left w:val="single" w:sz="4" w:space="0" w:color="000000"/>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c>
          <w:tcPr>
            <w:tcW w:w="1548"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35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除上述各项之外的其他营业外收入和</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83" w:right="0"/>
              <w:jc w:val="left"/>
              <w:rPr>
                <w:rFonts w:ascii="Times New Roman" w:hAnsi="Times New Roman" w:cs="Times New Roman" w:eastAsia="Times New Roman" w:hint="default"/>
                <w:sz w:val="21"/>
                <w:szCs w:val="21"/>
              </w:rPr>
            </w:pPr>
            <w:r>
              <w:rPr>
                <w:rFonts w:ascii="Times New Roman"/>
                <w:spacing w:val="-3"/>
                <w:sz w:val="21"/>
              </w:rPr>
              <w:t>143,111.42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168,518.10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75,093.78</w:t>
            </w:r>
          </w:p>
        </w:tc>
      </w:tr>
      <w:tr>
        <w:trPr>
          <w:trHeight w:val="281" w:hRule="exact"/>
        </w:trPr>
        <w:tc>
          <w:tcPr>
            <w:tcW w:w="35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8" w:right="0"/>
              <w:jc w:val="left"/>
              <w:rPr>
                <w:rFonts w:ascii="Times New Roman" w:hAnsi="Times New Roman" w:cs="Times New Roman" w:eastAsia="Times New Roman" w:hint="default"/>
                <w:sz w:val="21"/>
                <w:szCs w:val="21"/>
              </w:rPr>
            </w:pPr>
            <w:r>
              <w:rPr>
                <w:rFonts w:ascii="Times New Roman"/>
                <w:sz w:val="21"/>
              </w:rPr>
              <w:t>-4,930,564.89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347.22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4,686.59</w:t>
            </w:r>
          </w:p>
        </w:tc>
      </w:tr>
      <w:tr>
        <w:trPr>
          <w:trHeight w:val="283" w:hRule="exact"/>
        </w:trPr>
        <w:tc>
          <w:tcPr>
            <w:tcW w:w="35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2" w:right="0"/>
              <w:jc w:val="left"/>
              <w:rPr>
                <w:rFonts w:ascii="Times New Roman" w:hAnsi="Times New Roman" w:cs="Times New Roman" w:eastAsia="Times New Roman" w:hint="default"/>
                <w:sz w:val="21"/>
                <w:szCs w:val="21"/>
              </w:rPr>
            </w:pPr>
            <w:r>
              <w:rPr>
                <w:rFonts w:ascii="Times New Roman"/>
                <w:sz w:val="21"/>
              </w:rPr>
              <w:t>-36,120.78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1,200.00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1,342,487.94</w:t>
            </w:r>
          </w:p>
        </w:tc>
      </w:tr>
      <w:tr>
        <w:trPr>
          <w:trHeight w:val="276" w:hRule="exact"/>
        </w:trPr>
        <w:tc>
          <w:tcPr>
            <w:tcW w:w="356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根据税收、会计等法律、法规的要求对</w:t>
            </w:r>
          </w:p>
        </w:tc>
        <w:tc>
          <w:tcPr>
            <w:tcW w:w="1548" w:type="dxa"/>
            <w:gridSpan w:val="2"/>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c>
          <w:tcPr>
            <w:tcW w:w="1548" w:type="dxa"/>
            <w:tcBorders>
              <w:top w:val="single" w:sz="4" w:space="0" w:color="000000"/>
              <w:left w:val="single" w:sz="4" w:space="0" w:color="000000"/>
              <w:bottom w:val="nil" w:sz="6" w:space="0" w:color="auto"/>
              <w:right w:val="single" w:sz="4" w:space="0" w:color="000000"/>
            </w:tcBorders>
          </w:tcPr>
          <w:p>
            <w:pPr/>
          </w:p>
        </w:tc>
        <w:tc>
          <w:tcPr>
            <w:tcW w:w="1546" w:type="dxa"/>
            <w:tcBorders>
              <w:top w:val="single" w:sz="4" w:space="0" w:color="000000"/>
              <w:left w:val="single" w:sz="4" w:space="0" w:color="000000"/>
              <w:bottom w:val="nil" w:sz="6" w:space="0" w:color="auto"/>
              <w:right w:val="single" w:sz="4" w:space="0" w:color="000000"/>
            </w:tcBorders>
          </w:tcPr>
          <w:p>
            <w:pPr/>
          </w:p>
        </w:tc>
      </w:tr>
      <w:tr>
        <w:trPr>
          <w:trHeight w:val="276" w:hRule="exact"/>
        </w:trPr>
        <w:tc>
          <w:tcPr>
            <w:tcW w:w="3562"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当期损益进行一次性调整对当期损益</w:t>
            </w:r>
          </w:p>
        </w:tc>
        <w:tc>
          <w:tcPr>
            <w:tcW w:w="154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0.00</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-3,120,031.81</w:t>
            </w:r>
          </w:p>
        </w:tc>
      </w:tr>
      <w:tr>
        <w:trPr>
          <w:trHeight w:val="277" w:hRule="exact"/>
        </w:trPr>
        <w:tc>
          <w:tcPr>
            <w:tcW w:w="356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548" w:type="dxa"/>
            <w:gridSpan w:val="2"/>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c>
          <w:tcPr>
            <w:tcW w:w="1548"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r>
      <w:tr>
        <w:trPr>
          <w:trHeight w:val="490" w:hRule="exact"/>
        </w:trPr>
        <w:tc>
          <w:tcPr>
            <w:tcW w:w="3562" w:type="dxa"/>
            <w:tcBorders>
              <w:top w:val="single" w:sz="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4" w:right="0"/>
              <w:jc w:val="left"/>
              <w:rPr>
                <w:rFonts w:ascii="Times New Roman" w:hAnsi="Times New Roman" w:cs="Times New Roman" w:eastAsia="Times New Roman" w:hint="default"/>
                <w:sz w:val="21"/>
                <w:szCs w:val="21"/>
              </w:rPr>
            </w:pPr>
            <w:r>
              <w:rPr>
                <w:rFonts w:ascii="Times New Roman"/>
                <w:sz w:val="21"/>
              </w:rPr>
              <w:t>16,746,319.14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3"/>
              <w:jc w:val="right"/>
              <w:rPr>
                <w:rFonts w:ascii="Times New Roman" w:hAnsi="Times New Roman" w:cs="Times New Roman" w:eastAsia="Times New Roman" w:hint="default"/>
                <w:sz w:val="21"/>
                <w:szCs w:val="21"/>
              </w:rPr>
            </w:pPr>
            <w:r>
              <w:rPr>
                <w:rFonts w:ascii="Times New Roman"/>
                <w:spacing w:val="-1"/>
                <w:sz w:val="21"/>
              </w:rPr>
              <w:t>757,313.41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3"/>
              <w:jc w:val="right"/>
              <w:rPr>
                <w:rFonts w:ascii="Times New Roman" w:hAnsi="Times New Roman" w:cs="Times New Roman" w:eastAsia="Times New Roman" w:hint="default"/>
                <w:sz w:val="21"/>
                <w:szCs w:val="21"/>
              </w:rPr>
            </w:pPr>
            <w:r>
              <w:rPr>
                <w:rFonts w:ascii="Times New Roman"/>
                <w:spacing w:val="-1"/>
                <w:sz w:val="21"/>
              </w:rPr>
              <w:t>-2,124,436.93</w:t>
            </w:r>
          </w:p>
        </w:tc>
      </w:tr>
    </w:tbl>
    <w:p>
      <w:pPr>
        <w:pStyle w:val="Heading2"/>
        <w:spacing w:line="240" w:lineRule="auto" w:before="57"/>
        <w:ind w:left="943" w:right="3760"/>
        <w:jc w:val="left"/>
      </w:pPr>
      <w:r>
        <w:rPr/>
        <w:t>(二)公司近三年主要会计数据和财务指标</w:t>
      </w:r>
    </w:p>
    <w:p>
      <w:pPr>
        <w:spacing w:after="0" w:line="240" w:lineRule="auto"/>
        <w:jc w:val="left"/>
        <w:sectPr>
          <w:pgSz w:w="11910" w:h="16840"/>
          <w:pgMar w:header="929" w:footer="837" w:top="1140" w:bottom="1020" w:left="760" w:right="0"/>
        </w:sectPr>
      </w:pPr>
    </w:p>
    <w:p>
      <w:pPr>
        <w:spacing w:line="240" w:lineRule="auto" w:before="9"/>
        <w:rPr>
          <w:rFonts w:ascii="宋体" w:hAnsi="宋体" w:cs="宋体" w:eastAsia="宋体" w:hint="default"/>
          <w:sz w:val="24"/>
          <w:szCs w:val="24"/>
        </w:rPr>
      </w:pPr>
    </w:p>
    <w:p>
      <w:pPr>
        <w:spacing w:before="14"/>
        <w:ind w:left="1084" w:right="0" w:firstLine="0"/>
        <w:jc w:val="left"/>
        <w:rPr>
          <w:rFonts w:ascii="宋体" w:hAnsi="宋体" w:cs="宋体" w:eastAsia="宋体" w:hint="default"/>
          <w:sz w:val="28"/>
          <w:szCs w:val="28"/>
        </w:rPr>
      </w:pPr>
      <w:r>
        <w:rPr>
          <w:rFonts w:ascii="宋体" w:hAnsi="宋体" w:cs="宋体" w:eastAsia="宋体" w:hint="default"/>
          <w:sz w:val="28"/>
          <w:szCs w:val="28"/>
        </w:rPr>
        <w:t>1、主要会计数据：</w:t>
      </w:r>
    </w:p>
    <w:p>
      <w:pPr>
        <w:spacing w:line="240" w:lineRule="auto" w:before="8"/>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700"/>
        <w:gridCol w:w="1620"/>
        <w:gridCol w:w="1452"/>
        <w:gridCol w:w="1210"/>
        <w:gridCol w:w="1495"/>
        <w:gridCol w:w="1565"/>
      </w:tblGrid>
      <w:tr>
        <w:trPr>
          <w:trHeight w:val="156" w:hRule="exact"/>
        </w:trPr>
        <w:tc>
          <w:tcPr>
            <w:tcW w:w="27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0"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71" w:right="0" w:firstLine="2"/>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30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20" w:hRule="exact"/>
        </w:trPr>
        <w:tc>
          <w:tcPr>
            <w:tcW w:w="2700" w:type="dxa"/>
            <w:vMerge w:val="restart"/>
            <w:tcBorders>
              <w:top w:val="nil" w:sz="6" w:space="0" w:color="auto"/>
              <w:left w:val="single" w:sz="4" w:space="0" w:color="000000"/>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452"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3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210" w:type="dxa"/>
            <w:vMerge/>
            <w:tcBorders>
              <w:left w:val="single" w:sz="4" w:space="0" w:color="000000"/>
              <w:right w:val="single" w:sz="4" w:space="0" w:color="000000"/>
            </w:tcBorders>
            <w:shd w:val="clear" w:color="auto" w:fill="DCDCDC"/>
          </w:tcPr>
          <w:p>
            <w:pPr/>
          </w:p>
        </w:tc>
        <w:tc>
          <w:tcPr>
            <w:tcW w:w="3060" w:type="dxa"/>
            <w:gridSpan w:val="2"/>
            <w:vMerge/>
            <w:tcBorders>
              <w:left w:val="single" w:sz="4" w:space="0" w:color="000000"/>
              <w:bottom w:val="single" w:sz="4" w:space="0" w:color="000000"/>
              <w:right w:val="single" w:sz="4" w:space="0" w:color="000000"/>
            </w:tcBorders>
            <w:shd w:val="clear" w:color="auto" w:fill="DCDCDC"/>
          </w:tcPr>
          <w:p>
            <w:pPr/>
          </w:p>
        </w:tc>
      </w:tr>
      <w:tr>
        <w:trPr>
          <w:trHeight w:val="120" w:hRule="exact"/>
        </w:trPr>
        <w:tc>
          <w:tcPr>
            <w:tcW w:w="2700" w:type="dxa"/>
            <w:vMerge/>
            <w:tcBorders>
              <w:left w:val="single" w:sz="4" w:space="0" w:color="000000"/>
              <w:bottom w:val="nil" w:sz="6" w:space="0" w:color="auto"/>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1452" w:type="dxa"/>
            <w:vMerge/>
            <w:tcBorders>
              <w:left w:val="single" w:sz="4" w:space="0" w:color="000000"/>
              <w:bottom w:val="nil" w:sz="6" w:space="0" w:color="auto"/>
              <w:right w:val="single" w:sz="4" w:space="0" w:color="000000"/>
            </w:tcBorders>
            <w:shd w:val="clear" w:color="auto" w:fill="DCDCDC"/>
          </w:tcPr>
          <w:p>
            <w:pPr/>
          </w:p>
        </w:tc>
        <w:tc>
          <w:tcPr>
            <w:tcW w:w="1210" w:type="dxa"/>
            <w:vMerge/>
            <w:tcBorders>
              <w:left w:val="single" w:sz="4" w:space="0" w:color="000000"/>
              <w:right w:val="single" w:sz="4" w:space="0" w:color="000000"/>
            </w:tcBorders>
            <w:shd w:val="clear" w:color="auto" w:fill="DCDCDC"/>
          </w:tcPr>
          <w:p>
            <w:pP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2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5"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6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168" w:hRule="exact"/>
        </w:trPr>
        <w:tc>
          <w:tcPr>
            <w:tcW w:w="27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0" w:type="dxa"/>
            <w:vMerge/>
            <w:tcBorders>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c>
          <w:tcPr>
            <w:tcW w:w="1565"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59,263,610.02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64,082,839.12</w:t>
            </w:r>
          </w:p>
        </w:tc>
        <w:tc>
          <w:tcPr>
            <w:tcW w:w="1210" w:type="dxa"/>
            <w:tcBorders>
              <w:top w:val="single" w:sz="5" w:space="0" w:color="DCDCDC"/>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21"/>
                <w:szCs w:val="21"/>
              </w:rPr>
            </w:pPr>
            <w:r>
              <w:rPr>
                <w:rFonts w:ascii="Times New Roman"/>
                <w:spacing w:val="-1"/>
                <w:sz w:val="21"/>
              </w:rPr>
              <w:t>-7.52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55,994,810.00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55,994,810.00</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24,964,403.30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11,084,004.13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125.23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4,306,175.21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4,306,175.21</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25,011,109.23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11,240,196.31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122.51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4,332,417.22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4,332,417.22</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润（元）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18,632,180.09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9,475,388.21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96.64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791,155.67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2,795,338.25</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firstLine="6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非经常性损益的净利润（元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tabs>
                <w:tab w:pos="477" w:val="left" w:leader="none"/>
              </w:tabs>
              <w:spacing w:line="240" w:lineRule="auto" w:before="144"/>
              <w:ind w:left="-161" w:right="19"/>
              <w:jc w:val="right"/>
              <w:rPr>
                <w:rFonts w:ascii="Times New Roman" w:hAnsi="Times New Roman" w:cs="Times New Roman" w:eastAsia="Times New Roman" w:hint="default"/>
                <w:sz w:val="21"/>
                <w:szCs w:val="21"/>
              </w:rPr>
            </w:pPr>
            <w:r>
              <w:rPr>
                <w:rFonts w:ascii="宋体" w:hAnsi="宋体" w:cs="宋体" w:eastAsia="宋体" w:hint="default"/>
                <w:position w:val="-13"/>
                <w:sz w:val="21"/>
                <w:szCs w:val="21"/>
              </w:rPr>
              <w:t>）</w:t>
              <w:tab/>
            </w:r>
            <w:r>
              <w:rPr>
                <w:rFonts w:ascii="Times New Roman" w:hAnsi="Times New Roman" w:cs="Times New Roman" w:eastAsia="Times New Roman" w:hint="default"/>
                <w:spacing w:val="-1"/>
                <w:sz w:val="21"/>
                <w:szCs w:val="21"/>
              </w:rPr>
              <w:t>1,885,860.95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8,718,074.80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-78.37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2,915,592.60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4,919,775.18</w:t>
            </w:r>
          </w:p>
        </w:tc>
      </w:tr>
      <w:tr>
        <w:trPr>
          <w:trHeight w:val="555"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额（元）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82,380,072.52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10,803,315.56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662.54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18,037,019.54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18,037,019.54</w:t>
            </w:r>
          </w:p>
        </w:tc>
      </w:tr>
      <w:tr>
        <w:trPr>
          <w:trHeight w:val="317" w:hRule="exact"/>
        </w:trPr>
        <w:tc>
          <w:tcPr>
            <w:tcW w:w="27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19" w:hRule="exact"/>
        </w:trPr>
        <w:tc>
          <w:tcPr>
            <w:tcW w:w="2700" w:type="dxa"/>
            <w:tcBorders>
              <w:top w:val="nil" w:sz="6" w:space="0" w:color="auto"/>
              <w:left w:val="single" w:sz="4" w:space="0" w:color="000000"/>
              <w:bottom w:val="single" w:sz="7" w:space="0" w:color="FFFFFF"/>
              <w:right w:val="single" w:sz="4" w:space="0" w:color="000000"/>
            </w:tcBorders>
            <w:shd w:val="clear" w:color="auto" w:fill="DCDCDC"/>
          </w:tcPr>
          <w:p>
            <w:pPr/>
          </w:p>
        </w:tc>
        <w:tc>
          <w:tcPr>
            <w:tcW w:w="1620" w:type="dxa"/>
            <w:tcBorders>
              <w:top w:val="nil" w:sz="6" w:space="0" w:color="auto"/>
              <w:left w:val="single" w:sz="4" w:space="0" w:color="000000"/>
              <w:bottom w:val="single" w:sz="7" w:space="0" w:color="FFFFFF"/>
              <w:right w:val="single" w:sz="4" w:space="0" w:color="000000"/>
            </w:tcBorders>
            <w:shd w:val="clear" w:color="auto" w:fill="DCDCDC"/>
          </w:tcPr>
          <w:p>
            <w:pPr>
              <w:pStyle w:val="TableParagraph"/>
              <w:spacing w:line="211" w:lineRule="exact"/>
              <w:ind w:left="3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452" w:type="dxa"/>
            <w:tcBorders>
              <w:top w:val="nil" w:sz="6" w:space="0" w:color="auto"/>
              <w:left w:val="single" w:sz="4" w:space="0" w:color="000000"/>
              <w:bottom w:val="single" w:sz="7" w:space="0" w:color="FFFFFF"/>
              <w:right w:val="single" w:sz="4" w:space="0" w:color="000000"/>
            </w:tcBorders>
            <w:shd w:val="clear" w:color="auto" w:fill="DCDCDC"/>
          </w:tcPr>
          <w:p>
            <w:pPr>
              <w:pStyle w:val="TableParagraph"/>
              <w:spacing w:line="211" w:lineRule="exact"/>
              <w:ind w:left="2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10" w:type="dxa"/>
            <w:vMerge/>
            <w:tcBorders>
              <w:left w:val="single" w:sz="4" w:space="0" w:color="000000"/>
              <w:right w:val="single" w:sz="4" w:space="0" w:color="000000"/>
            </w:tcBorders>
            <w:shd w:val="clear" w:color="auto" w:fill="DCDCDC"/>
          </w:tcPr>
          <w:p>
            <w:pP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4"/>
              <w:ind w:left="42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4"/>
              <w:ind w:left="46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92" w:hRule="exact"/>
        </w:trPr>
        <w:tc>
          <w:tcPr>
            <w:tcW w:w="2700"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620"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452"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210" w:type="dxa"/>
            <w:vMerge/>
            <w:tcBorders>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c>
          <w:tcPr>
            <w:tcW w:w="1565"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810,375,083.51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791,870,960.99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2.34</w:t>
            </w:r>
          </w:p>
        </w:tc>
        <w:tc>
          <w:tcPr>
            <w:tcW w:w="1495" w:type="dxa"/>
            <w:tcBorders>
              <w:top w:val="single" w:sz="53" w:space="0" w:color="DCDCDC"/>
              <w:left w:val="single" w:sz="4" w:space="0" w:color="000000"/>
              <w:bottom w:val="single" w:sz="4" w:space="0" w:color="000000"/>
              <w:right w:val="single" w:sz="4" w:space="0" w:color="000000"/>
            </w:tcBorders>
          </w:tcPr>
          <w:p>
            <w:pPr>
              <w:pStyle w:val="TableParagraph"/>
              <w:spacing w:line="188" w:lineRule="exact"/>
              <w:ind w:right="19"/>
              <w:jc w:val="right"/>
              <w:rPr>
                <w:rFonts w:ascii="Times New Roman" w:hAnsi="Times New Roman" w:cs="Times New Roman" w:eastAsia="Times New Roman" w:hint="default"/>
                <w:sz w:val="21"/>
                <w:szCs w:val="21"/>
              </w:rPr>
            </w:pPr>
            <w:r>
              <w:rPr>
                <w:rFonts w:ascii="Times New Roman"/>
                <w:spacing w:val="-1"/>
                <w:sz w:val="21"/>
              </w:rPr>
              <w:t>812,859,299.59</w:t>
            </w:r>
          </w:p>
        </w:tc>
        <w:tc>
          <w:tcPr>
            <w:tcW w:w="1565" w:type="dxa"/>
            <w:tcBorders>
              <w:top w:val="single" w:sz="53" w:space="0" w:color="DCDCDC"/>
              <w:left w:val="single" w:sz="4" w:space="0" w:color="000000"/>
              <w:bottom w:val="single" w:sz="4" w:space="0" w:color="000000"/>
              <w:right w:val="single" w:sz="4" w:space="0" w:color="000000"/>
            </w:tcBorders>
          </w:tcPr>
          <w:p>
            <w:pPr>
              <w:pStyle w:val="TableParagraph"/>
              <w:spacing w:line="188" w:lineRule="exact"/>
              <w:ind w:right="19"/>
              <w:jc w:val="right"/>
              <w:rPr>
                <w:rFonts w:ascii="Times New Roman" w:hAnsi="Times New Roman" w:cs="Times New Roman" w:eastAsia="Times New Roman" w:hint="default"/>
                <w:sz w:val="21"/>
                <w:szCs w:val="21"/>
              </w:rPr>
            </w:pPr>
            <w:r>
              <w:rPr>
                <w:rFonts w:ascii="Times New Roman"/>
                <w:spacing w:val="-1"/>
                <w:sz w:val="21"/>
              </w:rPr>
              <w:t>812,859,299.59</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451,008,365.87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414,515,156.33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8.80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442,668,608.79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442,668,608.79</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归属于上市公司股东的所有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者权益（元）</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363,323,612.82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346,836,744.73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4.75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334,385,838.76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337,361,356.52</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6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7"/>
        <w:ind w:left="1084" w:right="0"/>
        <w:jc w:val="left"/>
      </w:pPr>
      <w:r>
        <w:rPr/>
        <w:pict>
          <v:shape style="position:absolute;margin-left:103.08847pt;margin-top:7.579858pt;width:392.95pt;height:64.3pt;mso-position-horizontal-relative:page;mso-position-vertical-relative:paragraph;z-index:-556072;rotation:315" type="#_x0000_t136" fillcolor="#e0e0e0" stroked="f">
            <o:extrusion v:ext="view" autorotationcenter="t"/>
            <v:textpath style="font-family:&amp;quot;Arial&amp;quot;;font-size:64pt;v-text-kern:t;mso-text-shadow:auto" string="UnRegistered"/>
            <w10:wrap type="none"/>
          </v:shape>
        </w:pict>
      </w:r>
      <w:r>
        <w:rPr/>
        <w:t>2、主要财务指标：</w:t>
      </w:r>
    </w:p>
    <w:p>
      <w:pPr>
        <w:spacing w:line="240" w:lineRule="auto" w:before="8"/>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396"/>
        <w:gridCol w:w="1272"/>
        <w:gridCol w:w="1248"/>
        <w:gridCol w:w="1301"/>
        <w:gridCol w:w="1301"/>
        <w:gridCol w:w="1298"/>
      </w:tblGrid>
      <w:tr>
        <w:trPr>
          <w:trHeight w:val="155" w:hRule="exact"/>
        </w:trPr>
        <w:tc>
          <w:tcPr>
            <w:tcW w:w="339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117" w:right="0" w:firstLine="2"/>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59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21" w:hRule="exact"/>
        </w:trPr>
        <w:tc>
          <w:tcPr>
            <w:tcW w:w="3396" w:type="dxa"/>
            <w:vMerge w:val="restart"/>
            <w:tcBorders>
              <w:top w:val="nil" w:sz="6" w:space="0" w:color="auto"/>
              <w:left w:val="single" w:sz="4" w:space="0" w:color="000000"/>
              <w:right w:val="single" w:sz="4" w:space="0" w:color="000000"/>
            </w:tcBorders>
            <w:shd w:val="clear" w:color="auto" w:fill="DCDCDC"/>
          </w:tcPr>
          <w:p>
            <w:pPr/>
          </w:p>
        </w:tc>
        <w:tc>
          <w:tcPr>
            <w:tcW w:w="1272"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48"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301" w:type="dxa"/>
            <w:vMerge/>
            <w:tcBorders>
              <w:left w:val="single" w:sz="4" w:space="0" w:color="000000"/>
              <w:right w:val="single" w:sz="4" w:space="0" w:color="000000"/>
            </w:tcBorders>
            <w:shd w:val="clear" w:color="auto" w:fill="DCDCDC"/>
          </w:tcPr>
          <w:p>
            <w:pPr/>
          </w:p>
        </w:tc>
        <w:tc>
          <w:tcPr>
            <w:tcW w:w="2599" w:type="dxa"/>
            <w:gridSpan w:val="2"/>
            <w:vMerge/>
            <w:tcBorders>
              <w:left w:val="single" w:sz="4" w:space="0" w:color="000000"/>
              <w:bottom w:val="single" w:sz="4" w:space="0" w:color="000000"/>
              <w:right w:val="single" w:sz="4" w:space="0" w:color="000000"/>
            </w:tcBorders>
            <w:shd w:val="clear" w:color="auto" w:fill="DCDCDC"/>
          </w:tcPr>
          <w:p>
            <w:pPr/>
          </w:p>
        </w:tc>
      </w:tr>
      <w:tr>
        <w:trPr>
          <w:trHeight w:val="128" w:hRule="exact"/>
        </w:trPr>
        <w:tc>
          <w:tcPr>
            <w:tcW w:w="3396" w:type="dxa"/>
            <w:vMerge/>
            <w:tcBorders>
              <w:left w:val="single" w:sz="4" w:space="0" w:color="000000"/>
              <w:bottom w:val="single" w:sz="7" w:space="0" w:color="FFFFFF"/>
              <w:right w:val="single" w:sz="4" w:space="0" w:color="000000"/>
            </w:tcBorders>
            <w:shd w:val="clear" w:color="auto" w:fill="DCDCDC"/>
          </w:tcPr>
          <w:p>
            <w:pPr/>
          </w:p>
        </w:tc>
        <w:tc>
          <w:tcPr>
            <w:tcW w:w="1272" w:type="dxa"/>
            <w:vMerge/>
            <w:tcBorders>
              <w:left w:val="single" w:sz="4" w:space="0" w:color="000000"/>
              <w:bottom w:val="single" w:sz="7" w:space="0" w:color="FFFFFF"/>
              <w:right w:val="single" w:sz="4" w:space="0" w:color="000000"/>
            </w:tcBorders>
            <w:shd w:val="clear" w:color="auto" w:fill="DCDCDC"/>
          </w:tcPr>
          <w:p>
            <w:pPr/>
          </w:p>
        </w:tc>
        <w:tc>
          <w:tcPr>
            <w:tcW w:w="1248" w:type="dxa"/>
            <w:vMerge/>
            <w:tcBorders>
              <w:left w:val="single" w:sz="4" w:space="0" w:color="000000"/>
              <w:bottom w:val="single" w:sz="7" w:space="0" w:color="FFFFFF"/>
              <w:right w:val="single" w:sz="4" w:space="0" w:color="000000"/>
            </w:tcBorders>
            <w:shd w:val="clear" w:color="auto" w:fill="DCDCDC"/>
          </w:tcPr>
          <w:p>
            <w:pPr/>
          </w:p>
        </w:tc>
        <w:tc>
          <w:tcPr>
            <w:tcW w:w="1301" w:type="dxa"/>
            <w:vMerge/>
            <w:tcBorders>
              <w:left w:val="single" w:sz="4" w:space="0" w:color="000000"/>
              <w:right w:val="single" w:sz="4" w:space="0" w:color="000000"/>
            </w:tcBorders>
            <w:shd w:val="clear" w:color="auto" w:fill="DCDCDC"/>
          </w:tcPr>
          <w:p>
            <w:pP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98"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32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160" w:hRule="exact"/>
        </w:trPr>
        <w:tc>
          <w:tcPr>
            <w:tcW w:w="3396"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272"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248"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298"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33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88.89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0.03</w:t>
            </w:r>
          </w:p>
        </w:tc>
      </w:tr>
      <w:tr>
        <w:trPr>
          <w:trHeight w:val="283" w:hRule="exact"/>
        </w:trPr>
        <w:tc>
          <w:tcPr>
            <w:tcW w:w="33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88.89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0.03</w:t>
            </w:r>
          </w:p>
        </w:tc>
      </w:tr>
      <w:tr>
        <w:trPr>
          <w:trHeight w:val="554" w:hRule="exact"/>
        </w:trPr>
        <w:tc>
          <w:tcPr>
            <w:tcW w:w="33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扣除非经常性损益后的基本每股收益</w:t>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-75.00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0.05</w:t>
            </w:r>
          </w:p>
        </w:tc>
      </w:tr>
      <w:tr>
        <w:trPr>
          <w:trHeight w:val="283" w:hRule="exact"/>
        </w:trPr>
        <w:tc>
          <w:tcPr>
            <w:tcW w:w="33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5.25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2.77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2.48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0.83</w:t>
            </w:r>
          </w:p>
        </w:tc>
      </w:tr>
      <w:tr>
        <w:trPr>
          <w:trHeight w:val="554" w:hRule="exact"/>
        </w:trPr>
        <w:tc>
          <w:tcPr>
            <w:tcW w:w="33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扣除非经常性损益后的加权平均净资</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产收益率（％）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0.53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2.55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0.87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1.46</w:t>
            </w:r>
          </w:p>
        </w:tc>
      </w:tr>
      <w:tr>
        <w:trPr>
          <w:trHeight w:val="555" w:hRule="exact"/>
        </w:trPr>
        <w:tc>
          <w:tcPr>
            <w:tcW w:w="33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0.77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670.00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0.17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0.17</w:t>
            </w:r>
          </w:p>
        </w:tc>
      </w:tr>
      <w:tr>
        <w:trPr>
          <w:trHeight w:val="317" w:hRule="exact"/>
        </w:trPr>
        <w:tc>
          <w:tcPr>
            <w:tcW w:w="3396"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59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8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19" w:hRule="exact"/>
        </w:trPr>
        <w:tc>
          <w:tcPr>
            <w:tcW w:w="3396" w:type="dxa"/>
            <w:tcBorders>
              <w:top w:val="nil" w:sz="6" w:space="0" w:color="auto"/>
              <w:left w:val="single" w:sz="4" w:space="0" w:color="000000"/>
              <w:bottom w:val="single" w:sz="7" w:space="0" w:color="FFFFFF"/>
              <w:right w:val="single" w:sz="4" w:space="0" w:color="000000"/>
            </w:tcBorders>
            <w:shd w:val="clear" w:color="auto" w:fill="DCDCDC"/>
          </w:tcPr>
          <w:p>
            <w:pPr/>
          </w:p>
        </w:tc>
        <w:tc>
          <w:tcPr>
            <w:tcW w:w="1272" w:type="dxa"/>
            <w:tcBorders>
              <w:top w:val="nil" w:sz="6" w:space="0" w:color="auto"/>
              <w:left w:val="single" w:sz="4" w:space="0" w:color="000000"/>
              <w:bottom w:val="single" w:sz="7" w:space="0" w:color="FFFFFF"/>
              <w:right w:val="single" w:sz="4" w:space="0" w:color="000000"/>
            </w:tcBorders>
            <w:shd w:val="clear" w:color="auto" w:fill="DCDCDC"/>
          </w:tcPr>
          <w:p>
            <w:pPr>
              <w:pStyle w:val="TableParagraph"/>
              <w:spacing w:line="211"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248" w:type="dxa"/>
            <w:tcBorders>
              <w:top w:val="nil" w:sz="6" w:space="0" w:color="auto"/>
              <w:left w:val="single" w:sz="4" w:space="0" w:color="000000"/>
              <w:bottom w:val="single" w:sz="7" w:space="0" w:color="FFFFFF"/>
              <w:right w:val="single" w:sz="4" w:space="0" w:color="000000"/>
            </w:tcBorders>
            <w:shd w:val="clear" w:color="auto" w:fill="DCDCDC"/>
          </w:tcPr>
          <w:p>
            <w:pPr>
              <w:pStyle w:val="TableParagraph"/>
              <w:spacing w:line="211"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01" w:type="dxa"/>
            <w:vMerge/>
            <w:tcBorders>
              <w:left w:val="single" w:sz="4" w:space="0" w:color="000000"/>
              <w:right w:val="single" w:sz="4" w:space="0" w:color="000000"/>
            </w:tcBorders>
            <w:shd w:val="clear" w:color="auto" w:fill="DCDCDC"/>
          </w:tcPr>
          <w:p>
            <w:pP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4"/>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9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4"/>
              <w:ind w:left="32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92" w:hRule="exact"/>
        </w:trPr>
        <w:tc>
          <w:tcPr>
            <w:tcW w:w="3396"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272"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248"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298" w:type="dxa"/>
            <w:vMerge/>
            <w:tcBorders>
              <w:left w:val="single" w:sz="4" w:space="0" w:color="000000"/>
              <w:bottom w:val="single" w:sz="4" w:space="0" w:color="000000"/>
              <w:right w:val="single" w:sz="4" w:space="0" w:color="000000"/>
            </w:tcBorders>
            <w:shd w:val="clear" w:color="auto" w:fill="DCDCDC"/>
          </w:tcPr>
          <w:p>
            <w:pPr/>
          </w:p>
        </w:tc>
      </w:tr>
      <w:tr>
        <w:trPr>
          <w:trHeight w:val="554" w:hRule="exact"/>
        </w:trPr>
        <w:tc>
          <w:tcPr>
            <w:tcW w:w="33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3.39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3.23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4.95</w:t>
            </w:r>
          </w:p>
        </w:tc>
        <w:tc>
          <w:tcPr>
            <w:tcW w:w="1301" w:type="dxa"/>
            <w:tcBorders>
              <w:top w:val="single" w:sz="57" w:space="0" w:color="DCDCDC"/>
              <w:left w:val="single" w:sz="4" w:space="0" w:color="000000"/>
              <w:bottom w:val="single" w:sz="4" w:space="0" w:color="000000"/>
              <w:right w:val="single" w:sz="4" w:space="0" w:color="000000"/>
            </w:tcBorders>
          </w:tcPr>
          <w:p>
            <w:pPr>
              <w:pStyle w:val="TableParagraph"/>
              <w:spacing w:line="240" w:lineRule="auto" w:before="78"/>
              <w:ind w:right="23"/>
              <w:jc w:val="right"/>
              <w:rPr>
                <w:rFonts w:ascii="Times New Roman" w:hAnsi="Times New Roman" w:cs="Times New Roman" w:eastAsia="Times New Roman" w:hint="default"/>
                <w:sz w:val="21"/>
                <w:szCs w:val="21"/>
              </w:rPr>
            </w:pPr>
            <w:r>
              <w:rPr>
                <w:rFonts w:ascii="Times New Roman"/>
                <w:sz w:val="21"/>
              </w:rPr>
              <w:t>3.12</w:t>
            </w:r>
          </w:p>
        </w:tc>
        <w:tc>
          <w:tcPr>
            <w:tcW w:w="1298" w:type="dxa"/>
            <w:tcBorders>
              <w:top w:val="single" w:sz="57" w:space="0" w:color="DCDCDC"/>
              <w:left w:val="single" w:sz="4" w:space="0" w:color="000000"/>
              <w:bottom w:val="single" w:sz="4" w:space="0" w:color="000000"/>
              <w:right w:val="single" w:sz="4" w:space="0" w:color="000000"/>
            </w:tcBorders>
          </w:tcPr>
          <w:p>
            <w:pPr>
              <w:pStyle w:val="TableParagraph"/>
              <w:spacing w:line="240" w:lineRule="auto" w:before="78"/>
              <w:ind w:right="23"/>
              <w:jc w:val="right"/>
              <w:rPr>
                <w:rFonts w:ascii="Times New Roman" w:hAnsi="Times New Roman" w:cs="Times New Roman" w:eastAsia="Times New Roman" w:hint="default"/>
                <w:sz w:val="21"/>
                <w:szCs w:val="21"/>
              </w:rPr>
            </w:pPr>
            <w:r>
              <w:rPr>
                <w:rFonts w:ascii="Times New Roman"/>
                <w:sz w:val="21"/>
              </w:rPr>
              <w:t>3.15</w:t>
            </w:r>
          </w:p>
        </w:tc>
      </w:tr>
      <w:tr>
        <w:trPr>
          <w:trHeight w:val="283" w:hRule="exact"/>
        </w:trPr>
        <w:tc>
          <w:tcPr>
            <w:tcW w:w="33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55.65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52.35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3.30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54.46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54.46</w:t>
            </w:r>
          </w:p>
        </w:tc>
      </w:tr>
    </w:tbl>
    <w:p>
      <w:pPr>
        <w:spacing w:after="0" w:line="240" w:lineRule="auto"/>
        <w:jc w:val="right"/>
        <w:rPr>
          <w:rFonts w:ascii="Times New Roman" w:hAnsi="Times New Roman" w:cs="Times New Roman" w:eastAsia="Times New Roman" w:hint="default"/>
          <w:sz w:val="21"/>
          <w:szCs w:val="21"/>
        </w:rPr>
        <w:sectPr>
          <w:pgSz w:w="11910" w:h="16840"/>
          <w:pgMar w:header="929" w:footer="837" w:top="1140" w:bottom="1020" w:left="900" w:right="0"/>
        </w:sect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929" w:footer="837" w:top="1140" w:bottom="1020" w:left="920" w:right="0"/>
        </w:sectPr>
      </w:pPr>
    </w:p>
    <w:p>
      <w:pPr>
        <w:spacing w:line="240" w:lineRule="auto" w:before="4"/>
        <w:rPr>
          <w:rFonts w:ascii="宋体" w:hAnsi="宋体" w:cs="宋体" w:eastAsia="宋体" w:hint="default"/>
          <w:sz w:val="40"/>
          <w:szCs w:val="40"/>
        </w:rPr>
      </w:pPr>
    </w:p>
    <w:p>
      <w:pPr>
        <w:spacing w:before="0"/>
        <w:ind w:left="920" w:right="-5" w:firstLine="0"/>
        <w:jc w:val="left"/>
        <w:rPr>
          <w:rFonts w:ascii="宋体" w:hAnsi="宋体" w:cs="宋体" w:eastAsia="宋体" w:hint="default"/>
          <w:sz w:val="28"/>
          <w:szCs w:val="28"/>
        </w:rPr>
      </w:pPr>
      <w:r>
        <w:rPr>
          <w:rFonts w:ascii="宋体" w:hAnsi="宋体" w:cs="宋体" w:eastAsia="宋体" w:hint="default"/>
          <w:spacing w:val="-1"/>
          <w:sz w:val="28"/>
          <w:szCs w:val="28"/>
        </w:rPr>
        <w:t>(一)股份变动情况表</w:t>
      </w:r>
    </w:p>
    <w:p>
      <w:pPr>
        <w:spacing w:before="0"/>
        <w:ind w:left="48" w:right="0" w:firstLine="0"/>
        <w:jc w:val="left"/>
        <w:rPr>
          <w:rFonts w:ascii="宋体" w:hAnsi="宋体" w:cs="宋体" w:eastAsia="宋体" w:hint="default"/>
          <w:sz w:val="32"/>
          <w:szCs w:val="32"/>
        </w:rPr>
      </w:pPr>
      <w:r>
        <w:rPr/>
        <w:br w:type="column"/>
      </w:r>
      <w:r>
        <w:rPr>
          <w:rFonts w:ascii="宋体" w:hAnsi="宋体" w:cs="宋体" w:eastAsia="宋体" w:hint="default"/>
          <w:sz w:val="32"/>
          <w:szCs w:val="32"/>
        </w:rPr>
        <w:t>三、股本变动及股东情况</w:t>
      </w:r>
    </w:p>
    <w:p>
      <w:pPr>
        <w:spacing w:after="0"/>
        <w:jc w:val="left"/>
        <w:rPr>
          <w:rFonts w:ascii="宋体" w:hAnsi="宋体" w:cs="宋体" w:eastAsia="宋体" w:hint="default"/>
          <w:sz w:val="32"/>
          <w:szCs w:val="32"/>
        </w:rPr>
        <w:sectPr>
          <w:type w:val="continuous"/>
          <w:pgSz w:w="11910" w:h="16840"/>
          <w:pgMar w:top="1580" w:bottom="1020" w:left="920" w:right="0"/>
          <w:cols w:num="2" w:equalWidth="0">
            <w:col w:w="3446" w:space="40"/>
            <w:col w:w="7504"/>
          </w:cols>
        </w:sectPr>
      </w:pPr>
    </w:p>
    <w:p>
      <w:pPr>
        <w:spacing w:line="240" w:lineRule="auto" w:before="11"/>
        <w:rPr>
          <w:rFonts w:ascii="宋体" w:hAnsi="宋体" w:cs="宋体" w:eastAsia="宋体" w:hint="default"/>
          <w:sz w:val="11"/>
          <w:szCs w:val="11"/>
        </w:rPr>
      </w:pPr>
    </w:p>
    <w:p>
      <w:pPr>
        <w:spacing w:before="44"/>
        <w:ind w:left="0" w:right="194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615"/>
        <w:gridCol w:w="1394"/>
        <w:gridCol w:w="900"/>
        <w:gridCol w:w="540"/>
        <w:gridCol w:w="540"/>
        <w:gridCol w:w="720"/>
        <w:gridCol w:w="540"/>
        <w:gridCol w:w="1260"/>
        <w:gridCol w:w="1397"/>
        <w:gridCol w:w="910"/>
      </w:tblGrid>
      <w:tr>
        <w:trPr>
          <w:trHeight w:val="283"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229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0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75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9"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394"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5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5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97"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0"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394"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23" w:space="0" w:color="DCDCDC"/>
              <w:right w:val="single" w:sz="23" w:space="0" w:color="DCDCDC"/>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72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9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97"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394"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23" w:space="0" w:color="DCDCDC"/>
              <w:right w:val="single" w:sz="23" w:space="0" w:color="DCDCDC"/>
            </w:tcBorders>
          </w:tcPr>
          <w:p>
            <w:pPr/>
          </w:p>
        </w:tc>
        <w:tc>
          <w:tcPr>
            <w:tcW w:w="72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397"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06" w:hRule="exact"/>
        </w:trPr>
        <w:tc>
          <w:tcPr>
            <w:tcW w:w="1615" w:type="dxa"/>
            <w:vMerge/>
            <w:tcBorders>
              <w:left w:val="single" w:sz="4" w:space="0" w:color="000000"/>
              <w:bottom w:val="single" w:sz="4" w:space="0" w:color="000000"/>
              <w:right w:val="single" w:sz="4" w:space="0" w:color="000000"/>
            </w:tcBorders>
            <w:shd w:val="clear" w:color="auto" w:fill="DCDCDC"/>
          </w:tcPr>
          <w:p>
            <w:pPr/>
          </w:p>
        </w:tc>
        <w:tc>
          <w:tcPr>
            <w:tcW w:w="1394"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23" w:space="0" w:color="DCDCDC"/>
              <w:bottom w:val="single" w:sz="58" w:space="0" w:color="DCDCDC"/>
              <w:right w:val="single" w:sz="23" w:space="0" w:color="DCDCDC"/>
            </w:tcBorders>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97"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3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1397"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3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107,265,600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100.00%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107,265,600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3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107,265,600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100.00%</w:t>
            </w: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94"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107,265,600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107,265,600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tabs>
          <w:tab w:pos="4429" w:val="left" w:leader="none"/>
        </w:tabs>
        <w:spacing w:line="240" w:lineRule="auto"/>
        <w:ind w:left="783" w:right="1143"/>
        <w:jc w:val="left"/>
      </w:pPr>
      <w:r>
        <w:rPr/>
        <w:pict>
          <v:shape style="position:absolute;margin-left:103.08847pt;margin-top:-147.050156pt;width:392.95pt;height:64.3pt;mso-position-horizontal-relative:page;mso-position-vertical-relative:paragraph;z-index:-556048;rotation:315" type="#_x0000_t136" fillcolor="#e0e0e0" stroked="f">
            <o:extrusion v:ext="view" autorotationcenter="t"/>
            <v:textpath style="font-family:&amp;quot;Arial&amp;quot;;font-size:64pt;v-text-kern:t;mso-text-shadow:auto" string="UnRegistered"/>
            <w10:wrap type="none"/>
          </v:shape>
        </w:pict>
      </w:r>
      <w:r>
        <w:rPr>
          <w:spacing w:val="-1"/>
        </w:rPr>
        <w:t>（二）限售股份变动情况表</w:t>
        <w:tab/>
        <w:t>（不适用）</w:t>
      </w:r>
    </w:p>
    <w:p>
      <w:pPr>
        <w:spacing w:line="314" w:lineRule="auto" w:before="128"/>
        <w:ind w:left="783" w:right="1143" w:firstLine="0"/>
        <w:jc w:val="left"/>
        <w:rPr>
          <w:rFonts w:ascii="宋体" w:hAnsi="宋体" w:cs="宋体" w:eastAsia="宋体" w:hint="default"/>
          <w:sz w:val="28"/>
          <w:szCs w:val="28"/>
        </w:rPr>
      </w:pPr>
      <w:r>
        <w:rPr>
          <w:rFonts w:ascii="宋体" w:hAnsi="宋体" w:cs="宋体" w:eastAsia="宋体" w:hint="default"/>
          <w:sz w:val="28"/>
          <w:szCs w:val="28"/>
        </w:rPr>
        <w:t>（三）证券发行与上市情况</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1"/>
          <w:sz w:val="28"/>
          <w:szCs w:val="28"/>
        </w:rPr>
        <w:t>1、截止报告期末前三年公司无股票发行情况。</w:t>
      </w:r>
    </w:p>
    <w:p>
      <w:pPr>
        <w:spacing w:line="302" w:lineRule="auto" w:before="10"/>
        <w:ind w:left="783" w:right="1143" w:firstLine="0"/>
        <w:jc w:val="left"/>
        <w:rPr>
          <w:rFonts w:ascii="宋体" w:hAnsi="宋体" w:cs="宋体" w:eastAsia="宋体" w:hint="default"/>
          <w:sz w:val="28"/>
          <w:szCs w:val="28"/>
        </w:rPr>
      </w:pPr>
      <w:r>
        <w:rPr>
          <w:rFonts w:ascii="宋体" w:hAnsi="宋体" w:cs="宋体" w:eastAsia="宋体" w:hint="default"/>
          <w:spacing w:val="-3"/>
          <w:sz w:val="28"/>
          <w:szCs w:val="28"/>
        </w:rPr>
        <w:t>2、报告期公司无因送股、转增股本、配股、增发新股、非公开发行股</w:t>
      </w:r>
      <w:r>
        <w:rPr>
          <w:rFonts w:ascii="宋体" w:hAnsi="宋体" w:cs="宋体" w:eastAsia="宋体" w:hint="default"/>
          <w:spacing w:val="-95"/>
          <w:sz w:val="28"/>
          <w:szCs w:val="28"/>
        </w:rPr>
        <w:t> </w:t>
      </w:r>
      <w:r>
        <w:rPr>
          <w:rFonts w:ascii="宋体" w:hAnsi="宋体" w:cs="宋体" w:eastAsia="宋体" w:hint="default"/>
          <w:spacing w:val="-95"/>
          <w:sz w:val="28"/>
          <w:szCs w:val="28"/>
        </w:rPr>
      </w:r>
      <w:r>
        <w:rPr>
          <w:rFonts w:ascii="宋体" w:hAnsi="宋体" w:cs="宋体" w:eastAsia="宋体" w:hint="default"/>
          <w:spacing w:val="-3"/>
          <w:sz w:val="28"/>
          <w:szCs w:val="28"/>
        </w:rPr>
        <w:t>票、权证行权、实施股权激励计划、吸收合并、可转换公司债券转股、</w:t>
      </w:r>
      <w:r>
        <w:rPr>
          <w:rFonts w:ascii="宋体" w:hAnsi="宋体" w:cs="宋体" w:eastAsia="宋体" w:hint="default"/>
          <w:spacing w:val="-96"/>
          <w:sz w:val="28"/>
          <w:szCs w:val="28"/>
        </w:rPr>
        <w:t> </w:t>
      </w:r>
      <w:r>
        <w:rPr>
          <w:rFonts w:ascii="宋体" w:hAnsi="宋体" w:cs="宋体" w:eastAsia="宋体" w:hint="default"/>
          <w:spacing w:val="-96"/>
          <w:sz w:val="28"/>
          <w:szCs w:val="28"/>
        </w:rPr>
      </w:r>
      <w:r>
        <w:rPr>
          <w:rFonts w:ascii="宋体" w:hAnsi="宋体" w:cs="宋体" w:eastAsia="宋体" w:hint="default"/>
          <w:sz w:val="28"/>
          <w:szCs w:val="28"/>
        </w:rPr>
        <w:t>减资、内部职工股上市或其他原因引起公司股份总数和结构及公司资</w:t>
      </w:r>
      <w:r>
        <w:rPr>
          <w:rFonts w:ascii="宋体" w:hAnsi="宋体" w:cs="宋体" w:eastAsia="宋体" w:hint="default"/>
          <w:spacing w:val="-59"/>
          <w:sz w:val="28"/>
          <w:szCs w:val="28"/>
        </w:rPr>
        <w:t> </w:t>
      </w:r>
      <w:r>
        <w:rPr>
          <w:rFonts w:ascii="宋体" w:hAnsi="宋体" w:cs="宋体" w:eastAsia="宋体" w:hint="default"/>
          <w:spacing w:val="-59"/>
          <w:sz w:val="28"/>
          <w:szCs w:val="28"/>
        </w:rPr>
      </w:r>
      <w:r>
        <w:rPr>
          <w:rFonts w:ascii="宋体" w:hAnsi="宋体" w:cs="宋体" w:eastAsia="宋体" w:hint="default"/>
          <w:sz w:val="28"/>
          <w:szCs w:val="28"/>
        </w:rPr>
        <w:t>产负债结构变动事项。</w:t>
      </w:r>
    </w:p>
    <w:p>
      <w:pPr>
        <w:spacing w:before="21"/>
        <w:ind w:left="783" w:right="1143" w:firstLine="0"/>
        <w:jc w:val="left"/>
        <w:rPr>
          <w:rFonts w:ascii="宋体" w:hAnsi="宋体" w:cs="宋体" w:eastAsia="宋体" w:hint="default"/>
          <w:sz w:val="28"/>
          <w:szCs w:val="28"/>
        </w:rPr>
      </w:pPr>
      <w:r>
        <w:rPr>
          <w:rFonts w:ascii="宋体" w:hAnsi="宋体" w:cs="宋体" w:eastAsia="宋体" w:hint="default"/>
          <w:sz w:val="28"/>
          <w:szCs w:val="28"/>
        </w:rPr>
        <w:t>3、报告期公司无内部职工股。</w:t>
      </w:r>
    </w:p>
    <w:p>
      <w:pPr>
        <w:spacing w:before="94"/>
        <w:ind w:left="783" w:right="1143" w:firstLine="0"/>
        <w:jc w:val="left"/>
        <w:rPr>
          <w:rFonts w:ascii="宋体" w:hAnsi="宋体" w:cs="宋体" w:eastAsia="宋体" w:hint="default"/>
          <w:sz w:val="28"/>
          <w:szCs w:val="28"/>
        </w:rPr>
      </w:pPr>
      <w:r>
        <w:rPr>
          <w:rFonts w:ascii="宋体" w:hAnsi="宋体" w:cs="宋体" w:eastAsia="宋体" w:hint="default"/>
          <w:sz w:val="28"/>
          <w:szCs w:val="28"/>
        </w:rPr>
        <w:t>（四）股东数量和持股情况</w:t>
      </w:r>
    </w:p>
    <w:p>
      <w:pPr>
        <w:spacing w:after="0"/>
        <w:jc w:val="left"/>
        <w:rPr>
          <w:rFonts w:ascii="宋体" w:hAnsi="宋体" w:cs="宋体" w:eastAsia="宋体" w:hint="default"/>
          <w:sz w:val="28"/>
          <w:szCs w:val="28"/>
        </w:rPr>
        <w:sectPr>
          <w:type w:val="continuous"/>
          <w:pgSz w:w="11910" w:h="16840"/>
          <w:pgMar w:top="1580" w:bottom="1020" w:left="920" w:right="0"/>
        </w:sectPr>
      </w:pPr>
    </w:p>
    <w:p>
      <w:pPr>
        <w:spacing w:line="240" w:lineRule="auto" w:before="1"/>
        <w:rPr>
          <w:rFonts w:ascii="宋体" w:hAnsi="宋体" w:cs="宋体" w:eastAsia="宋体" w:hint="default"/>
          <w:sz w:val="25"/>
          <w:szCs w:val="25"/>
        </w:rPr>
      </w:pPr>
      <w:r>
        <w:rPr/>
        <w:pict>
          <v:shape style="position:absolute;margin-left:103.08847pt;margin-top:395.916565pt;width:392.95pt;height:64.3pt;mso-position-horizontal-relative:page;mso-position-vertical-relative:page;z-index:-556024;rotation:315" type="#_x0000_t136" fillcolor="#e0e0e0" stroked="f">
            <o:extrusion v:ext="view" autorotationcenter="t"/>
            <v:textpath style="font-family:&amp;quot;Arial&amp;quot;;font-size:64pt;v-text-kern:t;mso-text-shadow:auto" string="UnRegistered"/>
            <w10:wrap type="none"/>
          </v:shape>
        </w:pict>
      </w:r>
    </w:p>
    <w:p>
      <w:pPr>
        <w:spacing w:before="44"/>
        <w:ind w:left="0" w:right="158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340"/>
        <w:gridCol w:w="1301"/>
        <w:gridCol w:w="1051"/>
        <w:gridCol w:w="250"/>
        <w:gridCol w:w="1298"/>
        <w:gridCol w:w="521"/>
        <w:gridCol w:w="886"/>
        <w:gridCol w:w="415"/>
        <w:gridCol w:w="1766"/>
      </w:tblGrid>
      <w:tr>
        <w:trPr>
          <w:trHeight w:val="141"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2" w:type="dxa"/>
            <w:gridSpan w:val="2"/>
            <w:vMerge w:val="restart"/>
            <w:tcBorders>
              <w:top w:val="single" w:sz="4" w:space="0" w:color="000000"/>
              <w:left w:val="single" w:sz="10" w:space="0" w:color="DCDCDC"/>
              <w:right w:val="single" w:sz="13" w:space="0" w:color="DCDCDC"/>
            </w:tcBorders>
          </w:tcPr>
          <w:p>
            <w:pPr>
              <w:pStyle w:val="TableParagraph"/>
              <w:spacing w:line="240" w:lineRule="auto" w:before="102"/>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8,965 </w:t>
            </w:r>
            <w:r>
              <w:rPr>
                <w:rFonts w:ascii="宋体" w:hAnsi="宋体" w:cs="宋体" w:eastAsia="宋体" w:hint="default"/>
                <w:sz w:val="21"/>
                <w:szCs w:val="21"/>
              </w:rPr>
              <w:t>户</w:t>
            </w:r>
          </w:p>
        </w:tc>
        <w:tc>
          <w:tcPr>
            <w:tcW w:w="2954"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2182" w:type="dxa"/>
            <w:gridSpan w:val="2"/>
            <w:vMerge w:val="restart"/>
            <w:tcBorders>
              <w:top w:val="single" w:sz="4" w:space="0" w:color="000000"/>
              <w:left w:val="single" w:sz="10" w:space="0" w:color="DCDCDC"/>
              <w:right w:val="single" w:sz="4" w:space="0" w:color="000000"/>
            </w:tcBorders>
          </w:tcPr>
          <w:p>
            <w:pPr>
              <w:pStyle w:val="TableParagraph"/>
              <w:spacing w:line="240" w:lineRule="auto" w:before="102"/>
              <w:ind w:left="13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8,962 </w:t>
            </w:r>
            <w:r>
              <w:rPr>
                <w:rFonts w:ascii="宋体" w:hAnsi="宋体" w:cs="宋体" w:eastAsia="宋体" w:hint="default"/>
                <w:sz w:val="21"/>
                <w:szCs w:val="21"/>
              </w:rPr>
              <w:t>户</w:t>
            </w:r>
          </w:p>
        </w:tc>
      </w:tr>
      <w:tr>
        <w:trPr>
          <w:trHeight w:val="27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年末股东总数</w:t>
            </w:r>
          </w:p>
        </w:tc>
        <w:tc>
          <w:tcPr>
            <w:tcW w:w="2352" w:type="dxa"/>
            <w:gridSpan w:val="2"/>
            <w:vMerge/>
            <w:tcBorders>
              <w:left w:val="single" w:sz="10" w:space="0" w:color="DCDCDC"/>
              <w:right w:val="single" w:sz="13" w:space="0" w:color="DCDCDC"/>
            </w:tcBorders>
          </w:tcPr>
          <w:p>
            <w:pPr/>
          </w:p>
        </w:tc>
        <w:tc>
          <w:tcPr>
            <w:tcW w:w="2954" w:type="dxa"/>
            <w:gridSpan w:val="4"/>
            <w:vMerge/>
            <w:tcBorders>
              <w:left w:val="single" w:sz="4" w:space="0" w:color="000000"/>
              <w:right w:val="single" w:sz="4" w:space="0" w:color="000000"/>
            </w:tcBorders>
            <w:shd w:val="clear" w:color="auto" w:fill="DCDCDC"/>
          </w:tcPr>
          <w:p>
            <w:pPr/>
          </w:p>
        </w:tc>
        <w:tc>
          <w:tcPr>
            <w:tcW w:w="2182" w:type="dxa"/>
            <w:gridSpan w:val="2"/>
            <w:vMerge/>
            <w:tcBorders>
              <w:left w:val="single" w:sz="10" w:space="0" w:color="DCDCDC"/>
              <w:right w:val="single" w:sz="4" w:space="0" w:color="000000"/>
            </w:tcBorders>
          </w:tcPr>
          <w:p>
            <w:pPr/>
          </w:p>
        </w:tc>
      </w:tr>
      <w:tr>
        <w:trPr>
          <w:trHeight w:val="146"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52" w:type="dxa"/>
            <w:gridSpan w:val="2"/>
            <w:vMerge/>
            <w:tcBorders>
              <w:left w:val="single" w:sz="10" w:space="0" w:color="DCDCDC"/>
              <w:bottom w:val="single" w:sz="4" w:space="0" w:color="000000"/>
              <w:right w:val="single" w:sz="13" w:space="0" w:color="DCDCDC"/>
            </w:tcBorders>
          </w:tcPr>
          <w:p>
            <w:pPr/>
          </w:p>
        </w:tc>
        <w:tc>
          <w:tcPr>
            <w:tcW w:w="2954" w:type="dxa"/>
            <w:gridSpan w:val="4"/>
            <w:vMerge/>
            <w:tcBorders>
              <w:left w:val="single" w:sz="4" w:space="0" w:color="000000"/>
              <w:bottom w:val="single" w:sz="4" w:space="0" w:color="000000"/>
              <w:right w:val="single" w:sz="4" w:space="0" w:color="000000"/>
            </w:tcBorders>
            <w:shd w:val="clear" w:color="auto" w:fill="DCDCDC"/>
          </w:tcPr>
          <w:p>
            <w:pPr/>
          </w:p>
        </w:tc>
        <w:tc>
          <w:tcPr>
            <w:tcW w:w="2182" w:type="dxa"/>
            <w:gridSpan w:val="2"/>
            <w:vMerge/>
            <w:tcBorders>
              <w:left w:val="single" w:sz="10" w:space="0" w:color="DCDCDC"/>
              <w:bottom w:val="single" w:sz="4" w:space="0" w:color="000000"/>
              <w:right w:val="single" w:sz="4" w:space="0" w:color="000000"/>
            </w:tcBorders>
          </w:tcPr>
          <w:p>
            <w:pPr/>
          </w:p>
        </w:tc>
      </w:tr>
      <w:tr>
        <w:trPr>
          <w:trHeight w:val="277" w:hRule="exact"/>
        </w:trPr>
        <w:tc>
          <w:tcPr>
            <w:tcW w:w="9828"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42"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7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1"/>
                <w:sz w:val="21"/>
                <w:szCs w:val="21"/>
              </w:rPr>
              <w:t>股东性质</w:t>
            </w:r>
          </w:p>
        </w:tc>
        <w:tc>
          <w:tcPr>
            <w:tcW w:w="130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持股</w:t>
            </w:r>
            <w:r>
              <w:rPr>
                <w:rFonts w:ascii="宋体" w:hAnsi="宋体" w:cs="宋体" w:eastAsia="宋体" w:hint="default"/>
                <w:spacing w:val="-3"/>
                <w:w w:val="100"/>
                <w:sz w:val="21"/>
                <w:szCs w:val="21"/>
              </w:rPr>
              <w:t>比</w:t>
            </w:r>
            <w:r>
              <w:rPr>
                <w:rFonts w:ascii="宋体" w:hAnsi="宋体" w:cs="宋体" w:eastAsia="宋体" w:hint="default"/>
                <w:spacing w:val="-87"/>
                <w:w w:val="100"/>
                <w:sz w:val="21"/>
                <w:szCs w:val="21"/>
              </w:rPr>
              <w:t>例</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w:t>
            </w:r>
          </w:p>
        </w:tc>
        <w:tc>
          <w:tcPr>
            <w:tcW w:w="12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sz w:val="21"/>
                <w:szCs w:val="21"/>
              </w:rPr>
              <w:t>持股总数</w:t>
            </w:r>
          </w:p>
        </w:tc>
        <w:tc>
          <w:tcPr>
            <w:tcW w:w="1822" w:type="dxa"/>
            <w:gridSpan w:val="3"/>
            <w:vMerge/>
            <w:tcBorders>
              <w:left w:val="single" w:sz="4" w:space="0" w:color="000000"/>
              <w:right w:val="single" w:sz="4" w:space="0" w:color="000000"/>
            </w:tcBorders>
            <w:shd w:val="clear" w:color="auto" w:fill="DCDCDC"/>
          </w:tcPr>
          <w:p>
            <w:pPr/>
          </w:p>
        </w:tc>
        <w:tc>
          <w:tcPr>
            <w:tcW w:w="1766" w:type="dxa"/>
            <w:vMerge/>
            <w:tcBorders>
              <w:left w:val="single" w:sz="4" w:space="0" w:color="000000"/>
              <w:right w:val="single" w:sz="4" w:space="0" w:color="000000"/>
            </w:tcBorders>
            <w:shd w:val="clear" w:color="auto" w:fill="DCDCDC"/>
          </w:tcPr>
          <w:p>
            <w:pPr/>
          </w:p>
        </w:tc>
      </w:tr>
      <w:tr>
        <w:trPr>
          <w:trHeight w:val="141"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9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gridSpan w:val="3"/>
            <w:vMerge/>
            <w:tcBorders>
              <w:left w:val="single" w:sz="4" w:space="0" w:color="000000"/>
              <w:bottom w:val="single" w:sz="4" w:space="0" w:color="000000"/>
              <w:right w:val="single" w:sz="4" w:space="0" w:color="000000"/>
            </w:tcBorders>
            <w:shd w:val="clear" w:color="auto" w:fill="DCDCDC"/>
          </w:tcPr>
          <w:p>
            <w:pPr/>
          </w:p>
        </w:tc>
        <w:tc>
          <w:tcPr>
            <w:tcW w:w="1766" w:type="dxa"/>
            <w:vMerge/>
            <w:tcBorders>
              <w:left w:val="single" w:sz="4" w:space="0" w:color="000000"/>
              <w:bottom w:val="single" w:sz="4" w:space="0" w:color="000000"/>
              <w:right w:val="single" w:sz="4" w:space="0" w:color="000000"/>
            </w:tcBorders>
            <w:shd w:val="clear" w:color="auto" w:fill="DCDCDC"/>
          </w:tcPr>
          <w:p>
            <w:pPr/>
          </w:p>
        </w:tc>
      </w:tr>
      <w:tr>
        <w:trPr>
          <w:trHeight w:val="55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z w:val="21"/>
                <w:szCs w:val="21"/>
              </w:rPr>
              <w:t>一</w:t>
            </w:r>
            <w:r>
              <w:rPr>
                <w:rFonts w:ascii="宋体" w:hAnsi="宋体" w:cs="宋体" w:eastAsia="宋体" w:hint="default"/>
                <w:spacing w:val="-56"/>
                <w:sz w:val="21"/>
                <w:szCs w:val="21"/>
              </w:rPr>
              <w:t> </w:t>
            </w:r>
            <w:r>
              <w:rPr>
                <w:rFonts w:ascii="宋体" w:hAnsi="宋体" w:cs="宋体" w:eastAsia="宋体" w:hint="default"/>
                <w:sz w:val="21"/>
                <w:szCs w:val="21"/>
              </w:rPr>
              <w:t>般</w:t>
            </w:r>
            <w:r>
              <w:rPr>
                <w:rFonts w:ascii="宋体" w:hAnsi="宋体" w:cs="宋体" w:eastAsia="宋体" w:hint="default"/>
                <w:spacing w:val="-59"/>
                <w:sz w:val="21"/>
                <w:szCs w:val="21"/>
              </w:rPr>
              <w:t> </w:t>
            </w:r>
            <w:r>
              <w:rPr>
                <w:rFonts w:ascii="宋体" w:hAnsi="宋体" w:cs="宋体" w:eastAsia="宋体" w:hint="default"/>
                <w:sz w:val="21"/>
                <w:szCs w:val="21"/>
              </w:rPr>
              <w:t>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791" w:right="0"/>
              <w:jc w:val="left"/>
              <w:rPr>
                <w:rFonts w:ascii="Times New Roman" w:hAnsi="Times New Roman" w:cs="Times New Roman" w:eastAsia="Times New Roman" w:hint="default"/>
                <w:sz w:val="21"/>
                <w:szCs w:val="21"/>
              </w:rPr>
            </w:pPr>
            <w:r>
              <w:rPr>
                <w:rFonts w:ascii="Times New Roman"/>
                <w:sz w:val="21"/>
              </w:rPr>
              <w:t>26.63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pacing w:val="-1"/>
                <w:sz w:val="21"/>
              </w:rPr>
              <w:t>28,570,000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平安信托有限责任公司</w:t>
            </w:r>
            <w:r>
              <w:rPr>
                <w:rFonts w:ascii="Times New Roman" w:hAnsi="Times New Roman" w:cs="Times New Roman" w:eastAsia="Times New Roman" w:hint="default"/>
                <w:sz w:val="21"/>
                <w:szCs w:val="21"/>
              </w:rPr>
              <w:t>-</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睿富一号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基金、理财产</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品等其他</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4.29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4,600,000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09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上海国际信托有限公司</w:t>
            </w:r>
          </w:p>
          <w:p>
            <w:pPr>
              <w:pStyle w:val="TableParagraph"/>
              <w:spacing w:line="240" w:lineRule="auto" w:before="24"/>
              <w:ind w:left="24" w:right="0"/>
              <w:jc w:val="left"/>
              <w:rPr>
                <w:rFonts w:ascii="Times New Roman" w:hAnsi="Times New Roman" w:cs="Times New Roman" w:eastAsia="Times New Roman" w:hint="default"/>
                <w:sz w:val="21"/>
                <w:szCs w:val="21"/>
              </w:rPr>
            </w:pPr>
            <w:r>
              <w:rPr>
                <w:rFonts w:ascii="Times New Roman"/>
                <w:spacing w:val="-4"/>
                <w:sz w:val="21"/>
              </w:rPr>
              <w:t>-T-0301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z w:val="21"/>
                <w:szCs w:val="21"/>
              </w:rPr>
              <w:t>非</w:t>
            </w:r>
            <w:r>
              <w:rPr>
                <w:rFonts w:ascii="宋体" w:hAnsi="宋体" w:cs="宋体" w:eastAsia="宋体" w:hint="default"/>
                <w:spacing w:val="-56"/>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有</w:t>
            </w:r>
          </w:p>
          <w:p>
            <w:pPr>
              <w:pStyle w:val="TableParagraph"/>
              <w:spacing w:line="237" w:lineRule="auto"/>
              <w:ind w:left="24" w:right="19"/>
              <w:jc w:val="both"/>
              <w:rPr>
                <w:rFonts w:ascii="宋体" w:hAnsi="宋体" w:cs="宋体" w:eastAsia="宋体" w:hint="default"/>
                <w:sz w:val="21"/>
                <w:szCs w:val="21"/>
              </w:rPr>
            </w:pPr>
            <w:r>
              <w:rPr>
                <w:rFonts w:ascii="宋体" w:hAnsi="宋体" w:cs="宋体" w:eastAsia="宋体" w:hint="default"/>
                <w:spacing w:val="-4"/>
                <w:sz w:val="21"/>
                <w:szCs w:val="21"/>
              </w:rPr>
              <w:t>法人基金、理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财</w:t>
            </w:r>
            <w:r>
              <w:rPr>
                <w:rFonts w:ascii="宋体" w:hAnsi="宋体" w:cs="宋体" w:eastAsia="宋体" w:hint="default"/>
                <w:spacing w:val="-56"/>
                <w:sz w:val="21"/>
                <w:szCs w:val="21"/>
              </w:rPr>
              <w:t> </w:t>
            </w:r>
            <w:r>
              <w:rPr>
                <w:rFonts w:ascii="宋体" w:hAnsi="宋体" w:cs="宋体" w:eastAsia="宋体" w:hint="default"/>
                <w:sz w:val="21"/>
                <w:szCs w:val="21"/>
              </w:rPr>
              <w:t>产</w:t>
            </w:r>
            <w:r>
              <w:rPr>
                <w:rFonts w:ascii="宋体" w:hAnsi="宋体" w:cs="宋体" w:eastAsia="宋体" w:hint="default"/>
                <w:spacing w:val="-56"/>
                <w:sz w:val="21"/>
                <w:szCs w:val="21"/>
              </w:rPr>
              <w:t> </w:t>
            </w:r>
            <w:r>
              <w:rPr>
                <w:rFonts w:ascii="宋体" w:hAnsi="宋体" w:cs="宋体" w:eastAsia="宋体" w:hint="default"/>
                <w:sz w:val="21"/>
                <w:szCs w:val="21"/>
              </w:rPr>
              <w:t>品</w:t>
            </w:r>
            <w:r>
              <w:rPr>
                <w:rFonts w:ascii="宋体" w:hAnsi="宋体" w:cs="宋体" w:eastAsia="宋体" w:hint="default"/>
                <w:spacing w:val="-56"/>
                <w:sz w:val="21"/>
                <w:szCs w:val="21"/>
              </w:rPr>
              <w:t> </w:t>
            </w:r>
            <w:r>
              <w:rPr>
                <w:rFonts w:ascii="宋体" w:hAnsi="宋体" w:cs="宋体" w:eastAsia="宋体" w:hint="default"/>
                <w:sz w:val="21"/>
                <w:szCs w:val="21"/>
              </w:rPr>
              <w:t>等</w:t>
            </w:r>
            <w:r>
              <w:rPr>
                <w:rFonts w:ascii="宋体" w:hAnsi="宋体" w:cs="宋体" w:eastAsia="宋体" w:hint="default"/>
                <w:spacing w:val="-59"/>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3"/>
              <w:jc w:val="right"/>
              <w:rPr>
                <w:rFonts w:ascii="Times New Roman" w:hAnsi="Times New Roman" w:cs="Times New Roman" w:eastAsia="Times New Roman" w:hint="default"/>
                <w:sz w:val="21"/>
                <w:szCs w:val="21"/>
              </w:rPr>
            </w:pPr>
            <w:r>
              <w:rPr>
                <w:rFonts w:ascii="Times New Roman"/>
                <w:sz w:val="21"/>
              </w:rPr>
              <w:t>4.21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3"/>
              <w:jc w:val="right"/>
              <w:rPr>
                <w:rFonts w:ascii="Times New Roman" w:hAnsi="Times New Roman" w:cs="Times New Roman" w:eastAsia="Times New Roman" w:hint="default"/>
                <w:sz w:val="21"/>
                <w:szCs w:val="21"/>
              </w:rPr>
            </w:pPr>
            <w:r>
              <w:rPr>
                <w:rFonts w:ascii="Times New Roman"/>
                <w:spacing w:val="-1"/>
                <w:sz w:val="21"/>
              </w:rPr>
              <w:t>4,520,200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深圳市禾海投资发展有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z w:val="21"/>
                <w:szCs w:val="21"/>
              </w:rPr>
              <w:t>一</w:t>
            </w:r>
            <w:r>
              <w:rPr>
                <w:rFonts w:ascii="宋体" w:hAnsi="宋体" w:cs="宋体" w:eastAsia="宋体" w:hint="default"/>
                <w:spacing w:val="-56"/>
                <w:sz w:val="21"/>
                <w:szCs w:val="21"/>
              </w:rPr>
              <w:t> </w:t>
            </w:r>
            <w:r>
              <w:rPr>
                <w:rFonts w:ascii="宋体" w:hAnsi="宋体" w:cs="宋体" w:eastAsia="宋体" w:hint="default"/>
                <w:sz w:val="21"/>
                <w:szCs w:val="21"/>
              </w:rPr>
              <w:t>般</w:t>
            </w:r>
            <w:r>
              <w:rPr>
                <w:rFonts w:ascii="宋体" w:hAnsi="宋体" w:cs="宋体" w:eastAsia="宋体" w:hint="default"/>
                <w:spacing w:val="-59"/>
                <w:sz w:val="21"/>
                <w:szCs w:val="21"/>
              </w:rPr>
              <w:t> </w:t>
            </w:r>
            <w:r>
              <w:rPr>
                <w:rFonts w:ascii="宋体" w:hAnsi="宋体" w:cs="宋体" w:eastAsia="宋体" w:hint="default"/>
                <w:sz w:val="21"/>
                <w:szCs w:val="21"/>
              </w:rPr>
              <w:t>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2.88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3,086,890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王芬琴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2.63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2,825,832</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李爱娟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2.15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2,309,999</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兴业国际信托有限公司</w:t>
            </w:r>
            <w:r>
              <w:rPr>
                <w:rFonts w:ascii="Times New Roman" w:hAnsi="Times New Roman" w:cs="Times New Roman" w:eastAsia="Times New Roman" w:hint="default"/>
                <w:sz w:val="21"/>
                <w:szCs w:val="21"/>
              </w:rPr>
              <w:t>-</w:t>
            </w:r>
          </w:p>
          <w:p>
            <w:pPr>
              <w:pStyle w:val="TableParagraph"/>
              <w:spacing w:line="272" w:lineRule="exact" w:before="19"/>
              <w:ind w:left="24" w:right="203"/>
              <w:jc w:val="left"/>
              <w:rPr>
                <w:rFonts w:ascii="宋体" w:hAnsi="宋体" w:cs="宋体" w:eastAsia="宋体" w:hint="default"/>
                <w:sz w:val="21"/>
                <w:szCs w:val="21"/>
              </w:rPr>
            </w:pPr>
            <w:r>
              <w:rPr>
                <w:rFonts w:ascii="宋体" w:hAnsi="宋体" w:cs="宋体" w:eastAsia="宋体" w:hint="default"/>
                <w:spacing w:val="-2"/>
                <w:sz w:val="21"/>
                <w:szCs w:val="21"/>
              </w:rPr>
              <w:t>财富一期新型结构化证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券投资集合资金信托</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19"/>
              <w:jc w:val="left"/>
              <w:rPr>
                <w:rFonts w:ascii="宋体" w:hAnsi="宋体" w:cs="宋体" w:eastAsia="宋体" w:hint="default"/>
                <w:sz w:val="21"/>
                <w:szCs w:val="21"/>
              </w:rPr>
            </w:pPr>
            <w:r>
              <w:rPr>
                <w:rFonts w:ascii="宋体" w:hAnsi="宋体" w:cs="宋体" w:eastAsia="宋体" w:hint="default"/>
                <w:spacing w:val="-4"/>
                <w:sz w:val="21"/>
                <w:szCs w:val="21"/>
              </w:rPr>
              <w:t>基金、理财产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品等其他</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1.51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1,616,101</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赵宇红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1.32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1,420,755</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申屠薇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1,084,927</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姚桂明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0.79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847,500</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7" w:hRule="exact"/>
        </w:trPr>
        <w:tc>
          <w:tcPr>
            <w:tcW w:w="9828" w:type="dxa"/>
            <w:gridSpan w:val="9"/>
            <w:tcBorders>
              <w:top w:val="single" w:sz="4" w:space="0" w:color="000000"/>
              <w:left w:val="single" w:sz="4" w:space="0" w:color="000000"/>
              <w:bottom w:val="single" w:sz="2" w:space="0" w:color="FFFFFF"/>
              <w:right w:val="single" w:sz="4" w:space="0" w:color="000000"/>
            </w:tcBorders>
            <w:shd w:val="clear" w:color="auto" w:fill="DCDCDC"/>
          </w:tcPr>
          <w:p>
            <w:pPr>
              <w:pStyle w:val="TableParagraph"/>
              <w:spacing w:line="257"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7" w:hRule="exact"/>
        </w:trPr>
        <w:tc>
          <w:tcPr>
            <w:tcW w:w="3641" w:type="dxa"/>
            <w:gridSpan w:val="2"/>
            <w:tcBorders>
              <w:top w:val="single" w:sz="2" w:space="0" w:color="FFFFFF"/>
              <w:left w:val="single" w:sz="4" w:space="0" w:color="000000"/>
              <w:bottom w:val="single" w:sz="4" w:space="0" w:color="000000"/>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2" w:space="0" w:color="FFFFFF"/>
              <w:left w:val="single" w:sz="4" w:space="0" w:color="000000"/>
              <w:bottom w:val="single" w:sz="4" w:space="0" w:color="000000"/>
              <w:right w:val="single" w:sz="4" w:space="0" w:color="000000"/>
            </w:tcBorders>
            <w:shd w:val="clear" w:color="auto" w:fill="DCDCDC"/>
          </w:tcPr>
          <w:p>
            <w:pPr>
              <w:pStyle w:val="TableParagraph"/>
              <w:spacing w:line="250"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gridSpan w:val="3"/>
            <w:tcBorders>
              <w:top w:val="single" w:sz="2" w:space="0" w:color="FFFFFF"/>
              <w:left w:val="single" w:sz="4" w:space="0" w:color="000000"/>
              <w:bottom w:val="single" w:sz="4" w:space="0" w:color="000000"/>
              <w:right w:val="single" w:sz="4" w:space="0" w:color="000000"/>
            </w:tcBorders>
            <w:shd w:val="clear" w:color="auto" w:fill="DCDCDC"/>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28,570,000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平安信托有限责任公司</w:t>
            </w:r>
            <w:r>
              <w:rPr>
                <w:rFonts w:ascii="Times New Roman" w:hAnsi="Times New Roman" w:cs="Times New Roman" w:eastAsia="Times New Roman" w:hint="default"/>
                <w:sz w:val="21"/>
                <w:szCs w:val="21"/>
              </w:rPr>
              <w:t>-</w:t>
            </w:r>
            <w:r>
              <w:rPr>
                <w:rFonts w:ascii="宋体" w:hAnsi="宋体" w:cs="宋体" w:eastAsia="宋体" w:hint="default"/>
                <w:sz w:val="21"/>
                <w:szCs w:val="21"/>
              </w:rPr>
              <w:t>睿富一号</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4,600,000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上海国际信托有限公司</w:t>
            </w:r>
            <w:r>
              <w:rPr>
                <w:rFonts w:ascii="Times New Roman" w:hAnsi="Times New Roman" w:cs="Times New Roman" w:eastAsia="Times New Roman" w:hint="default"/>
                <w:spacing w:val="-3"/>
                <w:sz w:val="21"/>
                <w:szCs w:val="21"/>
              </w:rPr>
              <w:t>-T-0301</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4,520,200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3,086,890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王芬琴</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2,825,832</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李爱娟</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2,309,999</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兴业国际信托有限公司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财富一期新型</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结构化证券投资集合资金信托</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1,616,101</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赵宇红</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1,420,755</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申屠薇</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1,084,927</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姚桂明</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847,500</w:t>
            </w:r>
          </w:p>
        </w:tc>
        <w:tc>
          <w:tcPr>
            <w:tcW w:w="3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74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据了解，上述股东中境内一般法人股东之间无关联关系或属于一致行动人情况，</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境内自然人股东间及与境内一般法人股东间关系未知。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2"/>
        <w:spacing w:line="302" w:lineRule="auto"/>
        <w:ind w:left="1540" w:right="0" w:hanging="737"/>
        <w:jc w:val="left"/>
      </w:pPr>
      <w:r>
        <w:rPr/>
        <w:t>（五）控股股东及实际控制人情况</w:t>
      </w:r>
      <w:r>
        <w:rPr>
          <w:spacing w:val="-135"/>
        </w:rPr>
        <w:t> </w:t>
      </w:r>
      <w:r>
        <w:rPr>
          <w:spacing w:val="-135"/>
        </w:rPr>
      </w:r>
      <w:r>
        <w:rPr>
          <w:spacing w:val="5"/>
        </w:rPr>
        <w:t>公司控股股东为天伦控股有限公司。天伦控股有限公司成立于</w:t>
      </w:r>
    </w:p>
    <w:p>
      <w:pPr>
        <w:spacing w:line="302" w:lineRule="auto" w:before="19"/>
        <w:ind w:left="981" w:right="1706" w:firstLine="0"/>
        <w:jc w:val="both"/>
        <w:rPr>
          <w:rFonts w:ascii="宋体" w:hAnsi="宋体" w:cs="宋体" w:eastAsia="宋体" w:hint="default"/>
          <w:sz w:val="28"/>
          <w:szCs w:val="28"/>
        </w:rPr>
      </w:pPr>
      <w:r>
        <w:rPr>
          <w:rFonts w:ascii="宋体" w:hAnsi="宋体" w:cs="宋体" w:eastAsia="宋体" w:hint="default"/>
          <w:sz w:val="28"/>
          <w:szCs w:val="28"/>
        </w:rPr>
        <w:t>1995</w:t>
      </w:r>
      <w:r>
        <w:rPr>
          <w:rFonts w:ascii="宋体" w:hAnsi="宋体" w:cs="宋体" w:eastAsia="宋体" w:hint="default"/>
          <w:spacing w:val="-54"/>
          <w:sz w:val="28"/>
          <w:szCs w:val="28"/>
        </w:rPr>
        <w:t> </w:t>
      </w:r>
      <w:r>
        <w:rPr>
          <w:rFonts w:ascii="宋体" w:hAnsi="宋体" w:cs="宋体" w:eastAsia="宋体" w:hint="default"/>
          <w:sz w:val="28"/>
          <w:szCs w:val="28"/>
        </w:rPr>
        <w:t>年</w:t>
      </w:r>
      <w:r>
        <w:rPr>
          <w:rFonts w:ascii="宋体" w:hAnsi="宋体" w:cs="宋体" w:eastAsia="宋体" w:hint="default"/>
          <w:spacing w:val="-53"/>
          <w:sz w:val="28"/>
          <w:szCs w:val="28"/>
        </w:rPr>
        <w:t> </w:t>
      </w:r>
      <w:r>
        <w:rPr>
          <w:rFonts w:ascii="宋体" w:hAnsi="宋体" w:cs="宋体" w:eastAsia="宋体" w:hint="default"/>
          <w:sz w:val="28"/>
          <w:szCs w:val="28"/>
        </w:rPr>
        <w:t>11</w:t>
      </w:r>
      <w:r>
        <w:rPr>
          <w:rFonts w:ascii="宋体" w:hAnsi="宋体" w:cs="宋体" w:eastAsia="宋体" w:hint="default"/>
          <w:spacing w:val="-54"/>
          <w:sz w:val="28"/>
          <w:szCs w:val="28"/>
        </w:rPr>
        <w:t> </w:t>
      </w:r>
      <w:r>
        <w:rPr>
          <w:rFonts w:ascii="宋体" w:hAnsi="宋体" w:cs="宋体" w:eastAsia="宋体" w:hint="default"/>
          <w:sz w:val="28"/>
          <w:szCs w:val="28"/>
        </w:rPr>
        <w:t>月</w:t>
      </w:r>
      <w:r>
        <w:rPr>
          <w:rFonts w:ascii="宋体" w:hAnsi="宋体" w:cs="宋体" w:eastAsia="宋体" w:hint="default"/>
          <w:spacing w:val="-55"/>
          <w:sz w:val="28"/>
          <w:szCs w:val="28"/>
        </w:rPr>
        <w:t> </w:t>
      </w:r>
      <w:r>
        <w:rPr>
          <w:rFonts w:ascii="宋体" w:hAnsi="宋体" w:cs="宋体" w:eastAsia="宋体" w:hint="default"/>
          <w:sz w:val="28"/>
          <w:szCs w:val="28"/>
        </w:rPr>
        <w:t>8</w:t>
      </w:r>
      <w:r>
        <w:rPr>
          <w:rFonts w:ascii="宋体" w:hAnsi="宋体" w:cs="宋体" w:eastAsia="宋体" w:hint="default"/>
          <w:spacing w:val="-54"/>
          <w:sz w:val="28"/>
          <w:szCs w:val="28"/>
        </w:rPr>
        <w:t> </w:t>
      </w:r>
      <w:r>
        <w:rPr>
          <w:rFonts w:ascii="宋体" w:hAnsi="宋体" w:cs="宋体" w:eastAsia="宋体" w:hint="default"/>
          <w:sz w:val="28"/>
          <w:szCs w:val="28"/>
        </w:rPr>
        <w:t>日，法定代表人张国明，注册资本</w:t>
      </w:r>
      <w:r>
        <w:rPr>
          <w:rFonts w:ascii="宋体" w:hAnsi="宋体" w:cs="宋体" w:eastAsia="宋体" w:hint="default"/>
          <w:spacing w:val="-55"/>
          <w:sz w:val="28"/>
          <w:szCs w:val="28"/>
        </w:rPr>
        <w:t> </w:t>
      </w:r>
      <w:r>
        <w:rPr>
          <w:rFonts w:ascii="宋体" w:hAnsi="宋体" w:cs="宋体" w:eastAsia="宋体" w:hint="default"/>
          <w:sz w:val="28"/>
          <w:szCs w:val="28"/>
        </w:rPr>
        <w:t>2.5</w:t>
      </w:r>
      <w:r>
        <w:rPr>
          <w:rFonts w:ascii="宋体" w:hAnsi="宋体" w:cs="宋体" w:eastAsia="宋体" w:hint="default"/>
          <w:spacing w:val="-54"/>
          <w:sz w:val="28"/>
          <w:szCs w:val="28"/>
        </w:rPr>
        <w:t> </w:t>
      </w:r>
      <w:r>
        <w:rPr>
          <w:rFonts w:ascii="宋体" w:hAnsi="宋体" w:cs="宋体" w:eastAsia="宋体" w:hint="default"/>
          <w:sz w:val="28"/>
          <w:szCs w:val="28"/>
        </w:rPr>
        <w:t>亿元，</w:t>
      </w:r>
      <w:r>
        <w:rPr>
          <w:rFonts w:ascii="宋体" w:hAnsi="宋体" w:cs="宋体" w:eastAsia="宋体" w:hint="default"/>
          <w:spacing w:val="-2"/>
          <w:sz w:val="28"/>
          <w:szCs w:val="28"/>
        </w:rPr>
        <w:t> </w:t>
      </w:r>
      <w:r>
        <w:rPr>
          <w:rFonts w:ascii="宋体" w:hAnsi="宋体" w:cs="宋体" w:eastAsia="宋体" w:hint="default"/>
          <w:sz w:val="28"/>
          <w:szCs w:val="28"/>
        </w:rPr>
        <w:t>主要</w:t>
      </w:r>
      <w:r>
        <w:rPr>
          <w:rFonts w:ascii="宋体" w:hAnsi="宋体" w:cs="宋体" w:eastAsia="宋体" w:hint="default"/>
          <w:w w:val="100"/>
          <w:sz w:val="28"/>
          <w:szCs w:val="28"/>
        </w:rPr>
        <w:t> </w:t>
      </w:r>
      <w:r>
        <w:rPr>
          <w:rFonts w:ascii="宋体" w:hAnsi="宋体" w:cs="宋体" w:eastAsia="宋体" w:hint="default"/>
          <w:spacing w:val="-4"/>
          <w:sz w:val="28"/>
          <w:szCs w:val="28"/>
        </w:rPr>
        <w:t>业务为房地产开发经营、基础设施投资开发和电子信息产业等。该公</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4"/>
          <w:sz w:val="28"/>
          <w:szCs w:val="28"/>
        </w:rPr>
        <w:t>司股东为自然人张国明与广东利新经济发展有限公司，其中张国明出</w:t>
      </w:r>
    </w:p>
    <w:p>
      <w:pPr>
        <w:spacing w:after="0" w:line="302" w:lineRule="auto"/>
        <w:jc w:val="both"/>
        <w:rPr>
          <w:rFonts w:ascii="宋体" w:hAnsi="宋体" w:cs="宋体" w:eastAsia="宋体" w:hint="default"/>
          <w:sz w:val="28"/>
          <w:szCs w:val="28"/>
        </w:rPr>
        <w:sectPr>
          <w:pgSz w:w="11910" w:h="16840"/>
          <w:pgMar w:header="929" w:footer="837" w:top="1140" w:bottom="1020" w:left="900" w:right="0"/>
        </w:sectPr>
      </w:pPr>
    </w:p>
    <w:p>
      <w:pPr>
        <w:spacing w:line="240" w:lineRule="auto" w:before="6"/>
        <w:rPr>
          <w:rFonts w:ascii="宋体" w:hAnsi="宋体" w:cs="宋体" w:eastAsia="宋体" w:hint="default"/>
          <w:sz w:val="18"/>
          <w:szCs w:val="18"/>
        </w:rPr>
      </w:pPr>
    </w:p>
    <w:p>
      <w:pPr>
        <w:spacing w:line="302" w:lineRule="auto" w:before="14"/>
        <w:ind w:left="281" w:right="1704" w:firstLine="0"/>
        <w:jc w:val="both"/>
        <w:rPr>
          <w:rFonts w:ascii="宋体" w:hAnsi="宋体" w:cs="宋体" w:eastAsia="宋体" w:hint="default"/>
          <w:sz w:val="28"/>
          <w:szCs w:val="28"/>
        </w:rPr>
      </w:pPr>
      <w:r>
        <w:rPr>
          <w:rFonts w:ascii="宋体" w:hAnsi="宋体" w:cs="宋体" w:eastAsia="宋体" w:hint="default"/>
          <w:sz w:val="28"/>
          <w:szCs w:val="28"/>
        </w:rPr>
        <w:t>资</w:t>
      </w:r>
      <w:r>
        <w:rPr>
          <w:rFonts w:ascii="宋体" w:hAnsi="宋体" w:cs="宋体" w:eastAsia="宋体" w:hint="default"/>
          <w:spacing w:val="29"/>
          <w:sz w:val="28"/>
          <w:szCs w:val="28"/>
        </w:rPr>
        <w:t> </w:t>
      </w:r>
      <w:r>
        <w:rPr>
          <w:rFonts w:ascii="宋体" w:hAnsi="宋体" w:cs="宋体" w:eastAsia="宋体" w:hint="default"/>
          <w:sz w:val="28"/>
          <w:szCs w:val="28"/>
        </w:rPr>
        <w:t>211,166,098</w:t>
      </w:r>
      <w:r>
        <w:rPr>
          <w:rFonts w:ascii="宋体" w:hAnsi="宋体" w:cs="宋体" w:eastAsia="宋体" w:hint="default"/>
          <w:spacing w:val="30"/>
          <w:sz w:val="28"/>
          <w:szCs w:val="28"/>
        </w:rPr>
        <w:t> </w:t>
      </w:r>
      <w:r>
        <w:rPr>
          <w:rFonts w:ascii="宋体" w:hAnsi="宋体" w:cs="宋体" w:eastAsia="宋体" w:hint="default"/>
          <w:spacing w:val="9"/>
          <w:sz w:val="28"/>
          <w:szCs w:val="28"/>
        </w:rPr>
        <w:t>元，占</w:t>
      </w:r>
      <w:r>
        <w:rPr>
          <w:rFonts w:ascii="宋体" w:hAnsi="宋体" w:cs="宋体" w:eastAsia="宋体" w:hint="default"/>
          <w:spacing w:val="29"/>
          <w:sz w:val="28"/>
          <w:szCs w:val="28"/>
        </w:rPr>
        <w:t> </w:t>
      </w:r>
      <w:r>
        <w:rPr>
          <w:rFonts w:ascii="宋体" w:hAnsi="宋体" w:cs="宋体" w:eastAsia="宋体" w:hint="default"/>
          <w:spacing w:val="10"/>
          <w:sz w:val="28"/>
          <w:szCs w:val="28"/>
        </w:rPr>
        <w:t>84.5%；广东利新经济发展有限公司出资</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38,833,902</w:t>
      </w:r>
      <w:r>
        <w:rPr>
          <w:rFonts w:ascii="宋体" w:hAnsi="宋体" w:cs="宋体" w:eastAsia="宋体" w:hint="default"/>
          <w:spacing w:val="-45"/>
          <w:sz w:val="28"/>
          <w:szCs w:val="28"/>
        </w:rPr>
        <w:t> </w:t>
      </w:r>
      <w:r>
        <w:rPr>
          <w:rFonts w:ascii="宋体" w:hAnsi="宋体" w:cs="宋体" w:eastAsia="宋体" w:hint="default"/>
          <w:sz w:val="28"/>
          <w:szCs w:val="28"/>
        </w:rPr>
        <w:t>元，占</w:t>
      </w:r>
      <w:r>
        <w:rPr>
          <w:rFonts w:ascii="宋体" w:hAnsi="宋体" w:cs="宋体" w:eastAsia="宋体" w:hint="default"/>
          <w:spacing w:val="-48"/>
          <w:sz w:val="28"/>
          <w:szCs w:val="28"/>
        </w:rPr>
        <w:t> </w:t>
      </w:r>
      <w:r>
        <w:rPr>
          <w:rFonts w:ascii="宋体" w:hAnsi="宋体" w:cs="宋体" w:eastAsia="宋体" w:hint="default"/>
          <w:sz w:val="28"/>
          <w:szCs w:val="28"/>
        </w:rPr>
        <w:t>15.5%。</w:t>
      </w:r>
      <w:r>
        <w:rPr>
          <w:rFonts w:ascii="宋体" w:hAnsi="宋体" w:cs="宋体" w:eastAsia="宋体" w:hint="default"/>
          <w:spacing w:val="-6"/>
          <w:sz w:val="28"/>
          <w:szCs w:val="28"/>
        </w:rPr>
        <w:t> </w:t>
      </w:r>
      <w:r>
        <w:rPr>
          <w:rFonts w:ascii="宋体" w:hAnsi="宋体" w:cs="宋体" w:eastAsia="宋体" w:hint="default"/>
          <w:sz w:val="28"/>
          <w:szCs w:val="28"/>
        </w:rPr>
        <w:t>张国明：中国国籍，无其他国家或地区</w:t>
      </w:r>
      <w:r>
        <w:rPr>
          <w:rFonts w:ascii="宋体" w:hAnsi="宋体" w:cs="宋体" w:eastAsia="宋体" w:hint="default"/>
          <w:w w:val="100"/>
          <w:sz w:val="28"/>
          <w:szCs w:val="28"/>
        </w:rPr>
        <w:t> </w:t>
      </w:r>
      <w:r>
        <w:rPr>
          <w:rFonts w:ascii="宋体" w:hAnsi="宋体" w:cs="宋体" w:eastAsia="宋体" w:hint="default"/>
          <w:sz w:val="28"/>
          <w:szCs w:val="28"/>
        </w:rPr>
        <w:t>居留权，最近五年任天伦控股有限公司董事长。</w:t>
      </w:r>
    </w:p>
    <w:p>
      <w:pPr>
        <w:spacing w:before="36"/>
        <w:ind w:left="873" w:right="1402" w:firstLine="0"/>
        <w:jc w:val="left"/>
        <w:rPr>
          <w:rFonts w:ascii="宋体" w:hAnsi="宋体" w:cs="宋体" w:eastAsia="宋体" w:hint="default"/>
          <w:sz w:val="28"/>
          <w:szCs w:val="28"/>
        </w:rPr>
      </w:pPr>
      <w:r>
        <w:rPr>
          <w:rFonts w:ascii="宋体" w:hAnsi="宋体" w:cs="宋体" w:eastAsia="宋体" w:hint="default"/>
          <w:spacing w:val="24"/>
          <w:sz w:val="28"/>
          <w:szCs w:val="28"/>
        </w:rPr>
        <w:t>公司与实际控制人之间的产权和控制关系如图所示：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line="376" w:lineRule="exact"/>
        <w:ind w:left="3468"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2.6pt;height:18.850pt;mso-position-horizontal-relative:char;mso-position-vertical-relative:line" type="#_x0000_t202" filled="false" stroked="true" strokeweight=".48pt" strokecolor="#000000">
            <w10:anchorlock/>
            <v:textbox inset="0,0,0,0">
              <w:txbxContent>
                <w:p>
                  <w:pPr>
                    <w:spacing w:line="325"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张国明</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7"/>
          <w:szCs w:val="27"/>
        </w:rPr>
      </w:pPr>
    </w:p>
    <w:p>
      <w:pPr>
        <w:spacing w:before="32"/>
        <w:ind w:left="2964" w:right="1402" w:firstLine="0"/>
        <w:jc w:val="left"/>
        <w:rPr>
          <w:rFonts w:ascii="宋体" w:hAnsi="宋体" w:cs="宋体" w:eastAsia="宋体" w:hint="default"/>
          <w:sz w:val="22"/>
          <w:szCs w:val="22"/>
        </w:rPr>
      </w:pPr>
      <w:r>
        <w:rPr/>
        <w:pict>
          <v:group style="position:absolute;margin-left:271.178253pt;margin-top:-13.872333pt;width:6pt;height:47.2pt;mso-position-horizontal-relative:page;mso-position-vertical-relative:paragraph;z-index:1288" coordorigin="5424,-277" coordsize="120,944">
            <v:shape style="position:absolute;left:5424;top:-277;width:120;height:944" coordorigin="5424,-277" coordsize="120,944" path="m5476,546l5424,546,5484,666,5529,575,5484,575,5479,572,5476,565,5476,546xe" filled="true" fillcolor="#000000" stroked="false">
              <v:path arrowok="t"/>
              <v:fill type="solid"/>
            </v:shape>
            <v:shape style="position:absolute;left:5424;top:-277;width:120;height:944" coordorigin="5424,-277" coordsize="120,944" path="m5484,-277l5479,-275,5476,-270,5476,565,5479,572,5484,575,5488,572,5491,565,5491,-270,5488,-275,5484,-277xe" filled="true" fillcolor="#000000" stroked="false">
              <v:path arrowok="t"/>
              <v:fill type="solid"/>
            </v:shape>
            <v:shape style="position:absolute;left:5424;top:-277;width:120;height:944" coordorigin="5424,-277" coordsize="120,944" path="m5544,546l5491,546,5491,565,5488,572,5484,575,5529,575,5544,546xe" filled="true" fillcolor="#000000" stroked="false">
              <v:path arrowok="t"/>
              <v:fill type="solid"/>
            </v:shape>
            <w10:wrap type="none"/>
          </v:group>
        </w:pict>
      </w:r>
      <w:r>
        <w:rPr>
          <w:rFonts w:ascii="宋体"/>
          <w:sz w:val="22"/>
        </w:rPr>
        <w:t>84.5%</w:t>
      </w:r>
    </w:p>
    <w:p>
      <w:pPr>
        <w:spacing w:line="240" w:lineRule="auto" w:before="13"/>
        <w:rPr>
          <w:rFonts w:ascii="宋体" w:hAnsi="宋体" w:cs="宋体" w:eastAsia="宋体" w:hint="default"/>
          <w:sz w:val="28"/>
          <w:szCs w:val="28"/>
        </w:rPr>
      </w:pPr>
    </w:p>
    <w:p>
      <w:pPr>
        <w:spacing w:line="376" w:lineRule="exact"/>
        <w:ind w:left="2880"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12.6pt;height:18.850pt;mso-position-horizontal-relative:char;mso-position-vertical-relative:line" type="#_x0000_t202" filled="false" stroked="true" strokeweight=".48pt" strokecolor="#000000">
            <w10:anchorlock/>
            <v:textbox inset="0,0,0,0">
              <w:txbxContent>
                <w:p>
                  <w:pPr>
                    <w:spacing w:line="325" w:lineRule="exact" w:before="0"/>
                    <w:ind w:left="0" w:right="-1" w:firstLine="0"/>
                    <w:jc w:val="left"/>
                    <w:rPr>
                      <w:rFonts w:ascii="宋体" w:hAnsi="宋体" w:cs="宋体" w:eastAsia="宋体" w:hint="default"/>
                      <w:sz w:val="28"/>
                      <w:szCs w:val="28"/>
                    </w:rPr>
                  </w:pPr>
                  <w:r>
                    <w:rPr>
                      <w:rFonts w:ascii="宋体" w:hAnsi="宋体" w:cs="宋体" w:eastAsia="宋体" w:hint="default"/>
                      <w:sz w:val="28"/>
                      <w:szCs w:val="28"/>
                    </w:rPr>
                    <w:t>天伦控股有限公司</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7"/>
          <w:szCs w:val="27"/>
        </w:rPr>
      </w:pPr>
    </w:p>
    <w:p>
      <w:pPr>
        <w:spacing w:before="32"/>
        <w:ind w:left="2964" w:right="1402" w:firstLine="0"/>
        <w:jc w:val="left"/>
        <w:rPr>
          <w:rFonts w:ascii="宋体" w:hAnsi="宋体" w:cs="宋体" w:eastAsia="宋体" w:hint="default"/>
          <w:sz w:val="22"/>
          <w:szCs w:val="22"/>
        </w:rPr>
      </w:pPr>
      <w:r>
        <w:rPr/>
        <w:pict>
          <v:group style="position:absolute;margin-left:271.178253pt;margin-top:-7.872332pt;width:6pt;height:39.4pt;mso-position-horizontal-relative:page;mso-position-vertical-relative:paragraph;z-index:1312" coordorigin="5424,-157" coordsize="120,788">
            <v:shape style="position:absolute;left:5424;top:-157;width:120;height:788" coordorigin="5424,-157" coordsize="120,788" path="m5476,510l5424,510,5484,630,5529,539,5484,539,5479,536,5476,529,5476,510xe" filled="true" fillcolor="#000000" stroked="false">
              <v:path arrowok="t"/>
              <v:fill type="solid"/>
            </v:shape>
            <v:shape style="position:absolute;left:5424;top:-157;width:120;height:788" coordorigin="5424,-157" coordsize="120,788" path="m5484,-157l5479,-155,5476,-150,5476,529,5479,536,5484,539,5488,536,5491,529,5491,-150,5488,-155,5484,-157xe" filled="true" fillcolor="#000000" stroked="false">
              <v:path arrowok="t"/>
              <v:fill type="solid"/>
            </v:shape>
            <v:shape style="position:absolute;left:5424;top:-157;width:120;height:788" coordorigin="5424,-157" coordsize="120,788" path="m5544,510l5491,510,5491,529,5488,536,5484,539,5529,539,5544,510xe" filled="true" fillcolor="#000000" stroked="false">
              <v:path arrowok="t"/>
              <v:fill type="solid"/>
            </v:shape>
            <w10:wrap type="none"/>
          </v:group>
        </w:pict>
      </w:r>
      <w:r>
        <w:rPr>
          <w:rFonts w:ascii="宋体"/>
          <w:sz w:val="22"/>
        </w:rPr>
        <w:t>26.635%</w:t>
      </w:r>
    </w:p>
    <w:p>
      <w:pPr>
        <w:spacing w:line="240" w:lineRule="auto" w:before="13"/>
        <w:rPr>
          <w:rFonts w:ascii="宋体" w:hAnsi="宋体" w:cs="宋体" w:eastAsia="宋体" w:hint="default"/>
          <w:sz w:val="28"/>
          <w:szCs w:val="28"/>
        </w:rPr>
      </w:pPr>
    </w:p>
    <w:p>
      <w:pPr>
        <w:spacing w:line="376" w:lineRule="exact"/>
        <w:ind w:left="1927"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82.55pt;height:18.850pt;mso-position-horizontal-relative:char;mso-position-vertical-relative:line" type="#_x0000_t202" filled="false" stroked="true" strokeweight=".48pt" strokecolor="#000000">
            <w10:anchorlock/>
            <v:textbox inset="0,0,0,0">
              <w:txbxContent>
                <w:p>
                  <w:pPr>
                    <w:spacing w:line="325" w:lineRule="exact" w:before="0"/>
                    <w:ind w:left="-1" w:right="-1" w:firstLine="0"/>
                    <w:jc w:val="left"/>
                    <w:rPr>
                      <w:rFonts w:ascii="宋体" w:hAnsi="宋体" w:cs="宋体" w:eastAsia="宋体" w:hint="default"/>
                      <w:sz w:val="28"/>
                      <w:szCs w:val="28"/>
                    </w:rPr>
                  </w:pPr>
                  <w:r>
                    <w:rPr>
                      <w:rFonts w:ascii="宋体" w:hAnsi="宋体" w:cs="宋体" w:eastAsia="宋体" w:hint="default"/>
                      <w:sz w:val="28"/>
                      <w:szCs w:val="28"/>
                    </w:rPr>
                    <w:t>黑龙江天伦置业股份有限公司</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right="1402"/>
        <w:jc w:val="left"/>
      </w:pPr>
      <w:r>
        <w:rPr/>
        <w:pict>
          <v:shape style="position:absolute;margin-left:103.08847pt;margin-top:16.389849pt;width:392.95pt;height:64.3pt;mso-position-horizontal-relative:page;mso-position-vertical-relative:paragraph;z-index:-555880;rotation:315" type="#_x0000_t136" fillcolor="#e0e0e0" stroked="f">
            <o:extrusion v:ext="view" autorotationcenter="t"/>
            <v:textpath style="font-family:&amp;quot;Arial&amp;quot;;font-size:64pt;v-text-kern:t;mso-text-shadow:auto" string="UnRegistered"/>
            <w10:wrap type="none"/>
          </v:shape>
        </w:pict>
      </w:r>
      <w:r>
        <w:rPr/>
        <w:t>（六）除控股股东外,公司无其他持股</w:t>
      </w:r>
      <w:r>
        <w:rPr>
          <w:spacing w:val="-71"/>
        </w:rPr>
        <w:t> </w:t>
      </w:r>
      <w:r>
        <w:rPr/>
        <w:t>10%以上（含</w:t>
      </w:r>
      <w:r>
        <w:rPr>
          <w:spacing w:val="-71"/>
        </w:rPr>
        <w:t> </w:t>
      </w:r>
      <w:r>
        <w:rPr/>
        <w:t>10%）法人股东。</w:t>
      </w:r>
    </w:p>
    <w:p>
      <w:pPr>
        <w:spacing w:line="240" w:lineRule="auto" w:before="10"/>
        <w:rPr>
          <w:rFonts w:ascii="宋体" w:hAnsi="宋体" w:cs="宋体" w:eastAsia="宋体" w:hint="default"/>
          <w:sz w:val="41"/>
          <w:szCs w:val="41"/>
        </w:rPr>
      </w:pPr>
    </w:p>
    <w:p>
      <w:pPr>
        <w:spacing w:before="0"/>
        <w:ind w:left="1358" w:right="1402" w:firstLine="0"/>
        <w:jc w:val="left"/>
        <w:rPr>
          <w:rFonts w:ascii="宋体" w:hAnsi="宋体" w:cs="宋体" w:eastAsia="宋体" w:hint="default"/>
          <w:sz w:val="32"/>
          <w:szCs w:val="32"/>
        </w:rPr>
      </w:pPr>
      <w:r>
        <w:rPr>
          <w:rFonts w:ascii="宋体" w:hAnsi="宋体" w:cs="宋体" w:eastAsia="宋体" w:hint="default"/>
          <w:sz w:val="32"/>
          <w:szCs w:val="32"/>
        </w:rPr>
        <w:t>四、董事、监事、高级管理人员和员工情况</w:t>
      </w:r>
    </w:p>
    <w:p>
      <w:pPr>
        <w:spacing w:line="240" w:lineRule="auto" w:before="12"/>
        <w:rPr>
          <w:rFonts w:ascii="宋体" w:hAnsi="宋体" w:cs="宋体" w:eastAsia="宋体" w:hint="default"/>
          <w:sz w:val="44"/>
          <w:szCs w:val="44"/>
        </w:rPr>
      </w:pPr>
    </w:p>
    <w:p>
      <w:pPr>
        <w:spacing w:before="0"/>
        <w:ind w:left="103" w:right="1402" w:firstLine="0"/>
        <w:jc w:val="left"/>
        <w:rPr>
          <w:rFonts w:ascii="宋体" w:hAnsi="宋体" w:cs="宋体" w:eastAsia="宋体" w:hint="default"/>
          <w:sz w:val="28"/>
          <w:szCs w:val="28"/>
        </w:rPr>
      </w:pPr>
      <w:r>
        <w:rPr>
          <w:rFonts w:ascii="宋体" w:hAnsi="宋体" w:cs="宋体" w:eastAsia="宋体" w:hint="default"/>
          <w:sz w:val="28"/>
          <w:szCs w:val="28"/>
        </w:rPr>
        <w:t>（一）现任董事、监事、高级管理人员情况</w:t>
      </w:r>
    </w:p>
    <w:p>
      <w:pPr>
        <w:spacing w:after="0"/>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10"/>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732"/>
        <w:gridCol w:w="1147"/>
        <w:gridCol w:w="386"/>
        <w:gridCol w:w="446"/>
        <w:gridCol w:w="1740"/>
        <w:gridCol w:w="600"/>
        <w:gridCol w:w="540"/>
        <w:gridCol w:w="540"/>
        <w:gridCol w:w="996"/>
        <w:gridCol w:w="720"/>
        <w:gridCol w:w="720"/>
        <w:gridCol w:w="540"/>
        <w:gridCol w:w="720"/>
        <w:gridCol w:w="1080"/>
      </w:tblGrid>
      <w:tr>
        <w:trPr>
          <w:trHeight w:val="463" w:hRule="exact"/>
        </w:trPr>
        <w:tc>
          <w:tcPr>
            <w:tcW w:w="73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42"/>
                <w:sz w:val="18"/>
                <w:szCs w:val="18"/>
              </w:rPr>
              <w:t> </w:t>
            </w:r>
            <w:r>
              <w:rPr>
                <w:rFonts w:ascii="宋体" w:hAnsi="宋体" w:cs="宋体" w:eastAsia="宋体" w:hint="default"/>
                <w:sz w:val="18"/>
                <w:szCs w:val="18"/>
              </w:rPr>
              <w:t>名</w:t>
            </w:r>
          </w:p>
        </w:tc>
        <w:tc>
          <w:tcPr>
            <w:tcW w:w="114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8"/>
                <w:sz w:val="18"/>
                <w:szCs w:val="18"/>
              </w:rPr>
              <w:t>职务</w:t>
            </w:r>
          </w:p>
        </w:tc>
        <w:tc>
          <w:tcPr>
            <w:tcW w:w="38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5" w:right="89"/>
              <w:jc w:val="left"/>
              <w:rPr>
                <w:rFonts w:ascii="宋体" w:hAnsi="宋体" w:cs="宋体" w:eastAsia="宋体" w:hint="default"/>
                <w:sz w:val="18"/>
                <w:szCs w:val="18"/>
              </w:rPr>
            </w:pPr>
            <w:r>
              <w:rPr>
                <w:rFonts w:ascii="宋体" w:hAnsi="宋体" w:cs="宋体" w:eastAsia="宋体" w:hint="default"/>
                <w:sz w:val="18"/>
                <w:szCs w:val="18"/>
              </w:rPr>
              <w:t>性 别</w:t>
            </w:r>
          </w:p>
        </w:tc>
        <w:tc>
          <w:tcPr>
            <w:tcW w:w="44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34" w:right="120"/>
              <w:jc w:val="left"/>
              <w:rPr>
                <w:rFonts w:ascii="宋体" w:hAnsi="宋体" w:cs="宋体" w:eastAsia="宋体" w:hint="default"/>
                <w:sz w:val="18"/>
                <w:szCs w:val="18"/>
              </w:rPr>
            </w:pPr>
            <w:r>
              <w:rPr>
                <w:rFonts w:ascii="宋体" w:hAnsi="宋体" w:cs="宋体" w:eastAsia="宋体" w:hint="default"/>
                <w:sz w:val="18"/>
                <w:szCs w:val="18"/>
              </w:rPr>
              <w:t>年 龄</w:t>
            </w:r>
          </w:p>
        </w:tc>
        <w:tc>
          <w:tcPr>
            <w:tcW w:w="17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pacing w:val="-14"/>
                <w:sz w:val="18"/>
                <w:szCs w:val="18"/>
              </w:rPr>
              <w:t>任期起止日期</w:t>
            </w:r>
          </w:p>
        </w:tc>
        <w:tc>
          <w:tcPr>
            <w:tcW w:w="60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6"/>
                <w:szCs w:val="16"/>
              </w:rPr>
            </w:pPr>
          </w:p>
          <w:p>
            <w:pPr>
              <w:pStyle w:val="TableParagraph"/>
              <w:spacing w:line="244" w:lineRule="auto"/>
              <w:ind w:left="153" w:right="113"/>
              <w:jc w:val="both"/>
              <w:rPr>
                <w:rFonts w:ascii="宋体" w:hAnsi="宋体" w:cs="宋体" w:eastAsia="宋体" w:hint="default"/>
                <w:sz w:val="18"/>
                <w:szCs w:val="18"/>
              </w:rPr>
            </w:pPr>
            <w:r>
              <w:rPr>
                <w:rFonts w:ascii="宋体" w:hAnsi="宋体" w:cs="宋体" w:eastAsia="宋体" w:hint="default"/>
                <w:spacing w:val="-20"/>
                <w:sz w:val="18"/>
                <w:szCs w:val="18"/>
              </w:rPr>
              <w:t>年初</w:t>
            </w:r>
            <w:r>
              <w:rPr>
                <w:rFonts w:ascii="宋体" w:hAnsi="宋体" w:cs="宋体" w:eastAsia="宋体" w:hint="default"/>
                <w:sz w:val="18"/>
                <w:szCs w:val="18"/>
              </w:rPr>
              <w:t> </w:t>
            </w:r>
            <w:r>
              <w:rPr>
                <w:rFonts w:ascii="宋体" w:hAnsi="宋体" w:cs="宋体" w:eastAsia="宋体" w:hint="default"/>
                <w:spacing w:val="-20"/>
                <w:sz w:val="18"/>
                <w:szCs w:val="18"/>
              </w:rPr>
              <w:t>持股</w:t>
            </w:r>
            <w:r>
              <w:rPr>
                <w:rFonts w:ascii="宋体" w:hAnsi="宋体" w:cs="宋体" w:eastAsia="宋体" w:hint="default"/>
                <w:sz w:val="18"/>
                <w:szCs w:val="18"/>
              </w:rPr>
              <w:t> 数</w:t>
            </w:r>
          </w:p>
        </w:tc>
        <w:tc>
          <w:tcPr>
            <w:tcW w:w="5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6"/>
                <w:szCs w:val="16"/>
              </w:rPr>
            </w:pPr>
          </w:p>
          <w:p>
            <w:pPr>
              <w:pStyle w:val="TableParagraph"/>
              <w:spacing w:line="244" w:lineRule="auto"/>
              <w:ind w:left="124" w:right="83"/>
              <w:jc w:val="both"/>
              <w:rPr>
                <w:rFonts w:ascii="宋体" w:hAnsi="宋体" w:cs="宋体" w:eastAsia="宋体" w:hint="default"/>
                <w:sz w:val="18"/>
                <w:szCs w:val="18"/>
              </w:rPr>
            </w:pPr>
            <w:r>
              <w:rPr>
                <w:rFonts w:ascii="宋体" w:hAnsi="宋体" w:cs="宋体" w:eastAsia="宋体" w:hint="default"/>
                <w:spacing w:val="-20"/>
                <w:sz w:val="18"/>
                <w:szCs w:val="18"/>
              </w:rPr>
              <w:t>年末</w:t>
            </w:r>
            <w:r>
              <w:rPr>
                <w:rFonts w:ascii="宋体" w:hAnsi="宋体" w:cs="宋体" w:eastAsia="宋体" w:hint="default"/>
                <w:sz w:val="18"/>
                <w:szCs w:val="18"/>
              </w:rPr>
              <w:t> </w:t>
            </w:r>
            <w:r>
              <w:rPr>
                <w:rFonts w:ascii="宋体" w:hAnsi="宋体" w:cs="宋体" w:eastAsia="宋体" w:hint="default"/>
                <w:spacing w:val="-20"/>
                <w:sz w:val="18"/>
                <w:szCs w:val="18"/>
              </w:rPr>
              <w:t>持股</w:t>
            </w:r>
            <w:r>
              <w:rPr>
                <w:rFonts w:ascii="宋体" w:hAnsi="宋体" w:cs="宋体" w:eastAsia="宋体" w:hint="default"/>
                <w:sz w:val="18"/>
                <w:szCs w:val="18"/>
              </w:rPr>
              <w:t> 数</w:t>
            </w:r>
          </w:p>
        </w:tc>
        <w:tc>
          <w:tcPr>
            <w:tcW w:w="5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22" w:right="84"/>
              <w:jc w:val="left"/>
              <w:rPr>
                <w:rFonts w:ascii="宋体" w:hAnsi="宋体" w:cs="宋体" w:eastAsia="宋体" w:hint="default"/>
                <w:sz w:val="18"/>
                <w:szCs w:val="18"/>
              </w:rPr>
            </w:pPr>
            <w:r>
              <w:rPr>
                <w:rFonts w:ascii="宋体" w:hAnsi="宋体" w:cs="宋体" w:eastAsia="宋体" w:hint="default"/>
                <w:spacing w:val="-20"/>
                <w:sz w:val="18"/>
                <w:szCs w:val="18"/>
              </w:rPr>
              <w:t>变动</w:t>
            </w:r>
            <w:r>
              <w:rPr>
                <w:rFonts w:ascii="宋体" w:hAnsi="宋体" w:cs="宋体" w:eastAsia="宋体" w:hint="default"/>
                <w:sz w:val="18"/>
                <w:szCs w:val="18"/>
              </w:rPr>
              <w:t> </w:t>
            </w:r>
            <w:r>
              <w:rPr>
                <w:rFonts w:ascii="宋体" w:hAnsi="宋体" w:cs="宋体" w:eastAsia="宋体" w:hint="default"/>
                <w:spacing w:val="-20"/>
                <w:sz w:val="18"/>
                <w:szCs w:val="18"/>
              </w:rPr>
              <w:t>原因</w:t>
            </w:r>
          </w:p>
        </w:tc>
        <w:tc>
          <w:tcPr>
            <w:tcW w:w="99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exact"/>
              <w:ind w:left="148" w:right="139"/>
              <w:jc w:val="center"/>
              <w:rPr>
                <w:rFonts w:ascii="宋体" w:hAnsi="宋体" w:cs="宋体" w:eastAsia="宋体" w:hint="default"/>
                <w:sz w:val="18"/>
                <w:szCs w:val="18"/>
              </w:rPr>
            </w:pPr>
            <w:r>
              <w:rPr>
                <w:rFonts w:ascii="宋体" w:hAnsi="宋体" w:cs="宋体" w:eastAsia="宋体" w:hint="default"/>
                <w:spacing w:val="-7"/>
                <w:sz w:val="18"/>
                <w:szCs w:val="18"/>
              </w:rPr>
              <w:t>报告期内</w:t>
            </w:r>
            <w:r>
              <w:rPr>
                <w:rFonts w:ascii="宋体" w:hAnsi="宋体" w:cs="宋体" w:eastAsia="宋体" w:hint="default"/>
                <w:sz w:val="18"/>
                <w:szCs w:val="18"/>
              </w:rPr>
              <w:t> </w:t>
            </w:r>
            <w:r>
              <w:rPr>
                <w:rFonts w:ascii="宋体" w:hAnsi="宋体" w:cs="宋体" w:eastAsia="宋体" w:hint="default"/>
                <w:spacing w:val="-7"/>
                <w:sz w:val="18"/>
                <w:szCs w:val="18"/>
              </w:rPr>
              <w:t>从公司领</w:t>
            </w:r>
            <w:r>
              <w:rPr>
                <w:rFonts w:ascii="宋体" w:hAnsi="宋体" w:cs="宋体" w:eastAsia="宋体" w:hint="default"/>
                <w:sz w:val="18"/>
                <w:szCs w:val="18"/>
              </w:rPr>
              <w:t> </w:t>
            </w:r>
            <w:r>
              <w:rPr>
                <w:rFonts w:ascii="宋体" w:hAnsi="宋体" w:cs="宋体" w:eastAsia="宋体" w:hint="default"/>
                <w:spacing w:val="-7"/>
                <w:sz w:val="18"/>
                <w:szCs w:val="18"/>
              </w:rPr>
              <w:t>取的报酬</w:t>
            </w:r>
            <w:r>
              <w:rPr>
                <w:rFonts w:ascii="宋体" w:hAnsi="宋体" w:cs="宋体" w:eastAsia="宋体" w:hint="default"/>
                <w:sz w:val="18"/>
                <w:szCs w:val="18"/>
              </w:rPr>
              <w:t> </w:t>
            </w:r>
            <w:r>
              <w:rPr>
                <w:rFonts w:ascii="宋体" w:hAnsi="宋体" w:cs="宋体" w:eastAsia="宋体" w:hint="default"/>
                <w:spacing w:val="-5"/>
                <w:sz w:val="18"/>
                <w:szCs w:val="18"/>
              </w:rPr>
              <w:t>总额</w:t>
            </w:r>
            <w:r>
              <w:rPr>
                <w:rFonts w:ascii="宋体" w:hAnsi="宋体" w:cs="宋体" w:eastAsia="宋体" w:hint="default"/>
                <w:sz w:val="18"/>
                <w:szCs w:val="18"/>
              </w:rPr>
              <w:t> </w:t>
            </w:r>
            <w:r>
              <w:rPr>
                <w:rFonts w:ascii="宋体" w:hAnsi="宋体" w:cs="宋体" w:eastAsia="宋体" w:hint="default"/>
                <w:spacing w:val="-6"/>
                <w:sz w:val="18"/>
                <w:szCs w:val="18"/>
              </w:rPr>
              <w:t>(万元)</w:t>
            </w:r>
          </w:p>
        </w:tc>
        <w:tc>
          <w:tcPr>
            <w:tcW w:w="2700"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pacing w:val="-16"/>
                <w:sz w:val="18"/>
                <w:szCs w:val="18"/>
              </w:rPr>
              <w:t>报告期被授予的股权激励情况</w:t>
            </w:r>
          </w:p>
        </w:tc>
        <w:tc>
          <w:tcPr>
            <w:tcW w:w="1080" w:type="dxa"/>
            <w:vMerge w:val="restart"/>
            <w:tcBorders>
              <w:top w:val="single" w:sz="4" w:space="0" w:color="000000"/>
              <w:left w:val="single" w:sz="4" w:space="0" w:color="000000"/>
              <w:right w:val="single" w:sz="4" w:space="0" w:color="000000"/>
            </w:tcBorders>
            <w:shd w:val="clear" w:color="auto" w:fill="E6E6E6"/>
          </w:tcPr>
          <w:p>
            <w:pPr>
              <w:pStyle w:val="TableParagraph"/>
              <w:spacing w:line="244" w:lineRule="auto" w:before="97"/>
              <w:ind w:left="124" w:right="105" w:hanging="1"/>
              <w:jc w:val="center"/>
              <w:rPr>
                <w:rFonts w:ascii="宋体" w:hAnsi="宋体" w:cs="宋体" w:eastAsia="宋体" w:hint="default"/>
                <w:sz w:val="18"/>
                <w:szCs w:val="18"/>
              </w:rPr>
            </w:pPr>
            <w:r>
              <w:rPr>
                <w:rFonts w:ascii="宋体" w:hAnsi="宋体" w:cs="宋体" w:eastAsia="宋体" w:hint="default"/>
                <w:spacing w:val="-13"/>
                <w:sz w:val="18"/>
                <w:szCs w:val="18"/>
              </w:rPr>
              <w:t>是否在股东</w:t>
            </w:r>
            <w:r>
              <w:rPr>
                <w:rFonts w:ascii="宋体" w:hAnsi="宋体" w:cs="宋体" w:eastAsia="宋体" w:hint="default"/>
                <w:sz w:val="18"/>
                <w:szCs w:val="18"/>
              </w:rPr>
              <w:t> </w:t>
            </w:r>
            <w:r>
              <w:rPr>
                <w:rFonts w:ascii="宋体" w:hAnsi="宋体" w:cs="宋体" w:eastAsia="宋体" w:hint="default"/>
                <w:spacing w:val="-13"/>
                <w:sz w:val="18"/>
                <w:szCs w:val="18"/>
              </w:rPr>
              <w:t>单位或其他</w:t>
            </w:r>
            <w:r>
              <w:rPr>
                <w:rFonts w:ascii="宋体" w:hAnsi="宋体" w:cs="宋体" w:eastAsia="宋体" w:hint="default"/>
                <w:sz w:val="18"/>
                <w:szCs w:val="18"/>
              </w:rPr>
              <w:t> </w:t>
            </w:r>
            <w:r>
              <w:rPr>
                <w:rFonts w:ascii="宋体" w:hAnsi="宋体" w:cs="宋体" w:eastAsia="宋体" w:hint="default"/>
                <w:spacing w:val="-13"/>
                <w:sz w:val="18"/>
                <w:szCs w:val="18"/>
              </w:rPr>
              <w:t>关联单位</w:t>
            </w:r>
            <w:r>
              <w:rPr>
                <w:rFonts w:ascii="宋体" w:hAnsi="宋体" w:cs="宋体" w:eastAsia="宋体" w:hint="default"/>
                <w:sz w:val="18"/>
                <w:szCs w:val="18"/>
              </w:rPr>
              <w:t> </w:t>
            </w:r>
            <w:r>
              <w:rPr>
                <w:rFonts w:ascii="宋体" w:hAnsi="宋体" w:cs="宋体" w:eastAsia="宋体" w:hint="default"/>
                <w:spacing w:val="-13"/>
                <w:sz w:val="18"/>
                <w:szCs w:val="18"/>
              </w:rPr>
              <w:t>领取薪酬</w:t>
            </w:r>
          </w:p>
        </w:tc>
      </w:tr>
      <w:tr>
        <w:trPr>
          <w:trHeight w:val="746" w:hRule="exact"/>
        </w:trPr>
        <w:tc>
          <w:tcPr>
            <w:tcW w:w="732" w:type="dxa"/>
            <w:vMerge/>
            <w:tcBorders>
              <w:left w:val="single" w:sz="4" w:space="0" w:color="000000"/>
              <w:bottom w:val="single" w:sz="4" w:space="0" w:color="000000"/>
              <w:right w:val="single" w:sz="4" w:space="0" w:color="000000"/>
            </w:tcBorders>
            <w:shd w:val="clear" w:color="auto" w:fill="E6E6E6"/>
          </w:tcPr>
          <w:p>
            <w:pPr/>
          </w:p>
        </w:tc>
        <w:tc>
          <w:tcPr>
            <w:tcW w:w="1147" w:type="dxa"/>
            <w:vMerge/>
            <w:tcBorders>
              <w:left w:val="single" w:sz="4" w:space="0" w:color="000000"/>
              <w:bottom w:val="single" w:sz="4" w:space="0" w:color="000000"/>
              <w:right w:val="single" w:sz="4" w:space="0" w:color="000000"/>
            </w:tcBorders>
            <w:shd w:val="clear" w:color="auto" w:fill="E6E6E6"/>
          </w:tcPr>
          <w:p>
            <w:pPr/>
          </w:p>
        </w:tc>
        <w:tc>
          <w:tcPr>
            <w:tcW w:w="386" w:type="dxa"/>
            <w:vMerge/>
            <w:tcBorders>
              <w:left w:val="single" w:sz="4" w:space="0" w:color="000000"/>
              <w:bottom w:val="single" w:sz="4" w:space="0" w:color="000000"/>
              <w:right w:val="single" w:sz="4" w:space="0" w:color="000000"/>
            </w:tcBorders>
            <w:shd w:val="clear" w:color="auto" w:fill="E6E6E6"/>
          </w:tcPr>
          <w:p>
            <w:pPr/>
          </w:p>
        </w:tc>
        <w:tc>
          <w:tcPr>
            <w:tcW w:w="446" w:type="dxa"/>
            <w:vMerge/>
            <w:tcBorders>
              <w:left w:val="single" w:sz="4" w:space="0" w:color="000000"/>
              <w:bottom w:val="single" w:sz="4" w:space="0" w:color="000000"/>
              <w:right w:val="single" w:sz="4" w:space="0" w:color="000000"/>
            </w:tcBorders>
            <w:shd w:val="clear" w:color="auto" w:fill="E6E6E6"/>
          </w:tcPr>
          <w:p>
            <w:pPr/>
          </w:p>
        </w:tc>
        <w:tc>
          <w:tcPr>
            <w:tcW w:w="1740" w:type="dxa"/>
            <w:vMerge/>
            <w:tcBorders>
              <w:left w:val="single" w:sz="4" w:space="0" w:color="000000"/>
              <w:bottom w:val="single" w:sz="4" w:space="0" w:color="000000"/>
              <w:right w:val="single" w:sz="4" w:space="0" w:color="000000"/>
            </w:tcBorders>
            <w:shd w:val="clear" w:color="auto" w:fill="E6E6E6"/>
          </w:tcPr>
          <w:p>
            <w:pPr/>
          </w:p>
        </w:tc>
        <w:tc>
          <w:tcPr>
            <w:tcW w:w="600" w:type="dxa"/>
            <w:vMerge/>
            <w:tcBorders>
              <w:left w:val="single" w:sz="4" w:space="0" w:color="000000"/>
              <w:bottom w:val="single" w:sz="4" w:space="0" w:color="000000"/>
              <w:right w:val="single" w:sz="4" w:space="0" w:color="000000"/>
            </w:tcBorders>
            <w:shd w:val="clear" w:color="auto" w:fill="E6E6E6"/>
          </w:tcPr>
          <w:p>
            <w:pPr/>
          </w:p>
        </w:tc>
        <w:tc>
          <w:tcPr>
            <w:tcW w:w="540" w:type="dxa"/>
            <w:vMerge/>
            <w:tcBorders>
              <w:left w:val="single" w:sz="4" w:space="0" w:color="000000"/>
              <w:bottom w:val="single" w:sz="4" w:space="0" w:color="000000"/>
              <w:right w:val="single" w:sz="4" w:space="0" w:color="000000"/>
            </w:tcBorders>
            <w:shd w:val="clear" w:color="auto" w:fill="E6E6E6"/>
          </w:tcPr>
          <w:p>
            <w:pPr/>
          </w:p>
        </w:tc>
        <w:tc>
          <w:tcPr>
            <w:tcW w:w="540" w:type="dxa"/>
            <w:vMerge/>
            <w:tcBorders>
              <w:left w:val="single" w:sz="4" w:space="0" w:color="000000"/>
              <w:bottom w:val="single" w:sz="4" w:space="0" w:color="000000"/>
              <w:right w:val="single" w:sz="4" w:space="0" w:color="000000"/>
            </w:tcBorders>
            <w:shd w:val="clear" w:color="auto" w:fill="E6E6E6"/>
          </w:tcPr>
          <w:p>
            <w:pPr/>
          </w:p>
        </w:tc>
        <w:tc>
          <w:tcPr>
            <w:tcW w:w="996" w:type="dxa"/>
            <w:vMerge/>
            <w:tcBorders>
              <w:left w:val="single" w:sz="4" w:space="0" w:color="000000"/>
              <w:bottom w:val="single" w:sz="4" w:space="0" w:color="000000"/>
              <w:right w:val="single" w:sz="4" w:space="0" w:color="000000"/>
            </w:tcBorders>
            <w:shd w:val="clear" w:color="auto" w:fill="E6E6E6"/>
          </w:tcPr>
          <w:p>
            <w:pP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09"/>
              <w:ind w:left="213" w:right="103" w:hanging="70"/>
              <w:jc w:val="left"/>
              <w:rPr>
                <w:rFonts w:ascii="宋体" w:hAnsi="宋体" w:cs="宋体" w:eastAsia="宋体" w:hint="default"/>
                <w:sz w:val="18"/>
                <w:szCs w:val="18"/>
              </w:rPr>
            </w:pPr>
            <w:r>
              <w:rPr>
                <w:rFonts w:ascii="宋体" w:hAnsi="宋体" w:cs="宋体" w:eastAsia="宋体" w:hint="default"/>
                <w:spacing w:val="-27"/>
                <w:sz w:val="18"/>
                <w:szCs w:val="18"/>
              </w:rPr>
              <w:t>可行权</w:t>
            </w:r>
            <w:r>
              <w:rPr>
                <w:rFonts w:ascii="宋体" w:hAnsi="宋体" w:cs="宋体" w:eastAsia="宋体" w:hint="default"/>
                <w:sz w:val="18"/>
                <w:szCs w:val="18"/>
              </w:rPr>
              <w:t> </w:t>
            </w:r>
            <w:r>
              <w:rPr>
                <w:rFonts w:ascii="宋体" w:hAnsi="宋体" w:cs="宋体" w:eastAsia="宋体" w:hint="default"/>
                <w:spacing w:val="-20"/>
                <w:sz w:val="18"/>
                <w:szCs w:val="18"/>
              </w:rPr>
              <w:t>股数</w:t>
            </w: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09"/>
              <w:ind w:left="213" w:right="103" w:hanging="70"/>
              <w:jc w:val="left"/>
              <w:rPr>
                <w:rFonts w:ascii="宋体" w:hAnsi="宋体" w:cs="宋体" w:eastAsia="宋体" w:hint="default"/>
                <w:sz w:val="18"/>
                <w:szCs w:val="18"/>
              </w:rPr>
            </w:pPr>
            <w:r>
              <w:rPr>
                <w:rFonts w:ascii="宋体" w:hAnsi="宋体" w:cs="宋体" w:eastAsia="宋体" w:hint="default"/>
                <w:spacing w:val="-27"/>
                <w:sz w:val="18"/>
                <w:szCs w:val="18"/>
              </w:rPr>
              <w:t>已行权</w:t>
            </w:r>
            <w:r>
              <w:rPr>
                <w:rFonts w:ascii="宋体" w:hAnsi="宋体" w:cs="宋体" w:eastAsia="宋体" w:hint="default"/>
                <w:sz w:val="18"/>
                <w:szCs w:val="18"/>
              </w:rPr>
              <w:t> </w:t>
            </w:r>
            <w:r>
              <w:rPr>
                <w:rFonts w:ascii="宋体" w:hAnsi="宋体" w:cs="宋体" w:eastAsia="宋体" w:hint="default"/>
                <w:spacing w:val="-20"/>
                <w:sz w:val="18"/>
                <w:szCs w:val="18"/>
              </w:rPr>
              <w:t>数量</w:t>
            </w:r>
          </w:p>
        </w:tc>
        <w:tc>
          <w:tcPr>
            <w:tcW w:w="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09"/>
              <w:ind w:left="194" w:right="83" w:hanging="70"/>
              <w:jc w:val="left"/>
              <w:rPr>
                <w:rFonts w:ascii="宋体" w:hAnsi="宋体" w:cs="宋体" w:eastAsia="宋体" w:hint="default"/>
                <w:sz w:val="18"/>
                <w:szCs w:val="18"/>
              </w:rPr>
            </w:pPr>
            <w:r>
              <w:rPr>
                <w:rFonts w:ascii="宋体" w:hAnsi="宋体" w:cs="宋体" w:eastAsia="宋体" w:hint="default"/>
                <w:spacing w:val="-20"/>
                <w:sz w:val="18"/>
                <w:szCs w:val="18"/>
              </w:rPr>
              <w:t>行权</w:t>
            </w:r>
            <w:r>
              <w:rPr>
                <w:rFonts w:ascii="宋体" w:hAnsi="宋体" w:cs="宋体" w:eastAsia="宋体" w:hint="default"/>
                <w:sz w:val="18"/>
                <w:szCs w:val="18"/>
              </w:rPr>
              <w:t> 价</w:t>
            </w:r>
          </w:p>
        </w:tc>
        <w:tc>
          <w:tcPr>
            <w:tcW w:w="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09"/>
              <w:ind w:left="143" w:right="103"/>
              <w:jc w:val="left"/>
              <w:rPr>
                <w:rFonts w:ascii="宋体" w:hAnsi="宋体" w:cs="宋体" w:eastAsia="宋体" w:hint="default"/>
                <w:sz w:val="18"/>
                <w:szCs w:val="18"/>
              </w:rPr>
            </w:pPr>
            <w:r>
              <w:rPr>
                <w:rFonts w:ascii="宋体" w:hAnsi="宋体" w:cs="宋体" w:eastAsia="宋体" w:hint="default"/>
                <w:spacing w:val="-27"/>
                <w:sz w:val="18"/>
                <w:szCs w:val="18"/>
              </w:rPr>
              <w:t>期末股</w:t>
            </w:r>
            <w:r>
              <w:rPr>
                <w:rFonts w:ascii="宋体" w:hAnsi="宋体" w:cs="宋体" w:eastAsia="宋体" w:hint="default"/>
                <w:sz w:val="18"/>
                <w:szCs w:val="18"/>
              </w:rPr>
              <w:t> </w:t>
            </w:r>
            <w:r>
              <w:rPr>
                <w:rFonts w:ascii="宋体" w:hAnsi="宋体" w:cs="宋体" w:eastAsia="宋体" w:hint="default"/>
                <w:spacing w:val="-27"/>
                <w:sz w:val="18"/>
                <w:szCs w:val="18"/>
              </w:rPr>
              <w:t>票市价</w:t>
            </w:r>
          </w:p>
        </w:tc>
        <w:tc>
          <w:tcPr>
            <w:tcW w:w="1080" w:type="dxa"/>
            <w:vMerge/>
            <w:tcBorders>
              <w:left w:val="single" w:sz="4" w:space="0" w:color="000000"/>
              <w:bottom w:val="single" w:sz="4" w:space="0" w:color="000000"/>
              <w:right w:val="single" w:sz="4" w:space="0" w:color="000000"/>
            </w:tcBorders>
            <w:shd w:val="clear" w:color="auto" w:fill="E6E6E6"/>
          </w:tcPr>
          <w:p>
            <w:pPr/>
          </w:p>
        </w:tc>
      </w:tr>
      <w:tr>
        <w:trPr>
          <w:trHeight w:val="4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1"/>
                <w:sz w:val="18"/>
                <w:szCs w:val="18"/>
              </w:rPr>
              <w:t>许环曜</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1"/>
                <w:sz w:val="18"/>
                <w:szCs w:val="18"/>
              </w:rPr>
              <w:t>董事长</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5"/>
                <w:sz w:val="18"/>
              </w:rPr>
              <w:t>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pacing w:val="-20"/>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1"/>
              <w:jc w:val="right"/>
              <w:rPr>
                <w:rFonts w:ascii="宋体" w:hAnsi="宋体" w:cs="宋体" w:eastAsia="宋体" w:hint="default"/>
                <w:sz w:val="18"/>
                <w:szCs w:val="18"/>
              </w:rPr>
            </w:pPr>
            <w:r>
              <w:rPr>
                <w:rFonts w:ascii="宋体"/>
                <w:sz w:val="18"/>
              </w:rPr>
              <w:t>28.61</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pacing w:val="-8"/>
                <w:sz w:val="18"/>
                <w:szCs w:val="18"/>
              </w:rPr>
              <w:t>李智</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1" w:right="305" w:firstLine="81"/>
              <w:jc w:val="left"/>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1"/>
                <w:sz w:val="18"/>
                <w:szCs w:val="18"/>
              </w:rPr>
              <w:t>总经理</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pacing w:val="-5"/>
                <w:sz w:val="18"/>
              </w:rPr>
              <w:t>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spacing w:val="-20"/>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1"/>
              <w:jc w:val="right"/>
              <w:rPr>
                <w:rFonts w:ascii="宋体" w:hAnsi="宋体" w:cs="宋体" w:eastAsia="宋体" w:hint="default"/>
                <w:sz w:val="18"/>
                <w:szCs w:val="18"/>
              </w:rPr>
            </w:pPr>
            <w:r>
              <w:rPr>
                <w:rFonts w:ascii="宋体"/>
                <w:sz w:val="18"/>
              </w:rPr>
              <w:t>27.71</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pacing w:val="-8"/>
                <w:sz w:val="18"/>
                <w:szCs w:val="18"/>
              </w:rPr>
              <w:t>杜杰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223" w:firstLine="163"/>
              <w:jc w:val="left"/>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3"/>
                <w:sz w:val="18"/>
                <w:szCs w:val="18"/>
              </w:rPr>
              <w:t>副总经理</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pacing w:val="-5"/>
                <w:sz w:val="18"/>
              </w:rPr>
              <w:t>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spacing w:val="-20"/>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1"/>
              <w:jc w:val="right"/>
              <w:rPr>
                <w:rFonts w:ascii="宋体" w:hAnsi="宋体" w:cs="宋体" w:eastAsia="宋体" w:hint="default"/>
                <w:sz w:val="18"/>
                <w:szCs w:val="18"/>
              </w:rPr>
            </w:pPr>
            <w:r>
              <w:rPr>
                <w:rFonts w:ascii="宋体"/>
                <w:sz w:val="18"/>
              </w:rPr>
              <w:t>26.93</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pacing w:val="-11"/>
                <w:sz w:val="18"/>
                <w:szCs w:val="18"/>
              </w:rPr>
              <w:t>赵润涛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139" w:firstLine="244"/>
              <w:jc w:val="left"/>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3"/>
                <w:sz w:val="18"/>
                <w:szCs w:val="18"/>
              </w:rPr>
              <w:t>董事会秘书</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18"/>
                <w:szCs w:val="18"/>
              </w:rPr>
            </w:pPr>
            <w:r>
              <w:rPr>
                <w:rFonts w:ascii="宋体"/>
                <w:spacing w:val="-5"/>
                <w:sz w:val="18"/>
              </w:rPr>
              <w:t>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1"/>
              <w:jc w:val="right"/>
              <w:rPr>
                <w:rFonts w:ascii="宋体" w:hAnsi="宋体" w:cs="宋体" w:eastAsia="宋体" w:hint="default"/>
                <w:sz w:val="18"/>
                <w:szCs w:val="18"/>
              </w:rPr>
            </w:pPr>
            <w:r>
              <w:rPr>
                <w:rFonts w:ascii="宋体"/>
                <w:sz w:val="18"/>
              </w:rPr>
              <w:t>16.45</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1"/>
                <w:sz w:val="18"/>
                <w:szCs w:val="18"/>
              </w:rPr>
              <w:t>卫建国</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5"/>
                <w:sz w:val="18"/>
              </w:rPr>
              <w:t>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3"/>
              <w:jc w:val="right"/>
              <w:rPr>
                <w:rFonts w:ascii="宋体" w:hAnsi="宋体" w:cs="宋体" w:eastAsia="宋体" w:hint="default"/>
                <w:sz w:val="18"/>
                <w:szCs w:val="18"/>
              </w:rPr>
            </w:pPr>
            <w:r>
              <w:rPr>
                <w:rFonts w:ascii="宋体"/>
                <w:sz w:val="18"/>
              </w:rPr>
              <w:t>8.85</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42"/>
                <w:sz w:val="18"/>
                <w:szCs w:val="18"/>
              </w:rPr>
              <w:t> </w:t>
            </w:r>
            <w:r>
              <w:rPr>
                <w:rFonts w:ascii="宋体" w:hAnsi="宋体" w:cs="宋体" w:eastAsia="宋体" w:hint="default"/>
                <w:sz w:val="18"/>
                <w:szCs w:val="18"/>
              </w:rPr>
              <w:t>珺</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5"/>
                <w:sz w:val="18"/>
              </w:rPr>
              <w:t>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spacing w:val="-19"/>
                <w:sz w:val="18"/>
              </w:rPr>
              <w:t>2009.06.05</w:t>
            </w:r>
            <w:r>
              <w:rPr>
                <w:rFonts w:ascii="宋体"/>
                <w:spacing w:val="-46"/>
                <w:sz w:val="18"/>
              </w:rPr>
              <w:t> </w:t>
            </w:r>
            <w:r>
              <w:rPr>
                <w:rFonts w:ascii="宋体"/>
                <w:spacing w:val="-19"/>
                <w:sz w:val="18"/>
              </w:rPr>
              <w:t>-2012.06.05</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3"/>
              <w:jc w:val="right"/>
              <w:rPr>
                <w:rFonts w:ascii="宋体" w:hAnsi="宋体" w:cs="宋体" w:eastAsia="宋体" w:hint="default"/>
                <w:sz w:val="18"/>
                <w:szCs w:val="18"/>
              </w:rPr>
            </w:pPr>
            <w:r>
              <w:rPr>
                <w:rFonts w:ascii="宋体"/>
                <w:sz w:val="18"/>
              </w:rPr>
              <w:t>8.85</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1"/>
                <w:sz w:val="18"/>
                <w:szCs w:val="18"/>
              </w:rPr>
              <w:t>李新春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5"/>
                <w:sz w:val="18"/>
              </w:rPr>
              <w:t>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3"/>
              <w:jc w:val="right"/>
              <w:rPr>
                <w:rFonts w:ascii="宋体" w:hAnsi="宋体" w:cs="宋体" w:eastAsia="宋体" w:hint="default"/>
                <w:sz w:val="18"/>
                <w:szCs w:val="18"/>
              </w:rPr>
            </w:pPr>
            <w:r>
              <w:rPr>
                <w:rFonts w:ascii="宋体"/>
                <w:sz w:val="18"/>
              </w:rPr>
              <w:t>8.85</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42"/>
                <w:sz w:val="18"/>
                <w:szCs w:val="18"/>
              </w:rPr>
              <w:t> </w:t>
            </w:r>
            <w:r>
              <w:rPr>
                <w:rFonts w:ascii="宋体" w:hAnsi="宋体" w:cs="宋体" w:eastAsia="宋体" w:hint="default"/>
                <w:sz w:val="18"/>
                <w:szCs w:val="18"/>
              </w:rPr>
              <w:t>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pacing w:val="-13"/>
                <w:sz w:val="18"/>
                <w:szCs w:val="18"/>
              </w:rPr>
              <w:t>监事会主席</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5"/>
                <w:sz w:val="18"/>
              </w:rPr>
              <w:t>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11.50</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1"/>
                <w:sz w:val="18"/>
                <w:szCs w:val="18"/>
              </w:rPr>
              <w:t>侯燕玲</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5"/>
                <w:sz w:val="18"/>
              </w:rPr>
              <w:t>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pacing w:val="-20"/>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0</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1"/>
                <w:sz w:val="18"/>
                <w:szCs w:val="18"/>
              </w:rPr>
              <w:t>陈惠芳</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5"/>
                <w:sz w:val="18"/>
              </w:rPr>
              <w:t>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pacing w:val="-20"/>
                <w:sz w:val="18"/>
              </w:rPr>
              <w:t>2009.11.11-2012.11.11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0</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11"/>
                <w:sz w:val="18"/>
                <w:szCs w:val="18"/>
              </w:rPr>
              <w:t>陈凤林</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pacing w:val="-13"/>
                <w:sz w:val="18"/>
                <w:szCs w:val="18"/>
              </w:rPr>
              <w:t>财务负责人</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pacing w:val="-5"/>
                <w:sz w:val="18"/>
              </w:rPr>
              <w:t>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pacing w:val="-20"/>
                <w:sz w:val="18"/>
              </w:rPr>
              <w:t>2010.09.16-2012.11.11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1"/>
              <w:jc w:val="right"/>
              <w:rPr>
                <w:rFonts w:ascii="宋体" w:hAnsi="宋体" w:cs="宋体" w:eastAsia="宋体" w:hint="default"/>
                <w:sz w:val="18"/>
                <w:szCs w:val="18"/>
              </w:rPr>
            </w:pPr>
            <w:r>
              <w:rPr>
                <w:rFonts w:ascii="宋体"/>
                <w:sz w:val="18"/>
              </w:rPr>
              <w:t>16.95</w:t>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3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pacing w:val="-8"/>
                <w:sz w:val="18"/>
                <w:szCs w:val="18"/>
              </w:rPr>
              <w:t>合计</w:t>
            </w:r>
          </w:p>
        </w:tc>
        <w:tc>
          <w:tcPr>
            <w:tcW w:w="114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8" w:right="0"/>
              <w:jc w:val="center"/>
              <w:rPr>
                <w:rFonts w:ascii="宋体" w:hAnsi="宋体" w:cs="宋体" w:eastAsia="宋体" w:hint="default"/>
                <w:sz w:val="18"/>
                <w:szCs w:val="18"/>
              </w:rPr>
            </w:pPr>
            <w:r>
              <w:rPr>
                <w:rFonts w:ascii="宋体"/>
                <w:sz w:val="18"/>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6" w:right="0"/>
              <w:jc w:val="left"/>
              <w:rPr>
                <w:rFonts w:ascii="宋体" w:hAnsi="宋体" w:cs="宋体" w:eastAsia="宋体" w:hint="default"/>
                <w:sz w:val="18"/>
                <w:szCs w:val="18"/>
              </w:rPr>
            </w:pPr>
            <w:r>
              <w:rPr>
                <w:rFonts w:ascii="宋体"/>
                <w:sz w:val="18"/>
              </w:rPr>
              <w:t>-</w:t>
            </w:r>
          </w:p>
        </w:tc>
        <w:tc>
          <w:tcPr>
            <w:tcW w:w="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3" w:right="0"/>
              <w:jc w:val="center"/>
              <w:rPr>
                <w:rFonts w:ascii="宋体" w:hAnsi="宋体" w:cs="宋体" w:eastAsia="宋体" w:hint="default"/>
                <w:sz w:val="18"/>
                <w:szCs w:val="18"/>
              </w:rPr>
            </w:pPr>
            <w:r>
              <w:rPr>
                <w:rFonts w:ascii="宋体"/>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5" w:right="0"/>
              <w:jc w:val="center"/>
              <w:rPr>
                <w:rFonts w:ascii="宋体" w:hAnsi="宋体" w:cs="宋体" w:eastAsia="宋体" w:hint="default"/>
                <w:sz w:val="18"/>
                <w:szCs w:val="18"/>
              </w:rPr>
            </w:pPr>
            <w:r>
              <w:rPr>
                <w:rFonts w:ascii="宋体"/>
                <w:sz w:val="18"/>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5" w:right="0"/>
              <w:jc w:val="center"/>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spacing w:val="-1"/>
                <w:sz w:val="18"/>
              </w:rPr>
              <w:t>154.70</w:t>
            </w:r>
          </w:p>
        </w:tc>
        <w:tc>
          <w:tcPr>
            <w:tcW w:w="2700" w:type="dxa"/>
            <w:gridSpan w:val="4"/>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3"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302" w:lineRule="auto"/>
        <w:ind w:left="1263" w:right="842"/>
        <w:jc w:val="left"/>
      </w:pPr>
      <w:r>
        <w:rPr/>
        <w:pict>
          <v:shape style="position:absolute;margin-left:122.018257pt;margin-top:-47.556957pt;width:18.901974pt;height:22.875pt;mso-position-horizontal-relative:page;mso-position-vertical-relative:paragraph;z-index:1360" type="#_x0000_t75" stroked="false">
            <v:imagedata r:id="rId14" o:title=""/>
          </v:shape>
        </w:pict>
      </w:r>
      <w:r>
        <w:rPr/>
        <w:pict>
          <v:shape style="position:absolute;margin-left:103.08847pt;margin-top:-39.530163pt;width:392.95pt;height:64.3pt;mso-position-horizontal-relative:page;mso-position-vertical-relative:paragraph;z-index:-555832;rotation:315" type="#_x0000_t136" fillcolor="#e0e0e0" stroked="f">
            <o:extrusion v:ext="view" autorotationcenter="t"/>
            <v:textpath style="font-family:&amp;quot;Arial&amp;quot;;font-size:64pt;v-text-kern:t;mso-text-shadow:auto" string="UnRegistered"/>
            <w10:wrap type="none"/>
          </v:shape>
        </w:pict>
      </w:r>
      <w:r>
        <w:rPr>
          <w:spacing w:val="-3"/>
        </w:rPr>
        <w:t>（二）现任董事、监事、高级管理人员最近五年主要工作经历和在股东</w:t>
      </w:r>
      <w:r>
        <w:rPr>
          <w:spacing w:val="-116"/>
        </w:rPr>
        <w:t> </w:t>
      </w:r>
      <w:r>
        <w:rPr>
          <w:spacing w:val="-116"/>
        </w:rPr>
      </w:r>
      <w:r>
        <w:rPr/>
        <w:t>单位及其他单位任职或兼职情况</w:t>
      </w:r>
      <w:r>
        <w:rPr>
          <w:w w:val="100"/>
        </w:rPr>
        <w:t> </w:t>
      </w:r>
      <w:r>
        <w:rPr/>
        <w:t>1、许环曜：公司董事长，未在股东单位或其他单位任职或兼职。</w:t>
      </w:r>
    </w:p>
    <w:p>
      <w:pPr>
        <w:spacing w:before="19"/>
        <w:ind w:left="1263" w:right="842" w:firstLine="0"/>
        <w:jc w:val="left"/>
        <w:rPr>
          <w:rFonts w:ascii="宋体" w:hAnsi="宋体" w:cs="宋体" w:eastAsia="宋体" w:hint="default"/>
          <w:sz w:val="28"/>
          <w:szCs w:val="28"/>
        </w:rPr>
      </w:pPr>
      <w:r>
        <w:rPr>
          <w:rFonts w:ascii="宋体" w:hAnsi="宋体" w:cs="宋体" w:eastAsia="宋体" w:hint="default"/>
          <w:sz w:val="28"/>
          <w:szCs w:val="28"/>
        </w:rPr>
        <w:t>2、李智：公司董事兼总经理，未在股东单位或其他单位任职或兼职。</w:t>
      </w:r>
    </w:p>
    <w:p>
      <w:pPr>
        <w:spacing w:before="94"/>
        <w:ind w:left="1263" w:right="842" w:firstLine="0"/>
        <w:jc w:val="left"/>
        <w:rPr>
          <w:rFonts w:ascii="宋体" w:hAnsi="宋体" w:cs="宋体" w:eastAsia="宋体" w:hint="default"/>
          <w:sz w:val="28"/>
          <w:szCs w:val="28"/>
        </w:rPr>
      </w:pPr>
      <w:r>
        <w:rPr>
          <w:rFonts w:ascii="宋体" w:hAnsi="宋体" w:cs="宋体" w:eastAsia="宋体" w:hint="default"/>
          <w:spacing w:val="-3"/>
          <w:sz w:val="28"/>
          <w:szCs w:val="28"/>
        </w:rPr>
        <w:t>3、杜杰：公司董事兼副总经理，未在股东单位或其他单位任职或兼职。</w:t>
      </w:r>
    </w:p>
    <w:p>
      <w:pPr>
        <w:spacing w:line="302" w:lineRule="auto" w:before="94"/>
        <w:ind w:left="1263" w:right="842" w:firstLine="0"/>
        <w:jc w:val="left"/>
        <w:rPr>
          <w:rFonts w:ascii="宋体" w:hAnsi="宋体" w:cs="宋体" w:eastAsia="宋体" w:hint="default"/>
          <w:sz w:val="28"/>
          <w:szCs w:val="28"/>
        </w:rPr>
      </w:pPr>
      <w:r>
        <w:rPr>
          <w:rFonts w:ascii="宋体" w:hAnsi="宋体" w:cs="宋体" w:eastAsia="宋体" w:hint="default"/>
          <w:sz w:val="28"/>
          <w:szCs w:val="28"/>
        </w:rPr>
        <w:t>4、赵润涛：公司董事兼董事会秘书，未在股东单位或其他单位任职或</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兼职。</w:t>
      </w:r>
      <w:r>
        <w:rPr>
          <w:rFonts w:ascii="宋体" w:hAnsi="宋体" w:cs="宋体" w:eastAsia="宋体" w:hint="default"/>
          <w:spacing w:val="-138"/>
          <w:sz w:val="28"/>
          <w:szCs w:val="28"/>
        </w:rPr>
        <w:t> </w:t>
      </w:r>
      <w:r>
        <w:rPr>
          <w:rFonts w:ascii="宋体" w:hAnsi="宋体" w:cs="宋体" w:eastAsia="宋体" w:hint="default"/>
          <w:sz w:val="28"/>
          <w:szCs w:val="28"/>
        </w:rPr>
        <w:t>5、卫建国：公司独立董事、广州中山大学管理学院会计学系党支部书</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4"/>
          <w:sz w:val="28"/>
          <w:szCs w:val="28"/>
        </w:rPr>
        <w:t>记、副教授、硕士导师、广州中山大学南方学院会计系主任。兼任广东</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省会计学会副会长、广东省审计学会理事、远光软件独立董事、东方宾</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馆独立董事。</w:t>
      </w:r>
      <w:r>
        <w:rPr>
          <w:rFonts w:ascii="宋体" w:hAnsi="宋体" w:cs="宋体" w:eastAsia="宋体" w:hint="default"/>
          <w:w w:val="100"/>
          <w:sz w:val="28"/>
          <w:szCs w:val="28"/>
        </w:rPr>
        <w:t> </w:t>
      </w:r>
      <w:r>
        <w:rPr>
          <w:rFonts w:ascii="宋体" w:hAnsi="宋体" w:cs="宋体" w:eastAsia="宋体" w:hint="default"/>
          <w:sz w:val="28"/>
          <w:szCs w:val="28"/>
        </w:rPr>
        <w:t>6、王珺：公司独立董事、广州中山大学岭南学院教授、中山大学社会</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2"/>
          <w:sz w:val="28"/>
          <w:szCs w:val="28"/>
        </w:rPr>
        <w:t>科学高等研究院院长、广东省社科院副院长。兼任广东经济学会会长、</w:t>
      </w:r>
      <w:r>
        <w:rPr>
          <w:rFonts w:ascii="宋体" w:hAnsi="宋体" w:cs="宋体" w:eastAsia="宋体" w:hint="default"/>
          <w:spacing w:val="-89"/>
          <w:sz w:val="28"/>
          <w:szCs w:val="28"/>
        </w:rPr>
        <w:t> </w:t>
      </w:r>
      <w:r>
        <w:rPr>
          <w:rFonts w:ascii="宋体" w:hAnsi="宋体" w:cs="宋体" w:eastAsia="宋体" w:hint="default"/>
          <w:spacing w:val="-89"/>
          <w:sz w:val="28"/>
          <w:szCs w:val="28"/>
        </w:rPr>
      </w:r>
      <w:r>
        <w:rPr>
          <w:rFonts w:ascii="宋体" w:hAnsi="宋体" w:cs="宋体" w:eastAsia="宋体" w:hint="default"/>
          <w:sz w:val="28"/>
          <w:szCs w:val="28"/>
        </w:rPr>
        <w:t>广东美的电器股份有限公司独立董事、粤电力独立董事。</w:t>
      </w:r>
    </w:p>
    <w:p>
      <w:pPr>
        <w:spacing w:after="0" w:line="302" w:lineRule="auto"/>
        <w:jc w:val="left"/>
        <w:rPr>
          <w:rFonts w:ascii="宋体" w:hAnsi="宋体" w:cs="宋体" w:eastAsia="宋体" w:hint="default"/>
          <w:sz w:val="28"/>
          <w:szCs w:val="28"/>
        </w:rPr>
        <w:sectPr>
          <w:pgSz w:w="11910" w:h="16840"/>
          <w:pgMar w:header="929" w:footer="837" w:top="1140" w:bottom="1020" w:left="440" w:right="0"/>
        </w:sectPr>
      </w:pPr>
    </w:p>
    <w:p>
      <w:pPr>
        <w:spacing w:line="240" w:lineRule="auto" w:before="6"/>
        <w:rPr>
          <w:rFonts w:ascii="宋体" w:hAnsi="宋体" w:cs="宋体" w:eastAsia="宋体" w:hint="default"/>
          <w:sz w:val="18"/>
          <w:szCs w:val="18"/>
        </w:rPr>
      </w:pPr>
    </w:p>
    <w:p>
      <w:pPr>
        <w:pStyle w:val="Heading2"/>
        <w:spacing w:line="302" w:lineRule="auto"/>
        <w:ind w:left="223" w:right="1402"/>
        <w:jc w:val="left"/>
      </w:pPr>
      <w:r>
        <w:rPr/>
        <w:t>7、李新春：公司独立董事、中山大学管理学院教授。兼任广钢股份独</w:t>
      </w:r>
      <w:r>
        <w:rPr>
          <w:spacing w:val="-71"/>
        </w:rPr>
        <w:t> </w:t>
      </w:r>
      <w:r>
        <w:rPr>
          <w:spacing w:val="-71"/>
        </w:rPr>
      </w:r>
      <w:r>
        <w:rPr/>
        <w:t>立董事、海格通讯独立董事、东方宾馆独立董事。</w:t>
      </w:r>
      <w:r>
        <w:rPr>
          <w:w w:val="100"/>
        </w:rPr>
        <w:t> </w:t>
      </w:r>
      <w:r>
        <w:rPr/>
        <w:t>8、周鹏：公司监事会主席兼审计监察中心副总监，未在股东单位或其</w:t>
      </w:r>
      <w:r>
        <w:rPr>
          <w:spacing w:val="-71"/>
        </w:rPr>
        <w:t> </w:t>
      </w:r>
      <w:r>
        <w:rPr>
          <w:spacing w:val="-71"/>
        </w:rPr>
      </w:r>
      <w:r>
        <w:rPr/>
        <w:t>他单位任职或兼职。</w:t>
      </w:r>
      <w:r>
        <w:rPr>
          <w:w w:val="100"/>
        </w:rPr>
        <w:t> </w:t>
      </w:r>
      <w:r>
        <w:rPr/>
        <w:t>9、陈惠芳：公司监事、天伦控股有限公司总裁办公室秘书，未在股东</w:t>
      </w:r>
      <w:r>
        <w:rPr>
          <w:spacing w:val="-71"/>
        </w:rPr>
        <w:t> </w:t>
      </w:r>
      <w:r>
        <w:rPr>
          <w:spacing w:val="-71"/>
        </w:rPr>
      </w:r>
      <w:r>
        <w:rPr/>
        <w:t>单位外的其他单位任职或兼职。</w:t>
      </w:r>
      <w:r>
        <w:rPr>
          <w:w w:val="100"/>
        </w:rPr>
        <w:t> </w:t>
      </w:r>
      <w:r>
        <w:rPr>
          <w:spacing w:val="-3"/>
        </w:rPr>
        <w:t>10、侯燕玲：公司监事、天伦控股有限公司财务管理中心副经理，未在</w:t>
      </w:r>
      <w:r>
        <w:rPr>
          <w:spacing w:val="-116"/>
        </w:rPr>
        <w:t> </w:t>
      </w:r>
      <w:r>
        <w:rPr>
          <w:spacing w:val="-116"/>
        </w:rPr>
      </w:r>
      <w:r>
        <w:rPr/>
        <w:t>股东单位外的其他单位任职或兼职。</w:t>
      </w:r>
      <w:r>
        <w:rPr>
          <w:w w:val="100"/>
        </w:rPr>
        <w:t> </w:t>
      </w:r>
      <w:r>
        <w:rPr>
          <w:spacing w:val="-3"/>
        </w:rPr>
        <w:t>11、陈凤林：公司财务负责人兼会计机构负责人，未在股东单位或其他</w:t>
      </w:r>
      <w:r>
        <w:rPr>
          <w:spacing w:val="-110"/>
        </w:rPr>
        <w:t> </w:t>
      </w:r>
      <w:r>
        <w:rPr>
          <w:spacing w:val="-110"/>
        </w:rPr>
      </w:r>
      <w:r>
        <w:rPr/>
        <w:t>单位任职或兼职。</w:t>
      </w:r>
    </w:p>
    <w:p>
      <w:pPr>
        <w:spacing w:before="21"/>
        <w:ind w:left="223" w:right="1402" w:firstLine="0"/>
        <w:jc w:val="left"/>
        <w:rPr>
          <w:rFonts w:ascii="宋体" w:hAnsi="宋体" w:cs="宋体" w:eastAsia="宋体" w:hint="default"/>
          <w:sz w:val="28"/>
          <w:szCs w:val="28"/>
        </w:rPr>
      </w:pPr>
      <w:r>
        <w:rPr>
          <w:rFonts w:ascii="宋体" w:hAnsi="宋体" w:cs="宋体" w:eastAsia="宋体" w:hint="default"/>
          <w:sz w:val="28"/>
          <w:szCs w:val="28"/>
        </w:rPr>
        <w:t>（三）董事、监事在股东单位任职情况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584"/>
        <w:gridCol w:w="2686"/>
        <w:gridCol w:w="2578"/>
        <w:gridCol w:w="1985"/>
      </w:tblGrid>
      <w:tr>
        <w:trPr>
          <w:trHeight w:val="549" w:hRule="exact"/>
        </w:trPr>
        <w:tc>
          <w:tcPr>
            <w:tcW w:w="15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2"/>
              <w:jc w:val="center"/>
              <w:rPr>
                <w:rFonts w:ascii="宋体" w:hAnsi="宋体" w:cs="宋体" w:eastAsia="宋体" w:hint="default"/>
                <w:sz w:val="21"/>
                <w:szCs w:val="21"/>
              </w:rPr>
            </w:pPr>
            <w:r>
              <w:rPr>
                <w:rFonts w:ascii="宋体" w:hAnsi="宋体" w:cs="宋体" w:eastAsia="宋体" w:hint="default"/>
                <w:sz w:val="21"/>
                <w:szCs w:val="21"/>
              </w:rPr>
              <w:t>姓名</w:t>
            </w:r>
          </w:p>
        </w:tc>
        <w:tc>
          <w:tcPr>
            <w:tcW w:w="26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597" w:right="0"/>
              <w:jc w:val="left"/>
              <w:rPr>
                <w:rFonts w:ascii="宋体" w:hAnsi="宋体" w:cs="宋体" w:eastAsia="宋体" w:hint="default"/>
                <w:sz w:val="21"/>
                <w:szCs w:val="21"/>
              </w:rPr>
            </w:pPr>
            <w:r>
              <w:rPr>
                <w:rFonts w:ascii="宋体" w:hAnsi="宋体" w:cs="宋体" w:eastAsia="宋体" w:hint="default"/>
                <w:sz w:val="21"/>
                <w:szCs w:val="21"/>
              </w:rPr>
              <w:t>任职的股东名称</w:t>
            </w:r>
          </w:p>
        </w:tc>
        <w:tc>
          <w:tcPr>
            <w:tcW w:w="25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19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55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侯燕玲</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财务管理中心副经理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r>
        <w:trPr>
          <w:trHeight w:val="55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陈惠芳</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总裁办公室秘书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302" w:lineRule="auto"/>
        <w:ind w:left="782" w:right="1402" w:hanging="560"/>
        <w:jc w:val="left"/>
      </w:pPr>
      <w:r>
        <w:rPr/>
        <w:pict>
          <v:shape style="position:absolute;margin-left:103.08847pt;margin-top:-57.530163pt;width:392.95pt;height:64.3pt;mso-position-horizontal-relative:page;mso-position-vertical-relative:paragraph;z-index:-555808;rotation:315" type="#_x0000_t136" fillcolor="#e0e0e0" stroked="f">
            <o:extrusion v:ext="view" autorotationcenter="t"/>
            <v:textpath style="font-family:&amp;quot;Arial&amp;quot;;font-size:64pt;v-text-kern:t;mso-text-shadow:auto" string="UnRegistered"/>
            <w10:wrap type="none"/>
          </v:shape>
        </w:pict>
      </w:r>
      <w:r>
        <w:rPr/>
        <w:t>（四）董事、监事和高级管理人员的报酬决策程序及确定依据</w:t>
      </w:r>
      <w:r>
        <w:rPr>
          <w:w w:val="100"/>
        </w:rPr>
        <w:t> </w:t>
      </w:r>
      <w:r>
        <w:rPr/>
        <w:t>按照公司劳动人事工资制度和相关规章制度执行。</w:t>
      </w:r>
      <w:r>
        <w:rPr>
          <w:w w:val="100"/>
        </w:rPr>
        <w:t> </w:t>
      </w:r>
      <w:r>
        <w:rPr>
          <w:spacing w:val="-4"/>
        </w:rPr>
        <w:t>不在公司领取报酬和津贴的监事中，陈惠芳和侯燕玲在股东单位领</w:t>
      </w:r>
    </w:p>
    <w:p>
      <w:pPr>
        <w:spacing w:before="21"/>
        <w:ind w:left="223" w:right="1402" w:firstLine="0"/>
        <w:jc w:val="left"/>
        <w:rPr>
          <w:rFonts w:ascii="宋体" w:hAnsi="宋体" w:cs="宋体" w:eastAsia="宋体" w:hint="default"/>
          <w:sz w:val="28"/>
          <w:szCs w:val="28"/>
        </w:rPr>
      </w:pPr>
      <w:r>
        <w:rPr>
          <w:rFonts w:ascii="宋体" w:hAnsi="宋体" w:cs="宋体" w:eastAsia="宋体" w:hint="default"/>
          <w:sz w:val="28"/>
          <w:szCs w:val="28"/>
        </w:rPr>
        <w:t>取。</w:t>
      </w:r>
    </w:p>
    <w:p>
      <w:pPr>
        <w:spacing w:before="111"/>
        <w:ind w:left="223" w:right="1402" w:firstLine="0"/>
        <w:jc w:val="left"/>
        <w:rPr>
          <w:rFonts w:ascii="宋体" w:hAnsi="宋体" w:cs="宋体" w:eastAsia="宋体" w:hint="default"/>
          <w:sz w:val="28"/>
          <w:szCs w:val="28"/>
        </w:rPr>
      </w:pPr>
      <w:r>
        <w:rPr>
          <w:rFonts w:ascii="宋体" w:hAnsi="宋体" w:cs="宋体" w:eastAsia="宋体" w:hint="default"/>
          <w:spacing w:val="-17"/>
          <w:sz w:val="28"/>
          <w:szCs w:val="28"/>
        </w:rPr>
        <w:t>（五）报告期公司无选举或离任的董事和监事及聘任或解聘高管事项。</w:t>
      </w:r>
    </w:p>
    <w:p>
      <w:pPr>
        <w:spacing w:before="113"/>
        <w:ind w:left="223" w:right="1402" w:firstLine="0"/>
        <w:jc w:val="left"/>
        <w:rPr>
          <w:rFonts w:ascii="宋体" w:hAnsi="宋体" w:cs="宋体" w:eastAsia="宋体" w:hint="default"/>
          <w:sz w:val="28"/>
          <w:szCs w:val="28"/>
        </w:rPr>
      </w:pPr>
      <w:r>
        <w:rPr>
          <w:rFonts w:ascii="宋体" w:hAnsi="宋体" w:cs="宋体" w:eastAsia="宋体" w:hint="default"/>
          <w:sz w:val="28"/>
          <w:szCs w:val="28"/>
        </w:rPr>
        <w:t>（六）公司员工情况</w:t>
      </w:r>
    </w:p>
    <w:p>
      <w:pPr>
        <w:spacing w:before="96"/>
        <w:ind w:left="782" w:right="1402" w:firstLine="0"/>
        <w:jc w:val="left"/>
        <w:rPr>
          <w:rFonts w:ascii="宋体" w:hAnsi="宋体" w:cs="宋体" w:eastAsia="宋体" w:hint="default"/>
          <w:sz w:val="28"/>
          <w:szCs w:val="28"/>
        </w:rPr>
      </w:pPr>
      <w:r>
        <w:rPr>
          <w:rFonts w:ascii="宋体" w:hAnsi="宋体" w:cs="宋体" w:eastAsia="宋体" w:hint="default"/>
          <w:sz w:val="28"/>
          <w:szCs w:val="28"/>
        </w:rPr>
        <w:t>公司现有员工</w:t>
      </w:r>
      <w:r>
        <w:rPr>
          <w:rFonts w:ascii="宋体" w:hAnsi="宋体" w:cs="宋体" w:eastAsia="宋体" w:hint="default"/>
          <w:spacing w:val="-67"/>
          <w:sz w:val="28"/>
          <w:szCs w:val="28"/>
        </w:rPr>
        <w:t> </w:t>
      </w:r>
      <w:r>
        <w:rPr>
          <w:rFonts w:ascii="宋体" w:hAnsi="宋体" w:cs="宋体" w:eastAsia="宋体" w:hint="default"/>
          <w:sz w:val="28"/>
          <w:szCs w:val="28"/>
        </w:rPr>
        <w:t>45</w:t>
      </w:r>
      <w:r>
        <w:rPr>
          <w:rFonts w:ascii="宋体" w:hAnsi="宋体" w:cs="宋体" w:eastAsia="宋体" w:hint="default"/>
          <w:spacing w:val="-66"/>
          <w:sz w:val="28"/>
          <w:szCs w:val="28"/>
        </w:rPr>
        <w:t> </w:t>
      </w:r>
      <w:r>
        <w:rPr>
          <w:rFonts w:ascii="宋体" w:hAnsi="宋体" w:cs="宋体" w:eastAsia="宋体" w:hint="default"/>
          <w:spacing w:val="-4"/>
          <w:sz w:val="28"/>
          <w:szCs w:val="28"/>
        </w:rPr>
        <w:t>名，其中技术人员</w:t>
      </w:r>
      <w:r>
        <w:rPr>
          <w:rFonts w:ascii="宋体" w:hAnsi="宋体" w:cs="宋体" w:eastAsia="宋体" w:hint="default"/>
          <w:spacing w:val="-69"/>
          <w:sz w:val="28"/>
          <w:szCs w:val="28"/>
        </w:rPr>
        <w:t> </w:t>
      </w:r>
      <w:r>
        <w:rPr>
          <w:rFonts w:ascii="宋体" w:hAnsi="宋体" w:cs="宋体" w:eastAsia="宋体" w:hint="default"/>
          <w:sz w:val="28"/>
          <w:szCs w:val="28"/>
        </w:rPr>
        <w:t>15</w:t>
      </w:r>
      <w:r>
        <w:rPr>
          <w:rFonts w:ascii="宋体" w:hAnsi="宋体" w:cs="宋体" w:eastAsia="宋体" w:hint="default"/>
          <w:spacing w:val="-68"/>
          <w:sz w:val="28"/>
          <w:szCs w:val="28"/>
        </w:rPr>
        <w:t> </w:t>
      </w:r>
      <w:r>
        <w:rPr>
          <w:rFonts w:ascii="宋体" w:hAnsi="宋体" w:cs="宋体" w:eastAsia="宋体" w:hint="default"/>
          <w:spacing w:val="-5"/>
          <w:sz w:val="28"/>
          <w:szCs w:val="28"/>
        </w:rPr>
        <w:t>名，财务人员</w:t>
      </w:r>
      <w:r>
        <w:rPr>
          <w:rFonts w:ascii="宋体" w:hAnsi="宋体" w:cs="宋体" w:eastAsia="宋体" w:hint="default"/>
          <w:spacing w:val="-67"/>
          <w:sz w:val="28"/>
          <w:szCs w:val="28"/>
        </w:rPr>
        <w:t> </w:t>
      </w:r>
      <w:r>
        <w:rPr>
          <w:rFonts w:ascii="宋体" w:hAnsi="宋体" w:cs="宋体" w:eastAsia="宋体" w:hint="default"/>
          <w:sz w:val="28"/>
          <w:szCs w:val="28"/>
        </w:rPr>
        <w:t>7</w:t>
      </w:r>
      <w:r>
        <w:rPr>
          <w:rFonts w:ascii="宋体" w:hAnsi="宋体" w:cs="宋体" w:eastAsia="宋体" w:hint="default"/>
          <w:spacing w:val="-66"/>
          <w:sz w:val="28"/>
          <w:szCs w:val="28"/>
        </w:rPr>
        <w:t> </w:t>
      </w:r>
      <w:r>
        <w:rPr>
          <w:rFonts w:ascii="宋体" w:hAnsi="宋体" w:cs="宋体" w:eastAsia="宋体" w:hint="default"/>
          <w:spacing w:val="-5"/>
          <w:sz w:val="28"/>
          <w:szCs w:val="28"/>
        </w:rPr>
        <w:t>名，行政人</w:t>
      </w:r>
    </w:p>
    <w:p>
      <w:pPr>
        <w:spacing w:line="302" w:lineRule="auto" w:before="92"/>
        <w:ind w:left="223" w:right="1579" w:firstLine="0"/>
        <w:jc w:val="left"/>
        <w:rPr>
          <w:rFonts w:ascii="宋体" w:hAnsi="宋体" w:cs="宋体" w:eastAsia="宋体" w:hint="default"/>
          <w:sz w:val="28"/>
          <w:szCs w:val="28"/>
        </w:rPr>
      </w:pPr>
      <w:r>
        <w:rPr>
          <w:rFonts w:ascii="宋体" w:hAnsi="宋体" w:cs="宋体" w:eastAsia="宋体" w:hint="default"/>
          <w:sz w:val="28"/>
          <w:szCs w:val="28"/>
        </w:rPr>
        <w:t>员</w:t>
      </w:r>
      <w:r>
        <w:rPr>
          <w:rFonts w:ascii="宋体" w:hAnsi="宋体" w:cs="宋体" w:eastAsia="宋体" w:hint="default"/>
          <w:spacing w:val="-51"/>
          <w:sz w:val="28"/>
          <w:szCs w:val="28"/>
        </w:rPr>
        <w:t> </w:t>
      </w:r>
      <w:r>
        <w:rPr>
          <w:rFonts w:ascii="宋体" w:hAnsi="宋体" w:cs="宋体" w:eastAsia="宋体" w:hint="default"/>
          <w:sz w:val="28"/>
          <w:szCs w:val="28"/>
        </w:rPr>
        <w:t>23</w:t>
      </w:r>
      <w:r>
        <w:rPr>
          <w:rFonts w:ascii="宋体" w:hAnsi="宋体" w:cs="宋体" w:eastAsia="宋体" w:hint="default"/>
          <w:spacing w:val="-50"/>
          <w:sz w:val="28"/>
          <w:szCs w:val="28"/>
        </w:rPr>
        <w:t> </w:t>
      </w:r>
      <w:r>
        <w:rPr>
          <w:rFonts w:ascii="宋体" w:hAnsi="宋体" w:cs="宋体" w:eastAsia="宋体" w:hint="default"/>
          <w:sz w:val="28"/>
          <w:szCs w:val="28"/>
        </w:rPr>
        <w:t>名；本科以上学历</w:t>
      </w:r>
      <w:r>
        <w:rPr>
          <w:rFonts w:ascii="宋体" w:hAnsi="宋体" w:cs="宋体" w:eastAsia="宋体" w:hint="default"/>
          <w:spacing w:val="-51"/>
          <w:sz w:val="28"/>
          <w:szCs w:val="28"/>
        </w:rPr>
        <w:t> </w:t>
      </w:r>
      <w:r>
        <w:rPr>
          <w:rFonts w:ascii="宋体" w:hAnsi="宋体" w:cs="宋体" w:eastAsia="宋体" w:hint="default"/>
          <w:sz w:val="28"/>
          <w:szCs w:val="28"/>
        </w:rPr>
        <w:t>25</w:t>
      </w:r>
      <w:r>
        <w:rPr>
          <w:rFonts w:ascii="宋体" w:hAnsi="宋体" w:cs="宋体" w:eastAsia="宋体" w:hint="default"/>
          <w:spacing w:val="-50"/>
          <w:sz w:val="28"/>
          <w:szCs w:val="28"/>
        </w:rPr>
        <w:t> </w:t>
      </w:r>
      <w:r>
        <w:rPr>
          <w:rFonts w:ascii="宋体" w:hAnsi="宋体" w:cs="宋体" w:eastAsia="宋体" w:hint="default"/>
          <w:sz w:val="28"/>
          <w:szCs w:val="28"/>
        </w:rPr>
        <w:t>名；拥有专业技术职称</w:t>
      </w:r>
      <w:r>
        <w:rPr>
          <w:rFonts w:ascii="宋体" w:hAnsi="宋体" w:cs="宋体" w:eastAsia="宋体" w:hint="default"/>
          <w:spacing w:val="-51"/>
          <w:sz w:val="28"/>
          <w:szCs w:val="28"/>
        </w:rPr>
        <w:t> </w:t>
      </w:r>
      <w:r>
        <w:rPr>
          <w:rFonts w:ascii="宋体" w:hAnsi="宋体" w:cs="宋体" w:eastAsia="宋体" w:hint="default"/>
          <w:sz w:val="28"/>
          <w:szCs w:val="28"/>
        </w:rPr>
        <w:t>15</w:t>
      </w:r>
      <w:r>
        <w:rPr>
          <w:rFonts w:ascii="宋体" w:hAnsi="宋体" w:cs="宋体" w:eastAsia="宋体" w:hint="default"/>
          <w:spacing w:val="-50"/>
          <w:sz w:val="28"/>
          <w:szCs w:val="28"/>
        </w:rPr>
        <w:t> </w:t>
      </w:r>
      <w:r>
        <w:rPr>
          <w:rFonts w:ascii="宋体" w:hAnsi="宋体" w:cs="宋体" w:eastAsia="宋体" w:hint="default"/>
          <w:sz w:val="28"/>
          <w:szCs w:val="28"/>
        </w:rPr>
        <w:t>名；退休职工</w:t>
      </w:r>
      <w:r>
        <w:rPr>
          <w:rFonts w:ascii="宋体" w:hAnsi="宋体" w:cs="宋体" w:eastAsia="宋体" w:hint="default"/>
          <w:spacing w:val="-54"/>
          <w:sz w:val="28"/>
          <w:szCs w:val="28"/>
        </w:rPr>
        <w:t> </w:t>
      </w:r>
      <w:r>
        <w:rPr>
          <w:rFonts w:ascii="宋体" w:hAnsi="宋体" w:cs="宋体" w:eastAsia="宋体" w:hint="default"/>
          <w:sz w:val="28"/>
          <w:szCs w:val="28"/>
        </w:rPr>
        <w:t>2</w:t>
      </w:r>
      <w:r>
        <w:rPr>
          <w:rFonts w:ascii="宋体" w:hAnsi="宋体" w:cs="宋体" w:eastAsia="宋体" w:hint="default"/>
          <w:w w:val="100"/>
          <w:sz w:val="28"/>
          <w:szCs w:val="28"/>
        </w:rPr>
        <w:t> </w:t>
      </w:r>
      <w:r>
        <w:rPr>
          <w:rFonts w:ascii="宋体" w:hAnsi="宋体" w:cs="宋体" w:eastAsia="宋体" w:hint="default"/>
          <w:sz w:val="28"/>
          <w:szCs w:val="28"/>
        </w:rPr>
        <w:t>名。</w:t>
      </w:r>
    </w:p>
    <w:p>
      <w:pPr>
        <w:spacing w:line="240" w:lineRule="auto" w:before="1"/>
        <w:rPr>
          <w:rFonts w:ascii="宋体" w:hAnsi="宋体" w:cs="宋体" w:eastAsia="宋体" w:hint="default"/>
          <w:sz w:val="33"/>
          <w:szCs w:val="33"/>
        </w:rPr>
      </w:pPr>
    </w:p>
    <w:p>
      <w:pPr>
        <w:spacing w:before="0"/>
        <w:ind w:left="3245" w:right="1402" w:firstLine="0"/>
        <w:jc w:val="left"/>
        <w:rPr>
          <w:rFonts w:ascii="宋体" w:hAnsi="宋体" w:cs="宋体" w:eastAsia="宋体" w:hint="default"/>
          <w:sz w:val="32"/>
          <w:szCs w:val="32"/>
        </w:rPr>
      </w:pPr>
      <w:r>
        <w:rPr>
          <w:rFonts w:ascii="宋体" w:hAnsi="宋体" w:cs="宋体" w:eastAsia="宋体" w:hint="default"/>
          <w:sz w:val="32"/>
          <w:szCs w:val="32"/>
        </w:rPr>
        <w:t>五、公司治理结构</w:t>
      </w:r>
    </w:p>
    <w:p>
      <w:pPr>
        <w:spacing w:line="240" w:lineRule="auto" w:before="0"/>
        <w:rPr>
          <w:rFonts w:ascii="宋体" w:hAnsi="宋体" w:cs="宋体" w:eastAsia="宋体" w:hint="default"/>
          <w:sz w:val="32"/>
          <w:szCs w:val="32"/>
        </w:rPr>
      </w:pPr>
    </w:p>
    <w:p>
      <w:pPr>
        <w:spacing w:before="212"/>
        <w:ind w:left="223" w:right="1402" w:firstLine="0"/>
        <w:jc w:val="left"/>
        <w:rPr>
          <w:rFonts w:ascii="宋体" w:hAnsi="宋体" w:cs="宋体" w:eastAsia="宋体" w:hint="default"/>
          <w:sz w:val="28"/>
          <w:szCs w:val="28"/>
        </w:rPr>
      </w:pPr>
      <w:r>
        <w:rPr>
          <w:rFonts w:ascii="宋体" w:hAnsi="宋体" w:cs="宋体" w:eastAsia="宋体" w:hint="default"/>
          <w:sz w:val="28"/>
          <w:szCs w:val="28"/>
        </w:rPr>
        <w:t>（一）公司内部控制自我评价报告</w:t>
      </w:r>
    </w:p>
    <w:p>
      <w:pPr>
        <w:spacing w:after="0"/>
        <w:jc w:val="left"/>
        <w:rPr>
          <w:rFonts w:ascii="宋体" w:hAnsi="宋体" w:cs="宋体" w:eastAsia="宋体" w:hint="default"/>
          <w:sz w:val="28"/>
          <w:szCs w:val="28"/>
        </w:rPr>
        <w:sectPr>
          <w:footerReference w:type="default" r:id="rId15"/>
          <w:pgSz w:w="11910" w:h="16840"/>
          <w:pgMar w:footer="837" w:header="929" w:top="1140" w:bottom="1020" w:left="1480" w:right="0"/>
          <w:pgNumType w:start="10"/>
        </w:sectPr>
      </w:pPr>
    </w:p>
    <w:p>
      <w:pPr>
        <w:spacing w:line="240" w:lineRule="auto" w:before="9"/>
        <w:rPr>
          <w:rFonts w:ascii="宋体" w:hAnsi="宋体" w:cs="宋体" w:eastAsia="宋体" w:hint="default"/>
          <w:sz w:val="24"/>
          <w:szCs w:val="24"/>
        </w:rPr>
      </w:pPr>
    </w:p>
    <w:p>
      <w:pPr>
        <w:spacing w:line="367" w:lineRule="auto" w:before="14"/>
        <w:ind w:left="303" w:right="0" w:firstLine="559"/>
        <w:jc w:val="left"/>
        <w:rPr>
          <w:rFonts w:ascii="宋体" w:hAnsi="宋体" w:cs="宋体" w:eastAsia="宋体" w:hint="default"/>
          <w:sz w:val="28"/>
          <w:szCs w:val="28"/>
        </w:rPr>
      </w:pPr>
      <w:r>
        <w:rPr>
          <w:rFonts w:ascii="宋体" w:hAnsi="宋体" w:cs="宋体" w:eastAsia="宋体" w:hint="default"/>
          <w:spacing w:val="-3"/>
          <w:sz w:val="28"/>
          <w:szCs w:val="28"/>
        </w:rPr>
        <w:t>报告具体内容详见巨潮资讯网（</w:t>
      </w:r>
      <w:r>
        <w:rPr>
          <w:rFonts w:ascii="宋体" w:hAnsi="宋体" w:cs="宋体" w:eastAsia="宋体" w:hint="default"/>
          <w:color w:val="0000FF"/>
          <w:spacing w:val="-3"/>
          <w:sz w:val="28"/>
          <w:szCs w:val="28"/>
        </w:rPr>
      </w:r>
      <w:hyperlink r:id="rId13">
        <w:r>
          <w:rPr>
            <w:rFonts w:ascii="宋体" w:hAnsi="宋体" w:cs="宋体" w:eastAsia="宋体" w:hint="default"/>
            <w:color w:val="0000FF"/>
            <w:spacing w:val="-3"/>
            <w:sz w:val="28"/>
            <w:szCs w:val="28"/>
            <w:u w:val="single" w:color="0000FF"/>
          </w:rPr>
          <w:t>http://www.cninfo.com.cn</w:t>
        </w:r>
        <w:r>
          <w:rPr>
            <w:rFonts w:ascii="宋体" w:hAnsi="宋体" w:cs="宋体" w:eastAsia="宋体" w:hint="default"/>
            <w:color w:val="0000FF"/>
            <w:spacing w:val="-3"/>
            <w:sz w:val="28"/>
            <w:szCs w:val="28"/>
          </w:rPr>
        </w:r>
      </w:hyperlink>
      <w:r>
        <w:rPr>
          <w:rFonts w:ascii="宋体" w:hAnsi="宋体" w:cs="宋体" w:eastAsia="宋体" w:hint="default"/>
          <w:spacing w:val="-3"/>
          <w:sz w:val="28"/>
          <w:szCs w:val="28"/>
        </w:rPr>
        <w:t>）之公</w:t>
      </w:r>
      <w:r>
        <w:rPr>
          <w:rFonts w:ascii="宋体" w:hAnsi="宋体" w:cs="宋体" w:eastAsia="宋体" w:hint="default"/>
          <w:w w:val="100"/>
          <w:sz w:val="28"/>
          <w:szCs w:val="28"/>
        </w:rPr>
        <w:t> </w:t>
      </w:r>
      <w:r>
        <w:rPr>
          <w:rFonts w:ascii="宋体" w:hAnsi="宋体" w:cs="宋体" w:eastAsia="宋体" w:hint="default"/>
          <w:sz w:val="28"/>
          <w:szCs w:val="28"/>
        </w:rPr>
        <w:t>司同期公告。</w:t>
      </w:r>
    </w:p>
    <w:p>
      <w:pPr>
        <w:spacing w:line="367" w:lineRule="auto" w:before="44"/>
        <w:ind w:left="862" w:right="0" w:hanging="560"/>
        <w:jc w:val="left"/>
        <w:rPr>
          <w:rFonts w:ascii="宋体" w:hAnsi="宋体" w:cs="宋体" w:eastAsia="宋体" w:hint="default"/>
          <w:sz w:val="28"/>
          <w:szCs w:val="28"/>
        </w:rPr>
      </w:pPr>
      <w:r>
        <w:rPr>
          <w:rFonts w:ascii="宋体" w:hAnsi="宋体" w:cs="宋体" w:eastAsia="宋体" w:hint="default"/>
          <w:sz w:val="28"/>
          <w:szCs w:val="28"/>
        </w:rPr>
        <w:t>（二）独立董事对公司内部控制自我评价意见</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pacing w:val="-4"/>
          <w:sz w:val="28"/>
          <w:szCs w:val="28"/>
        </w:rPr>
        <w:t>公司独立董事认为：公司内部控制自我评价，真实反映了公司内部</w:t>
      </w:r>
    </w:p>
    <w:p>
      <w:pPr>
        <w:spacing w:line="367" w:lineRule="auto" w:before="46"/>
        <w:ind w:left="303" w:right="1579" w:firstLine="0"/>
        <w:jc w:val="both"/>
        <w:rPr>
          <w:rFonts w:ascii="宋体" w:hAnsi="宋体" w:cs="宋体" w:eastAsia="宋体" w:hint="default"/>
          <w:sz w:val="28"/>
          <w:szCs w:val="28"/>
        </w:rPr>
      </w:pPr>
      <w:r>
        <w:rPr>
          <w:rFonts w:ascii="宋体" w:hAnsi="宋体" w:cs="宋体" w:eastAsia="宋体" w:hint="default"/>
          <w:spacing w:val="-4"/>
          <w:sz w:val="28"/>
          <w:szCs w:val="28"/>
        </w:rPr>
        <w:t>控制的基本情况，对公司为加强和完善内部控制所进行的重要活动、工</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作和成效等方面情况作了介绍，就公司组织机构、业务管理流程、控股</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子公司、关联交易、对外担保、募集资金使用和信息披露等内部的重点</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4"/>
          <w:sz w:val="28"/>
          <w:szCs w:val="28"/>
        </w:rPr>
        <w:t>控制活动进行了说明，并进行了客观的总结。希望公司进一步加强内部</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3"/>
          <w:sz w:val="28"/>
          <w:szCs w:val="28"/>
        </w:rPr>
        <w:t>控制力度，加强对子公司的管控以改善对外投资状况，继续推进公司内</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部控制各项工作的开展，不断提高公司治理水平。</w:t>
      </w:r>
    </w:p>
    <w:p>
      <w:pPr>
        <w:spacing w:line="332" w:lineRule="exact" w:before="0"/>
        <w:ind w:left="303" w:right="0" w:firstLine="0"/>
        <w:jc w:val="both"/>
        <w:rPr>
          <w:rFonts w:ascii="宋体" w:hAnsi="宋体" w:cs="宋体" w:eastAsia="宋体" w:hint="default"/>
          <w:sz w:val="28"/>
          <w:szCs w:val="28"/>
        </w:rPr>
      </w:pPr>
      <w:r>
        <w:rPr>
          <w:rFonts w:ascii="宋体" w:hAnsi="宋体" w:cs="宋体" w:eastAsia="宋体" w:hint="default"/>
          <w:sz w:val="28"/>
          <w:szCs w:val="28"/>
        </w:rPr>
        <w:t>（三）公司独立董事履行职责情况</w:t>
      </w:r>
    </w:p>
    <w:p>
      <w:pPr>
        <w:pStyle w:val="Heading2"/>
        <w:spacing w:line="240" w:lineRule="auto" w:before="92"/>
        <w:ind w:left="862" w:right="0"/>
        <w:jc w:val="left"/>
      </w:pPr>
      <w:r>
        <w:rPr/>
        <w:pict>
          <v:shape style="position:absolute;margin-left:103.08847pt;margin-top:27.129845pt;width:392.95pt;height:64.3pt;mso-position-horizontal-relative:page;mso-position-vertical-relative:paragraph;z-index:-555784;rotation:315" type="#_x0000_t136" fillcolor="#e0e0e0" stroked="f">
            <o:extrusion v:ext="view" autorotationcenter="t"/>
            <v:textpath style="font-family:&amp;quot;Arial&amp;quot;;font-size:64pt;v-text-kern:t;mso-text-shadow:auto" string="UnRegistered"/>
            <w10:wrap type="none"/>
          </v:shape>
        </w:pict>
      </w:r>
      <w:r>
        <w:rPr/>
        <w:t>1、独立董事出席董事会情况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980"/>
        <w:gridCol w:w="1118"/>
        <w:gridCol w:w="1118"/>
        <w:gridCol w:w="1118"/>
        <w:gridCol w:w="1116"/>
        <w:gridCol w:w="1118"/>
        <w:gridCol w:w="1248"/>
      </w:tblGrid>
      <w:tr>
        <w:trPr>
          <w:trHeight w:val="826"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448" w:right="24" w:hanging="420"/>
              <w:jc w:val="left"/>
              <w:rPr>
                <w:rFonts w:ascii="宋体" w:hAnsi="宋体" w:cs="宋体" w:eastAsia="宋体" w:hint="default"/>
                <w:sz w:val="21"/>
                <w:szCs w:val="21"/>
              </w:rPr>
            </w:pPr>
            <w:r>
              <w:rPr>
                <w:rFonts w:ascii="宋体" w:hAnsi="宋体" w:cs="宋体" w:eastAsia="宋体" w:hint="default"/>
                <w:sz w:val="21"/>
                <w:szCs w:val="21"/>
              </w:rPr>
              <w:t>现场出席次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以通讯方式</w:t>
            </w:r>
          </w:p>
          <w:p>
            <w:pPr>
              <w:pStyle w:val="TableParagraph"/>
              <w:spacing w:line="272" w:lineRule="exact" w:before="26"/>
              <w:ind w:left="446" w:right="26" w:hanging="420"/>
              <w:jc w:val="left"/>
              <w:rPr>
                <w:rFonts w:ascii="宋体" w:hAnsi="宋体" w:cs="宋体" w:eastAsia="宋体" w:hint="default"/>
                <w:sz w:val="21"/>
                <w:szCs w:val="21"/>
              </w:rPr>
            </w:pPr>
            <w:r>
              <w:rPr>
                <w:rFonts w:ascii="宋体" w:hAnsi="宋体" w:cs="宋体" w:eastAsia="宋体" w:hint="default"/>
                <w:sz w:val="21"/>
                <w:szCs w:val="21"/>
              </w:rPr>
              <w:t>参加会议次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446" w:right="24" w:hanging="420"/>
              <w:jc w:val="left"/>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02" w:right="89" w:hanging="209"/>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席会议</w:t>
            </w:r>
          </w:p>
        </w:tc>
      </w:tr>
      <w:tr>
        <w:trPr>
          <w:trHeight w:val="4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1" w:right="0"/>
              <w:jc w:val="lef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9" w:right="0"/>
              <w:jc w:val="left"/>
              <w:rPr>
                <w:rFonts w:ascii="Times New Roman" w:hAnsi="Times New Roman" w:cs="Times New Roman" w:eastAsia="Times New Roman" w:hint="default"/>
                <w:sz w:val="21"/>
                <w:szCs w:val="21"/>
              </w:rPr>
            </w:pPr>
            <w:r>
              <w:rPr>
                <w:rFonts w:ascii="Times New Roman"/>
                <w:w w:val="100"/>
                <w:sz w:val="21"/>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1" w:right="0"/>
              <w:jc w:val="lef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9" w:right="0"/>
              <w:jc w:val="left"/>
              <w:rPr>
                <w:rFonts w:ascii="Times New Roman" w:hAnsi="Times New Roman" w:cs="Times New Roman" w:eastAsia="Times New Roman" w:hint="default"/>
                <w:sz w:val="21"/>
                <w:szCs w:val="21"/>
              </w:rPr>
            </w:pPr>
            <w:r>
              <w:rPr>
                <w:rFonts w:ascii="Times New Roman"/>
                <w:w w:val="100"/>
                <w:sz w:val="21"/>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2"/>
                <w:sz w:val="21"/>
                <w:szCs w:val="21"/>
              </w:rPr>
              <w:t> </w:t>
            </w:r>
            <w:r>
              <w:rPr>
                <w:rFonts w:ascii="宋体" w:hAnsi="宋体" w:cs="宋体" w:eastAsia="宋体" w:hint="default"/>
                <w:sz w:val="21"/>
                <w:szCs w:val="21"/>
              </w:rPr>
              <w:t>珺</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1" w:right="0"/>
              <w:jc w:val="lef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9" w:right="0"/>
              <w:jc w:val="left"/>
              <w:rPr>
                <w:rFonts w:ascii="Times New Roman" w:hAnsi="Times New Roman" w:cs="Times New Roman" w:eastAsia="Times New Roman" w:hint="default"/>
                <w:sz w:val="21"/>
                <w:szCs w:val="21"/>
              </w:rPr>
            </w:pPr>
            <w:r>
              <w:rPr>
                <w:rFonts w:ascii="Times New Roman"/>
                <w:w w:val="100"/>
                <w:sz w:val="21"/>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9" w:right="0"/>
              <w:jc w:val="lef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14"/>
        <w:ind w:left="862" w:right="0" w:firstLine="0"/>
        <w:jc w:val="left"/>
        <w:rPr>
          <w:rFonts w:ascii="宋体" w:hAnsi="宋体" w:cs="宋体" w:eastAsia="宋体" w:hint="default"/>
          <w:sz w:val="28"/>
          <w:szCs w:val="28"/>
        </w:rPr>
      </w:pPr>
      <w:r>
        <w:rPr>
          <w:rFonts w:ascii="宋体" w:hAnsi="宋体" w:cs="宋体" w:eastAsia="宋体" w:hint="default"/>
          <w:sz w:val="28"/>
          <w:szCs w:val="28"/>
        </w:rPr>
        <w:t>2、独立董事对公司有关事项提出异议的情况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90" w:type="dxa"/>
        <w:tblLayout w:type="fixed"/>
        <w:tblCellMar>
          <w:top w:w="0" w:type="dxa"/>
          <w:left w:w="0" w:type="dxa"/>
          <w:bottom w:w="0" w:type="dxa"/>
          <w:right w:w="0" w:type="dxa"/>
        </w:tblCellMar>
        <w:tblLook w:val="01E0"/>
      </w:tblPr>
      <w:tblGrid>
        <w:gridCol w:w="1853"/>
        <w:gridCol w:w="2225"/>
        <w:gridCol w:w="2532"/>
        <w:gridCol w:w="2222"/>
      </w:tblGrid>
      <w:tr>
        <w:trPr>
          <w:trHeight w:val="469" w:hRule="exact"/>
        </w:trPr>
        <w:tc>
          <w:tcPr>
            <w:tcW w:w="185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22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提出异议的事项</w:t>
            </w:r>
          </w:p>
        </w:tc>
        <w:tc>
          <w:tcPr>
            <w:tcW w:w="25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提出异议的具体内容</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9"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5"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w w:val="100"/>
                <w:sz w:val="21"/>
              </w:rPr>
              <w:t>-</w:t>
            </w:r>
          </w:p>
        </w:tc>
      </w:tr>
      <w:tr>
        <w:trPr>
          <w:trHeight w:val="470"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r>
        <w:trPr>
          <w:trHeight w:val="470"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王</w:t>
              <w:tab/>
              <w:t>珺</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line="326" w:lineRule="auto" w:before="14"/>
        <w:ind w:left="303" w:right="0" w:firstLine="0"/>
        <w:jc w:val="left"/>
        <w:rPr>
          <w:rFonts w:ascii="宋体" w:hAnsi="宋体" w:cs="宋体" w:eastAsia="宋体" w:hint="default"/>
          <w:sz w:val="28"/>
          <w:szCs w:val="28"/>
        </w:rPr>
      </w:pPr>
      <w:r>
        <w:rPr>
          <w:rFonts w:ascii="宋体" w:hAnsi="宋体" w:cs="宋体" w:eastAsia="宋体" w:hint="default"/>
          <w:sz w:val="28"/>
          <w:szCs w:val="28"/>
        </w:rPr>
        <w:t>（四）公司“五分开”情况</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1"/>
          <w:sz w:val="28"/>
          <w:szCs w:val="28"/>
        </w:rPr>
        <w:t>1、业务分开：公司具有独立完整的业务及自主经营能力。</w:t>
      </w:r>
    </w:p>
    <w:p>
      <w:pPr>
        <w:spacing w:after="0" w:line="326" w:lineRule="auto"/>
        <w:jc w:val="left"/>
        <w:rPr>
          <w:rFonts w:ascii="宋体" w:hAnsi="宋体" w:cs="宋体" w:eastAsia="宋体" w:hint="default"/>
          <w:sz w:val="28"/>
          <w:szCs w:val="28"/>
        </w:rPr>
        <w:sectPr>
          <w:pgSz w:w="11910" w:h="16840"/>
          <w:pgMar w:header="929" w:footer="837" w:top="1140" w:bottom="1020" w:left="1400" w:right="0"/>
        </w:sectPr>
      </w:pPr>
    </w:p>
    <w:p>
      <w:pPr>
        <w:spacing w:line="240" w:lineRule="auto" w:before="1"/>
        <w:rPr>
          <w:rFonts w:ascii="宋体" w:hAnsi="宋体" w:cs="宋体" w:eastAsia="宋体" w:hint="default"/>
          <w:sz w:val="21"/>
          <w:szCs w:val="21"/>
        </w:rPr>
      </w:pPr>
    </w:p>
    <w:p>
      <w:pPr>
        <w:spacing w:line="328" w:lineRule="auto" w:before="14"/>
        <w:ind w:left="103" w:right="1402" w:firstLine="0"/>
        <w:jc w:val="left"/>
        <w:rPr>
          <w:rFonts w:ascii="宋体" w:hAnsi="宋体" w:cs="宋体" w:eastAsia="宋体" w:hint="default"/>
          <w:sz w:val="28"/>
          <w:szCs w:val="28"/>
        </w:rPr>
      </w:pPr>
      <w:r>
        <w:rPr>
          <w:rFonts w:ascii="宋体" w:hAnsi="宋体" w:cs="宋体" w:eastAsia="宋体" w:hint="default"/>
          <w:sz w:val="28"/>
          <w:szCs w:val="28"/>
        </w:rPr>
        <w:t>2、人员分开：公司在劳动、人事和工资管理等方面完全独立；总经理</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及其他高级管理人员未在股东单位兼职。</w:t>
      </w:r>
      <w:r>
        <w:rPr>
          <w:rFonts w:ascii="宋体" w:hAnsi="宋体" w:cs="宋体" w:eastAsia="宋体" w:hint="default"/>
          <w:w w:val="100"/>
          <w:sz w:val="28"/>
          <w:szCs w:val="28"/>
        </w:rPr>
        <w:t> </w:t>
      </w:r>
      <w:r>
        <w:rPr>
          <w:rFonts w:ascii="宋体" w:hAnsi="宋体" w:cs="宋体" w:eastAsia="宋体" w:hint="default"/>
          <w:sz w:val="28"/>
          <w:szCs w:val="28"/>
        </w:rPr>
        <w:t>3、资产完整：公司资产完整。</w:t>
      </w:r>
    </w:p>
    <w:p>
      <w:pPr>
        <w:spacing w:before="29"/>
        <w:ind w:left="103" w:right="1402" w:firstLine="0"/>
        <w:jc w:val="left"/>
        <w:rPr>
          <w:rFonts w:ascii="宋体" w:hAnsi="宋体" w:cs="宋体" w:eastAsia="宋体" w:hint="default"/>
          <w:sz w:val="28"/>
          <w:szCs w:val="28"/>
        </w:rPr>
      </w:pPr>
      <w:r>
        <w:rPr>
          <w:rFonts w:ascii="宋体" w:hAnsi="宋体" w:cs="宋体" w:eastAsia="宋体" w:hint="default"/>
          <w:sz w:val="28"/>
          <w:szCs w:val="28"/>
        </w:rPr>
        <w:t>4、机构分开：公司董事会、监事会及其他内部机构完全独立运作。</w:t>
      </w:r>
    </w:p>
    <w:p>
      <w:pPr>
        <w:spacing w:line="326" w:lineRule="auto" w:before="135"/>
        <w:ind w:left="103" w:right="1402" w:firstLine="0"/>
        <w:jc w:val="left"/>
        <w:rPr>
          <w:rFonts w:ascii="宋体" w:hAnsi="宋体" w:cs="宋体" w:eastAsia="宋体" w:hint="default"/>
          <w:sz w:val="28"/>
          <w:szCs w:val="28"/>
        </w:rPr>
      </w:pPr>
      <w:r>
        <w:rPr>
          <w:rFonts w:ascii="宋体" w:hAnsi="宋体" w:cs="宋体" w:eastAsia="宋体" w:hint="default"/>
          <w:sz w:val="28"/>
          <w:szCs w:val="28"/>
        </w:rPr>
        <w:t>5、财务分开：公司按着有关法律、法规的要求建立健全了独立的财务</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和会计管理体系，依法独立核算和纳税。</w:t>
      </w:r>
    </w:p>
    <w:p>
      <w:pPr>
        <w:spacing w:line="328" w:lineRule="auto" w:before="32"/>
        <w:ind w:left="103" w:right="1402" w:firstLine="0"/>
        <w:jc w:val="left"/>
        <w:rPr>
          <w:rFonts w:ascii="宋体" w:hAnsi="宋体" w:cs="宋体" w:eastAsia="宋体" w:hint="default"/>
          <w:sz w:val="28"/>
          <w:szCs w:val="28"/>
        </w:rPr>
      </w:pPr>
      <w:r>
        <w:rPr>
          <w:rFonts w:ascii="宋体" w:hAnsi="宋体" w:cs="宋体" w:eastAsia="宋体" w:hint="default"/>
          <w:spacing w:val="-3"/>
          <w:sz w:val="28"/>
          <w:szCs w:val="28"/>
        </w:rPr>
        <w:t>（五）报告期公司高管人员的考评及激励机制、相关奖励制度的建立实</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施情况</w:t>
      </w:r>
    </w:p>
    <w:p>
      <w:pPr>
        <w:spacing w:line="328" w:lineRule="auto" w:before="29"/>
        <w:ind w:left="103" w:right="1583" w:firstLine="559"/>
        <w:jc w:val="both"/>
        <w:rPr>
          <w:rFonts w:ascii="宋体" w:hAnsi="宋体" w:cs="宋体" w:eastAsia="宋体" w:hint="default"/>
          <w:sz w:val="28"/>
          <w:szCs w:val="28"/>
        </w:rPr>
      </w:pPr>
      <w:r>
        <w:rPr>
          <w:rFonts w:ascii="宋体" w:hAnsi="宋体" w:cs="宋体" w:eastAsia="宋体" w:hint="default"/>
          <w:spacing w:val="-4"/>
          <w:sz w:val="28"/>
          <w:szCs w:val="28"/>
        </w:rPr>
        <w:t>公司正逐步建立公正、透明的董事、监事和高级管理人员的绩效评</w:t>
      </w:r>
      <w:r>
        <w:rPr>
          <w:rFonts w:ascii="宋体" w:hAnsi="宋体" w:cs="宋体" w:eastAsia="宋体" w:hint="default"/>
          <w:w w:val="100"/>
          <w:sz w:val="28"/>
          <w:szCs w:val="28"/>
        </w:rPr>
        <w:t> </w:t>
      </w:r>
      <w:r>
        <w:rPr>
          <w:rFonts w:ascii="宋体" w:hAnsi="宋体" w:cs="宋体" w:eastAsia="宋体" w:hint="default"/>
          <w:sz w:val="28"/>
          <w:szCs w:val="28"/>
        </w:rPr>
        <w:t>价及激励制度。现主要按照</w:t>
      </w:r>
      <w:r>
        <w:rPr>
          <w:rFonts w:ascii="宋体" w:hAnsi="宋体" w:cs="宋体" w:eastAsia="宋体" w:hint="default"/>
          <w:spacing w:val="-4"/>
          <w:sz w:val="28"/>
          <w:szCs w:val="28"/>
        </w:rPr>
        <w:t> </w:t>
      </w:r>
      <w:r>
        <w:rPr>
          <w:rFonts w:ascii="宋体" w:hAnsi="宋体" w:cs="宋体" w:eastAsia="宋体" w:hint="default"/>
          <w:sz w:val="28"/>
          <w:szCs w:val="28"/>
        </w:rPr>
        <w:t>《薪酬与考核委员会工作细则》和《经营</w:t>
      </w:r>
      <w:r>
        <w:rPr>
          <w:rFonts w:ascii="宋体" w:hAnsi="宋体" w:cs="宋体" w:eastAsia="宋体" w:hint="default"/>
          <w:w w:val="100"/>
          <w:sz w:val="28"/>
          <w:szCs w:val="28"/>
        </w:rPr>
        <w:t> </w:t>
      </w:r>
      <w:r>
        <w:rPr>
          <w:rFonts w:ascii="宋体" w:hAnsi="宋体" w:cs="宋体" w:eastAsia="宋体" w:hint="default"/>
          <w:sz w:val="28"/>
          <w:szCs w:val="28"/>
        </w:rPr>
        <w:t>绩效考核办法》等相关规定执行。</w:t>
      </w:r>
    </w:p>
    <w:p>
      <w:pPr>
        <w:spacing w:line="240" w:lineRule="auto" w:before="0"/>
        <w:rPr>
          <w:rFonts w:ascii="宋体" w:hAnsi="宋体" w:cs="宋体" w:eastAsia="宋体" w:hint="default"/>
          <w:sz w:val="28"/>
          <w:szCs w:val="28"/>
        </w:rPr>
      </w:pPr>
    </w:p>
    <w:p>
      <w:pPr>
        <w:pStyle w:val="Heading1"/>
        <w:spacing w:line="240" w:lineRule="auto" w:before="223"/>
        <w:ind w:right="1566"/>
        <w:jc w:val="center"/>
      </w:pPr>
      <w:r>
        <w:rPr/>
        <w:pict>
          <v:shape style="position:absolute;margin-left:103.08847pt;margin-top:31.935797pt;width:392.95pt;height:64.3pt;mso-position-horizontal-relative:page;mso-position-vertical-relative:paragraph;z-index:-555760;rotation:315" type="#_x0000_t136" fillcolor="#e0e0e0" stroked="f">
            <o:extrusion v:ext="view" autorotationcenter="t"/>
            <v:textpath style="font-family:&amp;quot;Arial&amp;quot;;font-size:64pt;v-text-kern:t;mso-text-shadow:auto" string="UnRegistered"/>
            <w10:wrap type="none"/>
          </v:shape>
        </w:pict>
      </w:r>
      <w:r>
        <w:rPr/>
        <w:t>六、内部控制</w:t>
      </w:r>
    </w:p>
    <w:p>
      <w:pPr>
        <w:spacing w:line="240" w:lineRule="auto" w:before="0"/>
        <w:rPr>
          <w:rFonts w:ascii="宋体" w:hAnsi="宋体" w:cs="宋体" w:eastAsia="宋体" w:hint="default"/>
          <w:sz w:val="32"/>
          <w:szCs w:val="32"/>
        </w:rPr>
      </w:pPr>
    </w:p>
    <w:p>
      <w:pPr>
        <w:spacing w:line="240" w:lineRule="auto" w:before="3"/>
        <w:rPr>
          <w:rFonts w:ascii="宋体" w:hAnsi="宋体" w:cs="宋体" w:eastAsia="宋体" w:hint="default"/>
          <w:sz w:val="25"/>
          <w:szCs w:val="25"/>
        </w:rPr>
      </w:pPr>
    </w:p>
    <w:p>
      <w:pPr>
        <w:pStyle w:val="Heading2"/>
        <w:spacing w:line="240" w:lineRule="auto" w:before="0"/>
        <w:ind w:right="1402"/>
        <w:jc w:val="left"/>
      </w:pPr>
      <w:r>
        <w:rPr/>
        <w:t>(一)公司建立年报信息披露重大差错责任追究制度情况</w:t>
      </w:r>
    </w:p>
    <w:p>
      <w:pPr>
        <w:spacing w:line="326" w:lineRule="auto" w:before="144"/>
        <w:ind w:left="103" w:right="1579" w:firstLine="559"/>
        <w:jc w:val="left"/>
        <w:rPr>
          <w:rFonts w:ascii="宋体" w:hAnsi="宋体" w:cs="宋体" w:eastAsia="宋体" w:hint="default"/>
          <w:sz w:val="28"/>
          <w:szCs w:val="28"/>
        </w:rPr>
      </w:pPr>
      <w:r>
        <w:rPr>
          <w:rFonts w:ascii="宋体" w:hAnsi="宋体" w:cs="宋体" w:eastAsia="宋体" w:hint="default"/>
          <w:spacing w:val="-1"/>
          <w:w w:val="100"/>
          <w:sz w:val="28"/>
          <w:szCs w:val="28"/>
        </w:rPr>
        <w:t>2011</w:t>
      </w:r>
      <w:r>
        <w:rPr>
          <w:rFonts w:ascii="宋体" w:hAnsi="宋体" w:cs="宋体" w:eastAsia="宋体" w:hint="default"/>
          <w:spacing w:val="-93"/>
          <w:w w:val="100"/>
          <w:sz w:val="28"/>
          <w:szCs w:val="28"/>
        </w:rPr>
        <w:t> </w:t>
      </w:r>
      <w:r>
        <w:rPr>
          <w:rFonts w:ascii="宋体" w:hAnsi="宋体" w:cs="宋体" w:eastAsia="宋体" w:hint="default"/>
          <w:w w:val="100"/>
          <w:sz w:val="28"/>
          <w:szCs w:val="28"/>
        </w:rPr>
        <w:t>年</w:t>
      </w:r>
      <w:r>
        <w:rPr>
          <w:rFonts w:ascii="宋体" w:hAnsi="宋体" w:cs="宋体" w:eastAsia="宋体" w:hint="default"/>
          <w:spacing w:val="-94"/>
          <w:w w:val="100"/>
          <w:sz w:val="28"/>
          <w:szCs w:val="28"/>
        </w:rPr>
        <w:t> </w:t>
      </w:r>
      <w:r>
        <w:rPr>
          <w:rFonts w:ascii="宋体" w:hAnsi="宋体" w:cs="宋体" w:eastAsia="宋体" w:hint="default"/>
          <w:spacing w:val="-1"/>
          <w:w w:val="100"/>
          <w:sz w:val="28"/>
          <w:szCs w:val="28"/>
        </w:rPr>
        <w:t>12</w:t>
      </w:r>
      <w:r>
        <w:rPr>
          <w:rFonts w:ascii="宋体" w:hAnsi="宋体" w:cs="宋体" w:eastAsia="宋体" w:hint="default"/>
          <w:spacing w:val="-93"/>
          <w:w w:val="100"/>
          <w:sz w:val="28"/>
          <w:szCs w:val="28"/>
        </w:rPr>
        <w:t> </w:t>
      </w:r>
      <w:r>
        <w:rPr>
          <w:rFonts w:ascii="宋体" w:hAnsi="宋体" w:cs="宋体" w:eastAsia="宋体" w:hint="default"/>
          <w:w w:val="100"/>
          <w:sz w:val="28"/>
          <w:szCs w:val="28"/>
        </w:rPr>
        <w:t>月</w:t>
      </w:r>
      <w:r>
        <w:rPr>
          <w:rFonts w:ascii="宋体" w:hAnsi="宋体" w:cs="宋体" w:eastAsia="宋体" w:hint="default"/>
          <w:spacing w:val="-98"/>
          <w:w w:val="100"/>
          <w:sz w:val="28"/>
          <w:szCs w:val="28"/>
        </w:rPr>
        <w:t> </w:t>
      </w:r>
      <w:r>
        <w:rPr>
          <w:rFonts w:ascii="宋体" w:hAnsi="宋体" w:cs="宋体" w:eastAsia="宋体" w:hint="default"/>
          <w:w w:val="100"/>
          <w:sz w:val="28"/>
          <w:szCs w:val="28"/>
        </w:rPr>
        <w:t>8</w:t>
      </w:r>
      <w:r>
        <w:rPr>
          <w:rFonts w:ascii="宋体" w:hAnsi="宋体" w:cs="宋体" w:eastAsia="宋体" w:hint="default"/>
          <w:spacing w:val="-93"/>
          <w:w w:val="100"/>
          <w:sz w:val="28"/>
          <w:szCs w:val="28"/>
        </w:rPr>
        <w:t> </w:t>
      </w:r>
      <w:r>
        <w:rPr>
          <w:rFonts w:ascii="宋体" w:hAnsi="宋体" w:cs="宋体" w:eastAsia="宋体" w:hint="default"/>
          <w:spacing w:val="-8"/>
          <w:w w:val="100"/>
          <w:sz w:val="28"/>
          <w:szCs w:val="28"/>
        </w:rPr>
        <w:t>日召开的公司六届十二次董事会会议审议通过了《年</w:t>
      </w:r>
      <w:r>
        <w:rPr>
          <w:rFonts w:ascii="宋体" w:hAnsi="宋体" w:cs="宋体" w:eastAsia="宋体" w:hint="default"/>
          <w:w w:val="100"/>
          <w:sz w:val="28"/>
          <w:szCs w:val="28"/>
        </w:rPr>
        <w:t> </w:t>
      </w:r>
      <w:r>
        <w:rPr>
          <w:rFonts w:ascii="宋体" w:hAnsi="宋体" w:cs="宋体" w:eastAsia="宋体" w:hint="default"/>
          <w:spacing w:val="-4"/>
          <w:w w:val="100"/>
          <w:sz w:val="28"/>
          <w:szCs w:val="28"/>
        </w:rPr>
        <w:t>报信息披露重大差错责任追究制度》，对年报编制工作进行了明确分工</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z w:val="28"/>
          <w:szCs w:val="28"/>
        </w:rPr>
        <w:t>和责任划分，同时规定了相应的罚则。</w:t>
      </w:r>
      <w:r>
        <w:rPr>
          <w:rFonts w:ascii="宋体" w:hAnsi="宋体" w:cs="宋体" w:eastAsia="宋体" w:hint="default"/>
          <w:w w:val="100"/>
          <w:sz w:val="28"/>
          <w:szCs w:val="28"/>
        </w:rPr>
        <w:t> </w:t>
      </w:r>
      <w:r>
        <w:rPr>
          <w:rFonts w:ascii="宋体" w:hAnsi="宋体" w:cs="宋体" w:eastAsia="宋体" w:hint="default"/>
          <w:sz w:val="28"/>
          <w:szCs w:val="28"/>
        </w:rPr>
        <w:t>(二)公司建立财务报告内控制度情况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1、公司按照《中华人民共和国会计法》、《企业会计准则》、《企业</w:t>
      </w:r>
      <w:r>
        <w:rPr>
          <w:rFonts w:ascii="宋体" w:hAnsi="宋体" w:cs="宋体" w:eastAsia="宋体" w:hint="default"/>
          <w:w w:val="100"/>
          <w:sz w:val="28"/>
          <w:szCs w:val="28"/>
        </w:rPr>
        <w:t> </w:t>
      </w:r>
      <w:r>
        <w:rPr>
          <w:rFonts w:ascii="宋体" w:hAnsi="宋体" w:cs="宋体" w:eastAsia="宋体" w:hint="default"/>
          <w:spacing w:val="-3"/>
          <w:sz w:val="28"/>
          <w:szCs w:val="28"/>
        </w:rPr>
        <w:t>内部控制基本规范》及配套指引等国家有关法律法规，建立了较为完善</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4"/>
          <w:sz w:val="28"/>
          <w:szCs w:val="28"/>
        </w:rPr>
        <w:t>的财务会计制度和内部控制体系，提高了会计核算质量，加强和规范了</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4"/>
          <w:sz w:val="28"/>
          <w:szCs w:val="28"/>
        </w:rPr>
        <w:t>财务在公司运行与项目开发过程中对预算、成本、资金等管理环节所起</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到得监督和控制作用。</w:t>
      </w:r>
      <w:r>
        <w:rPr>
          <w:rFonts w:ascii="宋体" w:hAnsi="宋体" w:cs="宋体" w:eastAsia="宋体" w:hint="default"/>
          <w:w w:val="100"/>
          <w:sz w:val="28"/>
          <w:szCs w:val="28"/>
        </w:rPr>
        <w:t> </w:t>
      </w:r>
      <w:r>
        <w:rPr>
          <w:rFonts w:ascii="宋体" w:hAnsi="宋体" w:cs="宋体" w:eastAsia="宋体" w:hint="default"/>
          <w:sz w:val="28"/>
          <w:szCs w:val="28"/>
        </w:rPr>
        <w:t>2、报告期财务报告内部控制存在的缺陷及整改情况</w:t>
      </w:r>
    </w:p>
    <w:p>
      <w:pPr>
        <w:spacing w:line="326" w:lineRule="auto" w:before="34"/>
        <w:ind w:left="103" w:right="1402" w:firstLine="549"/>
        <w:jc w:val="left"/>
        <w:rPr>
          <w:rFonts w:ascii="宋体" w:hAnsi="宋体" w:cs="宋体" w:eastAsia="宋体" w:hint="default"/>
          <w:sz w:val="28"/>
          <w:szCs w:val="28"/>
        </w:rPr>
      </w:pPr>
      <w:r>
        <w:rPr>
          <w:rFonts w:ascii="宋体" w:hAnsi="宋体" w:cs="宋体" w:eastAsia="宋体" w:hint="default"/>
          <w:spacing w:val="-3"/>
          <w:sz w:val="28"/>
          <w:szCs w:val="28"/>
        </w:rPr>
        <w:t>公司未发现存在内部控制设计或执行方面重大缺陷。随着国家法律</w:t>
      </w:r>
      <w:r>
        <w:rPr>
          <w:rFonts w:ascii="宋体" w:hAnsi="宋体" w:cs="宋体" w:eastAsia="宋体" w:hint="default"/>
          <w:w w:val="100"/>
          <w:sz w:val="28"/>
          <w:szCs w:val="28"/>
        </w:rPr>
        <w:t> </w:t>
      </w:r>
      <w:r>
        <w:rPr>
          <w:rFonts w:ascii="宋体" w:hAnsi="宋体" w:cs="宋体" w:eastAsia="宋体" w:hint="default"/>
          <w:spacing w:val="-3"/>
          <w:sz w:val="28"/>
          <w:szCs w:val="28"/>
        </w:rPr>
        <w:t>法规的进一步完善和企业的不断发展壮大，外部环境的变化和管理要求</w:t>
      </w:r>
    </w:p>
    <w:p>
      <w:pPr>
        <w:spacing w:after="0" w:line="326" w:lineRule="auto"/>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1"/>
        <w:rPr>
          <w:rFonts w:ascii="宋体" w:hAnsi="宋体" w:cs="宋体" w:eastAsia="宋体" w:hint="default"/>
          <w:sz w:val="21"/>
          <w:szCs w:val="21"/>
        </w:rPr>
      </w:pPr>
    </w:p>
    <w:p>
      <w:pPr>
        <w:spacing w:line="328" w:lineRule="auto" w:before="14"/>
        <w:ind w:left="103" w:right="1521" w:firstLine="0"/>
        <w:jc w:val="both"/>
        <w:rPr>
          <w:rFonts w:ascii="宋体" w:hAnsi="宋体" w:cs="宋体" w:eastAsia="宋体" w:hint="default"/>
          <w:sz w:val="28"/>
          <w:szCs w:val="28"/>
        </w:rPr>
      </w:pPr>
      <w:r>
        <w:rPr>
          <w:rFonts w:ascii="宋体" w:hAnsi="宋体" w:cs="宋体" w:eastAsia="宋体" w:hint="default"/>
          <w:spacing w:val="-3"/>
          <w:sz w:val="28"/>
          <w:szCs w:val="28"/>
        </w:rPr>
        <w:t>的不断提高，公司将根据需要进行补充、修订与完善，增强防范风险能</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2"/>
          <w:sz w:val="28"/>
          <w:szCs w:val="28"/>
        </w:rPr>
        <w:t>力，使内部控制制度发挥其应有的作用，提高内部控制的效率和效益。</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z w:val="28"/>
          <w:szCs w:val="28"/>
        </w:rPr>
        <w:t>(三)公司董事会关于内控责任的声明</w:t>
      </w:r>
    </w:p>
    <w:p>
      <w:pPr>
        <w:pStyle w:val="Heading2"/>
        <w:spacing w:line="326" w:lineRule="auto" w:before="29"/>
        <w:ind w:right="1402" w:firstLine="559"/>
        <w:jc w:val="left"/>
        <w:rPr>
          <w:sz w:val="24"/>
          <w:szCs w:val="24"/>
        </w:rPr>
      </w:pPr>
      <w:r>
        <w:rPr/>
        <w:pict>
          <v:shape style="position:absolute;margin-left:103.08847pt;margin-top:250.29985pt;width:392.95pt;height:64.3pt;mso-position-horizontal-relative:page;mso-position-vertical-relative:paragraph;z-index:-555736;rotation:315" type="#_x0000_t136" fillcolor="#e0e0e0" stroked="f">
            <o:extrusion v:ext="view" autorotationcenter="t"/>
            <v:textpath style="font-family:&amp;quot;Arial&amp;quot;;font-size:64pt;v-text-kern:t;mso-text-shadow:auto" string="UnRegistered"/>
            <w10:wrap type="none"/>
          </v:shape>
        </w:pict>
      </w:r>
      <w:r>
        <w:rPr>
          <w:spacing w:val="-4"/>
        </w:rPr>
        <w:t>公司建立了较为完善的内控制度，符合国家有关法律、行政法规和</w:t>
      </w:r>
      <w:r>
        <w:rPr>
          <w:w w:val="100"/>
        </w:rPr>
        <w:t> </w:t>
      </w:r>
      <w:r>
        <w:rPr>
          <w:spacing w:val="-3"/>
        </w:rPr>
        <w:t>部门规章的要求，内控制度具有合法性、合理性和有效性。公司内部控</w:t>
      </w:r>
      <w:r>
        <w:rPr>
          <w:spacing w:val="-114"/>
        </w:rPr>
        <w:t> </w:t>
      </w:r>
      <w:r>
        <w:rPr>
          <w:spacing w:val="-114"/>
        </w:rPr>
      </w:r>
      <w:r>
        <w:rPr/>
        <w:t>制活动涵盖了公司经营管理活动的所有环节，具有较为科学合理的决</w:t>
      </w:r>
      <w:r>
        <w:rPr>
          <w:w w:val="100"/>
        </w:rPr>
        <w:t> </w:t>
      </w:r>
      <w:r>
        <w:rPr>
          <w:spacing w:val="-3"/>
        </w:rPr>
        <w:t>策、执行和监督机制，并能够得到有效的贯彻落实，保证了公司的规范</w:t>
      </w:r>
      <w:r>
        <w:rPr>
          <w:spacing w:val="-115"/>
        </w:rPr>
        <w:t> </w:t>
      </w:r>
      <w:r>
        <w:rPr>
          <w:spacing w:val="-115"/>
        </w:rPr>
      </w:r>
      <w:r>
        <w:rPr>
          <w:spacing w:val="-4"/>
        </w:rPr>
        <w:t>运作和业务活动的正常有序进行。公司董事会认为公司的内部控制是有</w:t>
      </w:r>
      <w:r>
        <w:rPr>
          <w:spacing w:val="-86"/>
        </w:rPr>
        <w:t> </w:t>
      </w:r>
      <w:r>
        <w:rPr>
          <w:spacing w:val="-86"/>
        </w:rPr>
      </w:r>
      <w:r>
        <w:rPr>
          <w:spacing w:val="-2"/>
        </w:rPr>
        <w:t>效的。随着内外部经营环境的改变，公司将不断完善公司的内部控制，</w:t>
      </w:r>
      <w:r>
        <w:rPr>
          <w:spacing w:val="-88"/>
        </w:rPr>
        <w:t> </w:t>
      </w:r>
      <w:r>
        <w:rPr>
          <w:spacing w:val="-88"/>
        </w:rPr>
      </w:r>
      <w:r>
        <w:rPr>
          <w:spacing w:val="-4"/>
        </w:rPr>
        <w:t>使之始终能够适应公司发展和相关法律法规的要求。公司董事会及全体</w:t>
      </w:r>
      <w:r>
        <w:rPr>
          <w:spacing w:val="-86"/>
        </w:rPr>
        <w:t> </w:t>
      </w:r>
      <w:r>
        <w:rPr>
          <w:spacing w:val="-86"/>
        </w:rPr>
      </w:r>
      <w:r>
        <w:rPr>
          <w:spacing w:val="-3"/>
        </w:rPr>
        <w:t>董事保证公司《内部控制自我评价报告》内容不存在任何虚假记载、误</w:t>
      </w:r>
      <w:r>
        <w:rPr>
          <w:spacing w:val="-115"/>
        </w:rPr>
        <w:t> </w:t>
      </w:r>
      <w:r>
        <w:rPr>
          <w:spacing w:val="-115"/>
        </w:rPr>
      </w:r>
      <w:r>
        <w:rPr>
          <w:spacing w:val="-4"/>
        </w:rPr>
        <w:t>导性陈述或重大遗漏，并对报告内容的真实性、准确性和完整性承担个</w:t>
      </w:r>
      <w:r>
        <w:rPr>
          <w:spacing w:val="-87"/>
        </w:rPr>
        <w:t> </w:t>
      </w:r>
      <w:r>
        <w:rPr>
          <w:spacing w:val="-87"/>
        </w:rPr>
      </w:r>
      <w:r>
        <w:rPr/>
        <w:t>别及</w:t>
      </w:r>
      <w:r>
        <w:rPr>
          <w:sz w:val="24"/>
          <w:szCs w:val="24"/>
        </w:rPr>
        <w:t>连带责任。</w:t>
      </w:r>
    </w:p>
    <w:p>
      <w:pPr>
        <w:spacing w:line="240" w:lineRule="auto" w:before="10"/>
        <w:rPr>
          <w:rFonts w:ascii="宋体" w:hAnsi="宋体" w:cs="宋体" w:eastAsia="宋体" w:hint="default"/>
          <w:sz w:val="41"/>
          <w:szCs w:val="41"/>
        </w:rPr>
      </w:pPr>
    </w:p>
    <w:p>
      <w:pPr>
        <w:spacing w:before="0"/>
        <w:ind w:left="81" w:right="1566" w:firstLine="0"/>
        <w:jc w:val="center"/>
        <w:rPr>
          <w:rFonts w:ascii="宋体" w:hAnsi="宋体" w:cs="宋体" w:eastAsia="宋体" w:hint="default"/>
          <w:sz w:val="32"/>
          <w:szCs w:val="32"/>
        </w:rPr>
      </w:pPr>
      <w:r>
        <w:rPr>
          <w:rFonts w:ascii="宋体" w:hAnsi="宋体" w:cs="宋体" w:eastAsia="宋体" w:hint="default"/>
          <w:sz w:val="32"/>
          <w:szCs w:val="32"/>
        </w:rPr>
        <w:t>七、股东大会情况简介</w:t>
      </w:r>
    </w:p>
    <w:p>
      <w:pPr>
        <w:spacing w:line="240" w:lineRule="auto" w:before="0"/>
        <w:rPr>
          <w:rFonts w:ascii="宋体" w:hAnsi="宋体" w:cs="宋体" w:eastAsia="宋体" w:hint="default"/>
          <w:sz w:val="32"/>
          <w:szCs w:val="32"/>
        </w:rPr>
      </w:pPr>
    </w:p>
    <w:p>
      <w:pPr>
        <w:spacing w:before="210"/>
        <w:ind w:left="662" w:right="1402" w:firstLine="0"/>
        <w:jc w:val="left"/>
        <w:rPr>
          <w:rFonts w:ascii="宋体" w:hAnsi="宋体" w:cs="宋体" w:eastAsia="宋体" w:hint="default"/>
          <w:sz w:val="28"/>
          <w:szCs w:val="28"/>
        </w:rPr>
      </w:pPr>
      <w:r>
        <w:rPr>
          <w:rFonts w:ascii="宋体" w:hAnsi="宋体" w:cs="宋体" w:eastAsia="宋体" w:hint="default"/>
          <w:sz w:val="28"/>
          <w:szCs w:val="28"/>
        </w:rPr>
        <w:t>公司于</w:t>
      </w:r>
      <w:r>
        <w:rPr>
          <w:rFonts w:ascii="宋体" w:hAnsi="宋体" w:cs="宋体" w:eastAsia="宋体" w:hint="default"/>
          <w:spacing w:val="-66"/>
          <w:sz w:val="28"/>
          <w:szCs w:val="28"/>
        </w:rPr>
        <w:t> </w:t>
      </w:r>
      <w:r>
        <w:rPr>
          <w:rFonts w:ascii="宋体" w:hAnsi="宋体" w:cs="宋体" w:eastAsia="宋体" w:hint="default"/>
          <w:sz w:val="28"/>
          <w:szCs w:val="28"/>
        </w:rPr>
        <w:t>2011</w:t>
      </w:r>
      <w:r>
        <w:rPr>
          <w:rFonts w:ascii="宋体" w:hAnsi="宋体" w:cs="宋体" w:eastAsia="宋体" w:hint="default"/>
          <w:spacing w:val="-65"/>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3</w:t>
      </w:r>
      <w:r>
        <w:rPr>
          <w:rFonts w:ascii="宋体" w:hAnsi="宋体" w:cs="宋体" w:eastAsia="宋体" w:hint="default"/>
          <w:spacing w:val="-65"/>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宋体" w:hAnsi="宋体" w:cs="宋体" w:eastAsia="宋体" w:hint="default"/>
          <w:sz w:val="28"/>
          <w:szCs w:val="28"/>
        </w:rPr>
        <w:t>26</w:t>
      </w:r>
      <w:r>
        <w:rPr>
          <w:rFonts w:ascii="宋体" w:hAnsi="宋体" w:cs="宋体" w:eastAsia="宋体" w:hint="default"/>
          <w:spacing w:val="-65"/>
          <w:sz w:val="28"/>
          <w:szCs w:val="28"/>
        </w:rPr>
        <w:t> </w:t>
      </w:r>
      <w:r>
        <w:rPr>
          <w:rFonts w:ascii="宋体" w:hAnsi="宋体" w:cs="宋体" w:eastAsia="宋体" w:hint="default"/>
          <w:spacing w:val="-5"/>
          <w:sz w:val="28"/>
          <w:szCs w:val="28"/>
        </w:rPr>
        <w:t>日在《中国证券报》和《证券时报》刊登召</w:t>
      </w:r>
    </w:p>
    <w:p>
      <w:pPr>
        <w:spacing w:before="132"/>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开</w:t>
      </w:r>
      <w:r>
        <w:rPr>
          <w:rFonts w:ascii="宋体" w:hAnsi="宋体" w:cs="宋体" w:eastAsia="宋体" w:hint="default"/>
          <w:spacing w:val="-71"/>
          <w:sz w:val="28"/>
          <w:szCs w:val="28"/>
        </w:rPr>
        <w:t> </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01</w:t>
      </w:r>
      <w:r>
        <w:rPr>
          <w:rFonts w:ascii="宋体" w:hAnsi="宋体" w:cs="宋体" w:eastAsia="宋体" w:hint="default"/>
          <w:w w:val="100"/>
          <w:sz w:val="28"/>
          <w:szCs w:val="28"/>
        </w:rPr>
        <w:t>0</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3"/>
          <w:w w:val="100"/>
          <w:sz w:val="28"/>
          <w:szCs w:val="28"/>
        </w:rPr>
        <w:t>年</w:t>
      </w:r>
      <w:r>
        <w:rPr>
          <w:rFonts w:ascii="宋体" w:hAnsi="宋体" w:cs="宋体" w:eastAsia="宋体" w:hint="default"/>
          <w:w w:val="100"/>
          <w:sz w:val="28"/>
          <w:szCs w:val="28"/>
        </w:rPr>
        <w:t>度股</w:t>
      </w:r>
      <w:r>
        <w:rPr>
          <w:rFonts w:ascii="宋体" w:hAnsi="宋体" w:cs="宋体" w:eastAsia="宋体" w:hint="default"/>
          <w:spacing w:val="-3"/>
          <w:w w:val="100"/>
          <w:sz w:val="28"/>
          <w:szCs w:val="28"/>
        </w:rPr>
        <w:t>东</w:t>
      </w:r>
      <w:r>
        <w:rPr>
          <w:rFonts w:ascii="宋体" w:hAnsi="宋体" w:cs="宋体" w:eastAsia="宋体" w:hint="default"/>
          <w:w w:val="100"/>
          <w:sz w:val="28"/>
          <w:szCs w:val="28"/>
        </w:rPr>
        <w:t>大会会</w:t>
      </w:r>
      <w:r>
        <w:rPr>
          <w:rFonts w:ascii="宋体" w:hAnsi="宋体" w:cs="宋体" w:eastAsia="宋体" w:hint="default"/>
          <w:spacing w:val="-3"/>
          <w:w w:val="100"/>
          <w:sz w:val="28"/>
          <w:szCs w:val="28"/>
        </w:rPr>
        <w:t>议</w:t>
      </w:r>
      <w:r>
        <w:rPr>
          <w:rFonts w:ascii="宋体" w:hAnsi="宋体" w:cs="宋体" w:eastAsia="宋体" w:hint="default"/>
          <w:w w:val="100"/>
          <w:sz w:val="28"/>
          <w:szCs w:val="28"/>
        </w:rPr>
        <w:t>通</w:t>
      </w:r>
      <w:r>
        <w:rPr>
          <w:rFonts w:ascii="宋体" w:hAnsi="宋体" w:cs="宋体" w:eastAsia="宋体" w:hint="default"/>
          <w:spacing w:val="-3"/>
          <w:w w:val="100"/>
          <w:sz w:val="28"/>
          <w:szCs w:val="28"/>
        </w:rPr>
        <w:t>知</w:t>
      </w:r>
      <w:r>
        <w:rPr>
          <w:rFonts w:ascii="宋体" w:hAnsi="宋体" w:cs="宋体" w:eastAsia="宋体" w:hint="default"/>
          <w:spacing w:val="-132"/>
          <w:w w:val="100"/>
          <w:sz w:val="28"/>
          <w:szCs w:val="28"/>
        </w:rPr>
        <w:t>，</w:t>
      </w:r>
      <w:r>
        <w:rPr>
          <w:rFonts w:ascii="宋体" w:hAnsi="宋体" w:cs="宋体" w:eastAsia="宋体" w:hint="default"/>
          <w:w w:val="100"/>
          <w:sz w:val="28"/>
          <w:szCs w:val="28"/>
        </w:rPr>
        <w:t>4</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3"/>
          <w:sz w:val="28"/>
          <w:szCs w:val="28"/>
        </w:rPr>
        <w:t> </w:t>
      </w:r>
      <w:r>
        <w:rPr>
          <w:rFonts w:ascii="宋体" w:hAnsi="宋体" w:cs="宋体" w:eastAsia="宋体" w:hint="default"/>
          <w:w w:val="100"/>
          <w:sz w:val="28"/>
          <w:szCs w:val="28"/>
        </w:rPr>
        <w:t>9</w:t>
      </w:r>
      <w:r>
        <w:rPr>
          <w:rFonts w:ascii="宋体" w:hAnsi="宋体" w:cs="宋体" w:eastAsia="宋体" w:hint="default"/>
          <w:spacing w:val="-70"/>
          <w:sz w:val="28"/>
          <w:szCs w:val="28"/>
        </w:rPr>
        <w:t> </w:t>
      </w:r>
      <w:r>
        <w:rPr>
          <w:rFonts w:ascii="宋体" w:hAnsi="宋体" w:cs="宋体" w:eastAsia="宋体" w:hint="default"/>
          <w:w w:val="100"/>
          <w:sz w:val="28"/>
          <w:szCs w:val="28"/>
        </w:rPr>
        <w:t>日刊</w:t>
      </w:r>
      <w:r>
        <w:rPr>
          <w:rFonts w:ascii="宋体" w:hAnsi="宋体" w:cs="宋体" w:eastAsia="宋体" w:hint="default"/>
          <w:spacing w:val="-3"/>
          <w:w w:val="100"/>
          <w:sz w:val="28"/>
          <w:szCs w:val="28"/>
        </w:rPr>
        <w:t>登</w:t>
      </w:r>
      <w:r>
        <w:rPr>
          <w:rFonts w:ascii="宋体" w:hAnsi="宋体" w:cs="宋体" w:eastAsia="宋体" w:hint="default"/>
          <w:w w:val="100"/>
          <w:sz w:val="28"/>
          <w:szCs w:val="28"/>
        </w:rPr>
        <w:t>召开</w:t>
      </w:r>
      <w:r>
        <w:rPr>
          <w:rFonts w:ascii="宋体" w:hAnsi="宋体" w:cs="宋体" w:eastAsia="宋体" w:hint="default"/>
          <w:spacing w:val="-3"/>
          <w:w w:val="100"/>
          <w:sz w:val="28"/>
          <w:szCs w:val="28"/>
        </w:rPr>
        <w:t>年</w:t>
      </w:r>
      <w:r>
        <w:rPr>
          <w:rFonts w:ascii="宋体" w:hAnsi="宋体" w:cs="宋体" w:eastAsia="宋体" w:hint="default"/>
          <w:w w:val="100"/>
          <w:sz w:val="28"/>
          <w:szCs w:val="28"/>
        </w:rPr>
        <w:t>度</w:t>
      </w:r>
      <w:r>
        <w:rPr>
          <w:rFonts w:ascii="宋体" w:hAnsi="宋体" w:cs="宋体" w:eastAsia="宋体" w:hint="default"/>
          <w:spacing w:val="-3"/>
          <w:w w:val="100"/>
          <w:sz w:val="28"/>
          <w:szCs w:val="28"/>
        </w:rPr>
        <w:t>股</w:t>
      </w:r>
      <w:r>
        <w:rPr>
          <w:rFonts w:ascii="宋体" w:hAnsi="宋体" w:cs="宋体" w:eastAsia="宋体" w:hint="default"/>
          <w:w w:val="100"/>
          <w:sz w:val="28"/>
          <w:szCs w:val="28"/>
        </w:rPr>
        <w:t>东大会</w:t>
      </w:r>
      <w:r>
        <w:rPr>
          <w:rFonts w:ascii="宋体" w:hAnsi="宋体" w:cs="宋体" w:eastAsia="宋体" w:hint="default"/>
          <w:spacing w:val="-3"/>
          <w:w w:val="100"/>
          <w:sz w:val="28"/>
          <w:szCs w:val="28"/>
        </w:rPr>
        <w:t>提</w:t>
      </w:r>
      <w:r>
        <w:rPr>
          <w:rFonts w:ascii="宋体" w:hAnsi="宋体" w:cs="宋体" w:eastAsia="宋体" w:hint="default"/>
          <w:w w:val="100"/>
          <w:sz w:val="28"/>
          <w:szCs w:val="28"/>
        </w:rPr>
        <w:t>示</w:t>
      </w:r>
    </w:p>
    <w:p>
      <w:pPr>
        <w:spacing w:before="132"/>
        <w:ind w:left="103" w:right="0" w:firstLine="0"/>
        <w:jc w:val="both"/>
        <w:rPr>
          <w:rFonts w:ascii="宋体" w:hAnsi="宋体" w:cs="宋体" w:eastAsia="宋体" w:hint="default"/>
          <w:sz w:val="28"/>
          <w:szCs w:val="28"/>
        </w:rPr>
      </w:pPr>
      <w:r>
        <w:rPr>
          <w:rFonts w:ascii="宋体" w:hAnsi="宋体" w:cs="宋体" w:eastAsia="宋体" w:hint="default"/>
          <w:spacing w:val="-11"/>
          <w:sz w:val="28"/>
          <w:szCs w:val="28"/>
        </w:rPr>
        <w:t>性公告，会议于</w:t>
      </w:r>
      <w:r>
        <w:rPr>
          <w:rFonts w:ascii="宋体" w:hAnsi="宋体" w:cs="宋体" w:eastAsia="宋体" w:hint="default"/>
          <w:spacing w:val="-68"/>
          <w:sz w:val="28"/>
          <w:szCs w:val="28"/>
        </w:rPr>
        <w:t> </w:t>
      </w:r>
      <w:r>
        <w:rPr>
          <w:rFonts w:ascii="宋体" w:hAnsi="宋体" w:cs="宋体" w:eastAsia="宋体" w:hint="default"/>
          <w:sz w:val="28"/>
          <w:szCs w:val="28"/>
        </w:rPr>
        <w:t>2011</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4</w:t>
      </w:r>
      <w:r>
        <w:rPr>
          <w:rFonts w:ascii="宋体" w:hAnsi="宋体" w:cs="宋体" w:eastAsia="宋体" w:hint="default"/>
          <w:spacing w:val="-67"/>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15</w:t>
      </w:r>
      <w:r>
        <w:rPr>
          <w:rFonts w:ascii="宋体" w:hAnsi="宋体" w:cs="宋体" w:eastAsia="宋体" w:hint="default"/>
          <w:spacing w:val="-69"/>
          <w:sz w:val="28"/>
          <w:szCs w:val="28"/>
        </w:rPr>
        <w:t> </w:t>
      </w:r>
      <w:r>
        <w:rPr>
          <w:rFonts w:ascii="宋体" w:hAnsi="宋体" w:cs="宋体" w:eastAsia="宋体" w:hint="default"/>
          <w:spacing w:val="-7"/>
          <w:sz w:val="28"/>
          <w:szCs w:val="28"/>
        </w:rPr>
        <w:t>日召开，股东大会决议公告于</w:t>
      </w:r>
      <w:r>
        <w:rPr>
          <w:rFonts w:ascii="宋体" w:hAnsi="宋体" w:cs="宋体" w:eastAsia="宋体" w:hint="default"/>
          <w:spacing w:val="-68"/>
          <w:sz w:val="28"/>
          <w:szCs w:val="28"/>
        </w:rPr>
        <w:t> </w:t>
      </w:r>
      <w:r>
        <w:rPr>
          <w:rFonts w:ascii="宋体" w:hAnsi="宋体" w:cs="宋体" w:eastAsia="宋体" w:hint="default"/>
          <w:sz w:val="28"/>
          <w:szCs w:val="28"/>
        </w:rPr>
        <w:t>2011</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4</w:t>
      </w:r>
    </w:p>
    <w:p>
      <w:pPr>
        <w:spacing w:before="135"/>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1"/>
          <w:w w:val="100"/>
          <w:sz w:val="28"/>
          <w:szCs w:val="28"/>
        </w:rPr>
        <w:t>1</w:t>
      </w:r>
      <w:r>
        <w:rPr>
          <w:rFonts w:ascii="宋体" w:hAnsi="宋体" w:cs="宋体" w:eastAsia="宋体" w:hint="default"/>
          <w:w w:val="100"/>
          <w:sz w:val="28"/>
          <w:szCs w:val="28"/>
        </w:rPr>
        <w:t>6</w:t>
      </w:r>
      <w:r>
        <w:rPr>
          <w:rFonts w:ascii="宋体" w:hAnsi="宋体" w:cs="宋体" w:eastAsia="宋体" w:hint="default"/>
          <w:spacing w:val="-72"/>
          <w:sz w:val="28"/>
          <w:szCs w:val="28"/>
        </w:rPr>
        <w:t> </w:t>
      </w:r>
      <w:r>
        <w:rPr>
          <w:rFonts w:ascii="宋体" w:hAnsi="宋体" w:cs="宋体" w:eastAsia="宋体" w:hint="default"/>
          <w:w w:val="100"/>
          <w:sz w:val="28"/>
          <w:szCs w:val="28"/>
        </w:rPr>
        <w:t>日之</w:t>
      </w:r>
      <w:r>
        <w:rPr>
          <w:rFonts w:ascii="宋体" w:hAnsi="宋体" w:cs="宋体" w:eastAsia="宋体" w:hint="default"/>
          <w:spacing w:val="-3"/>
          <w:w w:val="100"/>
          <w:sz w:val="28"/>
          <w:szCs w:val="28"/>
        </w:rPr>
        <w:t>《</w:t>
      </w:r>
      <w:r>
        <w:rPr>
          <w:rFonts w:ascii="宋体" w:hAnsi="宋体" w:cs="宋体" w:eastAsia="宋体" w:hint="default"/>
          <w:w w:val="100"/>
          <w:sz w:val="28"/>
          <w:szCs w:val="28"/>
        </w:rPr>
        <w:t>中国</w:t>
      </w:r>
      <w:r>
        <w:rPr>
          <w:rFonts w:ascii="宋体" w:hAnsi="宋体" w:cs="宋体" w:eastAsia="宋体" w:hint="default"/>
          <w:spacing w:val="-3"/>
          <w:w w:val="100"/>
          <w:sz w:val="28"/>
          <w:szCs w:val="28"/>
        </w:rPr>
        <w:t>证</w:t>
      </w:r>
      <w:r>
        <w:rPr>
          <w:rFonts w:ascii="宋体" w:hAnsi="宋体" w:cs="宋体" w:eastAsia="宋体" w:hint="default"/>
          <w:w w:val="100"/>
          <w:sz w:val="28"/>
          <w:szCs w:val="28"/>
        </w:rPr>
        <w:t>券报》</w:t>
      </w:r>
      <w:r>
        <w:rPr>
          <w:rFonts w:ascii="宋体" w:hAnsi="宋体" w:cs="宋体" w:eastAsia="宋体" w:hint="default"/>
          <w:spacing w:val="-3"/>
          <w:w w:val="100"/>
          <w:sz w:val="28"/>
          <w:szCs w:val="28"/>
        </w:rPr>
        <w:t>和</w:t>
      </w:r>
      <w:r>
        <w:rPr>
          <w:rFonts w:ascii="宋体" w:hAnsi="宋体" w:cs="宋体" w:eastAsia="宋体" w:hint="default"/>
          <w:w w:val="100"/>
          <w:sz w:val="28"/>
          <w:szCs w:val="28"/>
        </w:rPr>
        <w:t>《证</w:t>
      </w:r>
      <w:r>
        <w:rPr>
          <w:rFonts w:ascii="宋体" w:hAnsi="宋体" w:cs="宋体" w:eastAsia="宋体" w:hint="default"/>
          <w:spacing w:val="-3"/>
          <w:w w:val="100"/>
          <w:sz w:val="28"/>
          <w:szCs w:val="28"/>
        </w:rPr>
        <w:t>券时</w:t>
      </w:r>
      <w:r>
        <w:rPr>
          <w:rFonts w:ascii="宋体" w:hAnsi="宋体" w:cs="宋体" w:eastAsia="宋体" w:hint="default"/>
          <w:spacing w:val="-1"/>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p>
    <w:p>
      <w:pPr>
        <w:spacing w:line="240" w:lineRule="auto" w:before="13"/>
        <w:rPr>
          <w:rFonts w:ascii="宋体" w:hAnsi="宋体" w:cs="宋体" w:eastAsia="宋体" w:hint="default"/>
          <w:sz w:val="41"/>
          <w:szCs w:val="41"/>
        </w:rPr>
      </w:pPr>
    </w:p>
    <w:p>
      <w:pPr>
        <w:spacing w:before="0"/>
        <w:ind w:left="84" w:right="1566" w:firstLine="0"/>
        <w:jc w:val="center"/>
        <w:rPr>
          <w:rFonts w:ascii="宋体" w:hAnsi="宋体" w:cs="宋体" w:eastAsia="宋体" w:hint="default"/>
          <w:sz w:val="32"/>
          <w:szCs w:val="32"/>
        </w:rPr>
      </w:pPr>
      <w:r>
        <w:rPr>
          <w:rFonts w:ascii="宋体" w:hAnsi="宋体" w:cs="宋体" w:eastAsia="宋体" w:hint="default"/>
          <w:sz w:val="32"/>
          <w:szCs w:val="32"/>
        </w:rPr>
        <w:t>八、董事会报告</w:t>
      </w:r>
    </w:p>
    <w:p>
      <w:pPr>
        <w:spacing w:line="240" w:lineRule="auto" w:before="3"/>
        <w:rPr>
          <w:rFonts w:ascii="宋体" w:hAnsi="宋体" w:cs="宋体" w:eastAsia="宋体" w:hint="default"/>
          <w:sz w:val="46"/>
          <w:szCs w:val="46"/>
        </w:rPr>
      </w:pPr>
    </w:p>
    <w:p>
      <w:pPr>
        <w:spacing w:line="326" w:lineRule="auto" w:before="0"/>
        <w:ind w:left="103" w:right="4314" w:firstLine="0"/>
        <w:jc w:val="left"/>
        <w:rPr>
          <w:rFonts w:ascii="宋体" w:hAnsi="宋体" w:cs="宋体" w:eastAsia="宋体" w:hint="default"/>
          <w:sz w:val="28"/>
          <w:szCs w:val="28"/>
        </w:rPr>
      </w:pPr>
      <w:r>
        <w:rPr>
          <w:rFonts w:ascii="宋体" w:hAnsi="宋体" w:cs="宋体" w:eastAsia="宋体" w:hint="default"/>
          <w:spacing w:val="-1"/>
          <w:sz w:val="28"/>
          <w:szCs w:val="28"/>
        </w:rPr>
        <w:t>（一）报告期公司经营情况回顾</w:t>
      </w:r>
      <w:r>
        <w:rPr>
          <w:rFonts w:ascii="宋体" w:hAnsi="宋体" w:cs="宋体" w:eastAsia="宋体" w:hint="default"/>
          <w:spacing w:val="-122"/>
          <w:sz w:val="28"/>
          <w:szCs w:val="28"/>
        </w:rPr>
        <w:t> </w:t>
      </w:r>
      <w:r>
        <w:rPr>
          <w:rFonts w:ascii="宋体" w:hAnsi="宋体" w:cs="宋体" w:eastAsia="宋体" w:hint="default"/>
          <w:spacing w:val="-122"/>
          <w:sz w:val="28"/>
          <w:szCs w:val="28"/>
        </w:rPr>
      </w:r>
      <w:r>
        <w:rPr>
          <w:rFonts w:ascii="宋体" w:hAnsi="宋体" w:cs="宋体" w:eastAsia="宋体" w:hint="default"/>
          <w:sz w:val="28"/>
          <w:szCs w:val="28"/>
        </w:rPr>
        <w:t>1、报告期整体经营情况</w:t>
      </w:r>
    </w:p>
    <w:p>
      <w:pPr>
        <w:spacing w:before="34"/>
        <w:ind w:left="103" w:right="0" w:firstLine="0"/>
        <w:jc w:val="both"/>
        <w:rPr>
          <w:rFonts w:ascii="宋体" w:hAnsi="宋体" w:cs="宋体" w:eastAsia="宋体" w:hint="default"/>
          <w:sz w:val="28"/>
          <w:szCs w:val="28"/>
        </w:rPr>
      </w:pPr>
      <w:r>
        <w:rPr>
          <w:rFonts w:ascii="宋体" w:hAnsi="宋体" w:cs="宋体" w:eastAsia="宋体" w:hint="default"/>
          <w:sz w:val="28"/>
          <w:szCs w:val="28"/>
        </w:rPr>
        <w:t>（1）报告期整体经营情况概述</w:t>
      </w:r>
    </w:p>
    <w:p>
      <w:pPr>
        <w:spacing w:line="326" w:lineRule="auto" w:before="132"/>
        <w:ind w:left="103" w:right="1402" w:firstLine="561"/>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37"/>
          <w:sz w:val="28"/>
          <w:szCs w:val="28"/>
        </w:rPr>
        <w:t> </w:t>
      </w:r>
      <w:r>
        <w:rPr>
          <w:rFonts w:ascii="宋体" w:hAnsi="宋体" w:cs="宋体" w:eastAsia="宋体" w:hint="default"/>
          <w:spacing w:val="-7"/>
          <w:sz w:val="28"/>
          <w:szCs w:val="28"/>
        </w:rPr>
        <w:t>年，公司物业租赁业务继续保持良好态势；河南郑州地产项目</w:t>
      </w:r>
      <w:r>
        <w:rPr>
          <w:rFonts w:ascii="宋体" w:hAnsi="宋体" w:cs="宋体" w:eastAsia="宋体" w:hint="default"/>
          <w:w w:val="100"/>
          <w:sz w:val="28"/>
          <w:szCs w:val="28"/>
        </w:rPr>
        <w:t> </w:t>
      </w:r>
      <w:r>
        <w:rPr>
          <w:rFonts w:ascii="宋体" w:hAnsi="宋体" w:cs="宋体" w:eastAsia="宋体" w:hint="default"/>
          <w:spacing w:val="-4"/>
          <w:sz w:val="28"/>
          <w:szCs w:val="28"/>
        </w:rPr>
        <w:t>成功转让，取得较好的投资收益；贵州煤矿项目达到联合试运转条件进</w:t>
      </w:r>
    </w:p>
    <w:p>
      <w:pPr>
        <w:spacing w:after="0" w:line="326" w:lineRule="auto"/>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1"/>
        <w:rPr>
          <w:rFonts w:ascii="宋体" w:hAnsi="宋体" w:cs="宋体" w:eastAsia="宋体" w:hint="default"/>
          <w:sz w:val="21"/>
          <w:szCs w:val="21"/>
        </w:rPr>
      </w:pPr>
    </w:p>
    <w:p>
      <w:pPr>
        <w:spacing w:before="14"/>
        <w:ind w:left="223" w:right="1402" w:firstLine="0"/>
        <w:jc w:val="left"/>
        <w:rPr>
          <w:rFonts w:ascii="宋体" w:hAnsi="宋体" w:cs="宋体" w:eastAsia="宋体" w:hint="default"/>
          <w:sz w:val="28"/>
          <w:szCs w:val="28"/>
        </w:rPr>
      </w:pPr>
      <w:r>
        <w:rPr>
          <w:rFonts w:ascii="宋体" w:hAnsi="宋体" w:cs="宋体" w:eastAsia="宋体" w:hint="default"/>
          <w:sz w:val="28"/>
          <w:szCs w:val="28"/>
        </w:rPr>
        <w:t>入验收和报批程序；广西矿业项目股权纠纷胜诉。</w:t>
      </w:r>
    </w:p>
    <w:p>
      <w:pPr>
        <w:spacing w:before="135"/>
        <w:ind w:left="0" w:right="1581" w:firstLine="0"/>
        <w:jc w:val="right"/>
        <w:rPr>
          <w:rFonts w:ascii="宋体" w:hAnsi="宋体" w:cs="宋体" w:eastAsia="宋体" w:hint="default"/>
          <w:sz w:val="28"/>
          <w:szCs w:val="28"/>
        </w:rPr>
      </w:pP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w:t>
      </w:r>
      <w:r>
        <w:rPr>
          <w:rFonts w:ascii="宋体" w:hAnsi="宋体" w:cs="宋体" w:eastAsia="宋体" w:hint="default"/>
          <w:spacing w:val="1"/>
          <w:w w:val="100"/>
          <w:sz w:val="28"/>
          <w:szCs w:val="28"/>
        </w:rPr>
        <w:t>1</w:t>
      </w:r>
      <w:r>
        <w:rPr>
          <w:rFonts w:ascii="宋体" w:hAnsi="宋体" w:cs="宋体" w:eastAsia="宋体" w:hint="default"/>
          <w:w w:val="100"/>
          <w:sz w:val="28"/>
          <w:szCs w:val="28"/>
        </w:rPr>
        <w:t>1</w:t>
      </w:r>
      <w:r>
        <w:rPr>
          <w:rFonts w:ascii="宋体" w:hAnsi="宋体" w:cs="宋体" w:eastAsia="宋体" w:hint="default"/>
          <w:spacing w:val="-72"/>
          <w:sz w:val="28"/>
          <w:szCs w:val="28"/>
        </w:rPr>
        <w:t> </w:t>
      </w:r>
      <w:r>
        <w:rPr>
          <w:rFonts w:ascii="宋体" w:hAnsi="宋体" w:cs="宋体" w:eastAsia="宋体" w:hint="default"/>
          <w:w w:val="100"/>
          <w:sz w:val="28"/>
          <w:szCs w:val="28"/>
        </w:rPr>
        <w:t>年</w:t>
      </w:r>
      <w:r>
        <w:rPr>
          <w:rFonts w:ascii="宋体" w:hAnsi="宋体" w:cs="宋体" w:eastAsia="宋体" w:hint="default"/>
          <w:spacing w:val="-137"/>
          <w:w w:val="100"/>
          <w:sz w:val="28"/>
          <w:szCs w:val="28"/>
        </w:rPr>
        <w:t>，</w:t>
      </w:r>
      <w:r>
        <w:rPr>
          <w:rFonts w:ascii="宋体" w:hAnsi="宋体" w:cs="宋体" w:eastAsia="宋体" w:hint="default"/>
          <w:spacing w:val="-3"/>
          <w:w w:val="100"/>
          <w:sz w:val="28"/>
          <w:szCs w:val="28"/>
        </w:rPr>
        <w:t>公</w:t>
      </w:r>
      <w:r>
        <w:rPr>
          <w:rFonts w:ascii="宋体" w:hAnsi="宋体" w:cs="宋体" w:eastAsia="宋体" w:hint="default"/>
          <w:w w:val="100"/>
          <w:sz w:val="28"/>
          <w:szCs w:val="28"/>
        </w:rPr>
        <w:t>司实</w:t>
      </w:r>
      <w:r>
        <w:rPr>
          <w:rFonts w:ascii="宋体" w:hAnsi="宋体" w:cs="宋体" w:eastAsia="宋体" w:hint="default"/>
          <w:spacing w:val="-3"/>
          <w:w w:val="100"/>
          <w:sz w:val="28"/>
          <w:szCs w:val="28"/>
        </w:rPr>
        <w:t>现营</w:t>
      </w:r>
      <w:r>
        <w:rPr>
          <w:rFonts w:ascii="宋体" w:hAnsi="宋体" w:cs="宋体" w:eastAsia="宋体" w:hint="default"/>
          <w:w w:val="100"/>
          <w:sz w:val="28"/>
          <w:szCs w:val="28"/>
        </w:rPr>
        <w:t>业收入</w:t>
      </w:r>
      <w:r>
        <w:rPr>
          <w:rFonts w:ascii="宋体" w:hAnsi="宋体" w:cs="宋体" w:eastAsia="宋体" w:hint="default"/>
          <w:spacing w:val="-71"/>
          <w:sz w:val="28"/>
          <w:szCs w:val="28"/>
        </w:rPr>
        <w:t> </w:t>
      </w:r>
      <w:r>
        <w:rPr>
          <w:rFonts w:ascii="宋体" w:hAnsi="宋体" w:cs="宋体" w:eastAsia="宋体" w:hint="default"/>
          <w:spacing w:val="-2"/>
          <w:w w:val="100"/>
          <w:sz w:val="28"/>
          <w:szCs w:val="28"/>
        </w:rPr>
        <w:t>5,</w:t>
      </w:r>
      <w:r>
        <w:rPr>
          <w:rFonts w:ascii="宋体" w:hAnsi="宋体" w:cs="宋体" w:eastAsia="宋体" w:hint="default"/>
          <w:spacing w:val="1"/>
          <w:w w:val="100"/>
          <w:sz w:val="28"/>
          <w:szCs w:val="28"/>
        </w:rPr>
        <w:t>9</w:t>
      </w:r>
      <w:r>
        <w:rPr>
          <w:rFonts w:ascii="宋体" w:hAnsi="宋体" w:cs="宋体" w:eastAsia="宋体" w:hint="default"/>
          <w:spacing w:val="-2"/>
          <w:w w:val="100"/>
          <w:sz w:val="28"/>
          <w:szCs w:val="28"/>
        </w:rPr>
        <w:t>26</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3</w:t>
      </w:r>
      <w:r>
        <w:rPr>
          <w:rFonts w:ascii="宋体" w:hAnsi="宋体" w:cs="宋体" w:eastAsia="宋体" w:hint="default"/>
          <w:w w:val="100"/>
          <w:sz w:val="28"/>
          <w:szCs w:val="28"/>
        </w:rPr>
        <w:t>6</w:t>
      </w:r>
      <w:r>
        <w:rPr>
          <w:rFonts w:ascii="宋体" w:hAnsi="宋体" w:cs="宋体" w:eastAsia="宋体" w:hint="default"/>
          <w:spacing w:val="-70"/>
          <w:sz w:val="28"/>
          <w:szCs w:val="28"/>
        </w:rPr>
        <w:t> </w:t>
      </w:r>
      <w:r>
        <w:rPr>
          <w:rFonts w:ascii="宋体" w:hAnsi="宋体" w:cs="宋体" w:eastAsia="宋体" w:hint="default"/>
          <w:spacing w:val="-3"/>
          <w:w w:val="100"/>
          <w:sz w:val="28"/>
          <w:szCs w:val="28"/>
        </w:rPr>
        <w:t>万</w:t>
      </w:r>
      <w:r>
        <w:rPr>
          <w:rFonts w:ascii="宋体" w:hAnsi="宋体" w:cs="宋体" w:eastAsia="宋体" w:hint="default"/>
          <w:w w:val="100"/>
          <w:sz w:val="28"/>
          <w:szCs w:val="28"/>
        </w:rPr>
        <w:t>元</w:t>
      </w:r>
      <w:r>
        <w:rPr>
          <w:rFonts w:ascii="宋体" w:hAnsi="宋体" w:cs="宋体" w:eastAsia="宋体" w:hint="default"/>
          <w:spacing w:val="-137"/>
          <w:w w:val="100"/>
          <w:sz w:val="28"/>
          <w:szCs w:val="28"/>
        </w:rPr>
        <w:t>，</w:t>
      </w:r>
      <w:r>
        <w:rPr>
          <w:rFonts w:ascii="宋体" w:hAnsi="宋体" w:cs="宋体" w:eastAsia="宋体" w:hint="default"/>
          <w:w w:val="100"/>
          <w:sz w:val="28"/>
          <w:szCs w:val="28"/>
        </w:rPr>
        <w:t>比</w:t>
      </w:r>
      <w:r>
        <w:rPr>
          <w:rFonts w:ascii="宋体" w:hAnsi="宋体" w:cs="宋体" w:eastAsia="宋体" w:hint="default"/>
          <w:spacing w:val="-3"/>
          <w:w w:val="100"/>
          <w:sz w:val="28"/>
          <w:szCs w:val="28"/>
        </w:rPr>
        <w:t>上</w:t>
      </w:r>
      <w:r>
        <w:rPr>
          <w:rFonts w:ascii="宋体" w:hAnsi="宋体" w:cs="宋体" w:eastAsia="宋体" w:hint="default"/>
          <w:w w:val="100"/>
          <w:sz w:val="28"/>
          <w:szCs w:val="28"/>
        </w:rPr>
        <w:t>年减少</w:t>
      </w:r>
      <w:r>
        <w:rPr>
          <w:rFonts w:ascii="宋体" w:hAnsi="宋体" w:cs="宋体" w:eastAsia="宋体" w:hint="default"/>
          <w:spacing w:val="-1"/>
          <w:sz w:val="28"/>
          <w:szCs w:val="28"/>
        </w:rPr>
        <w:t> </w:t>
      </w:r>
      <w:r>
        <w:rPr>
          <w:rFonts w:ascii="宋体" w:hAnsi="宋体" w:cs="宋体" w:eastAsia="宋体" w:hint="default"/>
          <w:spacing w:val="-2"/>
          <w:w w:val="100"/>
          <w:sz w:val="28"/>
          <w:szCs w:val="28"/>
        </w:rPr>
        <w:t>481</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9</w:t>
      </w:r>
      <w:r>
        <w:rPr>
          <w:rFonts w:ascii="宋体" w:hAnsi="宋体" w:cs="宋体" w:eastAsia="宋体" w:hint="default"/>
          <w:w w:val="100"/>
          <w:sz w:val="28"/>
          <w:szCs w:val="28"/>
        </w:rPr>
        <w:t>2</w:t>
      </w:r>
      <w:r>
        <w:rPr>
          <w:rFonts w:ascii="宋体" w:hAnsi="宋体" w:cs="宋体" w:eastAsia="宋体" w:hint="default"/>
          <w:sz w:val="28"/>
          <w:szCs w:val="28"/>
        </w:rPr>
        <w:t> </w:t>
      </w:r>
      <w:r>
        <w:rPr>
          <w:rFonts w:ascii="宋体" w:hAnsi="宋体" w:cs="宋体" w:eastAsia="宋体" w:hint="default"/>
          <w:w w:val="100"/>
          <w:sz w:val="28"/>
          <w:szCs w:val="28"/>
        </w:rPr>
        <w:t>万</w:t>
      </w:r>
    </w:p>
    <w:p>
      <w:pPr>
        <w:spacing w:before="132"/>
        <w:ind w:left="223" w:right="1402" w:firstLine="0"/>
        <w:jc w:val="left"/>
        <w:rPr>
          <w:rFonts w:ascii="宋体" w:hAnsi="宋体" w:cs="宋体" w:eastAsia="宋体" w:hint="default"/>
          <w:sz w:val="28"/>
          <w:szCs w:val="28"/>
        </w:rPr>
      </w:pPr>
      <w:r>
        <w:rPr>
          <w:rFonts w:ascii="宋体" w:hAnsi="宋体" w:cs="宋体" w:eastAsia="宋体" w:hint="default"/>
          <w:w w:val="100"/>
          <w:sz w:val="28"/>
          <w:szCs w:val="28"/>
        </w:rPr>
        <w:t>元</w:t>
      </w:r>
      <w:r>
        <w:rPr>
          <w:rFonts w:ascii="宋体" w:hAnsi="宋体" w:cs="宋体" w:eastAsia="宋体" w:hint="default"/>
          <w:spacing w:val="-140"/>
          <w:w w:val="100"/>
          <w:sz w:val="28"/>
          <w:szCs w:val="28"/>
        </w:rPr>
        <w:t>，</w:t>
      </w:r>
      <w:r>
        <w:rPr>
          <w:rFonts w:ascii="宋体" w:hAnsi="宋体" w:cs="宋体" w:eastAsia="宋体" w:hint="default"/>
          <w:spacing w:val="-3"/>
          <w:w w:val="100"/>
          <w:sz w:val="28"/>
          <w:szCs w:val="28"/>
        </w:rPr>
        <w:t>同</w:t>
      </w:r>
      <w:r>
        <w:rPr>
          <w:rFonts w:ascii="宋体" w:hAnsi="宋体" w:cs="宋体" w:eastAsia="宋体" w:hint="default"/>
          <w:w w:val="100"/>
          <w:sz w:val="28"/>
          <w:szCs w:val="28"/>
        </w:rPr>
        <w:t>比减少</w:t>
      </w:r>
      <w:r>
        <w:rPr>
          <w:rFonts w:ascii="宋体" w:hAnsi="宋体" w:cs="宋体" w:eastAsia="宋体" w:hint="default"/>
          <w:spacing w:val="-107"/>
          <w:sz w:val="28"/>
          <w:szCs w:val="28"/>
        </w:rPr>
        <w:t> </w:t>
      </w:r>
      <w:r>
        <w:rPr>
          <w:rFonts w:ascii="宋体" w:hAnsi="宋体" w:cs="宋体" w:eastAsia="宋体" w:hint="default"/>
          <w:spacing w:val="1"/>
          <w:w w:val="100"/>
          <w:sz w:val="28"/>
          <w:szCs w:val="28"/>
        </w:rPr>
        <w:t>7</w:t>
      </w:r>
      <w:r>
        <w:rPr>
          <w:rFonts w:ascii="宋体" w:hAnsi="宋体" w:cs="宋体" w:eastAsia="宋体" w:hint="default"/>
          <w:spacing w:val="-2"/>
          <w:w w:val="100"/>
          <w:sz w:val="28"/>
          <w:szCs w:val="28"/>
        </w:rPr>
        <w:t>.5</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spacing w:val="-2"/>
          <w:w w:val="100"/>
          <w:sz w:val="28"/>
          <w:szCs w:val="28"/>
        </w:rPr>
        <w:t>%</w:t>
      </w:r>
      <w:r>
        <w:rPr>
          <w:rFonts w:ascii="宋体" w:hAnsi="宋体" w:cs="宋体" w:eastAsia="宋体" w:hint="default"/>
          <w:spacing w:val="-140"/>
          <w:w w:val="100"/>
          <w:sz w:val="28"/>
          <w:szCs w:val="28"/>
        </w:rPr>
        <w:t>；</w:t>
      </w:r>
      <w:r>
        <w:rPr>
          <w:rFonts w:ascii="宋体" w:hAnsi="宋体" w:cs="宋体" w:eastAsia="宋体" w:hint="default"/>
          <w:w w:val="100"/>
          <w:sz w:val="28"/>
          <w:szCs w:val="28"/>
        </w:rPr>
        <w:t>实</w:t>
      </w:r>
      <w:r>
        <w:rPr>
          <w:rFonts w:ascii="宋体" w:hAnsi="宋体" w:cs="宋体" w:eastAsia="宋体" w:hint="default"/>
          <w:spacing w:val="-3"/>
          <w:w w:val="100"/>
          <w:sz w:val="28"/>
          <w:szCs w:val="28"/>
        </w:rPr>
        <w:t>现</w:t>
      </w:r>
      <w:r>
        <w:rPr>
          <w:rFonts w:ascii="宋体" w:hAnsi="宋体" w:cs="宋体" w:eastAsia="宋体" w:hint="default"/>
          <w:w w:val="100"/>
          <w:sz w:val="28"/>
          <w:szCs w:val="28"/>
        </w:rPr>
        <w:t>利润总额</w:t>
      </w:r>
      <w:r>
        <w:rPr>
          <w:rFonts w:ascii="宋体" w:hAnsi="宋体" w:cs="宋体" w:eastAsia="宋体" w:hint="default"/>
          <w:spacing w:val="-107"/>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50</w:t>
      </w: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w:t>
      </w:r>
      <w:r>
        <w:rPr>
          <w:rFonts w:ascii="宋体" w:hAnsi="宋体" w:cs="宋体" w:eastAsia="宋体" w:hint="default"/>
          <w:spacing w:val="1"/>
          <w:w w:val="100"/>
          <w:sz w:val="28"/>
          <w:szCs w:val="28"/>
        </w:rPr>
        <w:t>1</w:t>
      </w:r>
      <w:r>
        <w:rPr>
          <w:rFonts w:ascii="宋体" w:hAnsi="宋体" w:cs="宋体" w:eastAsia="宋体" w:hint="default"/>
          <w:w w:val="100"/>
          <w:sz w:val="28"/>
          <w:szCs w:val="28"/>
        </w:rPr>
        <w:t>1</w:t>
      </w:r>
      <w:r>
        <w:rPr>
          <w:rFonts w:ascii="宋体" w:hAnsi="宋体" w:cs="宋体" w:eastAsia="宋体" w:hint="default"/>
          <w:spacing w:val="-106"/>
          <w:sz w:val="28"/>
          <w:szCs w:val="28"/>
        </w:rPr>
        <w:t> </w:t>
      </w:r>
      <w:r>
        <w:rPr>
          <w:rFonts w:ascii="宋体" w:hAnsi="宋体" w:cs="宋体" w:eastAsia="宋体" w:hint="default"/>
          <w:w w:val="100"/>
          <w:sz w:val="28"/>
          <w:szCs w:val="28"/>
        </w:rPr>
        <w:t>万</w:t>
      </w:r>
      <w:r>
        <w:rPr>
          <w:rFonts w:ascii="宋体" w:hAnsi="宋体" w:cs="宋体" w:eastAsia="宋体" w:hint="default"/>
          <w:spacing w:val="-3"/>
          <w:w w:val="100"/>
          <w:sz w:val="28"/>
          <w:szCs w:val="28"/>
        </w:rPr>
        <w:t>元</w:t>
      </w:r>
      <w:r>
        <w:rPr>
          <w:rFonts w:ascii="宋体" w:hAnsi="宋体" w:cs="宋体" w:eastAsia="宋体" w:hint="default"/>
          <w:spacing w:val="-140"/>
          <w:w w:val="100"/>
          <w:sz w:val="28"/>
          <w:szCs w:val="28"/>
        </w:rPr>
        <w:t>，</w:t>
      </w:r>
      <w:r>
        <w:rPr>
          <w:rFonts w:ascii="宋体" w:hAnsi="宋体" w:cs="宋体" w:eastAsia="宋体" w:hint="default"/>
          <w:w w:val="100"/>
          <w:sz w:val="28"/>
          <w:szCs w:val="28"/>
        </w:rPr>
        <w:t>比</w:t>
      </w:r>
      <w:r>
        <w:rPr>
          <w:rFonts w:ascii="宋体" w:hAnsi="宋体" w:cs="宋体" w:eastAsia="宋体" w:hint="default"/>
          <w:spacing w:val="-3"/>
          <w:w w:val="100"/>
          <w:sz w:val="28"/>
          <w:szCs w:val="28"/>
        </w:rPr>
        <w:t>上</w:t>
      </w:r>
      <w:r>
        <w:rPr>
          <w:rFonts w:ascii="宋体" w:hAnsi="宋体" w:cs="宋体" w:eastAsia="宋体" w:hint="default"/>
          <w:w w:val="100"/>
          <w:sz w:val="28"/>
          <w:szCs w:val="28"/>
        </w:rPr>
        <w:t>年</w:t>
      </w:r>
      <w:r>
        <w:rPr>
          <w:rFonts w:ascii="宋体" w:hAnsi="宋体" w:cs="宋体" w:eastAsia="宋体" w:hint="default"/>
          <w:spacing w:val="-3"/>
          <w:w w:val="100"/>
          <w:sz w:val="28"/>
          <w:szCs w:val="28"/>
        </w:rPr>
        <w:t>增</w:t>
      </w:r>
      <w:r>
        <w:rPr>
          <w:rFonts w:ascii="宋体" w:hAnsi="宋体" w:cs="宋体" w:eastAsia="宋体" w:hint="default"/>
          <w:w w:val="100"/>
          <w:sz w:val="28"/>
          <w:szCs w:val="28"/>
        </w:rPr>
        <w:t>加</w:t>
      </w:r>
      <w:r>
        <w:rPr>
          <w:rFonts w:ascii="宋体" w:hAnsi="宋体" w:cs="宋体" w:eastAsia="宋体" w:hint="default"/>
          <w:spacing w:val="-105"/>
          <w:sz w:val="28"/>
          <w:szCs w:val="28"/>
        </w:rPr>
        <w:t> </w:t>
      </w: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,3</w:t>
      </w:r>
      <w:r>
        <w:rPr>
          <w:rFonts w:ascii="宋体" w:hAnsi="宋体" w:cs="宋体" w:eastAsia="宋体" w:hint="default"/>
          <w:spacing w:val="1"/>
          <w:w w:val="100"/>
          <w:sz w:val="28"/>
          <w:szCs w:val="28"/>
        </w:rPr>
        <w:t>7</w:t>
      </w:r>
      <w:r>
        <w:rPr>
          <w:rFonts w:ascii="宋体" w:hAnsi="宋体" w:cs="宋体" w:eastAsia="宋体" w:hint="default"/>
          <w:spacing w:val="-2"/>
          <w:w w:val="100"/>
          <w:sz w:val="28"/>
          <w:szCs w:val="28"/>
        </w:rPr>
        <w:t>7.</w:t>
      </w:r>
      <w:r>
        <w:rPr>
          <w:rFonts w:ascii="宋体" w:hAnsi="宋体" w:cs="宋体" w:eastAsia="宋体" w:hint="default"/>
          <w:spacing w:val="1"/>
          <w:w w:val="100"/>
          <w:sz w:val="28"/>
          <w:szCs w:val="28"/>
        </w:rPr>
        <w:t>0</w:t>
      </w:r>
      <w:r>
        <w:rPr>
          <w:rFonts w:ascii="宋体" w:hAnsi="宋体" w:cs="宋体" w:eastAsia="宋体" w:hint="default"/>
          <w:w w:val="100"/>
          <w:sz w:val="28"/>
          <w:szCs w:val="28"/>
        </w:rPr>
        <w:t>9</w:t>
      </w:r>
    </w:p>
    <w:p>
      <w:pPr>
        <w:spacing w:before="132"/>
        <w:ind w:left="223" w:right="1402" w:firstLine="0"/>
        <w:jc w:val="left"/>
        <w:rPr>
          <w:rFonts w:ascii="宋体" w:hAnsi="宋体" w:cs="宋体" w:eastAsia="宋体" w:hint="default"/>
          <w:sz w:val="28"/>
          <w:szCs w:val="28"/>
        </w:rPr>
      </w:pPr>
      <w:r>
        <w:rPr>
          <w:rFonts w:ascii="宋体" w:hAnsi="宋体" w:cs="宋体" w:eastAsia="宋体" w:hint="default"/>
          <w:w w:val="100"/>
          <w:sz w:val="28"/>
          <w:szCs w:val="28"/>
        </w:rPr>
        <w:t>万元</w:t>
      </w:r>
      <w:r>
        <w:rPr>
          <w:rFonts w:ascii="宋体" w:hAnsi="宋体" w:cs="宋体" w:eastAsia="宋体" w:hint="default"/>
          <w:spacing w:val="-142"/>
          <w:w w:val="100"/>
          <w:sz w:val="28"/>
          <w:szCs w:val="28"/>
        </w:rPr>
        <w:t>，</w:t>
      </w:r>
      <w:r>
        <w:rPr>
          <w:rFonts w:ascii="宋体" w:hAnsi="宋体" w:cs="宋体" w:eastAsia="宋体" w:hint="default"/>
          <w:w w:val="100"/>
          <w:sz w:val="28"/>
          <w:szCs w:val="28"/>
        </w:rPr>
        <w:t>同比增加</w:t>
      </w:r>
      <w:r>
        <w:rPr>
          <w:rFonts w:ascii="宋体" w:hAnsi="宋体" w:cs="宋体" w:eastAsia="宋体" w:hint="default"/>
          <w:spacing w:val="-107"/>
          <w:sz w:val="28"/>
          <w:szCs w:val="28"/>
        </w:rPr>
        <w:t> </w:t>
      </w:r>
      <w:r>
        <w:rPr>
          <w:rFonts w:ascii="宋体" w:hAnsi="宋体" w:cs="宋体" w:eastAsia="宋体" w:hint="default"/>
          <w:spacing w:val="-2"/>
          <w:w w:val="100"/>
          <w:sz w:val="28"/>
          <w:szCs w:val="28"/>
        </w:rPr>
        <w:t>1</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5</w:t>
      </w:r>
      <w:r>
        <w:rPr>
          <w:rFonts w:ascii="宋体" w:hAnsi="宋体" w:cs="宋体" w:eastAsia="宋体" w:hint="default"/>
          <w:w w:val="100"/>
          <w:sz w:val="28"/>
          <w:szCs w:val="28"/>
        </w:rPr>
        <w:t>1</w:t>
      </w:r>
      <w:r>
        <w:rPr>
          <w:rFonts w:ascii="宋体" w:hAnsi="宋体" w:cs="宋体" w:eastAsia="宋体" w:hint="default"/>
          <w:spacing w:val="-72"/>
          <w:sz w:val="28"/>
          <w:szCs w:val="28"/>
        </w:rPr>
        <w:t> </w:t>
      </w:r>
      <w:r>
        <w:rPr>
          <w:rFonts w:ascii="宋体" w:hAnsi="宋体" w:cs="宋体" w:eastAsia="宋体" w:hint="default"/>
          <w:spacing w:val="1"/>
          <w:w w:val="100"/>
          <w:sz w:val="28"/>
          <w:szCs w:val="28"/>
        </w:rPr>
        <w:t>%</w:t>
      </w:r>
      <w:r>
        <w:rPr>
          <w:rFonts w:ascii="宋体" w:hAnsi="宋体" w:cs="宋体" w:eastAsia="宋体" w:hint="default"/>
          <w:spacing w:val="-142"/>
          <w:w w:val="100"/>
          <w:sz w:val="28"/>
          <w:szCs w:val="28"/>
        </w:rPr>
        <w:t>；</w:t>
      </w:r>
      <w:r>
        <w:rPr>
          <w:rFonts w:ascii="宋体" w:hAnsi="宋体" w:cs="宋体" w:eastAsia="宋体" w:hint="default"/>
          <w:w w:val="100"/>
          <w:sz w:val="28"/>
          <w:szCs w:val="28"/>
        </w:rPr>
        <w:t>实现</w:t>
      </w:r>
      <w:r>
        <w:rPr>
          <w:rFonts w:ascii="宋体" w:hAnsi="宋体" w:cs="宋体" w:eastAsia="宋体" w:hint="default"/>
          <w:spacing w:val="-3"/>
          <w:w w:val="100"/>
          <w:sz w:val="28"/>
          <w:szCs w:val="28"/>
        </w:rPr>
        <w:t>净</w:t>
      </w:r>
      <w:r>
        <w:rPr>
          <w:rFonts w:ascii="宋体" w:hAnsi="宋体" w:cs="宋体" w:eastAsia="宋体" w:hint="default"/>
          <w:w w:val="100"/>
          <w:sz w:val="28"/>
          <w:szCs w:val="28"/>
        </w:rPr>
        <w:t>利润</w:t>
      </w:r>
      <w:r>
        <w:rPr>
          <w:rFonts w:ascii="宋体" w:hAnsi="宋体" w:cs="宋体" w:eastAsia="宋体" w:hint="default"/>
          <w:spacing w:val="-104"/>
          <w:sz w:val="28"/>
          <w:szCs w:val="28"/>
        </w:rPr>
        <w:t> </w:t>
      </w:r>
      <w:r>
        <w:rPr>
          <w:rFonts w:ascii="宋体" w:hAnsi="宋体" w:cs="宋体" w:eastAsia="宋体" w:hint="default"/>
          <w:spacing w:val="-2"/>
          <w:w w:val="100"/>
          <w:sz w:val="28"/>
          <w:szCs w:val="28"/>
        </w:rPr>
        <w:t>1,</w:t>
      </w:r>
      <w:r>
        <w:rPr>
          <w:rFonts w:ascii="宋体" w:hAnsi="宋体" w:cs="宋体" w:eastAsia="宋体" w:hint="default"/>
          <w:spacing w:val="1"/>
          <w:w w:val="100"/>
          <w:sz w:val="28"/>
          <w:szCs w:val="28"/>
        </w:rPr>
        <w:t>8</w:t>
      </w:r>
      <w:r>
        <w:rPr>
          <w:rFonts w:ascii="宋体" w:hAnsi="宋体" w:cs="宋体" w:eastAsia="宋体" w:hint="default"/>
          <w:spacing w:val="-2"/>
          <w:w w:val="100"/>
          <w:sz w:val="28"/>
          <w:szCs w:val="28"/>
        </w:rPr>
        <w:t>63</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2</w:t>
      </w:r>
      <w:r>
        <w:rPr>
          <w:rFonts w:ascii="宋体" w:hAnsi="宋体" w:cs="宋体" w:eastAsia="宋体" w:hint="default"/>
          <w:w w:val="100"/>
          <w:sz w:val="28"/>
          <w:szCs w:val="28"/>
        </w:rPr>
        <w:t>2</w:t>
      </w:r>
      <w:r>
        <w:rPr>
          <w:rFonts w:ascii="宋体" w:hAnsi="宋体" w:cs="宋体" w:eastAsia="宋体" w:hint="default"/>
          <w:spacing w:val="-103"/>
          <w:sz w:val="28"/>
          <w:szCs w:val="28"/>
        </w:rPr>
        <w:t> </w:t>
      </w:r>
      <w:r>
        <w:rPr>
          <w:rFonts w:ascii="宋体" w:hAnsi="宋体" w:cs="宋体" w:eastAsia="宋体" w:hint="default"/>
          <w:w w:val="100"/>
          <w:sz w:val="28"/>
          <w:szCs w:val="28"/>
        </w:rPr>
        <w:t>万</w:t>
      </w:r>
      <w:r>
        <w:rPr>
          <w:rFonts w:ascii="宋体" w:hAnsi="宋体" w:cs="宋体" w:eastAsia="宋体" w:hint="default"/>
          <w:spacing w:val="-3"/>
          <w:w w:val="100"/>
          <w:sz w:val="28"/>
          <w:szCs w:val="28"/>
        </w:rPr>
        <w:t>元</w:t>
      </w:r>
      <w:r>
        <w:rPr>
          <w:rFonts w:ascii="宋体" w:hAnsi="宋体" w:cs="宋体" w:eastAsia="宋体" w:hint="default"/>
          <w:spacing w:val="-140"/>
          <w:w w:val="100"/>
          <w:sz w:val="28"/>
          <w:szCs w:val="28"/>
        </w:rPr>
        <w:t>，</w:t>
      </w:r>
      <w:r>
        <w:rPr>
          <w:rFonts w:ascii="宋体" w:hAnsi="宋体" w:cs="宋体" w:eastAsia="宋体" w:hint="default"/>
          <w:spacing w:val="-3"/>
          <w:w w:val="100"/>
          <w:sz w:val="28"/>
          <w:szCs w:val="28"/>
        </w:rPr>
        <w:t>比</w:t>
      </w:r>
      <w:r>
        <w:rPr>
          <w:rFonts w:ascii="宋体" w:hAnsi="宋体" w:cs="宋体" w:eastAsia="宋体" w:hint="default"/>
          <w:w w:val="100"/>
          <w:sz w:val="28"/>
          <w:szCs w:val="28"/>
        </w:rPr>
        <w:t>上</w:t>
      </w:r>
      <w:r>
        <w:rPr>
          <w:rFonts w:ascii="宋体" w:hAnsi="宋体" w:cs="宋体" w:eastAsia="宋体" w:hint="default"/>
          <w:spacing w:val="-3"/>
          <w:w w:val="100"/>
          <w:sz w:val="28"/>
          <w:szCs w:val="28"/>
        </w:rPr>
        <w:t>年</w:t>
      </w:r>
      <w:r>
        <w:rPr>
          <w:rFonts w:ascii="宋体" w:hAnsi="宋体" w:cs="宋体" w:eastAsia="宋体" w:hint="default"/>
          <w:w w:val="100"/>
          <w:sz w:val="28"/>
          <w:szCs w:val="28"/>
        </w:rPr>
        <w:t>增加</w:t>
      </w:r>
      <w:r>
        <w:rPr>
          <w:rFonts w:ascii="宋体" w:hAnsi="宋体" w:cs="宋体" w:eastAsia="宋体" w:hint="default"/>
          <w:spacing w:val="-105"/>
          <w:sz w:val="28"/>
          <w:szCs w:val="28"/>
        </w:rPr>
        <w:t> </w:t>
      </w:r>
      <w:r>
        <w:rPr>
          <w:rFonts w:ascii="宋体" w:hAnsi="宋体" w:cs="宋体" w:eastAsia="宋体" w:hint="default"/>
          <w:spacing w:val="-2"/>
          <w:w w:val="100"/>
          <w:sz w:val="28"/>
          <w:szCs w:val="28"/>
        </w:rPr>
        <w:t>9</w:t>
      </w: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5.</w:t>
      </w:r>
      <w:r>
        <w:rPr>
          <w:rFonts w:ascii="宋体" w:hAnsi="宋体" w:cs="宋体" w:eastAsia="宋体" w:hint="default"/>
          <w:spacing w:val="1"/>
          <w:w w:val="100"/>
          <w:sz w:val="28"/>
          <w:szCs w:val="28"/>
        </w:rPr>
        <w:t>6</w:t>
      </w:r>
      <w:r>
        <w:rPr>
          <w:rFonts w:ascii="宋体" w:hAnsi="宋体" w:cs="宋体" w:eastAsia="宋体" w:hint="default"/>
          <w:w w:val="100"/>
          <w:sz w:val="28"/>
          <w:szCs w:val="28"/>
        </w:rPr>
        <w:t>8</w:t>
      </w:r>
    </w:p>
    <w:p>
      <w:pPr>
        <w:spacing w:before="135"/>
        <w:ind w:left="223" w:right="1402" w:firstLine="0"/>
        <w:jc w:val="left"/>
        <w:rPr>
          <w:rFonts w:ascii="宋体" w:hAnsi="宋体" w:cs="宋体" w:eastAsia="宋体" w:hint="default"/>
          <w:sz w:val="28"/>
          <w:szCs w:val="28"/>
        </w:rPr>
      </w:pPr>
      <w:r>
        <w:rPr>
          <w:rFonts w:ascii="宋体" w:hAnsi="宋体" w:cs="宋体" w:eastAsia="宋体" w:hint="default"/>
          <w:sz w:val="28"/>
          <w:szCs w:val="28"/>
        </w:rPr>
        <w:t>万元，同比增加 96.64</w:t>
      </w:r>
      <w:r>
        <w:rPr>
          <w:rFonts w:ascii="宋体" w:hAnsi="宋体" w:cs="宋体" w:eastAsia="宋体" w:hint="default"/>
          <w:spacing w:val="-71"/>
          <w:sz w:val="28"/>
          <w:szCs w:val="28"/>
        </w:rPr>
        <w:t> </w:t>
      </w:r>
      <w:r>
        <w:rPr>
          <w:rFonts w:ascii="宋体" w:hAnsi="宋体" w:cs="宋体" w:eastAsia="宋体" w:hint="default"/>
          <w:sz w:val="28"/>
          <w:szCs w:val="28"/>
        </w:rPr>
        <w:t>%。</w:t>
      </w:r>
    </w:p>
    <w:p>
      <w:pPr>
        <w:spacing w:line="326" w:lineRule="auto" w:before="132"/>
        <w:ind w:left="782" w:right="1575" w:hanging="560"/>
        <w:jc w:val="left"/>
        <w:rPr>
          <w:rFonts w:ascii="宋体" w:hAnsi="宋体" w:cs="宋体" w:eastAsia="宋体" w:hint="default"/>
          <w:sz w:val="28"/>
          <w:szCs w:val="28"/>
        </w:rPr>
      </w:pPr>
      <w:r>
        <w:rPr>
          <w:rFonts w:ascii="宋体" w:hAnsi="宋体" w:cs="宋体" w:eastAsia="宋体" w:hint="default"/>
          <w:sz w:val="28"/>
          <w:szCs w:val="28"/>
        </w:rPr>
        <w:t>（2）公司经营和盈利能力连续性和稳定性分析</w:t>
      </w:r>
      <w:r>
        <w:rPr>
          <w:rFonts w:ascii="宋体" w:hAnsi="宋体" w:cs="宋体" w:eastAsia="宋体" w:hint="default"/>
          <w:w w:val="100"/>
          <w:sz w:val="28"/>
          <w:szCs w:val="28"/>
        </w:rPr>
        <w:t> </w:t>
      </w:r>
      <w:r>
        <w:rPr>
          <w:rFonts w:ascii="宋体" w:hAnsi="宋体" w:cs="宋体" w:eastAsia="宋体" w:hint="default"/>
          <w:spacing w:val="-6"/>
          <w:sz w:val="28"/>
          <w:szCs w:val="28"/>
        </w:rPr>
        <w:t>公司经营项目中，租赁业务收入稳定，而且天伦大厦项目每年有</w:t>
      </w:r>
      <w:r>
        <w:rPr>
          <w:rFonts w:ascii="宋体" w:hAnsi="宋体" w:cs="宋体" w:eastAsia="宋体" w:hint="default"/>
          <w:spacing w:val="-44"/>
          <w:sz w:val="28"/>
          <w:szCs w:val="28"/>
        </w:rPr>
        <w:t> </w:t>
      </w:r>
      <w:r>
        <w:rPr>
          <w:rFonts w:ascii="宋体" w:hAnsi="宋体" w:cs="宋体" w:eastAsia="宋体" w:hint="default"/>
          <w:sz w:val="28"/>
          <w:szCs w:val="28"/>
        </w:rPr>
        <w:t>5%</w:t>
      </w:r>
    </w:p>
    <w:p>
      <w:pPr>
        <w:spacing w:line="326" w:lineRule="auto" w:before="34"/>
        <w:ind w:left="223" w:right="1402" w:firstLine="0"/>
        <w:jc w:val="left"/>
        <w:rPr>
          <w:rFonts w:ascii="宋体" w:hAnsi="宋体" w:cs="宋体" w:eastAsia="宋体" w:hint="default"/>
          <w:sz w:val="28"/>
          <w:szCs w:val="28"/>
        </w:rPr>
      </w:pPr>
      <w:r>
        <w:rPr>
          <w:rFonts w:ascii="宋体" w:hAnsi="宋体" w:cs="宋体" w:eastAsia="宋体" w:hint="default"/>
          <w:spacing w:val="-4"/>
          <w:sz w:val="28"/>
          <w:szCs w:val="28"/>
        </w:rPr>
        <w:t>的租金上涨率，确保了租金收入逐年递增。其他项目如果能够达到生产</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条件，将改善公司的经营状况，提高公司的盈利能力。</w:t>
      </w:r>
      <w:r>
        <w:rPr>
          <w:rFonts w:ascii="宋体" w:hAnsi="宋体" w:cs="宋体" w:eastAsia="宋体" w:hint="default"/>
          <w:w w:val="100"/>
          <w:sz w:val="28"/>
          <w:szCs w:val="28"/>
        </w:rPr>
        <w:t> </w:t>
      </w:r>
      <w:r>
        <w:rPr>
          <w:rFonts w:ascii="宋体" w:hAnsi="宋体" w:cs="宋体" w:eastAsia="宋体" w:hint="default"/>
          <w:sz w:val="28"/>
          <w:szCs w:val="28"/>
        </w:rPr>
        <w:t>2、公司主营业务及其经营状况分析</w:t>
      </w:r>
    </w:p>
    <w:p>
      <w:pPr>
        <w:spacing w:before="34"/>
        <w:ind w:left="223" w:right="1402" w:firstLine="0"/>
        <w:jc w:val="left"/>
        <w:rPr>
          <w:rFonts w:ascii="宋体" w:hAnsi="宋体" w:cs="宋体" w:eastAsia="宋体" w:hint="default"/>
          <w:sz w:val="28"/>
          <w:szCs w:val="28"/>
        </w:rPr>
      </w:pPr>
      <w:r>
        <w:rPr>
          <w:rFonts w:ascii="宋体" w:hAnsi="宋体" w:cs="宋体" w:eastAsia="宋体" w:hint="default"/>
          <w:sz w:val="28"/>
          <w:szCs w:val="28"/>
        </w:rPr>
        <w:t>（1）按行业划分的经营情况</w:t>
      </w:r>
    </w:p>
    <w:p>
      <w:pPr>
        <w:pStyle w:val="BodyText"/>
        <w:spacing w:line="240" w:lineRule="auto" w:before="197"/>
        <w:ind w:left="0" w:right="1583"/>
        <w:jc w:val="right"/>
        <w:rPr>
          <w:rFonts w:ascii="宋体" w:hAnsi="宋体" w:cs="宋体" w:eastAsia="宋体" w:hint="default"/>
        </w:rPr>
      </w:pPr>
      <w:r>
        <w:rPr/>
        <w:pict>
          <v:shape style="position:absolute;margin-left:103.08847pt;margin-top:55.411949pt;width:392.95pt;height:64.3pt;mso-position-horizontal-relative:page;mso-position-vertical-relative:paragraph;z-index:-555712;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pacing w:val="-2"/>
        </w:rPr>
        <w:t>单位：万元</w:t>
      </w:r>
    </w:p>
    <w:p>
      <w:pPr>
        <w:spacing w:line="240" w:lineRule="auto" w:before="1"/>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1872"/>
        <w:gridCol w:w="108"/>
        <w:gridCol w:w="926"/>
        <w:gridCol w:w="154"/>
        <w:gridCol w:w="1106"/>
        <w:gridCol w:w="1020"/>
        <w:gridCol w:w="1298"/>
        <w:gridCol w:w="1147"/>
        <w:gridCol w:w="1152"/>
      </w:tblGrid>
      <w:tr>
        <w:trPr>
          <w:trHeight w:val="430" w:hRule="exact"/>
        </w:trPr>
        <w:tc>
          <w:tcPr>
            <w:tcW w:w="878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0" w:hRule="exact"/>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92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260"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72" w:lineRule="exact" w:before="130"/>
              <w:ind w:left="235" w:right="79" w:hanging="156"/>
              <w:jc w:val="left"/>
              <w:rPr>
                <w:rFonts w:ascii="宋体" w:hAnsi="宋体" w:cs="宋体" w:eastAsia="宋体" w:hint="default"/>
                <w:sz w:val="21"/>
                <w:szCs w:val="21"/>
              </w:rPr>
            </w:pPr>
            <w:r>
              <w:rPr>
                <w:rFonts w:ascii="宋体" w:hAnsi="宋体" w:cs="宋体" w:eastAsia="宋体" w:hint="default"/>
                <w:sz w:val="21"/>
                <w:szCs w:val="21"/>
              </w:rPr>
              <w:t>营业利润</w:t>
            </w:r>
            <w:r>
              <w:rPr>
                <w:rFonts w:ascii="宋体" w:hAnsi="宋体" w:cs="宋体" w:eastAsia="宋体" w:hint="default"/>
                <w:spacing w:val="-101"/>
                <w:sz w:val="21"/>
                <w:szCs w:val="21"/>
              </w:rPr>
              <w:t> </w:t>
            </w:r>
            <w:r>
              <w:rPr>
                <w:rFonts w:ascii="宋体" w:hAnsi="宋体" w:cs="宋体" w:eastAsia="宋体" w:hint="default"/>
                <w:sz w:val="21"/>
                <w:szCs w:val="21"/>
              </w:rPr>
              <w:t>率(%)</w:t>
            </w:r>
          </w:p>
        </w:tc>
        <w:tc>
          <w:tcPr>
            <w:tcW w:w="129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72" w:lineRule="exact" w:before="130"/>
              <w:ind w:left="19" w:right="113" w:firstLine="93"/>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4"/>
                <w:sz w:val="21"/>
                <w:szCs w:val="21"/>
              </w:rPr>
              <w:t>上年增减（%</w:t>
            </w:r>
          </w:p>
        </w:tc>
        <w:tc>
          <w:tcPr>
            <w:tcW w:w="1147"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342" w:lineRule="exact"/>
              <w:ind w:left="-142" w:right="0"/>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spacing w:val="-25"/>
                <w:position w:val="-13"/>
                <w:sz w:val="21"/>
                <w:szCs w:val="21"/>
              </w:rPr>
              <w:t> </w:t>
            </w:r>
            <w:r>
              <w:rPr>
                <w:rFonts w:ascii="宋体" w:hAnsi="宋体" w:cs="宋体" w:eastAsia="宋体" w:hint="default"/>
                <w:sz w:val="21"/>
                <w:szCs w:val="21"/>
              </w:rPr>
              <w:t>上年增减</w:t>
            </w:r>
          </w:p>
          <w:p>
            <w:pPr>
              <w:pStyle w:val="TableParagraph"/>
              <w:spacing w:line="204"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15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比上年增减</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物业租售、咨询及管</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5,890.68</w:t>
            </w:r>
          </w:p>
        </w:tc>
        <w:tc>
          <w:tcPr>
            <w:tcW w:w="1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sz w:val="21"/>
              </w:rPr>
              <w:t>1,509.75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74.37</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-8.08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-21.28</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4.30</w:t>
            </w:r>
          </w:p>
        </w:tc>
      </w:tr>
      <w:tr>
        <w:trPr>
          <w:trHeight w:val="427" w:hRule="exact"/>
        </w:trPr>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7"/>
              <w:jc w:val="right"/>
              <w:rPr>
                <w:rFonts w:ascii="宋体" w:hAnsi="宋体" w:cs="宋体" w:eastAsia="宋体" w:hint="default"/>
                <w:sz w:val="21"/>
                <w:szCs w:val="21"/>
              </w:rPr>
            </w:pPr>
            <w:r>
              <w:rPr>
                <w:rFonts w:ascii="宋体"/>
                <w:w w:val="100"/>
                <w:sz w:val="21"/>
              </w:rPr>
              <w:t>-</w:t>
            </w:r>
          </w:p>
        </w:tc>
        <w:tc>
          <w:tcPr>
            <w:tcW w:w="1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95" w:right="0"/>
              <w:jc w:val="left"/>
              <w:rPr>
                <w:rFonts w:ascii="宋体" w:hAnsi="宋体" w:cs="宋体" w:eastAsia="宋体" w:hint="default"/>
                <w:sz w:val="21"/>
                <w:szCs w:val="21"/>
              </w:rPr>
            </w:pPr>
            <w:r>
              <w:rPr>
                <w:rFonts w:ascii="宋体"/>
                <w:sz w:val="21"/>
              </w:rPr>
              <w:t>23.25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9"/>
              <w:jc w:val="right"/>
              <w:rPr>
                <w:rFonts w:ascii="宋体" w:hAnsi="宋体" w:cs="宋体" w:eastAsia="宋体" w:hint="default"/>
                <w:sz w:val="21"/>
                <w:szCs w:val="21"/>
              </w:rPr>
            </w:pPr>
            <w:r>
              <w:rPr>
                <w:rFonts w:ascii="宋体"/>
                <w:w w:val="100"/>
                <w:sz w:val="21"/>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9"/>
              <w:jc w:val="right"/>
              <w:rPr>
                <w:rFonts w:ascii="宋体" w:hAnsi="宋体" w:cs="宋体" w:eastAsia="宋体" w:hint="default"/>
                <w:sz w:val="21"/>
                <w:szCs w:val="21"/>
              </w:rPr>
            </w:pPr>
            <w:r>
              <w:rPr>
                <w:rFonts w:ascii="宋体"/>
                <w:w w:val="100"/>
                <w:sz w:val="21"/>
              </w:rPr>
              <w:t>-</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9"/>
              <w:jc w:val="right"/>
              <w:rPr>
                <w:rFonts w:ascii="宋体" w:hAnsi="宋体" w:cs="宋体" w:eastAsia="宋体" w:hint="default"/>
                <w:sz w:val="21"/>
                <w:szCs w:val="21"/>
              </w:rPr>
            </w:pPr>
            <w:r>
              <w:rPr>
                <w:rFonts w:ascii="宋体"/>
                <w:sz w:val="21"/>
              </w:rPr>
              <w:t>-34.71</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9"/>
              <w:jc w:val="right"/>
              <w:rPr>
                <w:rFonts w:ascii="宋体" w:hAnsi="宋体" w:cs="宋体" w:eastAsia="宋体" w:hint="default"/>
                <w:sz w:val="21"/>
                <w:szCs w:val="21"/>
              </w:rPr>
            </w:pPr>
            <w:r>
              <w:rPr>
                <w:rFonts w:ascii="宋体"/>
                <w:w w:val="100"/>
                <w:sz w:val="21"/>
              </w:rPr>
              <w:t>-</w:t>
            </w:r>
          </w:p>
        </w:tc>
      </w:tr>
      <w:tr>
        <w:trPr>
          <w:trHeight w:val="432" w:hRule="exact"/>
        </w:trPr>
        <w:tc>
          <w:tcPr>
            <w:tcW w:w="878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473"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1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9" w:right="0"/>
              <w:jc w:val="left"/>
              <w:rPr>
                <w:rFonts w:ascii="宋体" w:hAnsi="宋体" w:cs="宋体" w:eastAsia="宋体" w:hint="default"/>
                <w:sz w:val="21"/>
                <w:szCs w:val="21"/>
              </w:rPr>
            </w:pPr>
            <w:r>
              <w:rPr>
                <w:rFonts w:ascii="宋体"/>
                <w:sz w:val="21"/>
              </w:rPr>
              <w:t>5,382.35</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pacing w:val="-1"/>
                <w:sz w:val="21"/>
              </w:rPr>
              <w:t>1,167.00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z w:val="21"/>
              </w:rPr>
              <w:t>78.32</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z w:val="21"/>
              </w:rPr>
              <w:t>1.57</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z w:val="21"/>
              </w:rPr>
              <w:t>15.84</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z w:val="21"/>
              </w:rPr>
              <w:t>-2.67</w:t>
            </w:r>
          </w:p>
        </w:tc>
      </w:tr>
      <w:tr>
        <w:trPr>
          <w:trHeight w:val="593"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1" w:right="0"/>
              <w:jc w:val="left"/>
              <w:rPr>
                <w:rFonts w:ascii="宋体" w:hAnsi="宋体" w:cs="宋体" w:eastAsia="宋体" w:hint="default"/>
                <w:sz w:val="21"/>
                <w:szCs w:val="21"/>
              </w:rPr>
            </w:pPr>
            <w:r>
              <w:rPr>
                <w:rFonts w:ascii="宋体" w:hAnsi="宋体" w:cs="宋体" w:eastAsia="宋体" w:hint="default"/>
                <w:sz w:val="21"/>
                <w:szCs w:val="21"/>
              </w:rPr>
              <w:t>天誉花园五楼</w:t>
            </w:r>
          </w:p>
        </w:tc>
        <w:tc>
          <w:tcPr>
            <w:tcW w:w="11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518" w:right="0"/>
              <w:jc w:val="left"/>
              <w:rPr>
                <w:rFonts w:ascii="宋体" w:hAnsi="宋体" w:cs="宋体" w:eastAsia="宋体" w:hint="default"/>
                <w:sz w:val="21"/>
                <w:szCs w:val="21"/>
              </w:rPr>
            </w:pPr>
            <w:r>
              <w:rPr>
                <w:rFonts w:ascii="宋体"/>
                <w:sz w:val="21"/>
              </w:rPr>
              <w:t>508.33</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9"/>
              <w:jc w:val="right"/>
              <w:rPr>
                <w:rFonts w:ascii="宋体" w:hAnsi="宋体" w:cs="宋体" w:eastAsia="宋体" w:hint="default"/>
                <w:sz w:val="21"/>
                <w:szCs w:val="21"/>
              </w:rPr>
            </w:pPr>
            <w:r>
              <w:rPr>
                <w:rFonts w:ascii="宋体"/>
                <w:sz w:val="21"/>
              </w:rPr>
              <w:t>342.75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9"/>
              <w:jc w:val="right"/>
              <w:rPr>
                <w:rFonts w:ascii="宋体" w:hAnsi="宋体" w:cs="宋体" w:eastAsia="宋体" w:hint="default"/>
                <w:sz w:val="21"/>
                <w:szCs w:val="21"/>
              </w:rPr>
            </w:pPr>
            <w:r>
              <w:rPr>
                <w:rFonts w:ascii="宋体"/>
                <w:sz w:val="21"/>
              </w:rPr>
              <w:t>32.57</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9"/>
              <w:jc w:val="right"/>
              <w:rPr>
                <w:rFonts w:ascii="宋体" w:hAnsi="宋体" w:cs="宋体" w:eastAsia="宋体" w:hint="default"/>
                <w:sz w:val="21"/>
                <w:szCs w:val="21"/>
              </w:rPr>
            </w:pPr>
            <w:r>
              <w:rPr>
                <w:rFonts w:ascii="宋体"/>
                <w:sz w:val="21"/>
              </w:rPr>
              <w:t>3.18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9"/>
              <w:jc w:val="right"/>
              <w:rPr>
                <w:rFonts w:ascii="宋体" w:hAnsi="宋体" w:cs="宋体" w:eastAsia="宋体" w:hint="default"/>
                <w:sz w:val="21"/>
                <w:szCs w:val="21"/>
              </w:rPr>
            </w:pPr>
            <w:r>
              <w:rPr>
                <w:rFonts w:ascii="宋体"/>
                <w:sz w:val="21"/>
              </w:rPr>
              <w:t>0.29</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9"/>
              <w:jc w:val="right"/>
              <w:rPr>
                <w:rFonts w:ascii="宋体" w:hAnsi="宋体" w:cs="宋体" w:eastAsia="宋体" w:hint="default"/>
                <w:sz w:val="21"/>
                <w:szCs w:val="21"/>
              </w:rPr>
            </w:pPr>
            <w:r>
              <w:rPr>
                <w:rFonts w:ascii="宋体"/>
                <w:sz w:val="21"/>
              </w:rPr>
              <w:t>1.94</w:t>
            </w:r>
          </w:p>
        </w:tc>
      </w:tr>
    </w:tbl>
    <w:p>
      <w:pPr>
        <w:pStyle w:val="Heading2"/>
        <w:spacing w:line="240" w:lineRule="auto" w:before="57"/>
        <w:ind w:left="223" w:right="1402"/>
        <w:jc w:val="left"/>
      </w:pPr>
      <w:r>
        <w:rPr/>
        <w:t>（2）按地区划分的经营情况</w:t>
      </w:r>
    </w:p>
    <w:p>
      <w:pPr>
        <w:spacing w:line="240" w:lineRule="auto" w:before="2"/>
        <w:rPr>
          <w:rFonts w:ascii="宋体" w:hAnsi="宋体" w:cs="宋体" w:eastAsia="宋体" w:hint="default"/>
          <w:sz w:val="12"/>
          <w:szCs w:val="12"/>
        </w:rPr>
      </w:pPr>
    </w:p>
    <w:p>
      <w:pPr>
        <w:pStyle w:val="BodyText"/>
        <w:spacing w:line="240" w:lineRule="auto" w:before="36"/>
        <w:ind w:left="0" w:right="1583"/>
        <w:jc w:val="right"/>
        <w:rPr>
          <w:rFonts w:ascii="宋体" w:hAnsi="宋体" w:cs="宋体" w:eastAsia="宋体" w:hint="default"/>
        </w:rPr>
      </w:pPr>
      <w:r>
        <w:rPr>
          <w:rFonts w:ascii="宋体" w:hAnsi="宋体" w:cs="宋体" w:eastAsia="宋体" w:hint="default"/>
          <w:spacing w:val="-2"/>
        </w:rPr>
        <w:t>单位：万元</w:t>
      </w:r>
    </w:p>
    <w:p>
      <w:pPr>
        <w:spacing w:line="240" w:lineRule="auto" w:before="1"/>
        <w:rPr>
          <w:rFonts w:ascii="宋体" w:hAnsi="宋体" w:cs="宋体" w:eastAsia="宋体" w:hint="default"/>
          <w:sz w:val="5"/>
          <w:szCs w:val="5"/>
        </w:rPr>
      </w:pPr>
    </w:p>
    <w:tbl>
      <w:tblPr>
        <w:tblW w:w="0" w:type="auto"/>
        <w:jc w:val="left"/>
        <w:tblInd w:w="189" w:type="dxa"/>
        <w:tblLayout w:type="fixed"/>
        <w:tblCellMar>
          <w:top w:w="0" w:type="dxa"/>
          <w:left w:w="0" w:type="dxa"/>
          <w:bottom w:w="0" w:type="dxa"/>
          <w:right w:w="0" w:type="dxa"/>
        </w:tblCellMar>
        <w:tblLook w:val="01E0"/>
      </w:tblPr>
      <w:tblGrid>
        <w:gridCol w:w="2839"/>
        <w:gridCol w:w="3154"/>
        <w:gridCol w:w="2681"/>
      </w:tblGrid>
      <w:tr>
        <w:trPr>
          <w:trHeight w:val="463" w:hRule="exact"/>
        </w:trPr>
        <w:tc>
          <w:tcPr>
            <w:tcW w:w="28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right="71"/>
              <w:jc w:val="right"/>
              <w:rPr>
                <w:rFonts w:ascii="宋体" w:hAnsi="宋体" w:cs="宋体" w:eastAsia="宋体" w:hint="default"/>
                <w:sz w:val="21"/>
                <w:szCs w:val="21"/>
              </w:rPr>
            </w:pPr>
            <w:r>
              <w:rPr>
                <w:rFonts w:ascii="宋体" w:hAnsi="宋体" w:cs="宋体" w:eastAsia="宋体" w:hint="default"/>
                <w:spacing w:val="-1"/>
                <w:sz w:val="21"/>
                <w:szCs w:val="21"/>
              </w:rPr>
              <w:t>营业收入比上年增减（</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w:t>
            </w:r>
          </w:p>
        </w:tc>
      </w:tr>
      <w:tr>
        <w:trPr>
          <w:trHeight w:val="4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广东省</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21"/>
                <w:szCs w:val="21"/>
              </w:rPr>
            </w:pPr>
            <w:r>
              <w:rPr>
                <w:rFonts w:ascii="宋体"/>
                <w:spacing w:val="-1"/>
                <w:sz w:val="21"/>
              </w:rPr>
              <w:t>5,890.68</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21"/>
                <w:szCs w:val="21"/>
              </w:rPr>
            </w:pPr>
            <w:r>
              <w:rPr>
                <w:rFonts w:ascii="宋体"/>
                <w:sz w:val="21"/>
              </w:rPr>
              <w:t>1.71</w:t>
            </w:r>
          </w:p>
        </w:tc>
      </w:tr>
    </w:tbl>
    <w:p>
      <w:pPr>
        <w:pStyle w:val="Heading2"/>
        <w:spacing w:line="240" w:lineRule="auto" w:before="57"/>
        <w:ind w:left="223" w:right="1402"/>
        <w:jc w:val="left"/>
      </w:pPr>
      <w:r>
        <w:rPr/>
        <w:t>（3）占公司营业收入或营业利润</w:t>
      </w:r>
      <w:r>
        <w:rPr>
          <w:spacing w:val="-72"/>
        </w:rPr>
        <w:t> </w:t>
      </w:r>
      <w:r>
        <w:rPr/>
        <w:t>10%以上项目经营情况</w:t>
      </w:r>
    </w:p>
    <w:p>
      <w:pPr>
        <w:spacing w:line="240" w:lineRule="auto" w:before="2"/>
        <w:rPr>
          <w:rFonts w:ascii="宋体" w:hAnsi="宋体" w:cs="宋体" w:eastAsia="宋体" w:hint="default"/>
          <w:sz w:val="12"/>
          <w:szCs w:val="12"/>
        </w:rPr>
      </w:pPr>
    </w:p>
    <w:p>
      <w:pPr>
        <w:pStyle w:val="BodyText"/>
        <w:spacing w:line="240" w:lineRule="auto" w:before="36"/>
        <w:ind w:left="0" w:right="1583"/>
        <w:jc w:val="right"/>
        <w:rPr>
          <w:rFonts w:ascii="宋体" w:hAnsi="宋体" w:cs="宋体" w:eastAsia="宋体" w:hint="default"/>
        </w:rPr>
      </w:pPr>
      <w:r>
        <w:rPr>
          <w:rFonts w:ascii="宋体" w:hAnsi="宋体" w:cs="宋体" w:eastAsia="宋体" w:hint="default"/>
          <w:spacing w:val="-1"/>
        </w:rPr>
        <w:t>单位：万元</w:t>
      </w:r>
    </w:p>
    <w:p>
      <w:pPr>
        <w:spacing w:line="240" w:lineRule="auto" w:before="2"/>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175"/>
        <w:gridCol w:w="1596"/>
        <w:gridCol w:w="1534"/>
        <w:gridCol w:w="2527"/>
      </w:tblGrid>
      <w:tr>
        <w:trPr>
          <w:trHeight w:val="695" w:hRule="exact"/>
        </w:trPr>
        <w:tc>
          <w:tcPr>
            <w:tcW w:w="317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2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营业利润率（%）</w:t>
            </w:r>
          </w:p>
        </w:tc>
      </w:tr>
      <w:tr>
        <w:trPr>
          <w:trHeight w:val="696" w:hRule="exact"/>
        </w:trPr>
        <w:tc>
          <w:tcPr>
            <w:tcW w:w="3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天伦大厦</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638" w:right="0"/>
              <w:jc w:val="left"/>
              <w:rPr>
                <w:rFonts w:ascii="宋体" w:hAnsi="宋体" w:cs="宋体" w:eastAsia="宋体" w:hint="default"/>
                <w:sz w:val="21"/>
                <w:szCs w:val="21"/>
              </w:rPr>
            </w:pPr>
            <w:r>
              <w:rPr>
                <w:rFonts w:ascii="宋体"/>
                <w:sz w:val="21"/>
              </w:rPr>
              <w:t>5,382.35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578" w:right="0"/>
              <w:jc w:val="left"/>
              <w:rPr>
                <w:rFonts w:ascii="宋体" w:hAnsi="宋体" w:cs="宋体" w:eastAsia="宋体" w:hint="default"/>
                <w:sz w:val="21"/>
                <w:szCs w:val="21"/>
              </w:rPr>
            </w:pPr>
            <w:r>
              <w:rPr>
                <w:rFonts w:ascii="宋体"/>
                <w:sz w:val="21"/>
              </w:rPr>
              <w:t>1,167.00</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78.32</w:t>
            </w:r>
          </w:p>
        </w:tc>
      </w:tr>
    </w:tbl>
    <w:p>
      <w:pPr>
        <w:spacing w:after="0" w:line="240" w:lineRule="auto"/>
        <w:jc w:val="right"/>
        <w:rPr>
          <w:rFonts w:ascii="宋体" w:hAnsi="宋体" w:cs="宋体" w:eastAsia="宋体" w:hint="default"/>
          <w:sz w:val="21"/>
          <w:szCs w:val="21"/>
        </w:rPr>
        <w:sectPr>
          <w:pgSz w:w="11910" w:h="16840"/>
          <w:pgMar w:header="929" w:footer="837" w:top="1140" w:bottom="1020" w:left="1480" w:right="0"/>
        </w:sectPr>
      </w:pPr>
    </w:p>
    <w:p>
      <w:pPr>
        <w:spacing w:line="240" w:lineRule="auto" w:before="7"/>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3175"/>
        <w:gridCol w:w="1596"/>
        <w:gridCol w:w="1534"/>
        <w:gridCol w:w="2527"/>
      </w:tblGrid>
      <w:tr>
        <w:trPr>
          <w:trHeight w:val="696" w:hRule="exact"/>
        </w:trPr>
        <w:tc>
          <w:tcPr>
            <w:tcW w:w="3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47" w:right="0"/>
              <w:jc w:val="left"/>
              <w:rPr>
                <w:rFonts w:ascii="宋体" w:hAnsi="宋体" w:cs="宋体" w:eastAsia="宋体" w:hint="default"/>
                <w:sz w:val="21"/>
                <w:szCs w:val="21"/>
              </w:rPr>
            </w:pPr>
            <w:r>
              <w:rPr>
                <w:rFonts w:ascii="宋体" w:hAnsi="宋体" w:cs="宋体" w:eastAsia="宋体" w:hint="default"/>
                <w:sz w:val="21"/>
                <w:szCs w:val="21"/>
              </w:rPr>
              <w:t>天誉花园五楼</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847" w:right="0"/>
              <w:jc w:val="left"/>
              <w:rPr>
                <w:rFonts w:ascii="宋体" w:hAnsi="宋体" w:cs="宋体" w:eastAsia="宋体" w:hint="default"/>
                <w:sz w:val="21"/>
                <w:szCs w:val="21"/>
              </w:rPr>
            </w:pPr>
            <w:r>
              <w:rPr>
                <w:rFonts w:ascii="宋体"/>
                <w:sz w:val="21"/>
              </w:rPr>
              <w:t>508.33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787" w:right="0"/>
              <w:jc w:val="left"/>
              <w:rPr>
                <w:rFonts w:ascii="宋体" w:hAnsi="宋体" w:cs="宋体" w:eastAsia="宋体" w:hint="default"/>
                <w:sz w:val="21"/>
                <w:szCs w:val="21"/>
              </w:rPr>
            </w:pPr>
            <w:r>
              <w:rPr>
                <w:rFonts w:ascii="宋体"/>
                <w:sz w:val="21"/>
              </w:rPr>
              <w:t>342.75</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z w:val="21"/>
              </w:rPr>
              <w:t>32.57</w:t>
            </w:r>
          </w:p>
        </w:tc>
      </w:tr>
    </w:tbl>
    <w:p>
      <w:pPr>
        <w:pStyle w:val="Heading2"/>
        <w:spacing w:line="240" w:lineRule="auto" w:before="57"/>
        <w:ind w:left="223" w:right="1402"/>
        <w:jc w:val="left"/>
      </w:pPr>
      <w:r>
        <w:rPr/>
        <w:t>（4）主要供应商、客户情况</w:t>
      </w:r>
    </w:p>
    <w:p>
      <w:pPr>
        <w:spacing w:line="240" w:lineRule="auto" w:before="12"/>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708"/>
        <w:gridCol w:w="1802"/>
        <w:gridCol w:w="2158"/>
        <w:gridCol w:w="1164"/>
      </w:tblGrid>
      <w:tr>
        <w:trPr>
          <w:trHeight w:val="490" w:hRule="exact"/>
        </w:trPr>
        <w:tc>
          <w:tcPr>
            <w:tcW w:w="37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z w:val="21"/>
              </w:rPr>
              <w:t>988.17</w:t>
            </w:r>
          </w:p>
        </w:tc>
        <w:tc>
          <w:tcPr>
            <w:tcW w:w="21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48.02</w:t>
            </w:r>
          </w:p>
        </w:tc>
      </w:tr>
      <w:tr>
        <w:trPr>
          <w:trHeight w:val="490" w:hRule="exact"/>
        </w:trPr>
        <w:tc>
          <w:tcPr>
            <w:tcW w:w="37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3,764.22</w:t>
            </w:r>
          </w:p>
        </w:tc>
        <w:tc>
          <w:tcPr>
            <w:tcW w:w="21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63.52</w:t>
            </w:r>
          </w:p>
        </w:tc>
      </w:tr>
    </w:tbl>
    <w:p>
      <w:pPr>
        <w:spacing w:before="57"/>
        <w:ind w:left="223" w:right="1402" w:firstLine="0"/>
        <w:jc w:val="left"/>
        <w:rPr>
          <w:rFonts w:ascii="宋体" w:hAnsi="宋体" w:cs="宋体" w:eastAsia="宋体" w:hint="default"/>
          <w:sz w:val="28"/>
          <w:szCs w:val="28"/>
        </w:rPr>
      </w:pPr>
      <w:r>
        <w:rPr>
          <w:rFonts w:ascii="宋体" w:hAnsi="宋体" w:cs="宋体" w:eastAsia="宋体" w:hint="default"/>
          <w:sz w:val="28"/>
          <w:szCs w:val="28"/>
        </w:rPr>
        <w:t>3、报告期公司资产构成与费用变动情况</w:t>
      </w:r>
    </w:p>
    <w:p>
      <w:pPr>
        <w:spacing w:before="178"/>
        <w:ind w:left="223" w:right="1402" w:firstLine="0"/>
        <w:jc w:val="left"/>
        <w:rPr>
          <w:rFonts w:ascii="宋体" w:hAnsi="宋体" w:cs="宋体" w:eastAsia="宋体" w:hint="default"/>
          <w:sz w:val="28"/>
          <w:szCs w:val="28"/>
        </w:rPr>
      </w:pPr>
      <w:r>
        <w:rPr>
          <w:rFonts w:ascii="宋体" w:hAnsi="宋体" w:cs="宋体" w:eastAsia="宋体" w:hint="default"/>
          <w:sz w:val="28"/>
          <w:szCs w:val="28"/>
        </w:rPr>
        <w:t>（1）资产构成同比发生重大变化情况</w:t>
      </w:r>
    </w:p>
    <w:p>
      <w:pPr>
        <w:spacing w:line="240" w:lineRule="auto" w:before="8"/>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700"/>
        <w:gridCol w:w="1800"/>
        <w:gridCol w:w="1080"/>
        <w:gridCol w:w="1800"/>
        <w:gridCol w:w="1080"/>
        <w:gridCol w:w="986"/>
      </w:tblGrid>
      <w:tr>
        <w:trPr>
          <w:trHeight w:val="510" w:hRule="exact"/>
        </w:trPr>
        <w:tc>
          <w:tcPr>
            <w:tcW w:w="2700"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资产构成</w:t>
            </w:r>
          </w:p>
        </w:tc>
        <w:tc>
          <w:tcPr>
            <w:tcW w:w="2880"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6"/>
              <w:ind w:left="55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80"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6"/>
              <w:ind w:left="55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86" w:type="dxa"/>
            <w:vMerge w:val="restart"/>
            <w:tcBorders>
              <w:top w:val="single" w:sz="8" w:space="0" w:color="000000"/>
              <w:left w:val="single" w:sz="8" w:space="0" w:color="000000"/>
              <w:right w:val="single" w:sz="8" w:space="0" w:color="000000"/>
            </w:tcBorders>
            <w:shd w:val="clear" w:color="auto" w:fill="E0E0E0"/>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37" w:lineRule="auto"/>
              <w:ind w:left="165" w:right="167"/>
              <w:jc w:val="center"/>
              <w:rPr>
                <w:rFonts w:ascii="宋体" w:hAnsi="宋体" w:cs="宋体" w:eastAsia="宋体" w:hint="default"/>
                <w:sz w:val="21"/>
                <w:szCs w:val="21"/>
              </w:rPr>
            </w:pPr>
            <w:r>
              <w:rPr>
                <w:rFonts w:ascii="宋体" w:hAnsi="宋体" w:cs="宋体" w:eastAsia="宋体" w:hint="default"/>
                <w:sz w:val="21"/>
                <w:szCs w:val="21"/>
              </w:rPr>
              <w:t>产比重</w:t>
            </w:r>
            <w:r>
              <w:rPr>
                <w:rFonts w:ascii="宋体" w:hAnsi="宋体" w:cs="宋体" w:eastAsia="宋体" w:hint="default"/>
                <w:w w:val="100"/>
                <w:sz w:val="21"/>
                <w:szCs w:val="21"/>
              </w:rPr>
              <w:t> </w:t>
            </w:r>
            <w:r>
              <w:rPr>
                <w:rFonts w:ascii="宋体" w:hAnsi="宋体" w:cs="宋体" w:eastAsia="宋体" w:hint="default"/>
                <w:sz w:val="21"/>
                <w:szCs w:val="21"/>
              </w:rPr>
              <w:t>的增减</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599" w:hRule="exact"/>
        </w:trPr>
        <w:tc>
          <w:tcPr>
            <w:tcW w:w="2700" w:type="dxa"/>
            <w:vMerge/>
            <w:tcBorders>
              <w:left w:val="single" w:sz="8" w:space="0" w:color="000000"/>
              <w:bottom w:val="single" w:sz="8" w:space="0" w:color="000000"/>
              <w:right w:val="single" w:sz="8" w:space="0" w:color="000000"/>
            </w:tcBorders>
            <w:shd w:val="clear" w:color="auto" w:fill="E0E0E0"/>
          </w:tcPr>
          <w:p>
            <w:pPr/>
          </w:p>
        </w:tc>
        <w:tc>
          <w:tcPr>
            <w:tcW w:w="18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118"/>
              <w:ind w:left="465"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8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4" w:lineRule="exact" w:before="8"/>
              <w:ind w:left="158" w:right="107" w:hanging="51"/>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spacing w:val="-101"/>
                <w:sz w:val="21"/>
                <w:szCs w:val="21"/>
              </w:rPr>
              <w:t> </w:t>
            </w:r>
            <w:r>
              <w:rPr>
                <w:rFonts w:ascii="宋体" w:hAnsi="宋体" w:cs="宋体" w:eastAsia="宋体" w:hint="default"/>
                <w:sz w:val="21"/>
                <w:szCs w:val="21"/>
              </w:rPr>
              <w:t>比重(%)</w:t>
            </w:r>
          </w:p>
        </w:tc>
        <w:tc>
          <w:tcPr>
            <w:tcW w:w="18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118"/>
              <w:ind w:left="465"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8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4" w:lineRule="exact" w:before="8"/>
              <w:ind w:left="158" w:right="107" w:hanging="51"/>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spacing w:val="-101"/>
                <w:sz w:val="21"/>
                <w:szCs w:val="21"/>
              </w:rPr>
              <w:t> </w:t>
            </w:r>
            <w:r>
              <w:rPr>
                <w:rFonts w:ascii="宋体" w:hAnsi="宋体" w:cs="宋体" w:eastAsia="宋体" w:hint="default"/>
                <w:sz w:val="21"/>
                <w:szCs w:val="21"/>
              </w:rPr>
              <w:t>比重(%)</w:t>
            </w:r>
          </w:p>
        </w:tc>
        <w:tc>
          <w:tcPr>
            <w:tcW w:w="986" w:type="dxa"/>
            <w:vMerge/>
            <w:tcBorders>
              <w:left w:val="single" w:sz="8" w:space="0" w:color="000000"/>
              <w:bottom w:val="single" w:sz="8" w:space="0" w:color="000000"/>
              <w:right w:val="single" w:sz="8" w:space="0" w:color="000000"/>
            </w:tcBorders>
            <w:shd w:val="clear" w:color="auto" w:fill="E0E0E0"/>
          </w:tcPr>
          <w:p>
            <w:pPr/>
          </w:p>
        </w:tc>
      </w:tr>
      <w:tr>
        <w:trPr>
          <w:trHeight w:val="454" w:hRule="exact"/>
        </w:trPr>
        <w:tc>
          <w:tcPr>
            <w:tcW w:w="27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810,375,083.51</w:t>
            </w:r>
            <w:r>
              <w:rPr>
                <w:rFonts w:ascii="宋体"/>
                <w:sz w:val="20"/>
              </w:rPr>
            </w:r>
          </w:p>
        </w:tc>
        <w:tc>
          <w:tcPr>
            <w:tcW w:w="1080"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45"/>
              <w:ind w:right="97"/>
              <w:jc w:val="right"/>
              <w:rPr>
                <w:rFonts w:ascii="宋体" w:hAnsi="宋体" w:cs="宋体" w:eastAsia="宋体" w:hint="default"/>
                <w:sz w:val="20"/>
                <w:szCs w:val="20"/>
              </w:rPr>
            </w:pPr>
            <w:r>
              <w:rPr>
                <w:rFonts w:ascii="宋体"/>
                <w:w w:val="95"/>
                <w:sz w:val="20"/>
              </w:rPr>
              <w:t>100.00</w:t>
            </w:r>
            <w:r>
              <w:rPr>
                <w:rFonts w:ascii="宋体"/>
                <w:sz w:val="20"/>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791,870,960.99</w:t>
            </w:r>
            <w:r>
              <w:rPr>
                <w:rFonts w:ascii="宋体"/>
                <w:sz w:val="20"/>
              </w:rPr>
            </w:r>
          </w:p>
        </w:tc>
        <w:tc>
          <w:tcPr>
            <w:tcW w:w="1080"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45"/>
              <w:ind w:right="97"/>
              <w:jc w:val="right"/>
              <w:rPr>
                <w:rFonts w:ascii="宋体" w:hAnsi="宋体" w:cs="宋体" w:eastAsia="宋体" w:hint="default"/>
                <w:sz w:val="20"/>
                <w:szCs w:val="20"/>
              </w:rPr>
            </w:pPr>
            <w:r>
              <w:rPr>
                <w:rFonts w:ascii="宋体"/>
                <w:sz w:val="20"/>
              </w:rPr>
              <w:t>100</w:t>
            </w:r>
          </w:p>
        </w:tc>
        <w:tc>
          <w:tcPr>
            <w:tcW w:w="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9"/>
                <w:sz w:val="20"/>
              </w:rPr>
              <w:t>-</w:t>
            </w:r>
            <w:r>
              <w:rPr>
                <w:rFonts w:ascii="宋体"/>
                <w:sz w:val="20"/>
              </w:rPr>
            </w:r>
          </w:p>
        </w:tc>
      </w:tr>
      <w:tr>
        <w:trPr>
          <w:trHeight w:val="454" w:hRule="exact"/>
        </w:trPr>
        <w:tc>
          <w:tcPr>
            <w:tcW w:w="27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258,961,843.01</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31.96</w:t>
            </w:r>
            <w:r>
              <w:rPr>
                <w:rFonts w:ascii="宋体"/>
                <w:sz w:val="20"/>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77,371,886.06</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sz w:val="20"/>
              </w:rPr>
              <w:t>9.77</w:t>
            </w:r>
          </w:p>
        </w:tc>
        <w:tc>
          <w:tcPr>
            <w:tcW w:w="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22.19</w:t>
            </w:r>
            <w:r>
              <w:rPr>
                <w:rFonts w:ascii="宋体"/>
                <w:sz w:val="20"/>
              </w:rPr>
            </w:r>
          </w:p>
        </w:tc>
      </w:tr>
      <w:tr>
        <w:trPr>
          <w:trHeight w:val="454" w:hRule="exact"/>
        </w:trPr>
        <w:tc>
          <w:tcPr>
            <w:tcW w:w="27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1,236,927.69</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sz w:val="20"/>
              </w:rPr>
              <w:t>0.15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21,809,533.50</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sz w:val="20"/>
              </w:rPr>
              <w:t>2.75</w:t>
            </w:r>
          </w:p>
        </w:tc>
        <w:tc>
          <w:tcPr>
            <w:tcW w:w="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-2.60</w:t>
            </w:r>
            <w:r>
              <w:rPr>
                <w:rFonts w:ascii="宋体"/>
                <w:sz w:val="20"/>
              </w:rPr>
            </w:r>
          </w:p>
        </w:tc>
      </w:tr>
      <w:tr>
        <w:trPr>
          <w:trHeight w:val="456" w:hRule="exact"/>
        </w:trPr>
        <w:tc>
          <w:tcPr>
            <w:tcW w:w="27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9"/>
                <w:sz w:val="20"/>
              </w:rPr>
              <w:t>-</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9"/>
                <w:sz w:val="20"/>
              </w:rPr>
              <w:t>-</w:t>
            </w:r>
            <w:r>
              <w:rPr>
                <w:rFonts w:ascii="宋体"/>
                <w:sz w:val="20"/>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176,988,048.46</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22.35</w:t>
            </w:r>
            <w:r>
              <w:rPr>
                <w:rFonts w:ascii="宋体"/>
                <w:sz w:val="20"/>
              </w:rPr>
            </w:r>
          </w:p>
        </w:tc>
        <w:tc>
          <w:tcPr>
            <w:tcW w:w="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-22.35</w:t>
            </w:r>
            <w:r>
              <w:rPr>
                <w:rFonts w:ascii="宋体"/>
                <w:sz w:val="20"/>
              </w:rPr>
            </w:r>
          </w:p>
        </w:tc>
      </w:tr>
      <w:tr>
        <w:trPr>
          <w:trHeight w:val="454" w:hRule="exact"/>
        </w:trPr>
        <w:tc>
          <w:tcPr>
            <w:tcW w:w="27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121,938,824.52</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15.05</w:t>
            </w:r>
            <w:r>
              <w:rPr>
                <w:rFonts w:ascii="宋体"/>
                <w:sz w:val="20"/>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89,784,647.87</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11.34</w:t>
            </w:r>
            <w:r>
              <w:rPr>
                <w:rFonts w:ascii="宋体"/>
                <w:sz w:val="20"/>
              </w:rPr>
            </w:r>
          </w:p>
        </w:tc>
        <w:tc>
          <w:tcPr>
            <w:tcW w:w="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sz w:val="20"/>
              </w:rPr>
              <w:t>3.71</w:t>
            </w:r>
          </w:p>
        </w:tc>
      </w:tr>
      <w:tr>
        <w:trPr>
          <w:trHeight w:val="602" w:hRule="exact"/>
        </w:trPr>
        <w:tc>
          <w:tcPr>
            <w:tcW w:w="27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122"/>
              <w:ind w:left="9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7"/>
              <w:jc w:val="right"/>
              <w:rPr>
                <w:rFonts w:ascii="宋体" w:hAnsi="宋体" w:cs="宋体" w:eastAsia="宋体" w:hint="default"/>
                <w:sz w:val="20"/>
                <w:szCs w:val="20"/>
              </w:rPr>
            </w:pPr>
            <w:r>
              <w:rPr>
                <w:rFonts w:ascii="宋体"/>
                <w:w w:val="95"/>
                <w:sz w:val="20"/>
              </w:rPr>
              <w:t>34,000,000.00</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7"/>
              <w:jc w:val="right"/>
              <w:rPr>
                <w:rFonts w:ascii="宋体" w:hAnsi="宋体" w:cs="宋体" w:eastAsia="宋体" w:hint="default"/>
                <w:sz w:val="20"/>
                <w:szCs w:val="20"/>
              </w:rPr>
            </w:pPr>
            <w:r>
              <w:rPr>
                <w:rFonts w:ascii="宋体"/>
                <w:sz w:val="20"/>
              </w:rPr>
              <w:t>4.20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7"/>
              <w:jc w:val="right"/>
              <w:rPr>
                <w:rFonts w:ascii="宋体" w:hAnsi="宋体" w:cs="宋体" w:eastAsia="宋体" w:hint="default"/>
                <w:sz w:val="20"/>
                <w:szCs w:val="20"/>
              </w:rPr>
            </w:pPr>
            <w:r>
              <w:rPr>
                <w:rFonts w:ascii="宋体"/>
                <w:w w:val="95"/>
                <w:sz w:val="20"/>
              </w:rPr>
              <w:t>38,000,000.00</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7"/>
              <w:jc w:val="right"/>
              <w:rPr>
                <w:rFonts w:ascii="宋体" w:hAnsi="宋体" w:cs="宋体" w:eastAsia="宋体" w:hint="default"/>
                <w:sz w:val="20"/>
                <w:szCs w:val="20"/>
              </w:rPr>
            </w:pPr>
            <w:r>
              <w:rPr>
                <w:rFonts w:ascii="宋体"/>
                <w:sz w:val="20"/>
              </w:rPr>
              <w:t>4.80</w:t>
            </w:r>
          </w:p>
        </w:tc>
        <w:tc>
          <w:tcPr>
            <w:tcW w:w="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7"/>
              <w:jc w:val="right"/>
              <w:rPr>
                <w:rFonts w:ascii="宋体" w:hAnsi="宋体" w:cs="宋体" w:eastAsia="宋体" w:hint="default"/>
                <w:sz w:val="20"/>
                <w:szCs w:val="20"/>
              </w:rPr>
            </w:pPr>
            <w:r>
              <w:rPr>
                <w:rFonts w:ascii="宋体"/>
                <w:w w:val="95"/>
                <w:sz w:val="20"/>
              </w:rPr>
              <w:t>-0.60</w:t>
            </w:r>
            <w:r>
              <w:rPr>
                <w:rFonts w:ascii="宋体"/>
                <w:sz w:val="20"/>
              </w:rPr>
            </w:r>
          </w:p>
        </w:tc>
      </w:tr>
      <w:tr>
        <w:trPr>
          <w:trHeight w:val="454" w:hRule="exact"/>
        </w:trPr>
        <w:tc>
          <w:tcPr>
            <w:tcW w:w="27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304,200,000.00</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37.54</w:t>
            </w:r>
            <w:r>
              <w:rPr>
                <w:rFonts w:ascii="宋体"/>
                <w:sz w:val="20"/>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229,200,000.00</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w w:val="95"/>
                <w:sz w:val="20"/>
              </w:rPr>
              <w:t>28.94</w:t>
            </w:r>
            <w:r>
              <w:rPr>
                <w:rFonts w:ascii="宋体"/>
                <w:sz w:val="20"/>
              </w:rPr>
            </w:r>
          </w:p>
        </w:tc>
        <w:tc>
          <w:tcPr>
            <w:tcW w:w="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宋体" w:hAnsi="宋体" w:cs="宋体" w:eastAsia="宋体" w:hint="default"/>
                <w:sz w:val="20"/>
                <w:szCs w:val="20"/>
              </w:rPr>
            </w:pPr>
            <w:r>
              <w:rPr>
                <w:rFonts w:ascii="宋体"/>
                <w:sz w:val="20"/>
              </w:rPr>
              <w:t>8.60</w:t>
            </w:r>
          </w:p>
        </w:tc>
      </w:tr>
      <w:tr>
        <w:trPr>
          <w:trHeight w:val="646" w:hRule="exact"/>
        </w:trPr>
        <w:tc>
          <w:tcPr>
            <w:tcW w:w="270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宋体" w:hAnsi="宋体" w:cs="宋体" w:eastAsia="宋体" w:hint="default"/>
                <w:sz w:val="20"/>
                <w:szCs w:val="20"/>
              </w:rPr>
            </w:pPr>
            <w:r>
              <w:rPr>
                <w:rFonts w:ascii="宋体"/>
                <w:w w:val="95"/>
                <w:sz w:val="20"/>
              </w:rPr>
              <w:t>1,302,754.24</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宋体" w:hAnsi="宋体" w:cs="宋体" w:eastAsia="宋体" w:hint="default"/>
                <w:sz w:val="20"/>
                <w:szCs w:val="20"/>
              </w:rPr>
            </w:pPr>
            <w:r>
              <w:rPr>
                <w:rFonts w:ascii="宋体"/>
                <w:sz w:val="20"/>
              </w:rPr>
              <w:t>0.16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宋体" w:hAnsi="宋体" w:cs="宋体" w:eastAsia="宋体" w:hint="default"/>
                <w:sz w:val="20"/>
                <w:szCs w:val="20"/>
              </w:rPr>
            </w:pPr>
            <w:r>
              <w:rPr>
                <w:rFonts w:ascii="宋体"/>
                <w:w w:val="95"/>
                <w:sz w:val="20"/>
              </w:rPr>
              <w:t>33,820,898.01</w:t>
            </w:r>
            <w:r>
              <w:rPr>
                <w:rFonts w:ascii="宋体"/>
                <w:sz w:val="20"/>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宋体" w:hAnsi="宋体" w:cs="宋体" w:eastAsia="宋体" w:hint="default"/>
                <w:sz w:val="20"/>
                <w:szCs w:val="20"/>
              </w:rPr>
            </w:pPr>
            <w:r>
              <w:rPr>
                <w:rFonts w:ascii="宋体"/>
                <w:sz w:val="20"/>
              </w:rPr>
              <w:t>4.27</w:t>
            </w:r>
          </w:p>
        </w:tc>
        <w:tc>
          <w:tcPr>
            <w:tcW w:w="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宋体" w:hAnsi="宋体" w:cs="宋体" w:eastAsia="宋体" w:hint="default"/>
                <w:sz w:val="20"/>
                <w:szCs w:val="20"/>
              </w:rPr>
            </w:pPr>
            <w:r>
              <w:rPr>
                <w:rFonts w:ascii="宋体"/>
                <w:w w:val="95"/>
                <w:sz w:val="20"/>
              </w:rPr>
              <w:t>-4.11</w:t>
            </w:r>
            <w:r>
              <w:rPr>
                <w:rFonts w:ascii="宋体"/>
                <w:sz w:val="20"/>
              </w:rPr>
            </w:r>
          </w:p>
        </w:tc>
      </w:tr>
    </w:tbl>
    <w:p>
      <w:pPr>
        <w:pStyle w:val="Heading2"/>
        <w:spacing w:line="240" w:lineRule="auto" w:before="73"/>
        <w:ind w:left="223" w:right="1402"/>
        <w:jc w:val="left"/>
      </w:pPr>
      <w:r>
        <w:rPr/>
        <w:pict>
          <v:shape style="position:absolute;margin-left:103.08847pt;margin-top:-103.300163pt;width:392.95pt;height:64.3pt;mso-position-horizontal-relative:page;mso-position-vertical-relative:paragraph;z-index:-555688;rotation:315" type="#_x0000_t136" fillcolor="#e0e0e0" stroked="f">
            <o:extrusion v:ext="view" autorotationcenter="t"/>
            <v:textpath style="font-family:&amp;quot;Arial&amp;quot;;font-size:64pt;v-text-kern:t;mso-text-shadow:auto" string="UnRegistered"/>
            <w10:wrap type="none"/>
          </v:shape>
        </w:pict>
      </w:r>
      <w:r>
        <w:rPr/>
        <w:t>变动原因说明：</w:t>
      </w:r>
    </w:p>
    <w:p>
      <w:pPr>
        <w:spacing w:line="240" w:lineRule="auto" w:before="12"/>
        <w:rPr>
          <w:rFonts w:ascii="宋体" w:hAnsi="宋体" w:cs="宋体" w:eastAsia="宋体" w:hint="default"/>
          <w:sz w:val="22"/>
          <w:szCs w:val="22"/>
        </w:rPr>
      </w:pPr>
    </w:p>
    <w:p>
      <w:pPr>
        <w:pStyle w:val="Heading3"/>
        <w:spacing w:line="384" w:lineRule="auto"/>
        <w:ind w:right="1578"/>
        <w:jc w:val="left"/>
        <w:rPr>
          <w:rFonts w:ascii="宋体" w:hAnsi="宋体" w:cs="宋体" w:eastAsia="宋体" w:hint="default"/>
        </w:rPr>
      </w:pPr>
      <w:r>
        <w:rPr>
          <w:rFonts w:ascii="宋体" w:hAnsi="宋体" w:cs="宋体" w:eastAsia="宋体" w:hint="default"/>
          <w:spacing w:val="-1"/>
        </w:rPr>
        <w:t>①货币资金增加、相应占比上升系控股子公司本期转让河南新景致房地产有限公司</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股权，收回相关代垫款和股权转让款，以及本期银行贷款增加共同影响所致。</w:t>
      </w:r>
    </w:p>
    <w:p>
      <w:pPr>
        <w:spacing w:line="381" w:lineRule="auto" w:before="161"/>
        <w:ind w:left="223" w:right="1402" w:firstLine="0"/>
        <w:jc w:val="left"/>
        <w:rPr>
          <w:rFonts w:ascii="宋体" w:hAnsi="宋体" w:cs="宋体" w:eastAsia="宋体" w:hint="default"/>
          <w:sz w:val="24"/>
          <w:szCs w:val="24"/>
        </w:rPr>
      </w:pPr>
      <w:r>
        <w:rPr>
          <w:rFonts w:ascii="宋体" w:hAnsi="宋体" w:cs="宋体" w:eastAsia="宋体" w:hint="default"/>
          <w:spacing w:val="5"/>
          <w:sz w:val="24"/>
          <w:szCs w:val="24"/>
        </w:rPr>
        <w:t>②预付款项减少、相应占比下降系子公司本期转让河南新景致房地产有限公司股</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权，该公司账面预付账款不再纳入本期会计报表所致。</w:t>
      </w:r>
    </w:p>
    <w:p>
      <w:pPr>
        <w:spacing w:line="381" w:lineRule="auto" w:before="46"/>
        <w:ind w:left="223" w:right="1578" w:firstLine="0"/>
        <w:jc w:val="left"/>
        <w:rPr>
          <w:rFonts w:ascii="宋体" w:hAnsi="宋体" w:cs="宋体" w:eastAsia="宋体" w:hint="default"/>
          <w:sz w:val="24"/>
          <w:szCs w:val="24"/>
        </w:rPr>
      </w:pPr>
      <w:r>
        <w:rPr>
          <w:rFonts w:ascii="宋体" w:hAnsi="宋体" w:cs="宋体" w:eastAsia="宋体" w:hint="default"/>
          <w:spacing w:val="-1"/>
          <w:sz w:val="24"/>
          <w:szCs w:val="24"/>
        </w:rPr>
        <w:t>③存货减少、相应占比下降系子公司本期转让河南新景致房地产有限公司股权，该</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公司账面存货不再纳入本期会计报表所致。</w:t>
      </w:r>
    </w:p>
    <w:p>
      <w:pPr>
        <w:spacing w:before="43"/>
        <w:ind w:left="223" w:right="1402" w:firstLine="0"/>
        <w:jc w:val="left"/>
        <w:rPr>
          <w:rFonts w:ascii="宋体" w:hAnsi="宋体" w:cs="宋体" w:eastAsia="宋体" w:hint="default"/>
          <w:sz w:val="24"/>
          <w:szCs w:val="24"/>
        </w:rPr>
      </w:pPr>
      <w:r>
        <w:rPr>
          <w:rFonts w:ascii="宋体" w:hAnsi="宋体" w:cs="宋体" w:eastAsia="宋体" w:hint="default"/>
          <w:sz w:val="24"/>
          <w:szCs w:val="24"/>
        </w:rPr>
        <w:t>④在建工程增加、相应占比上升系贵州六盘水吉源煤业公司新增工程支出所致。</w:t>
      </w:r>
    </w:p>
    <w:p>
      <w:pPr>
        <w:spacing w:line="381" w:lineRule="auto" w:before="187"/>
        <w:ind w:left="223" w:right="1402" w:firstLine="0"/>
        <w:jc w:val="left"/>
        <w:rPr>
          <w:rFonts w:ascii="宋体" w:hAnsi="宋体" w:cs="宋体" w:eastAsia="宋体" w:hint="default"/>
          <w:sz w:val="24"/>
          <w:szCs w:val="24"/>
        </w:rPr>
      </w:pPr>
      <w:r>
        <w:rPr>
          <w:rFonts w:ascii="宋体" w:hAnsi="宋体" w:cs="宋体" w:eastAsia="宋体" w:hint="default"/>
          <w:spacing w:val="5"/>
          <w:sz w:val="24"/>
          <w:szCs w:val="24"/>
        </w:rPr>
        <w:t>⑤一年内到期的非流动负债减少系广州润龙房地产有限公司以及贵州六盘水吉源</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煤业公司将于一年内到期的借款减少所致。</w:t>
      </w:r>
    </w:p>
    <w:p>
      <w:pPr>
        <w:spacing w:after="0" w:line="381" w:lineRule="auto"/>
        <w:jc w:val="left"/>
        <w:rPr>
          <w:rFonts w:ascii="宋体" w:hAnsi="宋体" w:cs="宋体" w:eastAsia="宋体" w:hint="default"/>
          <w:sz w:val="24"/>
          <w:szCs w:val="24"/>
        </w:rPr>
        <w:sectPr>
          <w:pgSz w:w="11910" w:h="16840"/>
          <w:pgMar w:header="929" w:footer="837" w:top="1140" w:bottom="1020" w:left="1480" w:right="0"/>
        </w:sectPr>
      </w:pPr>
    </w:p>
    <w:p>
      <w:pPr>
        <w:spacing w:line="240" w:lineRule="auto" w:before="10"/>
        <w:rPr>
          <w:rFonts w:ascii="宋体" w:hAnsi="宋体" w:cs="宋体" w:eastAsia="宋体" w:hint="default"/>
          <w:sz w:val="23"/>
          <w:szCs w:val="23"/>
        </w:rPr>
      </w:pPr>
    </w:p>
    <w:p>
      <w:pPr>
        <w:spacing w:before="26"/>
        <w:ind w:left="223" w:right="1402" w:firstLine="0"/>
        <w:jc w:val="left"/>
        <w:rPr>
          <w:rFonts w:ascii="宋体" w:hAnsi="宋体" w:cs="宋体" w:eastAsia="宋体" w:hint="default"/>
          <w:sz w:val="24"/>
          <w:szCs w:val="24"/>
        </w:rPr>
      </w:pPr>
      <w:r>
        <w:rPr>
          <w:rFonts w:ascii="宋体" w:hAnsi="宋体" w:cs="宋体" w:eastAsia="宋体" w:hint="default"/>
          <w:sz w:val="24"/>
          <w:szCs w:val="24"/>
        </w:rPr>
        <w:t>⑥长期借款增加系子公司本期新增贷款影响所致。</w:t>
      </w:r>
    </w:p>
    <w:p>
      <w:pPr>
        <w:spacing w:line="381" w:lineRule="auto" w:before="187"/>
        <w:ind w:left="223" w:right="1402" w:firstLine="0"/>
        <w:jc w:val="left"/>
        <w:rPr>
          <w:rFonts w:ascii="宋体" w:hAnsi="宋体" w:cs="宋体" w:eastAsia="宋体" w:hint="default"/>
          <w:sz w:val="24"/>
          <w:szCs w:val="24"/>
        </w:rPr>
      </w:pPr>
      <w:r>
        <w:rPr>
          <w:rFonts w:ascii="宋体" w:hAnsi="宋体" w:cs="宋体" w:eastAsia="宋体" w:hint="default"/>
          <w:spacing w:val="5"/>
          <w:sz w:val="24"/>
          <w:szCs w:val="24"/>
        </w:rPr>
        <w:t>⑦递延所得税负债减少、相应占比下降系本期转让河南新景致房地产有限公司股</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权，该公司账面递延所得税负债不再纳入本期会计报表所致。</w:t>
      </w:r>
    </w:p>
    <w:p>
      <w:pPr>
        <w:spacing w:line="367" w:lineRule="auto" w:before="45"/>
        <w:ind w:left="223" w:right="1402" w:firstLine="0"/>
        <w:jc w:val="left"/>
        <w:rPr>
          <w:rFonts w:ascii="宋体" w:hAnsi="宋体" w:cs="宋体" w:eastAsia="宋体" w:hint="default"/>
          <w:sz w:val="28"/>
          <w:szCs w:val="28"/>
        </w:rPr>
      </w:pPr>
      <w:r>
        <w:rPr/>
        <w:pict>
          <v:shape style="position:absolute;margin-left:79.538261pt;margin-top:52.201546pt;width:442.35pt;height:149.0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2"/>
                    <w:gridCol w:w="2266"/>
                    <w:gridCol w:w="2263"/>
                    <w:gridCol w:w="2261"/>
                  </w:tblGrid>
                  <w:tr>
                    <w:trPr>
                      <w:trHeight w:val="662"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2"/>
                          <w:ind w:left="46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22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2"/>
                          <w:ind w:left="57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年(元)</w:t>
                        </w:r>
                      </w:p>
                    </w:tc>
                    <w:tc>
                      <w:tcPr>
                        <w:tcW w:w="226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2"/>
                          <w:ind w:left="439" w:right="0"/>
                          <w:jc w:val="left"/>
                          <w:rPr>
                            <w:rFonts w:ascii="宋体" w:hAnsi="宋体" w:cs="宋体" w:eastAsia="宋体" w:hint="default"/>
                            <w:sz w:val="21"/>
                            <w:szCs w:val="21"/>
                          </w:rPr>
                        </w:pPr>
                        <w:r>
                          <w:rPr>
                            <w:rFonts w:ascii="宋体" w:hAnsi="宋体" w:cs="宋体" w:eastAsia="宋体" w:hint="default"/>
                            <w:sz w:val="21"/>
                            <w:szCs w:val="21"/>
                          </w:rPr>
                          <w:t>同比增减率(%)</w:t>
                        </w:r>
                      </w:p>
                    </w:tc>
                  </w:tr>
                  <w:tr>
                    <w:trPr>
                      <w:trHeight w:val="579" w:hRule="exact"/>
                    </w:trPr>
                    <w:tc>
                      <w:tcPr>
                        <w:tcW w:w="20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spacing w:val="-1"/>
                            <w:sz w:val="21"/>
                          </w:rPr>
                          <w:t>359,314.98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spacing w:val="-1"/>
                            <w:sz w:val="21"/>
                          </w:rPr>
                          <w:t>230,435.70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1"/>
                            <w:szCs w:val="21"/>
                          </w:rPr>
                        </w:pPr>
                        <w:r>
                          <w:rPr>
                            <w:rFonts w:ascii="宋体"/>
                            <w:sz w:val="21"/>
                          </w:rPr>
                          <w:t>55.93</w:t>
                        </w:r>
                      </w:p>
                    </w:tc>
                  </w:tr>
                  <w:tr>
                    <w:trPr>
                      <w:trHeight w:val="576" w:hRule="exact"/>
                    </w:trPr>
                    <w:tc>
                      <w:tcPr>
                        <w:tcW w:w="20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15,263,772.03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11,942,495.63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27.81</w:t>
                        </w:r>
                      </w:p>
                    </w:tc>
                  </w:tr>
                  <w:tr>
                    <w:trPr>
                      <w:trHeight w:val="578" w:hRule="exact"/>
                    </w:trPr>
                    <w:tc>
                      <w:tcPr>
                        <w:tcW w:w="20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16,869,426.68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13,167,671.48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28.11</w:t>
                        </w:r>
                      </w:p>
                    </w:tc>
                  </w:tr>
                  <w:tr>
                    <w:trPr>
                      <w:trHeight w:val="576" w:hRule="exact"/>
                    </w:trPr>
                    <w:tc>
                      <w:tcPr>
                        <w:tcW w:w="20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8,532,226.65</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4,075,082.45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109.38</w:t>
                        </w:r>
                      </w:p>
                    </w:tc>
                  </w:tr>
                </w:tbl>
                <w:p>
                  <w:pPr/>
                </w:p>
              </w:txbxContent>
            </v:textbox>
            <w10:wrap type="none"/>
          </v:shape>
        </w:pict>
      </w:r>
      <w:r>
        <w:rPr>
          <w:rFonts w:ascii="宋体" w:hAnsi="宋体" w:cs="宋体" w:eastAsia="宋体" w:hint="default"/>
          <w:sz w:val="28"/>
          <w:szCs w:val="28"/>
        </w:rPr>
        <w:t>（2）公司营业费用、管理费用、财务费用、所得税等财务数据变动情</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6"/>
        <w:ind w:left="504" w:right="1402" w:firstLine="0"/>
        <w:jc w:val="left"/>
        <w:rPr>
          <w:rFonts w:ascii="宋体" w:hAnsi="宋体" w:cs="宋体" w:eastAsia="宋体" w:hint="default"/>
          <w:sz w:val="28"/>
          <w:szCs w:val="28"/>
        </w:rPr>
      </w:pPr>
      <w:r>
        <w:rPr>
          <w:rFonts w:ascii="宋体" w:hAnsi="宋体" w:cs="宋体" w:eastAsia="宋体" w:hint="default"/>
          <w:sz w:val="28"/>
          <w:szCs w:val="28"/>
        </w:rPr>
        <w:t>变动原因说明：</w:t>
      </w:r>
    </w:p>
    <w:p>
      <w:pPr>
        <w:spacing w:line="240" w:lineRule="auto" w:before="5"/>
        <w:rPr>
          <w:rFonts w:ascii="宋体" w:hAnsi="宋体" w:cs="宋体" w:eastAsia="宋体" w:hint="default"/>
          <w:sz w:val="20"/>
          <w:szCs w:val="20"/>
        </w:rPr>
      </w:pPr>
    </w:p>
    <w:p>
      <w:pPr>
        <w:pStyle w:val="Heading2"/>
        <w:spacing w:line="326" w:lineRule="auto" w:before="0"/>
        <w:ind w:left="223" w:right="1402"/>
        <w:jc w:val="left"/>
      </w:pPr>
      <w:r>
        <w:rPr/>
        <w:pict>
          <v:shape style="position:absolute;margin-left:103.08847pt;margin-top:9.689849pt;width:392.95pt;height:64.3pt;mso-position-horizontal-relative:page;mso-position-vertical-relative:paragraph;z-index:-555664;rotation:315" type="#_x0000_t136" fillcolor="#e0e0e0" stroked="f">
            <o:extrusion v:ext="view" autorotationcenter="t"/>
            <v:textpath style="font-family:&amp;quot;Arial&amp;quot;;font-size:64pt;v-text-kern:t;mso-text-shadow:auto" string="UnRegistered"/>
            <w10:wrap type="none"/>
          </v:shape>
        </w:pict>
      </w:r>
      <w:r>
        <w:rPr>
          <w:spacing w:val="-2"/>
          <w:sz w:val="24"/>
          <w:szCs w:val="24"/>
        </w:rPr>
        <w:t>①</w:t>
      </w:r>
      <w:r>
        <w:rPr>
          <w:spacing w:val="-2"/>
        </w:rPr>
        <w:t>本期销售费用和管理费用较上年增加，系公司招聘员工和调升职工薪</w:t>
      </w:r>
      <w:r>
        <w:rPr>
          <w:spacing w:val="-103"/>
        </w:rPr>
        <w:t> </w:t>
      </w:r>
      <w:r>
        <w:rPr>
          <w:spacing w:val="-103"/>
        </w:rPr>
      </w:r>
      <w:r>
        <w:rPr/>
        <w:t>酬，以及本期支付的审计评估费用增加共同影响所致。</w:t>
      </w:r>
    </w:p>
    <w:p>
      <w:pPr>
        <w:spacing w:line="328" w:lineRule="auto" w:before="32"/>
        <w:ind w:left="223" w:right="1567" w:firstLine="0"/>
        <w:jc w:val="left"/>
        <w:rPr>
          <w:rFonts w:ascii="宋体" w:hAnsi="宋体" w:cs="宋体" w:eastAsia="宋体" w:hint="default"/>
          <w:sz w:val="28"/>
          <w:szCs w:val="28"/>
        </w:rPr>
      </w:pPr>
      <w:r>
        <w:rPr>
          <w:rFonts w:ascii="宋体" w:hAnsi="宋体" w:cs="宋体" w:eastAsia="宋体" w:hint="default"/>
          <w:sz w:val="24"/>
          <w:szCs w:val="24"/>
        </w:rPr>
        <w:t>②</w:t>
      </w:r>
      <w:r>
        <w:rPr>
          <w:rFonts w:ascii="宋体" w:hAnsi="宋体" w:cs="宋体" w:eastAsia="宋体" w:hint="default"/>
          <w:spacing w:val="-25"/>
          <w:sz w:val="24"/>
          <w:szCs w:val="24"/>
        </w:rPr>
        <w:t> </w:t>
      </w:r>
      <w:r>
        <w:rPr>
          <w:rFonts w:ascii="宋体" w:hAnsi="宋体" w:cs="宋体" w:eastAsia="宋体" w:hint="default"/>
          <w:sz w:val="28"/>
          <w:szCs w:val="28"/>
        </w:rPr>
        <w:t>财务费用较上年增加，系</w:t>
      </w:r>
      <w:r>
        <w:rPr>
          <w:rFonts w:ascii="宋体" w:hAnsi="宋体" w:cs="宋体" w:eastAsia="宋体" w:hint="default"/>
          <w:sz w:val="24"/>
          <w:szCs w:val="24"/>
        </w:rPr>
        <w:t>子公司</w:t>
      </w:r>
      <w:r>
        <w:rPr>
          <w:rFonts w:ascii="宋体" w:hAnsi="宋体" w:cs="宋体" w:eastAsia="宋体" w:hint="default"/>
          <w:sz w:val="28"/>
          <w:szCs w:val="28"/>
        </w:rPr>
        <w:t>本期新增贷款导致利息支出相应增加</w:t>
      </w:r>
      <w:r>
        <w:rPr>
          <w:rFonts w:ascii="宋体" w:hAnsi="宋体" w:cs="宋体" w:eastAsia="宋体" w:hint="default"/>
          <w:w w:val="100"/>
          <w:sz w:val="28"/>
          <w:szCs w:val="28"/>
        </w:rPr>
        <w:t> </w:t>
      </w:r>
      <w:r>
        <w:rPr>
          <w:rFonts w:ascii="宋体" w:hAnsi="宋体" w:cs="宋体" w:eastAsia="宋体" w:hint="default"/>
          <w:sz w:val="28"/>
          <w:szCs w:val="28"/>
        </w:rPr>
        <w:t>所致。</w:t>
      </w:r>
    </w:p>
    <w:p>
      <w:pPr>
        <w:spacing w:line="326" w:lineRule="auto" w:before="149"/>
        <w:ind w:left="223" w:right="1402" w:firstLine="0"/>
        <w:jc w:val="left"/>
        <w:rPr>
          <w:rFonts w:ascii="宋体" w:hAnsi="宋体" w:cs="宋体" w:eastAsia="宋体" w:hint="default"/>
          <w:sz w:val="28"/>
          <w:szCs w:val="28"/>
        </w:rPr>
      </w:pPr>
      <w:r>
        <w:rPr>
          <w:rFonts w:ascii="宋体" w:hAnsi="宋体" w:cs="宋体" w:eastAsia="宋体" w:hint="default"/>
          <w:sz w:val="24"/>
          <w:szCs w:val="24"/>
        </w:rPr>
        <w:t>③</w:t>
      </w:r>
      <w:r>
        <w:rPr>
          <w:rFonts w:ascii="宋体" w:hAnsi="宋体" w:cs="宋体" w:eastAsia="宋体" w:hint="default"/>
          <w:sz w:val="28"/>
          <w:szCs w:val="28"/>
        </w:rPr>
        <w:t>所得税费用较上年增加，系</w:t>
      </w:r>
      <w:r>
        <w:rPr>
          <w:rFonts w:ascii="宋体" w:hAnsi="宋体" w:cs="宋体" w:eastAsia="宋体" w:hint="default"/>
          <w:sz w:val="24"/>
          <w:szCs w:val="24"/>
        </w:rPr>
        <w:t>子公司</w:t>
      </w:r>
      <w:r>
        <w:rPr>
          <w:rFonts w:ascii="宋体" w:hAnsi="宋体" w:cs="宋体" w:eastAsia="宋体" w:hint="default"/>
          <w:sz w:val="28"/>
          <w:szCs w:val="28"/>
        </w:rPr>
        <w:t>转让所持股权实现投资收益导致本</w:t>
      </w:r>
      <w:r>
        <w:rPr>
          <w:rFonts w:ascii="宋体" w:hAnsi="宋体" w:cs="宋体" w:eastAsia="宋体" w:hint="default"/>
          <w:spacing w:val="-55"/>
          <w:sz w:val="28"/>
          <w:szCs w:val="28"/>
        </w:rPr>
        <w:t> </w:t>
      </w:r>
      <w:r>
        <w:rPr>
          <w:rFonts w:ascii="宋体" w:hAnsi="宋体" w:cs="宋体" w:eastAsia="宋体" w:hint="default"/>
          <w:spacing w:val="-55"/>
          <w:sz w:val="28"/>
          <w:szCs w:val="28"/>
        </w:rPr>
      </w:r>
      <w:r>
        <w:rPr>
          <w:rFonts w:ascii="宋体" w:hAnsi="宋体" w:cs="宋体" w:eastAsia="宋体" w:hint="default"/>
          <w:sz w:val="28"/>
          <w:szCs w:val="28"/>
        </w:rPr>
        <w:t>期所得税费用相应增加所致。</w:t>
      </w:r>
    </w:p>
    <w:p>
      <w:pPr>
        <w:spacing w:before="17"/>
        <w:ind w:left="223" w:right="1402" w:firstLine="0"/>
        <w:jc w:val="left"/>
        <w:rPr>
          <w:rFonts w:ascii="宋体" w:hAnsi="宋体" w:cs="宋体" w:eastAsia="宋体" w:hint="default"/>
          <w:sz w:val="28"/>
          <w:szCs w:val="28"/>
        </w:rPr>
      </w:pPr>
      <w:r>
        <w:rPr>
          <w:rFonts w:ascii="宋体" w:hAnsi="宋体" w:cs="宋体" w:eastAsia="宋体" w:hint="default"/>
          <w:sz w:val="28"/>
          <w:szCs w:val="28"/>
        </w:rPr>
        <w:t>4、现金流量构成情况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2249"/>
        <w:gridCol w:w="1584"/>
        <w:gridCol w:w="1687"/>
        <w:gridCol w:w="1656"/>
        <w:gridCol w:w="1656"/>
      </w:tblGrid>
      <w:tr>
        <w:trPr>
          <w:trHeight w:val="609" w:hRule="exact"/>
        </w:trPr>
        <w:tc>
          <w:tcPr>
            <w:tcW w:w="22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3"/>
              <w:ind w:left="1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16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同比增减额</w:t>
            </w:r>
          </w:p>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（元）</w:t>
            </w:r>
          </w:p>
        </w:tc>
        <w:tc>
          <w:tcPr>
            <w:tcW w:w="16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同比增减率（%）</w:t>
            </w:r>
          </w:p>
        </w:tc>
      </w:tr>
      <w:tr>
        <w:trPr>
          <w:trHeight w:val="610" w:hRule="exact"/>
        </w:trPr>
        <w:tc>
          <w:tcPr>
            <w:tcW w:w="224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auto"/>
              <w:ind w:left="103" w:right="98"/>
              <w:jc w:val="left"/>
              <w:rPr>
                <w:rFonts w:ascii="宋体" w:hAnsi="宋体" w:cs="宋体" w:eastAsia="宋体" w:hint="default"/>
                <w:sz w:val="21"/>
                <w:szCs w:val="21"/>
              </w:rPr>
            </w:pPr>
            <w:r>
              <w:rPr>
                <w:rFonts w:ascii="宋体" w:hAnsi="宋体" w:cs="宋体" w:eastAsia="宋体" w:hint="default"/>
                <w:spacing w:val="13"/>
                <w:sz w:val="21"/>
                <w:szCs w:val="21"/>
              </w:rPr>
              <w:t>经营活动产生的现金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流量净额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sz w:val="21"/>
              </w:rPr>
              <w:t>82,380,072.52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spacing w:val="-1"/>
                <w:sz w:val="21"/>
              </w:rPr>
              <w:t>10,803,315.56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2" w:right="0"/>
              <w:jc w:val="center"/>
              <w:rPr>
                <w:rFonts w:ascii="宋体" w:hAnsi="宋体" w:cs="宋体" w:eastAsia="宋体" w:hint="default"/>
                <w:sz w:val="21"/>
                <w:szCs w:val="21"/>
              </w:rPr>
            </w:pPr>
            <w:r>
              <w:rPr>
                <w:rFonts w:ascii="宋体"/>
                <w:sz w:val="21"/>
              </w:rPr>
              <w:t>71,576,756.96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sz w:val="21"/>
              </w:rPr>
              <w:t>662.54</w:t>
            </w:r>
          </w:p>
        </w:tc>
      </w:tr>
      <w:tr>
        <w:trPr>
          <w:trHeight w:val="612" w:hRule="exact"/>
        </w:trPr>
        <w:tc>
          <w:tcPr>
            <w:tcW w:w="224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auto"/>
              <w:ind w:left="103" w:right="98"/>
              <w:jc w:val="left"/>
              <w:rPr>
                <w:rFonts w:ascii="宋体" w:hAnsi="宋体" w:cs="宋体" w:eastAsia="宋体" w:hint="default"/>
                <w:sz w:val="21"/>
                <w:szCs w:val="21"/>
              </w:rPr>
            </w:pPr>
            <w:r>
              <w:rPr>
                <w:rFonts w:ascii="宋体" w:hAnsi="宋体" w:cs="宋体" w:eastAsia="宋体" w:hint="default"/>
                <w:spacing w:val="13"/>
                <w:sz w:val="21"/>
                <w:szCs w:val="21"/>
              </w:rPr>
              <w:t>投资活动产生的现金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流量净额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sz w:val="21"/>
              </w:rPr>
              <w:t>53,622,737.97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-15,214,775.03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2" w:right="0"/>
              <w:jc w:val="center"/>
              <w:rPr>
                <w:rFonts w:ascii="宋体" w:hAnsi="宋体" w:cs="宋体" w:eastAsia="宋体" w:hint="default"/>
                <w:sz w:val="21"/>
                <w:szCs w:val="21"/>
              </w:rPr>
            </w:pPr>
            <w:r>
              <w:rPr>
                <w:rFonts w:ascii="宋体"/>
                <w:sz w:val="21"/>
              </w:rPr>
              <w:t>68,837,513.00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610" w:hRule="exact"/>
        </w:trPr>
        <w:tc>
          <w:tcPr>
            <w:tcW w:w="224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1" w:lineRule="auto"/>
              <w:ind w:left="103" w:right="98"/>
              <w:jc w:val="left"/>
              <w:rPr>
                <w:rFonts w:ascii="宋体" w:hAnsi="宋体" w:cs="宋体" w:eastAsia="宋体" w:hint="default"/>
                <w:sz w:val="21"/>
                <w:szCs w:val="21"/>
              </w:rPr>
            </w:pPr>
            <w:r>
              <w:rPr>
                <w:rFonts w:ascii="宋体" w:hAnsi="宋体" w:cs="宋体" w:eastAsia="宋体" w:hint="default"/>
                <w:spacing w:val="13"/>
                <w:sz w:val="21"/>
                <w:szCs w:val="21"/>
              </w:rPr>
              <w:t>筹资活动产生的现金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流量净额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sz w:val="21"/>
              </w:rPr>
              <w:t>44,438,043.76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-47,169,812.45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2" w:right="0"/>
              <w:jc w:val="center"/>
              <w:rPr>
                <w:rFonts w:ascii="宋体" w:hAnsi="宋体" w:cs="宋体" w:eastAsia="宋体" w:hint="default"/>
                <w:sz w:val="21"/>
                <w:szCs w:val="21"/>
              </w:rPr>
            </w:pPr>
            <w:r>
              <w:rPr>
                <w:rFonts w:ascii="宋体"/>
                <w:sz w:val="21"/>
              </w:rPr>
              <w:t>91,607,856.21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before="73"/>
        <w:ind w:left="782" w:right="1402" w:firstLine="0"/>
        <w:jc w:val="left"/>
        <w:rPr>
          <w:rFonts w:ascii="宋体" w:hAnsi="宋体" w:cs="宋体" w:eastAsia="宋体" w:hint="default"/>
          <w:sz w:val="28"/>
          <w:szCs w:val="28"/>
        </w:rPr>
      </w:pPr>
      <w:r>
        <w:rPr>
          <w:rFonts w:ascii="宋体" w:hAnsi="宋体" w:cs="宋体" w:eastAsia="宋体" w:hint="default"/>
          <w:sz w:val="28"/>
          <w:szCs w:val="28"/>
        </w:rPr>
        <w:t>现金净流量变动原因说明：</w:t>
      </w:r>
    </w:p>
    <w:p>
      <w:pPr>
        <w:spacing w:before="132"/>
        <w:ind w:left="223" w:right="1402" w:firstLine="0"/>
        <w:jc w:val="left"/>
        <w:rPr>
          <w:rFonts w:ascii="宋体" w:hAnsi="宋体" w:cs="宋体" w:eastAsia="宋体" w:hint="default"/>
          <w:sz w:val="28"/>
          <w:szCs w:val="28"/>
        </w:rPr>
      </w:pPr>
      <w:r>
        <w:rPr>
          <w:rFonts w:ascii="宋体" w:hAnsi="宋体" w:cs="宋体" w:eastAsia="宋体" w:hint="default"/>
          <w:sz w:val="28"/>
          <w:szCs w:val="28"/>
        </w:rPr>
        <w:t>（1）经营活动产生的现金流量净额增加，系本期转让河南新景致房地</w:t>
      </w:r>
    </w:p>
    <w:p>
      <w:pPr>
        <w:spacing w:after="0"/>
        <w:jc w:val="left"/>
        <w:rPr>
          <w:rFonts w:ascii="宋体" w:hAnsi="宋体" w:cs="宋体" w:eastAsia="宋体" w:hint="default"/>
          <w:sz w:val="28"/>
          <w:szCs w:val="28"/>
        </w:rPr>
        <w:sectPr>
          <w:pgSz w:w="11910" w:h="16840"/>
          <w:pgMar w:header="929" w:footer="837" w:top="1140" w:bottom="1020" w:left="1480" w:right="0"/>
        </w:sectPr>
      </w:pPr>
    </w:p>
    <w:p>
      <w:pPr>
        <w:spacing w:line="240" w:lineRule="auto" w:before="1"/>
        <w:rPr>
          <w:rFonts w:ascii="宋体" w:hAnsi="宋体" w:cs="宋体" w:eastAsia="宋体" w:hint="default"/>
          <w:sz w:val="21"/>
          <w:szCs w:val="21"/>
        </w:rPr>
      </w:pPr>
    </w:p>
    <w:p>
      <w:pPr>
        <w:spacing w:before="14"/>
        <w:ind w:left="103" w:right="0" w:firstLine="0"/>
        <w:jc w:val="both"/>
        <w:rPr>
          <w:rFonts w:ascii="宋体" w:hAnsi="宋体" w:cs="宋体" w:eastAsia="宋体" w:hint="default"/>
          <w:sz w:val="28"/>
          <w:szCs w:val="28"/>
        </w:rPr>
      </w:pPr>
      <w:r>
        <w:rPr>
          <w:rFonts w:ascii="宋体" w:hAnsi="宋体" w:cs="宋体" w:eastAsia="宋体" w:hint="default"/>
          <w:sz w:val="28"/>
          <w:szCs w:val="28"/>
        </w:rPr>
        <w:t>产有限公司股权，收回相关代垫款所致。</w:t>
      </w:r>
    </w:p>
    <w:p>
      <w:pPr>
        <w:spacing w:line="326" w:lineRule="auto" w:before="135"/>
        <w:ind w:left="103" w:right="1581" w:firstLine="0"/>
        <w:jc w:val="both"/>
        <w:rPr>
          <w:rFonts w:ascii="宋体" w:hAnsi="宋体" w:cs="宋体" w:eastAsia="宋体" w:hint="default"/>
          <w:sz w:val="28"/>
          <w:szCs w:val="28"/>
        </w:rPr>
      </w:pPr>
      <w:r>
        <w:rPr>
          <w:rFonts w:ascii="宋体" w:hAnsi="宋体" w:cs="宋体" w:eastAsia="宋体" w:hint="default"/>
          <w:sz w:val="28"/>
          <w:szCs w:val="28"/>
        </w:rPr>
        <w:t>（2）投资活动产生的现金流量净额增加，系本期转让河南新景致房地</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3"/>
          <w:sz w:val="28"/>
          <w:szCs w:val="28"/>
        </w:rPr>
        <w:t>产有限公司股权收回股权转让款，以及支付贵州六盘水吉源煤业有限公</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司工程款共同影响所致。</w:t>
      </w:r>
    </w:p>
    <w:p>
      <w:pPr>
        <w:spacing w:line="326" w:lineRule="auto" w:before="34"/>
        <w:ind w:left="103" w:right="1402" w:firstLine="0"/>
        <w:jc w:val="left"/>
        <w:rPr>
          <w:rFonts w:ascii="宋体" w:hAnsi="宋体" w:cs="宋体" w:eastAsia="宋体" w:hint="default"/>
          <w:sz w:val="28"/>
          <w:szCs w:val="28"/>
        </w:rPr>
      </w:pPr>
      <w:r>
        <w:rPr>
          <w:rFonts w:ascii="宋体" w:hAnsi="宋体" w:cs="宋体" w:eastAsia="宋体" w:hint="default"/>
          <w:spacing w:val="-1"/>
          <w:sz w:val="28"/>
          <w:szCs w:val="28"/>
        </w:rPr>
        <w:t>（3）筹资活动产生的现金流量净额增加，系本期贷款增加所致。</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5、主要控股公司经营情况及业绩</w:t>
      </w:r>
    </w:p>
    <w:p>
      <w:pPr>
        <w:spacing w:line="328" w:lineRule="auto" w:before="32"/>
        <w:ind w:left="103" w:right="1576" w:firstLine="0"/>
        <w:jc w:val="left"/>
        <w:rPr>
          <w:rFonts w:ascii="宋体" w:hAnsi="宋体" w:cs="宋体" w:eastAsia="宋体" w:hint="default"/>
          <w:sz w:val="28"/>
          <w:szCs w:val="28"/>
        </w:rPr>
      </w:pPr>
      <w:r>
        <w:rPr>
          <w:rFonts w:ascii="宋体" w:hAnsi="宋体" w:cs="宋体" w:eastAsia="宋体" w:hint="default"/>
          <w:sz w:val="28"/>
          <w:szCs w:val="28"/>
        </w:rPr>
        <w:t>（1）公司全资子公司广州润龙房地产有限公司，经营范围为利用自有</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11"/>
          <w:w w:val="100"/>
          <w:sz w:val="28"/>
          <w:szCs w:val="28"/>
        </w:rPr>
        <w:t>资金投资房地产、销售建筑材料和房地产信息咨询服务。注册资本</w:t>
      </w:r>
      <w:r>
        <w:rPr>
          <w:rFonts w:ascii="宋体" w:hAnsi="宋体" w:cs="宋体" w:eastAsia="宋体" w:hint="default"/>
          <w:spacing w:val="-56"/>
          <w:w w:val="100"/>
          <w:sz w:val="28"/>
          <w:szCs w:val="28"/>
        </w:rPr>
        <w:t> </w:t>
      </w:r>
      <w:r>
        <w:rPr>
          <w:rFonts w:ascii="宋体" w:hAnsi="宋体" w:cs="宋体" w:eastAsia="宋体" w:hint="default"/>
          <w:spacing w:val="-1"/>
          <w:w w:val="100"/>
          <w:sz w:val="28"/>
          <w:szCs w:val="28"/>
        </w:rPr>
        <w:t>8,000</w:t>
      </w:r>
    </w:p>
    <w:p>
      <w:pPr>
        <w:spacing w:before="29"/>
        <w:ind w:left="103" w:right="0" w:firstLine="0"/>
        <w:jc w:val="both"/>
        <w:rPr>
          <w:rFonts w:ascii="宋体" w:hAnsi="宋体" w:cs="宋体" w:eastAsia="宋体" w:hint="default"/>
          <w:sz w:val="28"/>
          <w:szCs w:val="28"/>
        </w:rPr>
      </w:pPr>
      <w:r>
        <w:rPr>
          <w:rFonts w:ascii="宋体" w:hAnsi="宋体" w:cs="宋体" w:eastAsia="宋体" w:hint="default"/>
          <w:sz w:val="28"/>
          <w:szCs w:val="28"/>
        </w:rPr>
        <w:t>万元。截至</w:t>
      </w:r>
      <w:r>
        <w:rPr>
          <w:rFonts w:ascii="宋体" w:hAnsi="宋体" w:cs="宋体" w:eastAsia="宋体" w:hint="default"/>
          <w:spacing w:val="-64"/>
          <w:sz w:val="28"/>
          <w:szCs w:val="28"/>
        </w:rPr>
        <w:t> </w:t>
      </w:r>
      <w:r>
        <w:rPr>
          <w:rFonts w:ascii="宋体" w:hAnsi="宋体" w:cs="宋体" w:eastAsia="宋体" w:hint="default"/>
          <w:sz w:val="28"/>
          <w:szCs w:val="28"/>
        </w:rPr>
        <w:t>2011</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12</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31</w:t>
      </w:r>
      <w:r>
        <w:rPr>
          <w:rFonts w:ascii="宋体" w:hAnsi="宋体" w:cs="宋体" w:eastAsia="宋体" w:hint="default"/>
          <w:spacing w:val="-60"/>
          <w:sz w:val="28"/>
          <w:szCs w:val="28"/>
        </w:rPr>
        <w:t> </w:t>
      </w:r>
      <w:r>
        <w:rPr>
          <w:rFonts w:ascii="宋体" w:hAnsi="宋体" w:cs="宋体" w:eastAsia="宋体" w:hint="default"/>
          <w:sz w:val="28"/>
          <w:szCs w:val="28"/>
        </w:rPr>
        <w:t>日，该公司总资产</w:t>
      </w:r>
      <w:r>
        <w:rPr>
          <w:rFonts w:ascii="宋体" w:hAnsi="宋体" w:cs="宋体" w:eastAsia="宋体" w:hint="default"/>
          <w:spacing w:val="-64"/>
          <w:sz w:val="28"/>
          <w:szCs w:val="28"/>
        </w:rPr>
        <w:t> </w:t>
      </w:r>
      <w:r>
        <w:rPr>
          <w:rFonts w:ascii="宋体" w:hAnsi="宋体" w:cs="宋体" w:eastAsia="宋体" w:hint="default"/>
          <w:sz w:val="28"/>
          <w:szCs w:val="28"/>
        </w:rPr>
        <w:t>53,467.74</w:t>
      </w:r>
      <w:r>
        <w:rPr>
          <w:rFonts w:ascii="宋体" w:hAnsi="宋体" w:cs="宋体" w:eastAsia="宋体" w:hint="default"/>
          <w:spacing w:val="-60"/>
          <w:sz w:val="28"/>
          <w:szCs w:val="28"/>
        </w:rPr>
        <w:t> </w:t>
      </w:r>
      <w:r>
        <w:rPr>
          <w:rFonts w:ascii="宋体" w:hAnsi="宋体" w:cs="宋体" w:eastAsia="宋体" w:hint="default"/>
          <w:sz w:val="28"/>
          <w:szCs w:val="28"/>
        </w:rPr>
        <w:t>万元，净资</w:t>
      </w:r>
    </w:p>
    <w:p>
      <w:pPr>
        <w:spacing w:before="132"/>
        <w:ind w:left="103" w:right="0" w:firstLine="0"/>
        <w:jc w:val="both"/>
        <w:rPr>
          <w:rFonts w:ascii="宋体" w:hAnsi="宋体" w:cs="宋体" w:eastAsia="宋体" w:hint="default"/>
          <w:sz w:val="28"/>
          <w:szCs w:val="28"/>
        </w:rPr>
      </w:pPr>
      <w:r>
        <w:rPr>
          <w:rFonts w:ascii="宋体" w:hAnsi="宋体" w:cs="宋体" w:eastAsia="宋体" w:hint="default"/>
          <w:sz w:val="28"/>
          <w:szCs w:val="28"/>
        </w:rPr>
        <w:t>产</w:t>
      </w:r>
      <w:r>
        <w:rPr>
          <w:rFonts w:ascii="宋体" w:hAnsi="宋体" w:cs="宋体" w:eastAsia="宋体" w:hint="default"/>
          <w:spacing w:val="-59"/>
          <w:sz w:val="28"/>
          <w:szCs w:val="28"/>
        </w:rPr>
        <w:t> </w:t>
      </w:r>
      <w:r>
        <w:rPr>
          <w:rFonts w:ascii="宋体" w:hAnsi="宋体" w:cs="宋体" w:eastAsia="宋体" w:hint="default"/>
          <w:sz w:val="28"/>
          <w:szCs w:val="28"/>
        </w:rPr>
        <w:t>10,556.20</w:t>
      </w:r>
      <w:r>
        <w:rPr>
          <w:rFonts w:ascii="宋体" w:hAnsi="宋体" w:cs="宋体" w:eastAsia="宋体" w:hint="default"/>
          <w:spacing w:val="-58"/>
          <w:sz w:val="28"/>
          <w:szCs w:val="28"/>
        </w:rPr>
        <w:t> </w:t>
      </w:r>
      <w:r>
        <w:rPr>
          <w:rFonts w:ascii="宋体" w:hAnsi="宋体" w:cs="宋体" w:eastAsia="宋体" w:hint="default"/>
          <w:spacing w:val="-4"/>
          <w:sz w:val="28"/>
          <w:szCs w:val="28"/>
        </w:rPr>
        <w:t>万元。其拥有的天伦大厦项目租赁效果良好，报告期该项</w:t>
      </w:r>
    </w:p>
    <w:p>
      <w:pPr>
        <w:spacing w:before="135"/>
        <w:ind w:left="103" w:right="0" w:firstLine="0"/>
        <w:jc w:val="both"/>
        <w:rPr>
          <w:rFonts w:ascii="宋体" w:hAnsi="宋体" w:cs="宋体" w:eastAsia="宋体" w:hint="default"/>
          <w:sz w:val="28"/>
          <w:szCs w:val="28"/>
        </w:rPr>
      </w:pPr>
      <w:r>
        <w:rPr>
          <w:rFonts w:ascii="宋体" w:hAnsi="宋体" w:cs="宋体" w:eastAsia="宋体" w:hint="default"/>
          <w:sz w:val="28"/>
          <w:szCs w:val="28"/>
        </w:rPr>
        <w:t>目实现营业收入</w:t>
      </w:r>
      <w:r>
        <w:rPr>
          <w:rFonts w:ascii="宋体" w:hAnsi="宋体" w:cs="宋体" w:eastAsia="宋体" w:hint="default"/>
          <w:spacing w:val="-75"/>
          <w:sz w:val="28"/>
          <w:szCs w:val="28"/>
        </w:rPr>
        <w:t> </w:t>
      </w:r>
      <w:r>
        <w:rPr>
          <w:rFonts w:ascii="宋体" w:hAnsi="宋体" w:cs="宋体" w:eastAsia="宋体" w:hint="default"/>
          <w:sz w:val="28"/>
          <w:szCs w:val="28"/>
        </w:rPr>
        <w:t>5,382.35</w:t>
      </w:r>
      <w:r>
        <w:rPr>
          <w:rFonts w:ascii="宋体" w:hAnsi="宋体" w:cs="宋体" w:eastAsia="宋体" w:hint="default"/>
          <w:spacing w:val="-72"/>
          <w:sz w:val="28"/>
          <w:szCs w:val="28"/>
        </w:rPr>
        <w:t> </w:t>
      </w:r>
      <w:r>
        <w:rPr>
          <w:rFonts w:ascii="宋体" w:hAnsi="宋体" w:cs="宋体" w:eastAsia="宋体" w:hint="default"/>
          <w:sz w:val="28"/>
          <w:szCs w:val="28"/>
        </w:rPr>
        <w:t>万元，实现营业利润</w:t>
      </w:r>
      <w:r>
        <w:rPr>
          <w:rFonts w:ascii="宋体" w:hAnsi="宋体" w:cs="宋体" w:eastAsia="宋体" w:hint="default"/>
          <w:spacing w:val="-73"/>
          <w:sz w:val="28"/>
          <w:szCs w:val="28"/>
        </w:rPr>
        <w:t> </w:t>
      </w:r>
      <w:r>
        <w:rPr>
          <w:rFonts w:ascii="宋体" w:hAnsi="宋体" w:cs="宋体" w:eastAsia="宋体" w:hint="default"/>
          <w:sz w:val="28"/>
          <w:szCs w:val="28"/>
        </w:rPr>
        <w:t>4,215.35</w:t>
      </w:r>
      <w:r>
        <w:rPr>
          <w:rFonts w:ascii="宋体" w:hAnsi="宋体" w:cs="宋体" w:eastAsia="宋体" w:hint="default"/>
          <w:spacing w:val="-72"/>
          <w:sz w:val="28"/>
          <w:szCs w:val="28"/>
        </w:rPr>
        <w:t> </w:t>
      </w:r>
      <w:r>
        <w:rPr>
          <w:rFonts w:ascii="宋体" w:hAnsi="宋体" w:cs="宋体" w:eastAsia="宋体" w:hint="default"/>
          <w:sz w:val="28"/>
          <w:szCs w:val="28"/>
        </w:rPr>
        <w:t>万元。</w:t>
      </w:r>
    </w:p>
    <w:p>
      <w:pPr>
        <w:pStyle w:val="Heading2"/>
        <w:spacing w:line="328" w:lineRule="auto" w:before="132"/>
        <w:ind w:right="1447"/>
        <w:jc w:val="both"/>
      </w:pPr>
      <w:r>
        <w:rPr/>
        <w:pict>
          <v:shape style="position:absolute;margin-left:103.08847pt;margin-top:55.409843pt;width:392.95pt;height:64.3pt;mso-position-horizontal-relative:page;mso-position-vertical-relative:paragraph;z-index:-555616;rotation:315" type="#_x0000_t136" fillcolor="#e0e0e0" stroked="f">
            <o:extrusion v:ext="view" autorotationcenter="t"/>
            <v:textpath style="font-family:&amp;quot;Arial&amp;quot;;font-size:64pt;v-text-kern:t;mso-text-shadow:auto" string="UnRegistered"/>
            <w10:wrap type="none"/>
          </v:shape>
        </w:pict>
      </w:r>
      <w:r>
        <w:rPr/>
        <w:t>（2）公司全资子公司广州天利达实业有限公司，经营范围为利用自有</w:t>
      </w:r>
      <w:r>
        <w:rPr>
          <w:spacing w:val="-71"/>
        </w:rPr>
        <w:t> </w:t>
      </w:r>
      <w:r>
        <w:rPr>
          <w:spacing w:val="-71"/>
        </w:rPr>
      </w:r>
      <w:r>
        <w:rPr>
          <w:spacing w:val="-4"/>
        </w:rPr>
        <w:t>资金投资、加工、生产建筑材料、装饰材料、销售建筑材料。注册资本</w:t>
      </w:r>
      <w:r>
        <w:rPr>
          <w:spacing w:val="-86"/>
        </w:rPr>
        <w:t> </w:t>
      </w:r>
      <w:r>
        <w:rPr>
          <w:spacing w:val="-86"/>
        </w:rPr>
      </w:r>
      <w:r>
        <w:rPr/>
        <w:t>2,200</w:t>
      </w:r>
      <w:r>
        <w:rPr>
          <w:spacing w:val="-71"/>
        </w:rPr>
        <w:t> </w:t>
      </w:r>
      <w:r>
        <w:rPr/>
        <w:t>万元。截至</w:t>
      </w:r>
      <w:r>
        <w:rPr>
          <w:spacing w:val="-72"/>
        </w:rPr>
        <w:t> </w:t>
      </w:r>
      <w:r>
        <w:rPr/>
        <w:t>2011</w:t>
      </w:r>
      <w:r>
        <w:rPr>
          <w:spacing w:val="-71"/>
        </w:rPr>
        <w:t> </w:t>
      </w:r>
      <w:r>
        <w:rPr/>
        <w:t>年</w:t>
      </w:r>
      <w:r>
        <w:rPr>
          <w:spacing w:val="-74"/>
        </w:rPr>
        <w:t> </w:t>
      </w:r>
      <w:r>
        <w:rPr/>
        <w:t>12</w:t>
      </w:r>
      <w:r>
        <w:rPr>
          <w:spacing w:val="-71"/>
        </w:rPr>
        <w:t> </w:t>
      </w:r>
      <w:r>
        <w:rPr/>
        <w:t>月</w:t>
      </w:r>
      <w:r>
        <w:rPr>
          <w:spacing w:val="-74"/>
        </w:rPr>
        <w:t> </w:t>
      </w:r>
      <w:r>
        <w:rPr/>
        <w:t>31</w:t>
      </w:r>
      <w:r>
        <w:rPr>
          <w:spacing w:val="-73"/>
        </w:rPr>
        <w:t> </w:t>
      </w:r>
      <w:r>
        <w:rPr/>
        <w:t>日，该公司总资产</w:t>
      </w:r>
      <w:r>
        <w:rPr>
          <w:spacing w:val="-72"/>
        </w:rPr>
        <w:t> </w:t>
      </w:r>
      <w:r>
        <w:rPr/>
        <w:t>20,138.06</w:t>
      </w:r>
      <w:r>
        <w:rPr>
          <w:spacing w:val="-73"/>
        </w:rPr>
        <w:t> </w:t>
      </w:r>
      <w:r>
        <w:rPr/>
        <w:t>万元，</w:t>
      </w:r>
    </w:p>
    <w:p>
      <w:pPr>
        <w:spacing w:before="29"/>
        <w:ind w:left="103" w:right="0" w:firstLine="0"/>
        <w:jc w:val="both"/>
        <w:rPr>
          <w:rFonts w:ascii="宋体" w:hAnsi="宋体" w:cs="宋体" w:eastAsia="宋体" w:hint="default"/>
          <w:sz w:val="28"/>
          <w:szCs w:val="28"/>
        </w:rPr>
      </w:pPr>
      <w:r>
        <w:rPr>
          <w:rFonts w:ascii="宋体" w:hAnsi="宋体" w:cs="宋体" w:eastAsia="宋体" w:hint="default"/>
          <w:sz w:val="28"/>
          <w:szCs w:val="28"/>
        </w:rPr>
        <w:t>净资产</w:t>
      </w:r>
      <w:r>
        <w:rPr>
          <w:rFonts w:ascii="宋体" w:hAnsi="宋体" w:cs="宋体" w:eastAsia="宋体" w:hint="default"/>
          <w:spacing w:val="-75"/>
          <w:sz w:val="28"/>
          <w:szCs w:val="28"/>
        </w:rPr>
        <w:t> </w:t>
      </w:r>
      <w:r>
        <w:rPr>
          <w:rFonts w:ascii="宋体" w:hAnsi="宋体" w:cs="宋体" w:eastAsia="宋体" w:hint="default"/>
          <w:sz w:val="28"/>
          <w:szCs w:val="28"/>
        </w:rPr>
        <w:t>2,141.92</w:t>
      </w:r>
      <w:r>
        <w:rPr>
          <w:rFonts w:ascii="宋体" w:hAnsi="宋体" w:cs="宋体" w:eastAsia="宋体" w:hint="default"/>
          <w:spacing w:val="-74"/>
          <w:sz w:val="28"/>
          <w:szCs w:val="28"/>
        </w:rPr>
        <w:t> </w:t>
      </w:r>
      <w:r>
        <w:rPr>
          <w:rFonts w:ascii="宋体" w:hAnsi="宋体" w:cs="宋体" w:eastAsia="宋体" w:hint="default"/>
          <w:sz w:val="28"/>
          <w:szCs w:val="28"/>
        </w:rPr>
        <w:t>万元。该公司报告期无营业收入。</w:t>
      </w:r>
    </w:p>
    <w:p>
      <w:pPr>
        <w:spacing w:line="328" w:lineRule="auto" w:before="132"/>
        <w:ind w:left="103" w:right="1578" w:firstLine="0"/>
        <w:jc w:val="left"/>
        <w:rPr>
          <w:rFonts w:ascii="宋体" w:hAnsi="宋体" w:cs="宋体" w:eastAsia="宋体" w:hint="default"/>
          <w:sz w:val="28"/>
          <w:szCs w:val="28"/>
        </w:rPr>
      </w:pPr>
      <w:r>
        <w:rPr>
          <w:rFonts w:ascii="宋体" w:hAnsi="宋体" w:cs="宋体" w:eastAsia="宋体" w:hint="default"/>
          <w:sz w:val="28"/>
          <w:szCs w:val="28"/>
        </w:rPr>
        <w:t>（3）公司控股子公司河南新景致房地产有限公司，经营范围为房地产</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开发。注册资本</w:t>
      </w:r>
      <w:r>
        <w:rPr>
          <w:rFonts w:ascii="宋体" w:hAnsi="宋体" w:cs="宋体" w:eastAsia="宋体" w:hint="default"/>
          <w:spacing w:val="-71"/>
          <w:sz w:val="28"/>
          <w:szCs w:val="28"/>
        </w:rPr>
        <w:t> </w:t>
      </w:r>
      <w:r>
        <w:rPr>
          <w:rFonts w:ascii="宋体" w:hAnsi="宋体" w:cs="宋体" w:eastAsia="宋体" w:hint="default"/>
          <w:sz w:val="28"/>
          <w:szCs w:val="28"/>
        </w:rPr>
        <w:t>2700</w:t>
      </w:r>
      <w:r>
        <w:rPr>
          <w:rFonts w:ascii="宋体" w:hAnsi="宋体" w:cs="宋体" w:eastAsia="宋体" w:hint="default"/>
          <w:spacing w:val="-70"/>
          <w:sz w:val="28"/>
          <w:szCs w:val="28"/>
        </w:rPr>
        <w:t> </w:t>
      </w:r>
      <w:r>
        <w:rPr>
          <w:rFonts w:ascii="宋体" w:hAnsi="宋体" w:cs="宋体" w:eastAsia="宋体" w:hint="default"/>
          <w:sz w:val="28"/>
          <w:szCs w:val="28"/>
        </w:rPr>
        <w:t>万元。2011</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4</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宋体" w:hAnsi="宋体" w:cs="宋体" w:eastAsia="宋体" w:hint="default"/>
          <w:sz w:val="28"/>
          <w:szCs w:val="28"/>
        </w:rPr>
        <w:t>15</w:t>
      </w:r>
      <w:r>
        <w:rPr>
          <w:rFonts w:ascii="宋体" w:hAnsi="宋体" w:cs="宋体" w:eastAsia="宋体" w:hint="default"/>
          <w:spacing w:val="-70"/>
          <w:sz w:val="28"/>
          <w:szCs w:val="28"/>
        </w:rPr>
        <w:t> </w:t>
      </w:r>
      <w:r>
        <w:rPr>
          <w:rFonts w:ascii="宋体" w:hAnsi="宋体" w:cs="宋体" w:eastAsia="宋体" w:hint="default"/>
          <w:sz w:val="28"/>
          <w:szCs w:val="28"/>
        </w:rPr>
        <w:t>日，经公司</w:t>
      </w:r>
      <w:r>
        <w:rPr>
          <w:rFonts w:ascii="宋体" w:hAnsi="宋体" w:cs="宋体" w:eastAsia="宋体" w:hint="default"/>
          <w:spacing w:val="-71"/>
          <w:sz w:val="28"/>
          <w:szCs w:val="28"/>
        </w:rPr>
        <w:t> </w:t>
      </w:r>
      <w:r>
        <w:rPr>
          <w:rFonts w:ascii="宋体" w:hAnsi="宋体" w:cs="宋体" w:eastAsia="宋体" w:hint="default"/>
          <w:sz w:val="28"/>
          <w:szCs w:val="28"/>
        </w:rPr>
        <w:t>2010</w:t>
      </w:r>
      <w:r>
        <w:rPr>
          <w:rFonts w:ascii="宋体" w:hAnsi="宋体" w:cs="宋体" w:eastAsia="宋体" w:hint="default"/>
          <w:spacing w:val="-70"/>
          <w:sz w:val="28"/>
          <w:szCs w:val="28"/>
        </w:rPr>
        <w:t> </w:t>
      </w:r>
      <w:r>
        <w:rPr>
          <w:rFonts w:ascii="宋体" w:hAnsi="宋体" w:cs="宋体" w:eastAsia="宋体" w:hint="default"/>
          <w:sz w:val="28"/>
          <w:szCs w:val="28"/>
        </w:rPr>
        <w:t>年度股东</w:t>
      </w:r>
    </w:p>
    <w:p>
      <w:pPr>
        <w:spacing w:line="326" w:lineRule="auto" w:before="29"/>
        <w:ind w:left="103" w:right="1578" w:firstLine="0"/>
        <w:jc w:val="left"/>
        <w:rPr>
          <w:rFonts w:ascii="宋体" w:hAnsi="宋体" w:cs="宋体" w:eastAsia="宋体" w:hint="default"/>
          <w:sz w:val="28"/>
          <w:szCs w:val="28"/>
        </w:rPr>
      </w:pPr>
      <w:r>
        <w:rPr>
          <w:rFonts w:ascii="宋体" w:hAnsi="宋体" w:cs="宋体" w:eastAsia="宋体" w:hint="default"/>
          <w:sz w:val="28"/>
          <w:szCs w:val="28"/>
        </w:rPr>
        <w:t>大会审议通过，转让公司所持其全部股权，产生投资收益 2,218.71</w:t>
      </w:r>
      <w:r>
        <w:rPr>
          <w:rFonts w:ascii="宋体" w:hAnsi="宋体" w:cs="宋体" w:eastAsia="宋体" w:hint="default"/>
          <w:spacing w:val="-76"/>
          <w:sz w:val="28"/>
          <w:szCs w:val="28"/>
        </w:rPr>
        <w:t> </w:t>
      </w:r>
      <w:r>
        <w:rPr>
          <w:rFonts w:ascii="宋体" w:hAnsi="宋体" w:cs="宋体" w:eastAsia="宋体" w:hint="default"/>
          <w:sz w:val="28"/>
          <w:szCs w:val="28"/>
        </w:rPr>
        <w:t>万</w:t>
      </w:r>
      <w:r>
        <w:rPr>
          <w:rFonts w:ascii="宋体" w:hAnsi="宋体" w:cs="宋体" w:eastAsia="宋体" w:hint="default"/>
          <w:w w:val="100"/>
          <w:sz w:val="28"/>
          <w:szCs w:val="28"/>
        </w:rPr>
        <w:t> </w:t>
      </w:r>
      <w:r>
        <w:rPr>
          <w:rFonts w:ascii="宋体" w:hAnsi="宋体" w:cs="宋体" w:eastAsia="宋体" w:hint="default"/>
          <w:sz w:val="28"/>
          <w:szCs w:val="28"/>
        </w:rPr>
        <w:t>元。</w:t>
      </w:r>
    </w:p>
    <w:p>
      <w:pPr>
        <w:spacing w:line="326" w:lineRule="auto" w:before="34"/>
        <w:ind w:left="103" w:right="1402" w:firstLine="0"/>
        <w:jc w:val="left"/>
        <w:rPr>
          <w:rFonts w:ascii="宋体" w:hAnsi="宋体" w:cs="宋体" w:eastAsia="宋体" w:hint="default"/>
          <w:sz w:val="28"/>
          <w:szCs w:val="28"/>
        </w:rPr>
      </w:pPr>
      <w:r>
        <w:rPr>
          <w:rFonts w:ascii="宋体" w:hAnsi="宋体" w:cs="宋体" w:eastAsia="宋体" w:hint="default"/>
          <w:sz w:val="28"/>
          <w:szCs w:val="28"/>
        </w:rPr>
        <w:t>（4）公司控股子公司广西田阳天伦矿业有限公司，经营范围为矿山勘</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4"/>
          <w:w w:val="100"/>
          <w:sz w:val="28"/>
          <w:szCs w:val="28"/>
        </w:rPr>
        <w:t>探，矿产品购销（国家有专项规定的除外），凡涉及许可证的项目凭许</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pacing w:val="-3"/>
          <w:sz w:val="28"/>
          <w:szCs w:val="28"/>
        </w:rPr>
        <w:t>可证在有效期限内经营。注册资本</w:t>
      </w:r>
      <w:r>
        <w:rPr>
          <w:rFonts w:ascii="宋体" w:hAnsi="宋体" w:cs="宋体" w:eastAsia="宋体" w:hint="default"/>
          <w:spacing w:val="-72"/>
          <w:sz w:val="28"/>
          <w:szCs w:val="28"/>
        </w:rPr>
        <w:t> </w:t>
      </w:r>
      <w:r>
        <w:rPr>
          <w:rFonts w:ascii="宋体" w:hAnsi="宋体" w:cs="宋体" w:eastAsia="宋体" w:hint="default"/>
          <w:sz w:val="28"/>
          <w:szCs w:val="28"/>
        </w:rPr>
        <w:t>500</w:t>
      </w:r>
      <w:r>
        <w:rPr>
          <w:rFonts w:ascii="宋体" w:hAnsi="宋体" w:cs="宋体" w:eastAsia="宋体" w:hint="default"/>
          <w:spacing w:val="-69"/>
          <w:sz w:val="28"/>
          <w:szCs w:val="28"/>
        </w:rPr>
        <w:t> </w:t>
      </w:r>
      <w:r>
        <w:rPr>
          <w:rFonts w:ascii="宋体" w:hAnsi="宋体" w:cs="宋体" w:eastAsia="宋体" w:hint="default"/>
          <w:spacing w:val="-7"/>
          <w:sz w:val="28"/>
          <w:szCs w:val="28"/>
        </w:rPr>
        <w:t>万元。截至</w:t>
      </w:r>
      <w:r>
        <w:rPr>
          <w:rFonts w:ascii="宋体" w:hAnsi="宋体" w:cs="宋体" w:eastAsia="宋体" w:hint="default"/>
          <w:spacing w:val="-72"/>
          <w:sz w:val="28"/>
          <w:szCs w:val="28"/>
        </w:rPr>
        <w:t> </w:t>
      </w:r>
      <w:r>
        <w:rPr>
          <w:rFonts w:ascii="宋体" w:hAnsi="宋体" w:cs="宋体" w:eastAsia="宋体" w:hint="default"/>
          <w:sz w:val="28"/>
          <w:szCs w:val="28"/>
        </w:rPr>
        <w:t>2011</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12</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69"/>
          <w:sz w:val="28"/>
          <w:szCs w:val="28"/>
        </w:rPr>
        <w:t> </w:t>
      </w:r>
      <w:r>
        <w:rPr>
          <w:rFonts w:ascii="宋体" w:hAnsi="宋体" w:cs="宋体" w:eastAsia="宋体" w:hint="default"/>
          <w:sz w:val="28"/>
          <w:szCs w:val="28"/>
        </w:rPr>
        <w:t>日，</w:t>
      </w:r>
      <w:r>
        <w:rPr>
          <w:rFonts w:ascii="宋体" w:hAnsi="宋体" w:cs="宋体" w:eastAsia="宋体" w:hint="default"/>
          <w:w w:val="100"/>
          <w:sz w:val="28"/>
          <w:szCs w:val="28"/>
        </w:rPr>
        <w:t> </w:t>
      </w:r>
      <w:r>
        <w:rPr>
          <w:rFonts w:ascii="宋体" w:hAnsi="宋体" w:cs="宋体" w:eastAsia="宋体" w:hint="default"/>
          <w:sz w:val="28"/>
          <w:szCs w:val="28"/>
        </w:rPr>
        <w:t>该公司总资产</w:t>
      </w:r>
      <w:r>
        <w:rPr>
          <w:rFonts w:ascii="宋体" w:hAnsi="宋体" w:cs="宋体" w:eastAsia="宋体" w:hint="default"/>
          <w:spacing w:val="-66"/>
          <w:sz w:val="28"/>
          <w:szCs w:val="28"/>
        </w:rPr>
        <w:t> </w:t>
      </w:r>
      <w:r>
        <w:rPr>
          <w:rFonts w:ascii="宋体" w:hAnsi="宋体" w:cs="宋体" w:eastAsia="宋体" w:hint="default"/>
          <w:sz w:val="28"/>
          <w:szCs w:val="28"/>
        </w:rPr>
        <w:t>620.16</w:t>
      </w:r>
      <w:r>
        <w:rPr>
          <w:rFonts w:ascii="宋体" w:hAnsi="宋体" w:cs="宋体" w:eastAsia="宋体" w:hint="default"/>
          <w:spacing w:val="-65"/>
          <w:sz w:val="28"/>
          <w:szCs w:val="28"/>
        </w:rPr>
        <w:t> </w:t>
      </w:r>
      <w:r>
        <w:rPr>
          <w:rFonts w:ascii="宋体" w:hAnsi="宋体" w:cs="宋体" w:eastAsia="宋体" w:hint="default"/>
          <w:spacing w:val="-7"/>
          <w:sz w:val="28"/>
          <w:szCs w:val="28"/>
        </w:rPr>
        <w:t>万元，净资产-813.36</w:t>
      </w:r>
      <w:r>
        <w:rPr>
          <w:rFonts w:ascii="宋体" w:hAnsi="宋体" w:cs="宋体" w:eastAsia="宋体" w:hint="default"/>
          <w:spacing w:val="-65"/>
          <w:sz w:val="28"/>
          <w:szCs w:val="28"/>
        </w:rPr>
        <w:t> </w:t>
      </w:r>
      <w:r>
        <w:rPr>
          <w:rFonts w:ascii="宋体" w:hAnsi="宋体" w:cs="宋体" w:eastAsia="宋体" w:hint="default"/>
          <w:spacing w:val="-7"/>
          <w:sz w:val="28"/>
          <w:szCs w:val="28"/>
        </w:rPr>
        <w:t>万元。报告期末项目纠纷公</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司胜诉，期间项目经营工作处于停顿状态，没有产生营业收入。</w:t>
      </w:r>
    </w:p>
    <w:p>
      <w:pPr>
        <w:spacing w:line="328" w:lineRule="auto" w:before="32"/>
        <w:ind w:left="103" w:right="1574" w:firstLine="0"/>
        <w:jc w:val="left"/>
        <w:rPr>
          <w:rFonts w:ascii="宋体" w:hAnsi="宋体" w:cs="宋体" w:eastAsia="宋体" w:hint="default"/>
          <w:sz w:val="28"/>
          <w:szCs w:val="28"/>
        </w:rPr>
      </w:pPr>
      <w:r>
        <w:rPr>
          <w:rFonts w:ascii="宋体" w:hAnsi="宋体" w:cs="宋体" w:eastAsia="宋体" w:hint="default"/>
          <w:sz w:val="28"/>
          <w:szCs w:val="28"/>
        </w:rPr>
        <w:t>（5）公司控股子公司贵州六盘水吉源煤业有限公司，经营范围为煤炭</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15"/>
          <w:w w:val="100"/>
          <w:sz w:val="28"/>
          <w:szCs w:val="28"/>
        </w:rPr>
        <w:t>的开采及销售（仅供筹建使用，不得从事生产经营活动）。注册资本</w:t>
      </w:r>
      <w:r>
        <w:rPr>
          <w:rFonts w:ascii="宋体" w:hAnsi="宋体" w:cs="宋体" w:eastAsia="宋体" w:hint="default"/>
          <w:spacing w:val="-64"/>
          <w:w w:val="100"/>
          <w:sz w:val="28"/>
          <w:szCs w:val="28"/>
        </w:rPr>
        <w:t> </w:t>
      </w:r>
      <w:r>
        <w:rPr>
          <w:rFonts w:ascii="宋体" w:hAnsi="宋体" w:cs="宋体" w:eastAsia="宋体" w:hint="default"/>
          <w:spacing w:val="-1"/>
          <w:w w:val="100"/>
          <w:sz w:val="28"/>
          <w:szCs w:val="28"/>
        </w:rPr>
        <w:t>1000</w:t>
      </w:r>
    </w:p>
    <w:p>
      <w:pPr>
        <w:spacing w:before="29"/>
        <w:ind w:left="103" w:right="0" w:firstLine="0"/>
        <w:jc w:val="both"/>
        <w:rPr>
          <w:rFonts w:ascii="宋体" w:hAnsi="宋体" w:cs="宋体" w:eastAsia="宋体" w:hint="default"/>
          <w:sz w:val="28"/>
          <w:szCs w:val="28"/>
        </w:rPr>
      </w:pPr>
      <w:r>
        <w:rPr>
          <w:rFonts w:ascii="宋体" w:hAnsi="宋体" w:cs="宋体" w:eastAsia="宋体" w:hint="default"/>
          <w:sz w:val="28"/>
          <w:szCs w:val="28"/>
        </w:rPr>
        <w:t>万元。截至</w:t>
      </w:r>
      <w:r>
        <w:rPr>
          <w:rFonts w:ascii="宋体" w:hAnsi="宋体" w:cs="宋体" w:eastAsia="宋体" w:hint="default"/>
          <w:spacing w:val="-64"/>
          <w:sz w:val="28"/>
          <w:szCs w:val="28"/>
        </w:rPr>
        <w:t> </w:t>
      </w:r>
      <w:r>
        <w:rPr>
          <w:rFonts w:ascii="宋体" w:hAnsi="宋体" w:cs="宋体" w:eastAsia="宋体" w:hint="default"/>
          <w:sz w:val="28"/>
          <w:szCs w:val="28"/>
        </w:rPr>
        <w:t>2011</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12</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31</w:t>
      </w:r>
      <w:r>
        <w:rPr>
          <w:rFonts w:ascii="宋体" w:hAnsi="宋体" w:cs="宋体" w:eastAsia="宋体" w:hint="default"/>
          <w:spacing w:val="-60"/>
          <w:sz w:val="28"/>
          <w:szCs w:val="28"/>
        </w:rPr>
        <w:t> </w:t>
      </w:r>
      <w:r>
        <w:rPr>
          <w:rFonts w:ascii="宋体" w:hAnsi="宋体" w:cs="宋体" w:eastAsia="宋体" w:hint="default"/>
          <w:sz w:val="28"/>
          <w:szCs w:val="28"/>
        </w:rPr>
        <w:t>日，该公司总资产</w:t>
      </w:r>
      <w:r>
        <w:rPr>
          <w:rFonts w:ascii="宋体" w:hAnsi="宋体" w:cs="宋体" w:eastAsia="宋体" w:hint="default"/>
          <w:spacing w:val="-64"/>
          <w:sz w:val="28"/>
          <w:szCs w:val="28"/>
        </w:rPr>
        <w:t> </w:t>
      </w:r>
      <w:r>
        <w:rPr>
          <w:rFonts w:ascii="宋体" w:hAnsi="宋体" w:cs="宋体" w:eastAsia="宋体" w:hint="default"/>
          <w:sz w:val="28"/>
          <w:szCs w:val="28"/>
        </w:rPr>
        <w:t>17,391.00</w:t>
      </w:r>
      <w:r>
        <w:rPr>
          <w:rFonts w:ascii="宋体" w:hAnsi="宋体" w:cs="宋体" w:eastAsia="宋体" w:hint="default"/>
          <w:spacing w:val="-60"/>
          <w:sz w:val="28"/>
          <w:szCs w:val="28"/>
        </w:rPr>
        <w:t> </w:t>
      </w:r>
      <w:r>
        <w:rPr>
          <w:rFonts w:ascii="宋体" w:hAnsi="宋体" w:cs="宋体" w:eastAsia="宋体" w:hint="default"/>
          <w:sz w:val="28"/>
          <w:szCs w:val="28"/>
        </w:rPr>
        <w:t>万元，净资</w:t>
      </w:r>
    </w:p>
    <w:p>
      <w:pPr>
        <w:spacing w:before="132"/>
        <w:ind w:left="103" w:right="0" w:firstLine="0"/>
        <w:jc w:val="both"/>
        <w:rPr>
          <w:rFonts w:ascii="宋体" w:hAnsi="宋体" w:cs="宋体" w:eastAsia="宋体" w:hint="default"/>
          <w:sz w:val="28"/>
          <w:szCs w:val="28"/>
        </w:rPr>
      </w:pPr>
      <w:r>
        <w:rPr>
          <w:rFonts w:ascii="宋体" w:hAnsi="宋体" w:cs="宋体" w:eastAsia="宋体" w:hint="default"/>
          <w:sz w:val="28"/>
          <w:szCs w:val="28"/>
        </w:rPr>
        <w:t>产 -1,150.03</w:t>
      </w:r>
      <w:r>
        <w:rPr>
          <w:rFonts w:ascii="宋体" w:hAnsi="宋体" w:cs="宋体" w:eastAsia="宋体" w:hint="default"/>
          <w:spacing w:val="-39"/>
          <w:sz w:val="28"/>
          <w:szCs w:val="28"/>
        </w:rPr>
        <w:t> </w:t>
      </w:r>
      <w:r>
        <w:rPr>
          <w:rFonts w:ascii="宋体" w:hAnsi="宋体" w:cs="宋体" w:eastAsia="宋体" w:hint="default"/>
          <w:spacing w:val="-7"/>
          <w:sz w:val="28"/>
          <w:szCs w:val="28"/>
        </w:rPr>
        <w:t>万元。报告期该项目达到联合试运转条件，进入验收和报</w:t>
      </w:r>
    </w:p>
    <w:p>
      <w:pPr>
        <w:spacing w:after="0"/>
        <w:jc w:val="both"/>
        <w:rPr>
          <w:rFonts w:ascii="宋体" w:hAnsi="宋体" w:cs="宋体" w:eastAsia="宋体" w:hint="default"/>
          <w:sz w:val="28"/>
          <w:szCs w:val="28"/>
        </w:rPr>
        <w:sectPr>
          <w:pgSz w:w="11910" w:h="16840"/>
          <w:pgMar w:header="929" w:footer="837" w:top="1140" w:bottom="1020" w:left="1600" w:right="0"/>
        </w:sectPr>
      </w:pPr>
    </w:p>
    <w:p>
      <w:pPr>
        <w:spacing w:line="240" w:lineRule="auto" w:before="1"/>
        <w:rPr>
          <w:rFonts w:ascii="宋体" w:hAnsi="宋体" w:cs="宋体" w:eastAsia="宋体" w:hint="default"/>
          <w:sz w:val="21"/>
          <w:szCs w:val="21"/>
        </w:rPr>
      </w:pPr>
    </w:p>
    <w:p>
      <w:pPr>
        <w:spacing w:line="328" w:lineRule="auto" w:before="14"/>
        <w:ind w:left="103" w:right="6555" w:firstLine="0"/>
        <w:jc w:val="left"/>
        <w:rPr>
          <w:rFonts w:ascii="宋体" w:hAnsi="宋体" w:cs="宋体" w:eastAsia="宋体" w:hint="default"/>
          <w:sz w:val="28"/>
          <w:szCs w:val="28"/>
        </w:rPr>
      </w:pPr>
      <w:r>
        <w:rPr>
          <w:rFonts w:ascii="宋体" w:hAnsi="宋体" w:cs="宋体" w:eastAsia="宋体" w:hint="default"/>
          <w:spacing w:val="-1"/>
          <w:sz w:val="28"/>
          <w:szCs w:val="28"/>
        </w:rPr>
        <w:t>批程序，尚未产生营业收入。</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6、公允价值计量项目情况</w:t>
      </w:r>
    </w:p>
    <w:p>
      <w:pPr>
        <w:spacing w:line="326" w:lineRule="auto" w:before="29"/>
        <w:ind w:left="103" w:right="1402" w:firstLine="561"/>
        <w:jc w:val="left"/>
        <w:rPr>
          <w:rFonts w:ascii="宋体" w:hAnsi="宋体" w:cs="宋体" w:eastAsia="宋体" w:hint="default"/>
          <w:sz w:val="28"/>
          <w:szCs w:val="28"/>
        </w:rPr>
      </w:pPr>
      <w:r>
        <w:rPr>
          <w:rFonts w:ascii="宋体" w:hAnsi="宋体" w:cs="宋体" w:eastAsia="宋体" w:hint="default"/>
          <w:spacing w:val="-4"/>
          <w:sz w:val="28"/>
          <w:szCs w:val="28"/>
        </w:rPr>
        <w:t>公司交易性金融资产系购入的平安先锋基金，该项资产属于已上市</w:t>
      </w:r>
      <w:r>
        <w:rPr>
          <w:rFonts w:ascii="宋体" w:hAnsi="宋体" w:cs="宋体" w:eastAsia="宋体" w:hint="default"/>
          <w:w w:val="100"/>
          <w:sz w:val="28"/>
          <w:szCs w:val="28"/>
        </w:rPr>
        <w:t> </w:t>
      </w:r>
      <w:r>
        <w:rPr>
          <w:rFonts w:ascii="宋体" w:hAnsi="宋体" w:cs="宋体" w:eastAsia="宋体" w:hint="default"/>
          <w:sz w:val="28"/>
          <w:szCs w:val="28"/>
        </w:rPr>
        <w:t>开放式基金，公司采用相关时点交易所收盘价确定其公允价值。</w:t>
      </w:r>
    </w:p>
    <w:p>
      <w:pPr>
        <w:spacing w:line="326" w:lineRule="auto" w:before="34"/>
        <w:ind w:left="103" w:right="1402" w:firstLine="0"/>
        <w:jc w:val="left"/>
        <w:rPr>
          <w:rFonts w:ascii="宋体" w:hAnsi="宋体" w:cs="宋体" w:eastAsia="宋体" w:hint="default"/>
          <w:sz w:val="28"/>
          <w:szCs w:val="28"/>
        </w:rPr>
      </w:pPr>
      <w:r>
        <w:rPr>
          <w:rFonts w:ascii="宋体" w:hAnsi="宋体" w:cs="宋体" w:eastAsia="宋体" w:hint="default"/>
          <w:sz w:val="28"/>
          <w:szCs w:val="28"/>
        </w:rPr>
        <w:t>（二）对公司未来发展的展望</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pacing w:val="-1"/>
          <w:sz w:val="28"/>
          <w:szCs w:val="28"/>
        </w:rPr>
        <w:t>1、公司所处行业的发展趋势及市场竞争格局分析</w:t>
      </w:r>
    </w:p>
    <w:p>
      <w:pPr>
        <w:spacing w:line="326" w:lineRule="auto" w:before="32"/>
        <w:ind w:left="103" w:right="1402" w:firstLine="559"/>
        <w:jc w:val="left"/>
        <w:rPr>
          <w:rFonts w:ascii="宋体" w:hAnsi="宋体" w:cs="宋体" w:eastAsia="宋体" w:hint="default"/>
          <w:sz w:val="28"/>
          <w:szCs w:val="28"/>
        </w:rPr>
      </w:pPr>
      <w:r>
        <w:rPr>
          <w:rFonts w:ascii="宋体" w:hAnsi="宋体" w:cs="宋体" w:eastAsia="宋体" w:hint="default"/>
          <w:spacing w:val="-4"/>
          <w:sz w:val="28"/>
          <w:szCs w:val="28"/>
        </w:rPr>
        <w:t>公司广州房地产项目系租赁经营，已实现全部出租，其租金收入成</w:t>
      </w:r>
      <w:r>
        <w:rPr>
          <w:rFonts w:ascii="宋体" w:hAnsi="宋体" w:cs="宋体" w:eastAsia="宋体" w:hint="default"/>
          <w:w w:val="100"/>
          <w:sz w:val="28"/>
          <w:szCs w:val="28"/>
        </w:rPr>
        <w:t> </w:t>
      </w:r>
      <w:r>
        <w:rPr>
          <w:rFonts w:ascii="宋体" w:hAnsi="宋体" w:cs="宋体" w:eastAsia="宋体" w:hint="default"/>
          <w:spacing w:val="-4"/>
          <w:sz w:val="28"/>
          <w:szCs w:val="28"/>
        </w:rPr>
        <w:t>为公司稳定的收入来源；广西矿业项目争取尽快完成股权过户，恢复正</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8"/>
          <w:sz w:val="28"/>
          <w:szCs w:val="28"/>
        </w:rPr>
        <w:t>常经营管理工作；贵州煤矿项目争取尽快完成验收工作，取得相关证照，</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达到生产要求，以改善公司投资和财务状况。</w:t>
      </w:r>
    </w:p>
    <w:p>
      <w:pPr>
        <w:spacing w:before="34"/>
        <w:ind w:left="103" w:right="1402" w:firstLine="0"/>
        <w:jc w:val="left"/>
        <w:rPr>
          <w:rFonts w:ascii="宋体" w:hAnsi="宋体" w:cs="宋体" w:eastAsia="宋体" w:hint="default"/>
          <w:sz w:val="28"/>
          <w:szCs w:val="28"/>
        </w:rPr>
      </w:pPr>
      <w:r>
        <w:rPr>
          <w:rFonts w:ascii="宋体" w:hAnsi="宋体" w:cs="宋体" w:eastAsia="宋体" w:hint="default"/>
          <w:sz w:val="28"/>
          <w:szCs w:val="28"/>
        </w:rPr>
        <w:t>2、公司</w:t>
      </w:r>
      <w:r>
        <w:rPr>
          <w:rFonts w:ascii="宋体" w:hAnsi="宋体" w:cs="宋体" w:eastAsia="宋体" w:hint="default"/>
          <w:spacing w:val="-73"/>
          <w:sz w:val="28"/>
          <w:szCs w:val="28"/>
        </w:rPr>
        <w:t> </w:t>
      </w:r>
      <w:r>
        <w:rPr>
          <w:rFonts w:ascii="宋体" w:hAnsi="宋体" w:cs="宋体" w:eastAsia="宋体" w:hint="default"/>
          <w:sz w:val="28"/>
          <w:szCs w:val="28"/>
        </w:rPr>
        <w:t>2012</w:t>
      </w:r>
      <w:r>
        <w:rPr>
          <w:rFonts w:ascii="宋体" w:hAnsi="宋体" w:cs="宋体" w:eastAsia="宋体" w:hint="default"/>
          <w:spacing w:val="-70"/>
          <w:sz w:val="28"/>
          <w:szCs w:val="28"/>
        </w:rPr>
        <w:t> </w:t>
      </w:r>
      <w:r>
        <w:rPr>
          <w:rFonts w:ascii="宋体" w:hAnsi="宋体" w:cs="宋体" w:eastAsia="宋体" w:hint="default"/>
          <w:sz w:val="28"/>
          <w:szCs w:val="28"/>
        </w:rPr>
        <w:t>年经营计划</w:t>
      </w:r>
    </w:p>
    <w:p>
      <w:pPr>
        <w:pStyle w:val="Heading2"/>
        <w:spacing w:line="328" w:lineRule="auto" w:before="132"/>
        <w:ind w:left="281" w:right="1581" w:firstLine="420"/>
        <w:jc w:val="both"/>
      </w:pPr>
      <w:r>
        <w:rPr/>
        <w:pict>
          <v:shape style="position:absolute;margin-left:103.08847pt;margin-top:55.409843pt;width:392.95pt;height:64.3pt;mso-position-horizontal-relative:page;mso-position-vertical-relative:paragraph;z-index:-555592;rotation:315" type="#_x0000_t136" fillcolor="#e0e0e0" stroked="f">
            <o:extrusion v:ext="view" autorotationcenter="t"/>
            <v:textpath style="font-family:&amp;quot;Arial&amp;quot;;font-size:64pt;v-text-kern:t;mso-text-shadow:auto" string="UnRegistered"/>
            <w10:wrap type="none"/>
          </v:shape>
        </w:pict>
      </w:r>
      <w:r>
        <w:rPr/>
        <w:t>2012</w:t>
      </w:r>
      <w:r>
        <w:rPr>
          <w:spacing w:val="-74"/>
        </w:rPr>
        <w:t> </w:t>
      </w:r>
      <w:r>
        <w:rPr/>
        <w:t>年，公司在确保天伦大厦等租赁项目稳健经营的前提下，争</w:t>
      </w:r>
      <w:r>
        <w:rPr>
          <w:w w:val="100"/>
        </w:rPr>
        <w:t> </w:t>
      </w:r>
      <w:r>
        <w:rPr/>
        <w:t>取广西矿业项目经营尽快步入正轨，贵州煤矿项目争取能够达到生产</w:t>
      </w:r>
      <w:r>
        <w:rPr>
          <w:w w:val="100"/>
        </w:rPr>
        <w:t> </w:t>
      </w:r>
      <w:r>
        <w:rPr/>
        <w:t>要求，同时做好新项目的落实工作。天伦大厦和天誉花园五楼资产租</w:t>
      </w:r>
      <w:r>
        <w:rPr>
          <w:w w:val="100"/>
        </w:rPr>
        <w:t> </w:t>
      </w:r>
      <w:r>
        <w:rPr/>
        <w:t>金及管理费等预计年收入</w:t>
      </w:r>
      <w:r>
        <w:rPr>
          <w:spacing w:val="-70"/>
        </w:rPr>
        <w:t> </w:t>
      </w:r>
      <w:r>
        <w:rPr/>
        <w:t>5000</w:t>
      </w:r>
      <w:r>
        <w:rPr>
          <w:spacing w:val="-71"/>
        </w:rPr>
        <w:t> </w:t>
      </w:r>
      <w:r>
        <w:rPr>
          <w:spacing w:val="-3"/>
        </w:rPr>
        <w:t>万元，预计成本</w:t>
      </w:r>
      <w:r>
        <w:rPr>
          <w:spacing w:val="-72"/>
        </w:rPr>
        <w:t> </w:t>
      </w:r>
      <w:r>
        <w:rPr/>
        <w:t>1200</w:t>
      </w:r>
      <w:r>
        <w:rPr>
          <w:spacing w:val="-69"/>
        </w:rPr>
        <w:t> </w:t>
      </w:r>
      <w:r>
        <w:rPr>
          <w:spacing w:val="-3"/>
        </w:rPr>
        <w:t>万元。2012</w:t>
      </w:r>
      <w:r>
        <w:rPr>
          <w:spacing w:val="-71"/>
        </w:rPr>
        <w:t> </w:t>
      </w:r>
      <w:r>
        <w:rPr/>
        <w:t>年公</w:t>
      </w:r>
      <w:r>
        <w:rPr>
          <w:w w:val="100"/>
        </w:rPr>
        <w:t> </w:t>
      </w:r>
      <w:r>
        <w:rPr/>
        <w:t>司项目的具体状况将视实际进展在其后的临时报告或定期报告中予以</w:t>
      </w:r>
      <w:r>
        <w:rPr>
          <w:w w:val="100"/>
        </w:rPr>
        <w:t> </w:t>
      </w:r>
      <w:r>
        <w:rPr/>
        <w:t>披露。</w:t>
      </w:r>
    </w:p>
    <w:p>
      <w:pPr>
        <w:spacing w:before="29"/>
        <w:ind w:left="103" w:right="1402" w:firstLine="0"/>
        <w:jc w:val="left"/>
        <w:rPr>
          <w:rFonts w:ascii="宋体" w:hAnsi="宋体" w:cs="宋体" w:eastAsia="宋体" w:hint="default"/>
          <w:sz w:val="28"/>
          <w:szCs w:val="28"/>
        </w:rPr>
      </w:pPr>
      <w:r>
        <w:rPr>
          <w:rFonts w:ascii="宋体" w:hAnsi="宋体" w:cs="宋体" w:eastAsia="宋体" w:hint="default"/>
          <w:sz w:val="28"/>
          <w:szCs w:val="28"/>
        </w:rPr>
        <w:t>3、公司实现未来发展战略所需资金及使用计划</w:t>
      </w:r>
    </w:p>
    <w:p>
      <w:pPr>
        <w:spacing w:before="132"/>
        <w:ind w:left="804" w:right="1402" w:firstLine="0"/>
        <w:jc w:val="left"/>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5"/>
          <w:sz w:val="28"/>
          <w:szCs w:val="28"/>
        </w:rPr>
        <w:t> </w:t>
      </w:r>
      <w:r>
        <w:rPr>
          <w:rFonts w:ascii="宋体" w:hAnsi="宋体" w:cs="宋体" w:eastAsia="宋体" w:hint="default"/>
          <w:sz w:val="28"/>
          <w:szCs w:val="28"/>
        </w:rPr>
        <w:t>2012</w:t>
      </w:r>
      <w:r>
        <w:rPr>
          <w:rFonts w:ascii="宋体" w:hAnsi="宋体" w:cs="宋体" w:eastAsia="宋体" w:hint="default"/>
          <w:spacing w:val="-74"/>
          <w:sz w:val="28"/>
          <w:szCs w:val="28"/>
        </w:rPr>
        <w:t> </w:t>
      </w:r>
      <w:r>
        <w:rPr>
          <w:rFonts w:ascii="宋体" w:hAnsi="宋体" w:cs="宋体" w:eastAsia="宋体" w:hint="default"/>
          <w:sz w:val="28"/>
          <w:szCs w:val="28"/>
        </w:rPr>
        <w:t>年项目所需资金将通过向金融机构借贷等方式筹集。</w:t>
      </w:r>
    </w:p>
    <w:p>
      <w:pPr>
        <w:spacing w:line="309" w:lineRule="auto" w:before="135"/>
        <w:ind w:left="799" w:right="1402" w:hanging="696"/>
        <w:jc w:val="left"/>
        <w:rPr>
          <w:rFonts w:ascii="宋体" w:hAnsi="宋体" w:cs="宋体" w:eastAsia="宋体" w:hint="default"/>
          <w:sz w:val="28"/>
          <w:szCs w:val="28"/>
        </w:rPr>
      </w:pPr>
      <w:r>
        <w:rPr>
          <w:rFonts w:ascii="Times New Roman" w:hAnsi="Times New Roman" w:cs="Times New Roman" w:eastAsia="Times New Roman" w:hint="default"/>
          <w:sz w:val="28"/>
          <w:szCs w:val="28"/>
        </w:rPr>
        <w:t>4</w:t>
      </w:r>
      <w:r>
        <w:rPr>
          <w:rFonts w:ascii="宋体" w:hAnsi="宋体" w:cs="宋体" w:eastAsia="宋体" w:hint="default"/>
          <w:sz w:val="28"/>
          <w:szCs w:val="28"/>
        </w:rPr>
        <w:t>、影响公司未来发展战略和经营目标实现的风险因素分析</w:t>
      </w:r>
      <w:r>
        <w:rPr>
          <w:rFonts w:ascii="宋体" w:hAnsi="宋体" w:cs="宋体" w:eastAsia="宋体" w:hint="default"/>
          <w:w w:val="100"/>
          <w:sz w:val="28"/>
          <w:szCs w:val="28"/>
        </w:rPr>
        <w:t> </w:t>
      </w:r>
      <w:r>
        <w:rPr>
          <w:rFonts w:ascii="宋体" w:hAnsi="宋体" w:cs="宋体" w:eastAsia="宋体" w:hint="default"/>
          <w:sz w:val="28"/>
          <w:szCs w:val="28"/>
        </w:rPr>
        <w:t>公司租赁收入取决于出租率的增减变动情况，矿业项目受内外部</w:t>
      </w:r>
    </w:p>
    <w:p>
      <w:pPr>
        <w:spacing w:before="51"/>
        <w:ind w:left="281" w:right="1402" w:firstLine="0"/>
        <w:jc w:val="left"/>
        <w:rPr>
          <w:rFonts w:ascii="宋体" w:hAnsi="宋体" w:cs="宋体" w:eastAsia="宋体" w:hint="default"/>
          <w:sz w:val="28"/>
          <w:szCs w:val="28"/>
        </w:rPr>
      </w:pPr>
      <w:r>
        <w:rPr>
          <w:rFonts w:ascii="宋体" w:hAnsi="宋体" w:cs="宋体" w:eastAsia="宋体" w:hint="default"/>
          <w:sz w:val="28"/>
          <w:szCs w:val="28"/>
        </w:rPr>
        <w:t>环境和条件影响，工作计划和进度存在不确定因素。</w:t>
      </w:r>
    </w:p>
    <w:p>
      <w:pPr>
        <w:spacing w:line="326" w:lineRule="auto" w:before="135"/>
        <w:ind w:left="103" w:right="6822" w:firstLine="0"/>
        <w:jc w:val="left"/>
        <w:rPr>
          <w:rFonts w:ascii="宋体" w:hAnsi="宋体" w:cs="宋体" w:eastAsia="宋体" w:hint="default"/>
          <w:sz w:val="28"/>
          <w:szCs w:val="28"/>
        </w:rPr>
      </w:pPr>
      <w:r>
        <w:rPr>
          <w:rFonts w:ascii="宋体" w:hAnsi="宋体" w:cs="宋体" w:eastAsia="宋体" w:hint="default"/>
          <w:sz w:val="28"/>
          <w:szCs w:val="28"/>
        </w:rPr>
        <w:t>（三）报告期公司投资情况</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1、募集资金使用情况</w:t>
      </w:r>
    </w:p>
    <w:p>
      <w:pPr>
        <w:spacing w:line="328" w:lineRule="auto" w:before="32"/>
        <w:ind w:left="103" w:right="1402" w:firstLine="571"/>
        <w:jc w:val="left"/>
        <w:rPr>
          <w:rFonts w:ascii="宋体" w:hAnsi="宋体" w:cs="宋体" w:eastAsia="宋体" w:hint="default"/>
          <w:sz w:val="28"/>
          <w:szCs w:val="28"/>
        </w:rPr>
      </w:pPr>
      <w:r>
        <w:rPr>
          <w:rFonts w:ascii="宋体" w:hAnsi="宋体" w:cs="宋体" w:eastAsia="宋体" w:hint="default"/>
          <w:spacing w:val="-2"/>
          <w:sz w:val="28"/>
          <w:szCs w:val="28"/>
        </w:rPr>
        <w:t>报告期公司未募集资金，亦未有前次募集资金延续使用的情况。</w:t>
      </w:r>
      <w:r>
        <w:rPr>
          <w:rFonts w:ascii="宋体" w:hAnsi="宋体" w:cs="宋体" w:eastAsia="宋体" w:hint="default"/>
          <w:w w:val="100"/>
          <w:sz w:val="28"/>
          <w:szCs w:val="28"/>
        </w:rPr>
        <w:t> </w:t>
      </w:r>
      <w:r>
        <w:rPr>
          <w:rFonts w:ascii="宋体" w:hAnsi="宋体" w:cs="宋体" w:eastAsia="宋体" w:hint="default"/>
          <w:sz w:val="28"/>
          <w:szCs w:val="28"/>
        </w:rPr>
        <w:t>2、报告期公司无非募集资金投资项目。</w:t>
      </w:r>
    </w:p>
    <w:p>
      <w:pPr>
        <w:spacing w:line="326" w:lineRule="auto" w:before="29"/>
        <w:ind w:left="103" w:right="1402" w:firstLine="0"/>
        <w:jc w:val="left"/>
        <w:rPr>
          <w:rFonts w:ascii="宋体" w:hAnsi="宋体" w:cs="宋体" w:eastAsia="宋体" w:hint="default"/>
          <w:sz w:val="28"/>
          <w:szCs w:val="28"/>
        </w:rPr>
      </w:pPr>
      <w:r>
        <w:rPr>
          <w:rFonts w:ascii="宋体" w:hAnsi="宋体" w:cs="宋体" w:eastAsia="宋体" w:hint="default"/>
          <w:spacing w:val="-3"/>
          <w:sz w:val="28"/>
          <w:szCs w:val="28"/>
        </w:rPr>
        <w:t>（四）本报告期，广东正中珠江会计师事务所有限公司为公司出具了标</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准无保留意见的审计报告。</w:t>
      </w:r>
    </w:p>
    <w:p>
      <w:pPr>
        <w:spacing w:after="0" w:line="326" w:lineRule="auto"/>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1"/>
        <w:rPr>
          <w:rFonts w:ascii="宋体" w:hAnsi="宋体" w:cs="宋体" w:eastAsia="宋体" w:hint="default"/>
          <w:sz w:val="21"/>
          <w:szCs w:val="21"/>
        </w:rPr>
      </w:pPr>
    </w:p>
    <w:p>
      <w:pPr>
        <w:spacing w:line="328" w:lineRule="auto" w:before="14"/>
        <w:ind w:left="103" w:right="4314" w:firstLine="0"/>
        <w:jc w:val="left"/>
        <w:rPr>
          <w:rFonts w:ascii="宋体" w:hAnsi="宋体" w:cs="宋体" w:eastAsia="宋体" w:hint="default"/>
          <w:sz w:val="28"/>
          <w:szCs w:val="28"/>
        </w:rPr>
      </w:pPr>
      <w:r>
        <w:rPr>
          <w:rFonts w:ascii="宋体" w:hAnsi="宋体" w:cs="宋体" w:eastAsia="宋体" w:hint="default"/>
          <w:sz w:val="28"/>
          <w:szCs w:val="28"/>
        </w:rPr>
        <w:t>（五）董事会日常工作情况</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pacing w:val="-1"/>
          <w:sz w:val="28"/>
          <w:szCs w:val="28"/>
        </w:rPr>
        <w:t>1、报告期董事会会议情况及决议内容</w:t>
      </w:r>
    </w:p>
    <w:p>
      <w:pPr>
        <w:spacing w:before="29"/>
        <w:ind w:left="662" w:right="1402" w:firstLine="0"/>
        <w:jc w:val="left"/>
        <w:rPr>
          <w:rFonts w:ascii="宋体" w:hAnsi="宋体" w:cs="宋体" w:eastAsia="宋体" w:hint="default"/>
          <w:sz w:val="28"/>
          <w:szCs w:val="28"/>
        </w:rPr>
      </w:pPr>
      <w:r>
        <w:rPr>
          <w:rFonts w:ascii="宋体" w:hAnsi="宋体" w:cs="宋体" w:eastAsia="宋体" w:hint="default"/>
          <w:sz w:val="28"/>
          <w:szCs w:val="28"/>
        </w:rPr>
        <w:t>报告期公司共召开五次董事会会议。</w:t>
      </w:r>
    </w:p>
    <w:p>
      <w:pPr>
        <w:spacing w:before="132"/>
        <w:ind w:left="103" w:right="1402" w:firstLine="0"/>
        <w:jc w:val="left"/>
        <w:rPr>
          <w:rFonts w:ascii="宋体" w:hAnsi="宋体" w:cs="宋体" w:eastAsia="宋体" w:hint="default"/>
          <w:sz w:val="28"/>
          <w:szCs w:val="28"/>
        </w:rPr>
      </w:pPr>
      <w:r>
        <w:rPr>
          <w:rFonts w:ascii="宋体" w:hAnsi="宋体" w:cs="宋体" w:eastAsia="宋体" w:hint="default"/>
          <w:sz w:val="28"/>
          <w:szCs w:val="28"/>
        </w:rPr>
        <w:t>（1）六届董事会第八次会议于</w:t>
      </w:r>
      <w:r>
        <w:rPr>
          <w:rFonts w:ascii="宋体" w:hAnsi="宋体" w:cs="宋体" w:eastAsia="宋体" w:hint="default"/>
          <w:spacing w:val="-60"/>
          <w:sz w:val="28"/>
          <w:szCs w:val="28"/>
        </w:rPr>
        <w:t> </w:t>
      </w:r>
      <w:r>
        <w:rPr>
          <w:rFonts w:ascii="宋体" w:hAnsi="宋体" w:cs="宋体" w:eastAsia="宋体" w:hint="default"/>
          <w:sz w:val="28"/>
          <w:szCs w:val="28"/>
        </w:rPr>
        <w:t>2011</w:t>
      </w:r>
      <w:r>
        <w:rPr>
          <w:rFonts w:ascii="宋体" w:hAnsi="宋体" w:cs="宋体" w:eastAsia="宋体" w:hint="default"/>
          <w:spacing w:val="-59"/>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宋体" w:hAnsi="宋体" w:cs="宋体" w:eastAsia="宋体" w:hint="default"/>
          <w:sz w:val="28"/>
          <w:szCs w:val="28"/>
        </w:rPr>
        <w:t>3</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24</w:t>
      </w:r>
      <w:r>
        <w:rPr>
          <w:rFonts w:ascii="宋体" w:hAnsi="宋体" w:cs="宋体" w:eastAsia="宋体" w:hint="default"/>
          <w:spacing w:val="-59"/>
          <w:sz w:val="28"/>
          <w:szCs w:val="28"/>
        </w:rPr>
        <w:t> </w:t>
      </w:r>
      <w:r>
        <w:rPr>
          <w:rFonts w:ascii="宋体" w:hAnsi="宋体" w:cs="宋体" w:eastAsia="宋体" w:hint="default"/>
          <w:sz w:val="28"/>
          <w:szCs w:val="28"/>
        </w:rPr>
        <w:t>日召开，本次董事会决</w:t>
      </w:r>
    </w:p>
    <w:p>
      <w:pPr>
        <w:spacing w:before="135"/>
        <w:ind w:left="103" w:right="1402" w:firstLine="0"/>
        <w:jc w:val="left"/>
        <w:rPr>
          <w:rFonts w:ascii="宋体" w:hAnsi="宋体" w:cs="宋体" w:eastAsia="宋体" w:hint="default"/>
          <w:sz w:val="28"/>
          <w:szCs w:val="28"/>
        </w:rPr>
      </w:pPr>
      <w:r>
        <w:rPr>
          <w:rFonts w:ascii="宋体" w:hAnsi="宋体" w:cs="宋体" w:eastAsia="宋体" w:hint="default"/>
          <w:w w:val="100"/>
          <w:sz w:val="28"/>
          <w:szCs w:val="28"/>
        </w:rPr>
        <w:t>议公告于</w:t>
      </w:r>
      <w:r>
        <w:rPr>
          <w:rFonts w:ascii="宋体" w:hAnsi="宋体" w:cs="宋体" w:eastAsia="宋体" w:hint="default"/>
          <w:spacing w:val="-73"/>
          <w:sz w:val="28"/>
          <w:szCs w:val="28"/>
        </w:rPr>
        <w:t> </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01</w:t>
      </w:r>
      <w:r>
        <w:rPr>
          <w:rFonts w:ascii="宋体" w:hAnsi="宋体" w:cs="宋体" w:eastAsia="宋体" w:hint="default"/>
          <w:w w:val="100"/>
          <w:sz w:val="28"/>
          <w:szCs w:val="28"/>
        </w:rPr>
        <w:t>1</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1"/>
          <w:sz w:val="28"/>
          <w:szCs w:val="28"/>
        </w:rPr>
        <w:t> </w:t>
      </w:r>
      <w:r>
        <w:rPr>
          <w:rFonts w:ascii="宋体" w:hAnsi="宋体" w:cs="宋体" w:eastAsia="宋体" w:hint="default"/>
          <w:w w:val="100"/>
          <w:sz w:val="28"/>
          <w:szCs w:val="28"/>
        </w:rPr>
        <w:t>3</w:t>
      </w:r>
      <w:r>
        <w:rPr>
          <w:rFonts w:ascii="宋体" w:hAnsi="宋体" w:cs="宋体" w:eastAsia="宋体" w:hint="default"/>
          <w:spacing w:val="-72"/>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1"/>
          <w:w w:val="100"/>
          <w:sz w:val="28"/>
          <w:szCs w:val="28"/>
        </w:rPr>
        <w:t>2</w:t>
      </w:r>
      <w:r>
        <w:rPr>
          <w:rFonts w:ascii="宋体" w:hAnsi="宋体" w:cs="宋体" w:eastAsia="宋体" w:hint="default"/>
          <w:w w:val="100"/>
          <w:sz w:val="28"/>
          <w:szCs w:val="28"/>
        </w:rPr>
        <w:t>6</w:t>
      </w:r>
      <w:r>
        <w:rPr>
          <w:rFonts w:ascii="宋体" w:hAnsi="宋体" w:cs="宋体" w:eastAsia="宋体" w:hint="default"/>
          <w:spacing w:val="-72"/>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中</w:t>
      </w:r>
      <w:r>
        <w:rPr>
          <w:rFonts w:ascii="宋体" w:hAnsi="宋体" w:cs="宋体" w:eastAsia="宋体" w:hint="default"/>
          <w:w w:val="100"/>
          <w:sz w:val="28"/>
          <w:szCs w:val="28"/>
        </w:rPr>
        <w:t>国证</w:t>
      </w:r>
      <w:r>
        <w:rPr>
          <w:rFonts w:ascii="宋体" w:hAnsi="宋体" w:cs="宋体" w:eastAsia="宋体" w:hint="default"/>
          <w:spacing w:val="-3"/>
          <w:w w:val="100"/>
          <w:sz w:val="28"/>
          <w:szCs w:val="28"/>
        </w:rPr>
        <w:t>券</w:t>
      </w:r>
      <w:r>
        <w:rPr>
          <w:rFonts w:ascii="宋体" w:hAnsi="宋体" w:cs="宋体" w:eastAsia="宋体" w:hint="default"/>
          <w:spacing w:val="-1"/>
          <w:w w:val="100"/>
          <w:sz w:val="28"/>
          <w:szCs w:val="28"/>
        </w:rPr>
        <w:t>报</w:t>
      </w:r>
      <w:r>
        <w:rPr>
          <w:rFonts w:ascii="宋体" w:hAnsi="宋体" w:cs="宋体" w:eastAsia="宋体" w:hint="default"/>
          <w:w w:val="100"/>
          <w:sz w:val="28"/>
          <w:szCs w:val="28"/>
        </w:rPr>
        <w:t>》和</w:t>
      </w:r>
      <w:r>
        <w:rPr>
          <w:rFonts w:ascii="宋体" w:hAnsi="宋体" w:cs="宋体" w:eastAsia="宋体" w:hint="default"/>
          <w:spacing w:val="-3"/>
          <w:w w:val="100"/>
          <w:sz w:val="28"/>
          <w:szCs w:val="28"/>
        </w:rPr>
        <w:t>《</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时</w:t>
      </w:r>
      <w:r>
        <w:rPr>
          <w:rFonts w:ascii="宋体" w:hAnsi="宋体" w:cs="宋体" w:eastAsia="宋体" w:hint="default"/>
          <w:w w:val="100"/>
          <w:sz w:val="28"/>
          <w:szCs w:val="28"/>
        </w:rPr>
        <w:t>报</w:t>
      </w:r>
      <w:r>
        <w:rPr>
          <w:rFonts w:ascii="宋体" w:hAnsi="宋体" w:cs="宋体" w:eastAsia="宋体" w:hint="default"/>
          <w:spacing w:val="-142"/>
          <w:w w:val="100"/>
          <w:sz w:val="28"/>
          <w:szCs w:val="28"/>
        </w:rPr>
        <w:t>》</w:t>
      </w:r>
      <w:r>
        <w:rPr>
          <w:rFonts w:ascii="宋体" w:hAnsi="宋体" w:cs="宋体" w:eastAsia="宋体" w:hint="default"/>
          <w:w w:val="100"/>
          <w:sz w:val="28"/>
          <w:szCs w:val="28"/>
        </w:rPr>
        <w:t>。</w:t>
      </w:r>
    </w:p>
    <w:p>
      <w:pPr>
        <w:spacing w:line="326" w:lineRule="auto" w:before="132"/>
        <w:ind w:left="103" w:right="1576" w:firstLine="0"/>
        <w:jc w:val="left"/>
        <w:rPr>
          <w:rFonts w:ascii="宋体" w:hAnsi="宋体" w:cs="宋体" w:eastAsia="宋体" w:hint="default"/>
          <w:sz w:val="28"/>
          <w:szCs w:val="28"/>
        </w:rPr>
      </w:pPr>
      <w:r>
        <w:rPr>
          <w:rFonts w:ascii="宋体" w:hAnsi="宋体" w:cs="宋体" w:eastAsia="宋体" w:hint="default"/>
          <w:sz w:val="28"/>
          <w:szCs w:val="28"/>
        </w:rPr>
        <w:t>（2）六届董事会第九次会议（通讯表决方式）于</w:t>
      </w:r>
      <w:r>
        <w:rPr>
          <w:rFonts w:ascii="宋体" w:hAnsi="宋体" w:cs="宋体" w:eastAsia="宋体" w:hint="default"/>
          <w:spacing w:val="-60"/>
          <w:sz w:val="28"/>
          <w:szCs w:val="28"/>
        </w:rPr>
        <w:t> </w:t>
      </w:r>
      <w:r>
        <w:rPr>
          <w:rFonts w:ascii="宋体" w:hAnsi="宋体" w:cs="宋体" w:eastAsia="宋体" w:hint="default"/>
          <w:sz w:val="28"/>
          <w:szCs w:val="28"/>
        </w:rPr>
        <w:t>2011</w:t>
      </w:r>
      <w:r>
        <w:rPr>
          <w:rFonts w:ascii="宋体" w:hAnsi="宋体" w:cs="宋体" w:eastAsia="宋体" w:hint="default"/>
          <w:spacing w:val="-59"/>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宋体" w:hAnsi="宋体" w:cs="宋体" w:eastAsia="宋体" w:hint="default"/>
          <w:sz w:val="28"/>
          <w:szCs w:val="28"/>
        </w:rPr>
        <w:t>4</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21</w:t>
      </w:r>
      <w:r>
        <w:rPr>
          <w:rFonts w:ascii="宋体" w:hAnsi="宋体" w:cs="宋体" w:eastAsia="宋体" w:hint="default"/>
          <w:spacing w:val="-59"/>
          <w:sz w:val="28"/>
          <w:szCs w:val="28"/>
        </w:rPr>
        <w:t> </w:t>
      </w:r>
      <w:r>
        <w:rPr>
          <w:rFonts w:ascii="宋体" w:hAnsi="宋体" w:cs="宋体" w:eastAsia="宋体" w:hint="default"/>
          <w:sz w:val="28"/>
          <w:szCs w:val="28"/>
        </w:rPr>
        <w:t>日召</w:t>
      </w:r>
      <w:r>
        <w:rPr>
          <w:rFonts w:ascii="宋体" w:hAnsi="宋体" w:cs="宋体" w:eastAsia="宋体" w:hint="default"/>
          <w:w w:val="100"/>
          <w:sz w:val="28"/>
          <w:szCs w:val="28"/>
        </w:rPr>
        <w:t> </w:t>
      </w:r>
      <w:r>
        <w:rPr>
          <w:rFonts w:ascii="宋体" w:hAnsi="宋体" w:cs="宋体" w:eastAsia="宋体" w:hint="default"/>
          <w:sz w:val="28"/>
          <w:szCs w:val="28"/>
        </w:rPr>
        <w:t>开。</w:t>
      </w:r>
    </w:p>
    <w:p>
      <w:pPr>
        <w:spacing w:before="34"/>
        <w:ind w:left="103" w:right="1402" w:firstLine="0"/>
        <w:jc w:val="left"/>
        <w:rPr>
          <w:rFonts w:ascii="宋体" w:hAnsi="宋体" w:cs="宋体" w:eastAsia="宋体" w:hint="default"/>
          <w:sz w:val="28"/>
          <w:szCs w:val="28"/>
        </w:rPr>
      </w:pPr>
      <w:r>
        <w:rPr>
          <w:rFonts w:ascii="宋体" w:hAnsi="宋体" w:cs="宋体" w:eastAsia="宋体" w:hint="default"/>
          <w:sz w:val="28"/>
          <w:szCs w:val="28"/>
        </w:rPr>
        <w:t>（3）六届董事会第十次会议于</w:t>
      </w:r>
      <w:r>
        <w:rPr>
          <w:rFonts w:ascii="宋体" w:hAnsi="宋体" w:cs="宋体" w:eastAsia="宋体" w:hint="default"/>
          <w:spacing w:val="-60"/>
          <w:sz w:val="28"/>
          <w:szCs w:val="28"/>
        </w:rPr>
        <w:t> </w:t>
      </w:r>
      <w:r>
        <w:rPr>
          <w:rFonts w:ascii="宋体" w:hAnsi="宋体" w:cs="宋体" w:eastAsia="宋体" w:hint="default"/>
          <w:sz w:val="28"/>
          <w:szCs w:val="28"/>
        </w:rPr>
        <w:t>2011</w:t>
      </w:r>
      <w:r>
        <w:rPr>
          <w:rFonts w:ascii="宋体" w:hAnsi="宋体" w:cs="宋体" w:eastAsia="宋体" w:hint="default"/>
          <w:spacing w:val="-59"/>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宋体" w:hAnsi="宋体" w:cs="宋体" w:eastAsia="宋体" w:hint="default"/>
          <w:sz w:val="28"/>
          <w:szCs w:val="28"/>
        </w:rPr>
        <w:t>8</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18</w:t>
      </w:r>
      <w:r>
        <w:rPr>
          <w:rFonts w:ascii="宋体" w:hAnsi="宋体" w:cs="宋体" w:eastAsia="宋体" w:hint="default"/>
          <w:spacing w:val="-59"/>
          <w:sz w:val="28"/>
          <w:szCs w:val="28"/>
        </w:rPr>
        <w:t> </w:t>
      </w:r>
      <w:r>
        <w:rPr>
          <w:rFonts w:ascii="宋体" w:hAnsi="宋体" w:cs="宋体" w:eastAsia="宋体" w:hint="default"/>
          <w:sz w:val="28"/>
          <w:szCs w:val="28"/>
        </w:rPr>
        <w:t>日召开，本次董事会决</w:t>
      </w:r>
    </w:p>
    <w:p>
      <w:pPr>
        <w:spacing w:before="132"/>
        <w:ind w:left="103" w:right="1402" w:firstLine="0"/>
        <w:jc w:val="left"/>
        <w:rPr>
          <w:rFonts w:ascii="宋体" w:hAnsi="宋体" w:cs="宋体" w:eastAsia="宋体" w:hint="default"/>
          <w:sz w:val="28"/>
          <w:szCs w:val="28"/>
        </w:rPr>
      </w:pPr>
      <w:r>
        <w:rPr>
          <w:rFonts w:ascii="宋体" w:hAnsi="宋体" w:cs="宋体" w:eastAsia="宋体" w:hint="default"/>
          <w:w w:val="100"/>
          <w:sz w:val="28"/>
          <w:szCs w:val="28"/>
        </w:rPr>
        <w:t>议公告于</w:t>
      </w:r>
      <w:r>
        <w:rPr>
          <w:rFonts w:ascii="宋体" w:hAnsi="宋体" w:cs="宋体" w:eastAsia="宋体" w:hint="default"/>
          <w:spacing w:val="-73"/>
          <w:sz w:val="28"/>
          <w:szCs w:val="28"/>
        </w:rPr>
        <w:t> </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01</w:t>
      </w:r>
      <w:r>
        <w:rPr>
          <w:rFonts w:ascii="宋体" w:hAnsi="宋体" w:cs="宋体" w:eastAsia="宋体" w:hint="default"/>
          <w:w w:val="100"/>
          <w:sz w:val="28"/>
          <w:szCs w:val="28"/>
        </w:rPr>
        <w:t>1</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1"/>
          <w:sz w:val="28"/>
          <w:szCs w:val="28"/>
        </w:rPr>
        <w:t> </w:t>
      </w:r>
      <w:r>
        <w:rPr>
          <w:rFonts w:ascii="宋体" w:hAnsi="宋体" w:cs="宋体" w:eastAsia="宋体" w:hint="default"/>
          <w:w w:val="100"/>
          <w:sz w:val="28"/>
          <w:szCs w:val="28"/>
        </w:rPr>
        <w:t>8</w:t>
      </w:r>
      <w:r>
        <w:rPr>
          <w:rFonts w:ascii="宋体" w:hAnsi="宋体" w:cs="宋体" w:eastAsia="宋体" w:hint="default"/>
          <w:spacing w:val="-72"/>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1"/>
          <w:w w:val="100"/>
          <w:sz w:val="28"/>
          <w:szCs w:val="28"/>
        </w:rPr>
        <w:t>2</w:t>
      </w:r>
      <w:r>
        <w:rPr>
          <w:rFonts w:ascii="宋体" w:hAnsi="宋体" w:cs="宋体" w:eastAsia="宋体" w:hint="default"/>
          <w:w w:val="100"/>
          <w:sz w:val="28"/>
          <w:szCs w:val="28"/>
        </w:rPr>
        <w:t>0</w:t>
      </w:r>
      <w:r>
        <w:rPr>
          <w:rFonts w:ascii="宋体" w:hAnsi="宋体" w:cs="宋体" w:eastAsia="宋体" w:hint="default"/>
          <w:spacing w:val="-72"/>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中</w:t>
      </w:r>
      <w:r>
        <w:rPr>
          <w:rFonts w:ascii="宋体" w:hAnsi="宋体" w:cs="宋体" w:eastAsia="宋体" w:hint="default"/>
          <w:w w:val="100"/>
          <w:sz w:val="28"/>
          <w:szCs w:val="28"/>
        </w:rPr>
        <w:t>国证</w:t>
      </w:r>
      <w:r>
        <w:rPr>
          <w:rFonts w:ascii="宋体" w:hAnsi="宋体" w:cs="宋体" w:eastAsia="宋体" w:hint="default"/>
          <w:spacing w:val="-3"/>
          <w:w w:val="100"/>
          <w:sz w:val="28"/>
          <w:szCs w:val="28"/>
        </w:rPr>
        <w:t>券</w:t>
      </w:r>
      <w:r>
        <w:rPr>
          <w:rFonts w:ascii="宋体" w:hAnsi="宋体" w:cs="宋体" w:eastAsia="宋体" w:hint="default"/>
          <w:spacing w:val="-1"/>
          <w:w w:val="100"/>
          <w:sz w:val="28"/>
          <w:szCs w:val="28"/>
        </w:rPr>
        <w:t>报</w:t>
      </w:r>
      <w:r>
        <w:rPr>
          <w:rFonts w:ascii="宋体" w:hAnsi="宋体" w:cs="宋体" w:eastAsia="宋体" w:hint="default"/>
          <w:w w:val="100"/>
          <w:sz w:val="28"/>
          <w:szCs w:val="28"/>
        </w:rPr>
        <w:t>》和</w:t>
      </w:r>
      <w:r>
        <w:rPr>
          <w:rFonts w:ascii="宋体" w:hAnsi="宋体" w:cs="宋体" w:eastAsia="宋体" w:hint="default"/>
          <w:spacing w:val="-3"/>
          <w:w w:val="100"/>
          <w:sz w:val="28"/>
          <w:szCs w:val="28"/>
        </w:rPr>
        <w:t>《</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时</w:t>
      </w:r>
      <w:r>
        <w:rPr>
          <w:rFonts w:ascii="宋体" w:hAnsi="宋体" w:cs="宋体" w:eastAsia="宋体" w:hint="default"/>
          <w:w w:val="100"/>
          <w:sz w:val="28"/>
          <w:szCs w:val="28"/>
        </w:rPr>
        <w:t>报</w:t>
      </w:r>
      <w:r>
        <w:rPr>
          <w:rFonts w:ascii="宋体" w:hAnsi="宋体" w:cs="宋体" w:eastAsia="宋体" w:hint="default"/>
          <w:spacing w:val="-142"/>
          <w:w w:val="100"/>
          <w:sz w:val="28"/>
          <w:szCs w:val="28"/>
        </w:rPr>
        <w:t>》</w:t>
      </w:r>
      <w:r>
        <w:rPr>
          <w:rFonts w:ascii="宋体" w:hAnsi="宋体" w:cs="宋体" w:eastAsia="宋体" w:hint="default"/>
          <w:w w:val="100"/>
          <w:sz w:val="28"/>
          <w:szCs w:val="28"/>
        </w:rPr>
        <w:t>。</w:t>
      </w:r>
    </w:p>
    <w:p>
      <w:pPr>
        <w:spacing w:before="132"/>
        <w:ind w:left="103" w:right="1402" w:firstLine="0"/>
        <w:jc w:val="left"/>
        <w:rPr>
          <w:rFonts w:ascii="宋体" w:hAnsi="宋体" w:cs="宋体" w:eastAsia="宋体" w:hint="default"/>
          <w:sz w:val="28"/>
          <w:szCs w:val="28"/>
        </w:rPr>
      </w:pPr>
      <w:r>
        <w:rPr>
          <w:rFonts w:ascii="宋体" w:hAnsi="宋体" w:cs="宋体" w:eastAsia="宋体" w:hint="default"/>
          <w:spacing w:val="-3"/>
          <w:sz w:val="28"/>
          <w:szCs w:val="28"/>
        </w:rPr>
        <w:t>（4）六届董事会第十一次会议于</w:t>
      </w:r>
      <w:r>
        <w:rPr>
          <w:rFonts w:ascii="宋体" w:hAnsi="宋体" w:cs="宋体" w:eastAsia="宋体" w:hint="default"/>
          <w:spacing w:val="-67"/>
          <w:sz w:val="28"/>
          <w:szCs w:val="28"/>
        </w:rPr>
        <w:t> </w:t>
      </w:r>
      <w:r>
        <w:rPr>
          <w:rFonts w:ascii="宋体" w:hAnsi="宋体" w:cs="宋体" w:eastAsia="宋体" w:hint="default"/>
          <w:sz w:val="28"/>
          <w:szCs w:val="28"/>
        </w:rPr>
        <w:t>2011</w:t>
      </w:r>
      <w:r>
        <w:rPr>
          <w:rFonts w:ascii="宋体" w:hAnsi="宋体" w:cs="宋体" w:eastAsia="宋体" w:hint="default"/>
          <w:spacing w:val="-68"/>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10</w:t>
      </w:r>
      <w:r>
        <w:rPr>
          <w:rFonts w:ascii="宋体" w:hAnsi="宋体" w:cs="宋体" w:eastAsia="宋体" w:hint="default"/>
          <w:spacing w:val="-66"/>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宋体" w:hAnsi="宋体" w:cs="宋体" w:eastAsia="宋体" w:hint="default"/>
          <w:sz w:val="28"/>
          <w:szCs w:val="28"/>
        </w:rPr>
        <w:t>20</w:t>
      </w:r>
      <w:r>
        <w:rPr>
          <w:rFonts w:ascii="宋体" w:hAnsi="宋体" w:cs="宋体" w:eastAsia="宋体" w:hint="default"/>
          <w:spacing w:val="-66"/>
          <w:sz w:val="28"/>
          <w:szCs w:val="28"/>
        </w:rPr>
        <w:t> </w:t>
      </w:r>
      <w:r>
        <w:rPr>
          <w:rFonts w:ascii="宋体" w:hAnsi="宋体" w:cs="宋体" w:eastAsia="宋体" w:hint="default"/>
          <w:spacing w:val="-5"/>
          <w:sz w:val="28"/>
          <w:szCs w:val="28"/>
        </w:rPr>
        <w:t>日召开，本次董事会</w:t>
      </w:r>
    </w:p>
    <w:p>
      <w:pPr>
        <w:spacing w:before="135"/>
        <w:ind w:left="103" w:right="1402" w:firstLine="0"/>
        <w:jc w:val="left"/>
        <w:rPr>
          <w:rFonts w:ascii="宋体" w:hAnsi="宋体" w:cs="宋体" w:eastAsia="宋体" w:hint="default"/>
          <w:sz w:val="28"/>
          <w:szCs w:val="28"/>
        </w:rPr>
      </w:pPr>
      <w:r>
        <w:rPr>
          <w:rFonts w:ascii="宋体" w:hAnsi="宋体" w:cs="宋体" w:eastAsia="宋体" w:hint="default"/>
          <w:w w:val="100"/>
          <w:sz w:val="28"/>
          <w:szCs w:val="28"/>
        </w:rPr>
        <w:t>决议公告于</w:t>
      </w:r>
      <w:r>
        <w:rPr>
          <w:rFonts w:ascii="宋体" w:hAnsi="宋体" w:cs="宋体" w:eastAsia="宋体" w:hint="default"/>
          <w:spacing w:val="-73"/>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1</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spacing w:val="1"/>
          <w:w w:val="100"/>
          <w:sz w:val="28"/>
          <w:szCs w:val="28"/>
        </w:rPr>
        <w:t>1</w:t>
      </w:r>
      <w:r>
        <w:rPr>
          <w:rFonts w:ascii="宋体" w:hAnsi="宋体" w:cs="宋体" w:eastAsia="宋体" w:hint="default"/>
          <w:w w:val="100"/>
          <w:sz w:val="28"/>
          <w:szCs w:val="28"/>
        </w:rPr>
        <w:t>0</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3"/>
          <w:sz w:val="28"/>
          <w:szCs w:val="28"/>
        </w:rPr>
        <w:t> </w:t>
      </w:r>
      <w:r>
        <w:rPr>
          <w:rFonts w:ascii="宋体" w:hAnsi="宋体" w:cs="宋体" w:eastAsia="宋体" w:hint="default"/>
          <w:spacing w:val="1"/>
          <w:w w:val="100"/>
          <w:sz w:val="28"/>
          <w:szCs w:val="28"/>
        </w:rPr>
        <w:t>2</w:t>
      </w:r>
      <w:r>
        <w:rPr>
          <w:rFonts w:ascii="宋体" w:hAnsi="宋体" w:cs="宋体" w:eastAsia="宋体" w:hint="default"/>
          <w:w w:val="100"/>
          <w:sz w:val="28"/>
          <w:szCs w:val="28"/>
        </w:rPr>
        <w:t>2</w:t>
      </w:r>
      <w:r>
        <w:rPr>
          <w:rFonts w:ascii="宋体" w:hAnsi="宋体" w:cs="宋体" w:eastAsia="宋体" w:hint="default"/>
          <w:spacing w:val="-72"/>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中</w:t>
      </w:r>
      <w:r>
        <w:rPr>
          <w:rFonts w:ascii="宋体" w:hAnsi="宋体" w:cs="宋体" w:eastAsia="宋体" w:hint="default"/>
          <w:w w:val="100"/>
          <w:sz w:val="28"/>
          <w:szCs w:val="28"/>
        </w:rPr>
        <w:t>国</w:t>
      </w:r>
      <w:r>
        <w:rPr>
          <w:rFonts w:ascii="宋体" w:hAnsi="宋体" w:cs="宋体" w:eastAsia="宋体" w:hint="default"/>
          <w:spacing w:val="-3"/>
          <w:w w:val="100"/>
          <w:sz w:val="28"/>
          <w:szCs w:val="28"/>
        </w:rPr>
        <w:t>证</w:t>
      </w:r>
      <w:r>
        <w:rPr>
          <w:rFonts w:ascii="宋体" w:hAnsi="宋体" w:cs="宋体" w:eastAsia="宋体" w:hint="default"/>
          <w:w w:val="100"/>
          <w:sz w:val="28"/>
          <w:szCs w:val="28"/>
        </w:rPr>
        <w:t>券</w:t>
      </w:r>
      <w:r>
        <w:rPr>
          <w:rFonts w:ascii="宋体" w:hAnsi="宋体" w:cs="宋体" w:eastAsia="宋体" w:hint="default"/>
          <w:spacing w:val="-1"/>
          <w:w w:val="100"/>
          <w:sz w:val="28"/>
          <w:szCs w:val="28"/>
        </w:rPr>
        <w:t>报</w:t>
      </w:r>
      <w:r>
        <w:rPr>
          <w:rFonts w:ascii="宋体" w:hAnsi="宋体" w:cs="宋体" w:eastAsia="宋体" w:hint="default"/>
          <w:w w:val="100"/>
          <w:sz w:val="28"/>
          <w:szCs w:val="28"/>
        </w:rPr>
        <w:t>》</w:t>
      </w:r>
      <w:r>
        <w:rPr>
          <w:rFonts w:ascii="宋体" w:hAnsi="宋体" w:cs="宋体" w:eastAsia="宋体" w:hint="default"/>
          <w:spacing w:val="-3"/>
          <w:w w:val="100"/>
          <w:sz w:val="28"/>
          <w:szCs w:val="28"/>
        </w:rPr>
        <w:t>和</w:t>
      </w:r>
      <w:r>
        <w:rPr>
          <w:rFonts w:ascii="宋体" w:hAnsi="宋体" w:cs="宋体" w:eastAsia="宋体" w:hint="default"/>
          <w:w w:val="100"/>
          <w:sz w:val="28"/>
          <w:szCs w:val="28"/>
        </w:rPr>
        <w:t>《证</w:t>
      </w:r>
      <w:r>
        <w:rPr>
          <w:rFonts w:ascii="宋体" w:hAnsi="宋体" w:cs="宋体" w:eastAsia="宋体" w:hint="default"/>
          <w:spacing w:val="-3"/>
          <w:w w:val="100"/>
          <w:sz w:val="28"/>
          <w:szCs w:val="28"/>
        </w:rPr>
        <w:t>券时</w:t>
      </w:r>
      <w:r>
        <w:rPr>
          <w:rFonts w:ascii="宋体" w:hAnsi="宋体" w:cs="宋体" w:eastAsia="宋体" w:hint="default"/>
          <w:spacing w:val="-1"/>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p>
    <w:p>
      <w:pPr>
        <w:spacing w:before="132"/>
        <w:ind w:left="103" w:right="1402" w:firstLine="0"/>
        <w:jc w:val="left"/>
        <w:rPr>
          <w:rFonts w:ascii="宋体" w:hAnsi="宋体" w:cs="宋体" w:eastAsia="宋体" w:hint="default"/>
          <w:sz w:val="28"/>
          <w:szCs w:val="28"/>
        </w:rPr>
      </w:pPr>
      <w:r>
        <w:rPr>
          <w:rFonts w:ascii="宋体" w:hAnsi="宋体" w:cs="宋体" w:eastAsia="宋体" w:hint="default"/>
          <w:sz w:val="28"/>
          <w:szCs w:val="28"/>
        </w:rPr>
        <w:t>（5）六届董事会第十二次会议（通讯表决方式）于</w:t>
      </w:r>
      <w:r>
        <w:rPr>
          <w:rFonts w:ascii="宋体" w:hAnsi="宋体" w:cs="宋体" w:eastAsia="宋体" w:hint="default"/>
          <w:spacing w:val="-60"/>
          <w:sz w:val="28"/>
          <w:szCs w:val="28"/>
        </w:rPr>
        <w:t> </w:t>
      </w:r>
      <w:r>
        <w:rPr>
          <w:rFonts w:ascii="宋体" w:hAnsi="宋体" w:cs="宋体" w:eastAsia="宋体" w:hint="default"/>
          <w:sz w:val="28"/>
          <w:szCs w:val="28"/>
        </w:rPr>
        <w:t>2011</w:t>
      </w:r>
      <w:r>
        <w:rPr>
          <w:rFonts w:ascii="宋体" w:hAnsi="宋体" w:cs="宋体" w:eastAsia="宋体" w:hint="default"/>
          <w:spacing w:val="-61"/>
          <w:sz w:val="28"/>
          <w:szCs w:val="28"/>
        </w:rPr>
        <w:t> </w:t>
      </w:r>
      <w:r>
        <w:rPr>
          <w:rFonts w:ascii="宋体" w:hAnsi="宋体" w:cs="宋体" w:eastAsia="宋体" w:hint="default"/>
          <w:sz w:val="28"/>
          <w:szCs w:val="28"/>
        </w:rPr>
        <w:t>年</w:t>
      </w:r>
      <w:r>
        <w:rPr>
          <w:rFonts w:ascii="宋体" w:hAnsi="宋体" w:cs="宋体" w:eastAsia="宋体" w:hint="default"/>
          <w:spacing w:val="-57"/>
          <w:sz w:val="28"/>
          <w:szCs w:val="28"/>
        </w:rPr>
        <w:t> </w:t>
      </w:r>
      <w:r>
        <w:rPr>
          <w:rFonts w:ascii="宋体" w:hAnsi="宋体" w:cs="宋体" w:eastAsia="宋体" w:hint="default"/>
          <w:sz w:val="28"/>
          <w:szCs w:val="28"/>
        </w:rPr>
        <w:t>12</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60"/>
          <w:sz w:val="28"/>
          <w:szCs w:val="28"/>
        </w:rPr>
        <w:t> </w:t>
      </w:r>
      <w:r>
        <w:rPr>
          <w:rFonts w:ascii="宋体" w:hAnsi="宋体" w:cs="宋体" w:eastAsia="宋体" w:hint="default"/>
          <w:sz w:val="28"/>
          <w:szCs w:val="28"/>
        </w:rPr>
        <w:t>8</w:t>
      </w:r>
      <w:r>
        <w:rPr>
          <w:rFonts w:ascii="宋体" w:hAnsi="宋体" w:cs="宋体" w:eastAsia="宋体" w:hint="default"/>
          <w:spacing w:val="-59"/>
          <w:sz w:val="28"/>
          <w:szCs w:val="28"/>
        </w:rPr>
        <w:t> </w:t>
      </w:r>
      <w:r>
        <w:rPr>
          <w:rFonts w:ascii="宋体" w:hAnsi="宋体" w:cs="宋体" w:eastAsia="宋体" w:hint="default"/>
          <w:sz w:val="28"/>
          <w:szCs w:val="28"/>
        </w:rPr>
        <w:t>日</w:t>
      </w:r>
    </w:p>
    <w:p>
      <w:pPr>
        <w:pStyle w:val="Heading2"/>
        <w:spacing w:line="328" w:lineRule="auto" w:before="132"/>
        <w:ind w:right="1577"/>
        <w:jc w:val="left"/>
      </w:pPr>
      <w:r>
        <w:rPr/>
        <w:pict>
          <v:shape style="position:absolute;margin-left:103.08847pt;margin-top:30.449852pt;width:392.95pt;height:64.3pt;mso-position-horizontal-relative:page;mso-position-vertical-relative:paragraph;z-index:-555568;rotation:315" type="#_x0000_t136" fillcolor="#e0e0e0" stroked="f">
            <o:extrusion v:ext="view" autorotationcenter="t"/>
            <v:textpath style="font-family:&amp;quot;Arial&amp;quot;;font-size:64pt;v-text-kern:t;mso-text-shadow:auto" string="UnRegistered"/>
            <w10:wrap type="none"/>
          </v:shape>
        </w:pict>
      </w:r>
      <w:r>
        <w:rPr/>
        <w:t>召开，本次董事会决议公告于</w:t>
      </w:r>
      <w:r>
        <w:rPr>
          <w:spacing w:val="-73"/>
        </w:rPr>
        <w:t> </w:t>
      </w:r>
      <w:r>
        <w:rPr/>
        <w:t>2011</w:t>
      </w:r>
      <w:r>
        <w:rPr>
          <w:spacing w:val="-70"/>
        </w:rPr>
        <w:t> </w:t>
      </w:r>
      <w:r>
        <w:rPr/>
        <w:t>年</w:t>
      </w:r>
      <w:r>
        <w:rPr>
          <w:spacing w:val="-73"/>
        </w:rPr>
        <w:t> </w:t>
      </w:r>
      <w:r>
        <w:rPr/>
        <w:t>12</w:t>
      </w:r>
      <w:r>
        <w:rPr>
          <w:spacing w:val="-70"/>
        </w:rPr>
        <w:t> </w:t>
      </w:r>
      <w:r>
        <w:rPr/>
        <w:t>月</w:t>
      </w:r>
      <w:r>
        <w:rPr>
          <w:spacing w:val="-73"/>
        </w:rPr>
        <w:t> </w:t>
      </w:r>
      <w:r>
        <w:rPr/>
        <w:t>9</w:t>
      </w:r>
      <w:r>
        <w:rPr>
          <w:spacing w:val="-70"/>
        </w:rPr>
        <w:t> </w:t>
      </w:r>
      <w:r>
        <w:rPr>
          <w:spacing w:val="-6"/>
        </w:rPr>
        <w:t>日《中国证券报》和《证</w:t>
      </w:r>
      <w:r>
        <w:rPr>
          <w:w w:val="100"/>
        </w:rPr>
        <w:t> </w:t>
      </w:r>
      <w:r>
        <w:rPr>
          <w:spacing w:val="-29"/>
          <w:w w:val="100"/>
        </w:rPr>
        <w:t>券时报》。</w:t>
      </w:r>
    </w:p>
    <w:p>
      <w:pPr>
        <w:spacing w:line="326" w:lineRule="auto" w:before="29"/>
        <w:ind w:left="662" w:right="1402" w:hanging="418"/>
        <w:jc w:val="left"/>
        <w:rPr>
          <w:rFonts w:ascii="宋体" w:hAnsi="宋体" w:cs="宋体" w:eastAsia="宋体" w:hint="default"/>
          <w:sz w:val="28"/>
          <w:szCs w:val="28"/>
        </w:rPr>
      </w:pPr>
      <w:r>
        <w:rPr>
          <w:rFonts w:ascii="宋体" w:hAnsi="宋体" w:cs="宋体" w:eastAsia="宋体" w:hint="default"/>
          <w:sz w:val="28"/>
          <w:szCs w:val="28"/>
        </w:rPr>
        <w:t>2、董事会对股东大会决议的执行情况。</w:t>
      </w:r>
      <w:r>
        <w:rPr>
          <w:rFonts w:ascii="宋体" w:hAnsi="宋体" w:cs="宋体" w:eastAsia="宋体" w:hint="default"/>
          <w:w w:val="100"/>
          <w:sz w:val="28"/>
          <w:szCs w:val="28"/>
        </w:rPr>
        <w:t> </w:t>
      </w:r>
      <w:r>
        <w:rPr>
          <w:rFonts w:ascii="宋体" w:hAnsi="宋体" w:cs="宋体" w:eastAsia="宋体" w:hint="default"/>
          <w:spacing w:val="-4"/>
          <w:sz w:val="28"/>
          <w:szCs w:val="28"/>
        </w:rPr>
        <w:t>报告期公司董事会严格执行股东大会决议，按照股东大会的授权从</w:t>
      </w:r>
    </w:p>
    <w:p>
      <w:pPr>
        <w:spacing w:line="326" w:lineRule="auto" w:before="34"/>
        <w:ind w:left="103" w:right="1402" w:firstLine="0"/>
        <w:jc w:val="left"/>
        <w:rPr>
          <w:rFonts w:ascii="宋体" w:hAnsi="宋体" w:cs="宋体" w:eastAsia="宋体" w:hint="default"/>
          <w:sz w:val="28"/>
          <w:szCs w:val="28"/>
        </w:rPr>
      </w:pPr>
      <w:r>
        <w:rPr>
          <w:rFonts w:ascii="宋体" w:hAnsi="宋体" w:cs="宋体" w:eastAsia="宋体" w:hint="default"/>
          <w:spacing w:val="-12"/>
          <w:w w:val="100"/>
          <w:sz w:val="28"/>
          <w:szCs w:val="28"/>
        </w:rPr>
        <w:t>事经营和管理工作。2010</w:t>
      </w:r>
      <w:r>
        <w:rPr>
          <w:rFonts w:ascii="宋体" w:hAnsi="宋体" w:cs="宋体" w:eastAsia="宋体" w:hint="default"/>
          <w:spacing w:val="-83"/>
          <w:w w:val="100"/>
          <w:sz w:val="28"/>
          <w:szCs w:val="28"/>
        </w:rPr>
        <w:t> </w:t>
      </w:r>
      <w:r>
        <w:rPr>
          <w:rFonts w:ascii="宋体" w:hAnsi="宋体" w:cs="宋体" w:eastAsia="宋体" w:hint="default"/>
          <w:spacing w:val="-2"/>
          <w:w w:val="100"/>
          <w:sz w:val="28"/>
          <w:szCs w:val="28"/>
        </w:rPr>
        <w:t>年分红派息[每</w:t>
      </w:r>
      <w:r>
        <w:rPr>
          <w:rFonts w:ascii="宋体" w:hAnsi="宋体" w:cs="宋体" w:eastAsia="宋体" w:hint="default"/>
          <w:spacing w:val="-84"/>
          <w:w w:val="100"/>
          <w:sz w:val="28"/>
          <w:szCs w:val="28"/>
        </w:rPr>
        <w:t> </w:t>
      </w:r>
      <w:r>
        <w:rPr>
          <w:rFonts w:ascii="宋体" w:hAnsi="宋体" w:cs="宋体" w:eastAsia="宋体" w:hint="default"/>
          <w:spacing w:val="-1"/>
          <w:w w:val="100"/>
          <w:sz w:val="28"/>
          <w:szCs w:val="28"/>
        </w:rPr>
        <w:t>10</w:t>
      </w:r>
      <w:r>
        <w:rPr>
          <w:rFonts w:ascii="宋体" w:hAnsi="宋体" w:cs="宋体" w:eastAsia="宋体" w:hint="default"/>
          <w:spacing w:val="-86"/>
          <w:w w:val="100"/>
          <w:sz w:val="28"/>
          <w:szCs w:val="28"/>
        </w:rPr>
        <w:t> </w:t>
      </w:r>
      <w:r>
        <w:rPr>
          <w:rFonts w:ascii="宋体" w:hAnsi="宋体" w:cs="宋体" w:eastAsia="宋体" w:hint="default"/>
          <w:spacing w:val="-1"/>
          <w:w w:val="100"/>
          <w:sz w:val="28"/>
          <w:szCs w:val="28"/>
        </w:rPr>
        <w:t>股派发现金</w:t>
      </w:r>
      <w:r>
        <w:rPr>
          <w:rFonts w:ascii="宋体" w:hAnsi="宋体" w:cs="宋体" w:eastAsia="宋体" w:hint="default"/>
          <w:spacing w:val="-87"/>
          <w:w w:val="100"/>
          <w:sz w:val="28"/>
          <w:szCs w:val="28"/>
        </w:rPr>
        <w:t> </w:t>
      </w:r>
      <w:r>
        <w:rPr>
          <w:rFonts w:ascii="宋体" w:hAnsi="宋体" w:cs="宋体" w:eastAsia="宋体" w:hint="default"/>
          <w:spacing w:val="-1"/>
          <w:w w:val="100"/>
          <w:sz w:val="28"/>
          <w:szCs w:val="28"/>
        </w:rPr>
        <w:t>0.20</w:t>
      </w:r>
      <w:r>
        <w:rPr>
          <w:rFonts w:ascii="宋体" w:hAnsi="宋体" w:cs="宋体" w:eastAsia="宋体" w:hint="default"/>
          <w:spacing w:val="4"/>
          <w:w w:val="100"/>
          <w:sz w:val="28"/>
          <w:szCs w:val="28"/>
        </w:rPr>
        <w:t> </w:t>
      </w:r>
      <w:r>
        <w:rPr>
          <w:rFonts w:ascii="宋体" w:hAnsi="宋体" w:cs="宋体" w:eastAsia="宋体" w:hint="default"/>
          <w:spacing w:val="-48"/>
          <w:w w:val="100"/>
          <w:sz w:val="28"/>
          <w:szCs w:val="28"/>
        </w:rPr>
        <w:t>元（含税）]</w:t>
      </w:r>
      <w:r>
        <w:rPr>
          <w:rFonts w:ascii="宋体" w:hAnsi="宋体" w:cs="宋体" w:eastAsia="宋体" w:hint="default"/>
          <w:w w:val="100"/>
          <w:sz w:val="28"/>
          <w:szCs w:val="28"/>
        </w:rPr>
        <w:t> </w:t>
      </w:r>
      <w:r>
        <w:rPr>
          <w:rFonts w:ascii="宋体" w:hAnsi="宋体" w:cs="宋体" w:eastAsia="宋体" w:hint="default"/>
          <w:sz w:val="28"/>
          <w:szCs w:val="28"/>
        </w:rPr>
        <w:t>事项已于</w:t>
      </w:r>
      <w:r>
        <w:rPr>
          <w:rFonts w:ascii="宋体" w:hAnsi="宋体" w:cs="宋体" w:eastAsia="宋体" w:hint="default"/>
          <w:spacing w:val="-66"/>
          <w:sz w:val="28"/>
          <w:szCs w:val="28"/>
        </w:rPr>
        <w:t> </w:t>
      </w:r>
      <w:r>
        <w:rPr>
          <w:rFonts w:ascii="宋体" w:hAnsi="宋体" w:cs="宋体" w:eastAsia="宋体" w:hint="default"/>
          <w:sz w:val="28"/>
          <w:szCs w:val="28"/>
        </w:rPr>
        <w:t>2011</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64"/>
          <w:sz w:val="28"/>
          <w:szCs w:val="28"/>
        </w:rPr>
        <w:t> </w:t>
      </w:r>
      <w:r>
        <w:rPr>
          <w:rFonts w:ascii="宋体" w:hAnsi="宋体" w:cs="宋体" w:eastAsia="宋体" w:hint="default"/>
          <w:sz w:val="28"/>
          <w:szCs w:val="28"/>
        </w:rPr>
        <w:t>5</w:t>
      </w:r>
      <w:r>
        <w:rPr>
          <w:rFonts w:ascii="宋体" w:hAnsi="宋体" w:cs="宋体" w:eastAsia="宋体" w:hint="default"/>
          <w:spacing w:val="-65"/>
          <w:sz w:val="28"/>
          <w:szCs w:val="28"/>
        </w:rPr>
        <w:t> </w:t>
      </w:r>
      <w:r>
        <w:rPr>
          <w:rFonts w:ascii="宋体" w:hAnsi="宋体" w:cs="宋体" w:eastAsia="宋体" w:hint="default"/>
          <w:sz w:val="28"/>
          <w:szCs w:val="28"/>
        </w:rPr>
        <w:t>月实施完毕，股权登记日</w:t>
      </w:r>
      <w:r>
        <w:rPr>
          <w:rFonts w:ascii="宋体" w:hAnsi="宋体" w:cs="宋体" w:eastAsia="宋体" w:hint="default"/>
          <w:spacing w:val="-64"/>
          <w:sz w:val="28"/>
          <w:szCs w:val="28"/>
        </w:rPr>
        <w:t> </w:t>
      </w:r>
      <w:r>
        <w:rPr>
          <w:rFonts w:ascii="宋体" w:hAnsi="宋体" w:cs="宋体" w:eastAsia="宋体" w:hint="default"/>
          <w:sz w:val="28"/>
          <w:szCs w:val="28"/>
        </w:rPr>
        <w:t>2011</w:t>
      </w:r>
      <w:r>
        <w:rPr>
          <w:rFonts w:ascii="宋体" w:hAnsi="宋体" w:cs="宋体" w:eastAsia="宋体" w:hint="default"/>
          <w:spacing w:val="-63"/>
          <w:sz w:val="28"/>
          <w:szCs w:val="28"/>
        </w:rPr>
        <w:t> </w:t>
      </w:r>
      <w:r>
        <w:rPr>
          <w:rFonts w:ascii="宋体" w:hAnsi="宋体" w:cs="宋体" w:eastAsia="宋体" w:hint="default"/>
          <w:sz w:val="28"/>
          <w:szCs w:val="28"/>
        </w:rPr>
        <w:t>年</w:t>
      </w:r>
      <w:r>
        <w:rPr>
          <w:rFonts w:ascii="宋体" w:hAnsi="宋体" w:cs="宋体" w:eastAsia="宋体" w:hint="default"/>
          <w:spacing w:val="-64"/>
          <w:sz w:val="28"/>
          <w:szCs w:val="28"/>
        </w:rPr>
        <w:t> </w:t>
      </w:r>
      <w:r>
        <w:rPr>
          <w:rFonts w:ascii="宋体" w:hAnsi="宋体" w:cs="宋体" w:eastAsia="宋体" w:hint="default"/>
          <w:sz w:val="28"/>
          <w:szCs w:val="28"/>
        </w:rPr>
        <w:t>5</w:t>
      </w:r>
      <w:r>
        <w:rPr>
          <w:rFonts w:ascii="宋体" w:hAnsi="宋体" w:cs="宋体" w:eastAsia="宋体" w:hint="default"/>
          <w:spacing w:val="-65"/>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11</w:t>
      </w:r>
      <w:r>
        <w:rPr>
          <w:rFonts w:ascii="宋体" w:hAnsi="宋体" w:cs="宋体" w:eastAsia="宋体" w:hint="default"/>
          <w:spacing w:val="-62"/>
          <w:sz w:val="28"/>
          <w:szCs w:val="28"/>
        </w:rPr>
        <w:t> </w:t>
      </w:r>
      <w:r>
        <w:rPr>
          <w:rFonts w:ascii="宋体" w:hAnsi="宋体" w:cs="宋体" w:eastAsia="宋体" w:hint="default"/>
          <w:sz w:val="28"/>
          <w:szCs w:val="28"/>
        </w:rPr>
        <w:t>日，除权</w:t>
      </w:r>
    </w:p>
    <w:p>
      <w:pPr>
        <w:spacing w:before="32"/>
        <w:ind w:left="103" w:right="1402" w:firstLine="0"/>
        <w:jc w:val="left"/>
        <w:rPr>
          <w:rFonts w:ascii="宋体" w:hAnsi="宋体" w:cs="宋体" w:eastAsia="宋体" w:hint="default"/>
          <w:sz w:val="28"/>
          <w:szCs w:val="28"/>
        </w:rPr>
      </w:pPr>
      <w:r>
        <w:rPr>
          <w:rFonts w:ascii="宋体" w:hAnsi="宋体" w:cs="宋体" w:eastAsia="宋体" w:hint="default"/>
          <w:sz w:val="28"/>
          <w:szCs w:val="28"/>
        </w:rPr>
        <w:t>除息日</w:t>
      </w:r>
      <w:r>
        <w:rPr>
          <w:rFonts w:ascii="宋体" w:hAnsi="宋体" w:cs="宋体" w:eastAsia="宋体" w:hint="default"/>
          <w:spacing w:val="-71"/>
          <w:sz w:val="28"/>
          <w:szCs w:val="28"/>
        </w:rPr>
        <w:t> </w:t>
      </w:r>
      <w:r>
        <w:rPr>
          <w:rFonts w:ascii="宋体" w:hAnsi="宋体" w:cs="宋体" w:eastAsia="宋体" w:hint="default"/>
          <w:sz w:val="28"/>
          <w:szCs w:val="28"/>
        </w:rPr>
        <w:t>2011</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5</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12</w:t>
      </w:r>
      <w:r>
        <w:rPr>
          <w:rFonts w:ascii="宋体" w:hAnsi="宋体" w:cs="宋体" w:eastAsia="宋体" w:hint="default"/>
          <w:spacing w:val="-70"/>
          <w:sz w:val="28"/>
          <w:szCs w:val="28"/>
        </w:rPr>
        <w:t> </w:t>
      </w:r>
      <w:r>
        <w:rPr>
          <w:rFonts w:ascii="宋体" w:hAnsi="宋体" w:cs="宋体" w:eastAsia="宋体" w:hint="default"/>
          <w:sz w:val="28"/>
          <w:szCs w:val="28"/>
        </w:rPr>
        <w:t>日。</w:t>
      </w:r>
    </w:p>
    <w:p>
      <w:pPr>
        <w:spacing w:line="326" w:lineRule="auto" w:before="135"/>
        <w:ind w:left="103" w:right="1402" w:firstLine="0"/>
        <w:jc w:val="left"/>
        <w:rPr>
          <w:rFonts w:ascii="宋体" w:hAnsi="宋体" w:cs="宋体" w:eastAsia="宋体" w:hint="default"/>
          <w:sz w:val="28"/>
          <w:szCs w:val="28"/>
        </w:rPr>
      </w:pPr>
      <w:r>
        <w:rPr>
          <w:rFonts w:ascii="宋体" w:hAnsi="宋体" w:cs="宋体" w:eastAsia="宋体" w:hint="default"/>
          <w:sz w:val="28"/>
          <w:szCs w:val="28"/>
        </w:rPr>
        <w:t>（六）董事会审计委员会的履职情况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1"/>
          <w:sz w:val="28"/>
          <w:szCs w:val="28"/>
        </w:rPr>
        <w:t>1、对公司2011年度财务报告发表两次审阅意见</w:t>
      </w:r>
    </w:p>
    <w:p>
      <w:pPr>
        <w:spacing w:line="328" w:lineRule="auto" w:before="32"/>
        <w:ind w:left="281" w:right="1622" w:firstLine="559"/>
        <w:jc w:val="both"/>
        <w:rPr>
          <w:rFonts w:ascii="宋体" w:hAnsi="宋体" w:cs="宋体" w:eastAsia="宋体" w:hint="default"/>
          <w:sz w:val="28"/>
          <w:szCs w:val="28"/>
        </w:rPr>
      </w:pPr>
      <w:r>
        <w:rPr>
          <w:rFonts w:ascii="宋体" w:hAnsi="宋体" w:cs="宋体" w:eastAsia="宋体" w:hint="default"/>
          <w:spacing w:val="-1"/>
          <w:sz w:val="28"/>
          <w:szCs w:val="28"/>
        </w:rPr>
        <w:t>审计委员会成员以其专业知识与经验，对公司编制的年度财务会</w:t>
      </w:r>
      <w:r>
        <w:rPr>
          <w:rFonts w:ascii="宋体" w:hAnsi="宋体" w:cs="宋体" w:eastAsia="宋体" w:hint="default"/>
          <w:w w:val="100"/>
          <w:sz w:val="28"/>
          <w:szCs w:val="28"/>
        </w:rPr>
        <w:t> </w:t>
      </w:r>
      <w:r>
        <w:rPr>
          <w:rFonts w:ascii="宋体" w:hAnsi="宋体" w:cs="宋体" w:eastAsia="宋体" w:hint="default"/>
          <w:spacing w:val="-1"/>
          <w:sz w:val="28"/>
          <w:szCs w:val="28"/>
        </w:rPr>
        <w:t>计报告进行审阅。报告期内，按照证监会有关规定要求，审计委员会</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对年度财务会计报告发表了两次审阅意见。</w:t>
      </w:r>
    </w:p>
    <w:p>
      <w:pPr>
        <w:spacing w:line="326" w:lineRule="auto" w:before="29"/>
        <w:ind w:left="281" w:right="1622" w:firstLine="559"/>
        <w:jc w:val="both"/>
        <w:rPr>
          <w:rFonts w:ascii="宋体" w:hAnsi="宋体" w:cs="宋体" w:eastAsia="宋体" w:hint="default"/>
          <w:sz w:val="28"/>
          <w:szCs w:val="28"/>
        </w:rPr>
      </w:pPr>
      <w:r>
        <w:rPr>
          <w:rFonts w:ascii="宋体" w:hAnsi="宋体" w:cs="宋体" w:eastAsia="宋体" w:hint="default"/>
          <w:spacing w:val="-1"/>
          <w:sz w:val="28"/>
          <w:szCs w:val="28"/>
        </w:rPr>
        <w:t>在年审注册会计师进场前，对未经审计的财务报表发表首次书面</w:t>
      </w:r>
      <w:r>
        <w:rPr>
          <w:rFonts w:ascii="宋体" w:hAnsi="宋体" w:cs="宋体" w:eastAsia="宋体" w:hint="default"/>
          <w:w w:val="100"/>
          <w:sz w:val="28"/>
          <w:szCs w:val="28"/>
        </w:rPr>
        <w:t> </w:t>
      </w:r>
      <w:r>
        <w:rPr>
          <w:rFonts w:ascii="宋体" w:hAnsi="宋体" w:cs="宋体" w:eastAsia="宋体" w:hint="default"/>
          <w:spacing w:val="-2"/>
          <w:sz w:val="28"/>
          <w:szCs w:val="28"/>
        </w:rPr>
        <w:t>意见。审计委员会认为：公司根据企业会计准则的有关要求结合公司</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1"/>
          <w:sz w:val="28"/>
          <w:szCs w:val="28"/>
        </w:rPr>
        <w:t>实际情况，制定了合理的会计政策和恰当的会计估计，公司对会计政</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1"/>
          <w:sz w:val="28"/>
          <w:szCs w:val="28"/>
        </w:rPr>
        <w:t>策、会计估计的变更一贯持谨慎态度，不存在利用、滥用会计政策变</w:t>
      </w:r>
    </w:p>
    <w:p>
      <w:pPr>
        <w:spacing w:after="0" w:line="326" w:lineRule="auto"/>
        <w:jc w:val="both"/>
        <w:rPr>
          <w:rFonts w:ascii="宋体" w:hAnsi="宋体" w:cs="宋体" w:eastAsia="宋体" w:hint="default"/>
          <w:sz w:val="28"/>
          <w:szCs w:val="28"/>
        </w:rPr>
        <w:sectPr>
          <w:pgSz w:w="11910" w:h="16840"/>
          <w:pgMar w:header="929" w:footer="837" w:top="1140" w:bottom="1020" w:left="1600" w:right="0"/>
        </w:sectPr>
      </w:pPr>
    </w:p>
    <w:p>
      <w:pPr>
        <w:spacing w:line="240" w:lineRule="auto" w:before="1"/>
        <w:rPr>
          <w:rFonts w:ascii="宋体" w:hAnsi="宋体" w:cs="宋体" w:eastAsia="宋体" w:hint="default"/>
          <w:sz w:val="21"/>
          <w:szCs w:val="21"/>
        </w:rPr>
      </w:pPr>
    </w:p>
    <w:p>
      <w:pPr>
        <w:pStyle w:val="Heading2"/>
        <w:spacing w:line="328" w:lineRule="auto"/>
        <w:ind w:left="281" w:right="1402"/>
        <w:jc w:val="left"/>
      </w:pPr>
      <w:r>
        <w:rPr>
          <w:spacing w:val="-1"/>
        </w:rPr>
        <w:t>更、会计估计差错调节利润的情况，所披露的会计信息真实可靠、内</w:t>
      </w:r>
      <w:r>
        <w:rPr>
          <w:spacing w:val="-116"/>
        </w:rPr>
        <w:t> </w:t>
      </w:r>
      <w:r>
        <w:rPr>
          <w:spacing w:val="-116"/>
        </w:rPr>
      </w:r>
      <w:r>
        <w:rPr/>
        <w:t>容完整，2011年的财务报表的质量是可以保证的。</w:t>
      </w:r>
    </w:p>
    <w:p>
      <w:pPr>
        <w:spacing w:line="326" w:lineRule="auto" w:before="29"/>
        <w:ind w:left="103" w:right="1402" w:firstLine="736"/>
        <w:jc w:val="left"/>
        <w:rPr>
          <w:rFonts w:ascii="宋体" w:hAnsi="宋体" w:cs="宋体" w:eastAsia="宋体" w:hint="default"/>
          <w:sz w:val="28"/>
          <w:szCs w:val="28"/>
        </w:rPr>
      </w:pPr>
      <w:r>
        <w:rPr>
          <w:rFonts w:ascii="宋体" w:hAnsi="宋体" w:cs="宋体" w:eastAsia="宋体" w:hint="default"/>
          <w:sz w:val="28"/>
          <w:szCs w:val="28"/>
        </w:rPr>
        <w:t>在年审注册会计师出具初步审计意见后，审计委员会再次审阅财</w:t>
      </w:r>
      <w:r>
        <w:rPr>
          <w:rFonts w:ascii="宋体" w:hAnsi="宋体" w:cs="宋体" w:eastAsia="宋体" w:hint="default"/>
          <w:w w:val="100"/>
          <w:sz w:val="28"/>
          <w:szCs w:val="28"/>
        </w:rPr>
        <w:t> </w:t>
      </w:r>
      <w:r>
        <w:rPr>
          <w:rFonts w:ascii="宋体" w:hAnsi="宋体" w:cs="宋体" w:eastAsia="宋体" w:hint="default"/>
          <w:spacing w:val="-5"/>
          <w:sz w:val="28"/>
          <w:szCs w:val="28"/>
        </w:rPr>
        <w:t>务报告并发表第二次书面意见。审计委员会及时阅读会计师报告初稿，</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并与注册会计师会谈，公司与注册会计师之间在重要问题上不存在争</w:t>
      </w:r>
      <w:r>
        <w:rPr>
          <w:rFonts w:ascii="宋体" w:hAnsi="宋体" w:cs="宋体" w:eastAsia="宋体" w:hint="default"/>
          <w:w w:val="100"/>
          <w:sz w:val="28"/>
          <w:szCs w:val="28"/>
        </w:rPr>
        <w:t> </w:t>
      </w:r>
      <w:r>
        <w:rPr>
          <w:rFonts w:ascii="宋体" w:hAnsi="宋体" w:cs="宋体" w:eastAsia="宋体" w:hint="default"/>
          <w:sz w:val="28"/>
          <w:szCs w:val="28"/>
        </w:rPr>
        <w:t>议，公司财务报告符合企业会计准则和相关法规规定。</w:t>
      </w:r>
      <w:r>
        <w:rPr>
          <w:rFonts w:ascii="宋体" w:hAnsi="宋体" w:cs="宋体" w:eastAsia="宋体" w:hint="default"/>
          <w:w w:val="100"/>
          <w:sz w:val="28"/>
          <w:szCs w:val="28"/>
        </w:rPr>
        <w:t> </w:t>
      </w:r>
      <w:r>
        <w:rPr>
          <w:rFonts w:ascii="宋体" w:hAnsi="宋体" w:cs="宋体" w:eastAsia="宋体" w:hint="default"/>
          <w:sz w:val="28"/>
          <w:szCs w:val="28"/>
        </w:rPr>
        <w:t>2．对会计师事务所审计工作的督促情况</w:t>
      </w:r>
    </w:p>
    <w:p>
      <w:pPr>
        <w:spacing w:line="326" w:lineRule="auto" w:before="34"/>
        <w:ind w:left="281" w:right="1579" w:firstLine="518"/>
        <w:jc w:val="both"/>
        <w:rPr>
          <w:rFonts w:ascii="宋体" w:hAnsi="宋体" w:cs="宋体" w:eastAsia="宋体" w:hint="default"/>
          <w:sz w:val="28"/>
          <w:szCs w:val="28"/>
        </w:rPr>
      </w:pPr>
      <w:r>
        <w:rPr>
          <w:rFonts w:ascii="宋体" w:hAnsi="宋体" w:cs="宋体" w:eastAsia="宋体" w:hint="default"/>
          <w:sz w:val="28"/>
          <w:szCs w:val="28"/>
        </w:rPr>
        <w:t>审计委员会提前对年审进行全面部署，与现任会计师事务所商定</w:t>
      </w:r>
      <w:r>
        <w:rPr>
          <w:rFonts w:ascii="宋体" w:hAnsi="宋体" w:cs="宋体" w:eastAsia="宋体" w:hint="default"/>
          <w:w w:val="100"/>
          <w:sz w:val="28"/>
          <w:szCs w:val="28"/>
        </w:rPr>
        <w:t> </w:t>
      </w:r>
      <w:r>
        <w:rPr>
          <w:rFonts w:ascii="宋体" w:hAnsi="宋体" w:cs="宋体" w:eastAsia="宋体" w:hint="default"/>
          <w:sz w:val="28"/>
          <w:szCs w:val="28"/>
        </w:rPr>
        <w:t>需要出具审计报告的范围和时间进度。在审计团队进场以后，与主要</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项目负责人员进行了沟通，了解审计工作进展和会计师关注的问题，</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并及时反馈给公司有关部门，以保证年度审计和信息披露工作按照预</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定的进度推进。</w:t>
      </w:r>
    </w:p>
    <w:p>
      <w:pPr>
        <w:spacing w:before="32"/>
        <w:ind w:left="103" w:right="1402" w:firstLine="0"/>
        <w:jc w:val="left"/>
        <w:rPr>
          <w:rFonts w:ascii="宋体" w:hAnsi="宋体" w:cs="宋体" w:eastAsia="宋体" w:hint="default"/>
          <w:sz w:val="28"/>
          <w:szCs w:val="28"/>
        </w:rPr>
      </w:pPr>
      <w:r>
        <w:rPr>
          <w:rFonts w:ascii="宋体" w:hAnsi="宋体" w:cs="宋体" w:eastAsia="宋体" w:hint="default"/>
          <w:sz w:val="28"/>
          <w:szCs w:val="28"/>
        </w:rPr>
        <w:t>3．对会计师事务所上年度审计工作的总结报告</w:t>
      </w:r>
    </w:p>
    <w:p>
      <w:pPr>
        <w:pStyle w:val="Heading2"/>
        <w:spacing w:line="326" w:lineRule="auto" w:before="135"/>
        <w:ind w:left="245" w:right="1402" w:firstLine="554"/>
        <w:jc w:val="left"/>
      </w:pPr>
      <w:r>
        <w:rPr/>
        <w:pict>
          <v:shape style="position:absolute;margin-left:103.08847pt;margin-top:5.519836pt;width:392.95pt;height:64.3pt;mso-position-horizontal-relative:page;mso-position-vertical-relative:paragraph;z-index:-555544;rotation:315" type="#_x0000_t136" fillcolor="#e0e0e0" stroked="f">
            <o:extrusion v:ext="view" autorotationcenter="t"/>
            <v:textpath style="font-family:&amp;quot;Arial&amp;quot;;font-size:64pt;v-text-kern:t;mso-text-shadow:auto" string="UnRegistered"/>
            <w10:wrap type="none"/>
          </v:shape>
        </w:pict>
      </w:r>
      <w:r>
        <w:rPr/>
        <w:t>2011年年审过程中，现任注册会计师严格按照审计法规、准则执</w:t>
      </w:r>
      <w:r>
        <w:rPr>
          <w:w w:val="100"/>
        </w:rPr>
        <w:t> </w:t>
      </w:r>
      <w:r>
        <w:rPr/>
        <w:t>业，重视了解公司及公司的经营环境，了解公司的内部控制的建立健</w:t>
      </w:r>
      <w:r>
        <w:rPr>
          <w:spacing w:val="-101"/>
        </w:rPr>
        <w:t> </w:t>
      </w:r>
      <w:r>
        <w:rPr>
          <w:spacing w:val="-101"/>
        </w:rPr>
      </w:r>
      <w:r>
        <w:rPr/>
        <w:t>全和实施情况，也重视保持与审计委员会及法律顾问的交流、沟通，</w:t>
      </w:r>
      <w:r>
        <w:rPr>
          <w:spacing w:val="-101"/>
        </w:rPr>
        <w:t> </w:t>
      </w:r>
      <w:r>
        <w:rPr>
          <w:spacing w:val="-101"/>
        </w:rPr>
      </w:r>
      <w:r>
        <w:rPr/>
        <w:t>风险意识强。审计委员会认为，现任会计师较好地完成了2011年度公</w:t>
      </w:r>
      <w:r>
        <w:rPr>
          <w:spacing w:val="-106"/>
        </w:rPr>
        <w:t> </w:t>
      </w:r>
      <w:r>
        <w:rPr>
          <w:spacing w:val="-106"/>
        </w:rPr>
      </w:r>
      <w:r>
        <w:rPr/>
        <w:t>司的财务报表审计工作。</w:t>
      </w:r>
      <w:r>
        <w:rPr>
          <w:w w:val="100"/>
        </w:rPr>
        <w:t> </w:t>
      </w:r>
      <w:r>
        <w:rPr/>
        <w:t>4.关于续聘正中珠江会计师事务所为2012年度外部审计机构的提议</w:t>
      </w:r>
    </w:p>
    <w:p>
      <w:pPr>
        <w:spacing w:line="326" w:lineRule="auto" w:before="34"/>
        <w:ind w:left="281" w:right="1622" w:firstLine="559"/>
        <w:jc w:val="both"/>
        <w:rPr>
          <w:rFonts w:ascii="宋体" w:hAnsi="宋体" w:cs="宋体" w:eastAsia="宋体" w:hint="default"/>
          <w:sz w:val="28"/>
          <w:szCs w:val="28"/>
        </w:rPr>
      </w:pPr>
      <w:r>
        <w:rPr>
          <w:rFonts w:ascii="宋体" w:hAnsi="宋体" w:cs="宋体" w:eastAsia="宋体" w:hint="default"/>
          <w:spacing w:val="-1"/>
          <w:sz w:val="28"/>
          <w:szCs w:val="28"/>
        </w:rPr>
        <w:t>审计委员会通过对现任会计师事务所的了解和与经办注册会计师</w:t>
      </w:r>
      <w:r>
        <w:rPr>
          <w:rFonts w:ascii="宋体" w:hAnsi="宋体" w:cs="宋体" w:eastAsia="宋体" w:hint="default"/>
          <w:w w:val="100"/>
          <w:sz w:val="28"/>
          <w:szCs w:val="28"/>
        </w:rPr>
        <w:t> </w:t>
      </w:r>
      <w:r>
        <w:rPr>
          <w:rFonts w:ascii="宋体" w:hAnsi="宋体" w:cs="宋体" w:eastAsia="宋体" w:hint="default"/>
          <w:sz w:val="28"/>
          <w:szCs w:val="28"/>
        </w:rPr>
        <w:t>及主要项目负责人员的访谈，审计委员会认为:</w:t>
      </w:r>
      <w:r>
        <w:rPr>
          <w:rFonts w:ascii="宋体" w:hAnsi="宋体" w:cs="宋体" w:eastAsia="宋体" w:hint="default"/>
          <w:spacing w:val="-6"/>
          <w:sz w:val="28"/>
          <w:szCs w:val="28"/>
        </w:rPr>
        <w:t> </w:t>
      </w:r>
      <w:r>
        <w:rPr>
          <w:rFonts w:ascii="宋体" w:hAnsi="宋体" w:cs="宋体" w:eastAsia="宋体" w:hint="default"/>
          <w:sz w:val="28"/>
          <w:szCs w:val="28"/>
        </w:rPr>
        <w:t>该所拥有专业的审计</w:t>
      </w:r>
      <w:r>
        <w:rPr>
          <w:rFonts w:ascii="宋体" w:hAnsi="宋体" w:cs="宋体" w:eastAsia="宋体" w:hint="default"/>
          <w:w w:val="100"/>
          <w:sz w:val="28"/>
          <w:szCs w:val="28"/>
        </w:rPr>
        <w:t> </w:t>
      </w:r>
      <w:r>
        <w:rPr>
          <w:rFonts w:ascii="宋体" w:hAnsi="宋体" w:cs="宋体" w:eastAsia="宋体" w:hint="default"/>
          <w:spacing w:val="-2"/>
          <w:sz w:val="28"/>
          <w:szCs w:val="28"/>
        </w:rPr>
        <w:t>团队和雄厚的技术支持力量，审计团队严谨敬业。且在长期稳定的合</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2"/>
          <w:sz w:val="28"/>
          <w:szCs w:val="28"/>
        </w:rPr>
        <w:t>作中已对公司的经营发展情况较为熟悉，具备承担上市公司审计的胜</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2"/>
          <w:sz w:val="28"/>
          <w:szCs w:val="28"/>
        </w:rPr>
        <w:t>任能力，审计委员会会议提议续聘正中珠江会计师事务所为2012年度</w:t>
      </w:r>
      <w:r>
        <w:rPr>
          <w:rFonts w:ascii="宋体" w:hAnsi="宋体" w:cs="宋体" w:eastAsia="宋体" w:hint="default"/>
          <w:spacing w:val="-85"/>
          <w:sz w:val="28"/>
          <w:szCs w:val="28"/>
        </w:rPr>
        <w:t> </w:t>
      </w:r>
      <w:r>
        <w:rPr>
          <w:rFonts w:ascii="宋体" w:hAnsi="宋体" w:cs="宋体" w:eastAsia="宋体" w:hint="default"/>
          <w:spacing w:val="-85"/>
          <w:sz w:val="28"/>
          <w:szCs w:val="28"/>
        </w:rPr>
      </w:r>
      <w:r>
        <w:rPr>
          <w:rFonts w:ascii="宋体" w:hAnsi="宋体" w:cs="宋体" w:eastAsia="宋体" w:hint="default"/>
          <w:sz w:val="28"/>
          <w:szCs w:val="28"/>
        </w:rPr>
        <w:t>审计机构。</w:t>
      </w:r>
    </w:p>
    <w:p>
      <w:pPr>
        <w:spacing w:line="326" w:lineRule="auto" w:before="34"/>
        <w:ind w:left="660" w:right="1402" w:hanging="557"/>
        <w:jc w:val="left"/>
        <w:rPr>
          <w:rFonts w:ascii="宋体" w:hAnsi="宋体" w:cs="宋体" w:eastAsia="宋体" w:hint="default"/>
          <w:sz w:val="28"/>
          <w:szCs w:val="28"/>
        </w:rPr>
      </w:pPr>
      <w:r>
        <w:rPr>
          <w:rFonts w:ascii="宋体" w:hAnsi="宋体" w:cs="宋体" w:eastAsia="宋体" w:hint="default"/>
          <w:sz w:val="28"/>
          <w:szCs w:val="28"/>
        </w:rPr>
        <w:t>（七）董事会薪酬与考核委员会的履职情况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3"/>
          <w:sz w:val="28"/>
          <w:szCs w:val="28"/>
        </w:rPr>
        <w:t>报告期内，公司薪酬与考核委员会认真了解了公司薪酬与考核管理</w:t>
      </w:r>
    </w:p>
    <w:p>
      <w:pPr>
        <w:spacing w:before="32"/>
        <w:ind w:left="281" w:right="1402" w:firstLine="0"/>
        <w:jc w:val="left"/>
        <w:rPr>
          <w:rFonts w:ascii="宋体" w:hAnsi="宋体" w:cs="宋体" w:eastAsia="宋体" w:hint="default"/>
          <w:sz w:val="28"/>
          <w:szCs w:val="28"/>
        </w:rPr>
      </w:pPr>
      <w:r>
        <w:rPr>
          <w:rFonts w:ascii="宋体" w:hAnsi="宋体" w:cs="宋体" w:eastAsia="宋体" w:hint="default"/>
          <w:sz w:val="28"/>
          <w:szCs w:val="28"/>
        </w:rPr>
        <w:t>制度情况，并提出了相应意见，以帮助公司健全和完善薪酬与考核体</w:t>
      </w:r>
    </w:p>
    <w:p>
      <w:pPr>
        <w:spacing w:after="0"/>
        <w:jc w:val="left"/>
        <w:rPr>
          <w:rFonts w:ascii="宋体" w:hAnsi="宋体" w:cs="宋体" w:eastAsia="宋体" w:hint="default"/>
          <w:sz w:val="28"/>
          <w:szCs w:val="28"/>
        </w:rPr>
        <w:sectPr>
          <w:footerReference w:type="default" r:id="rId16"/>
          <w:pgSz w:w="11910" w:h="16840"/>
          <w:pgMar w:footer="837" w:header="929" w:top="1140" w:bottom="1020" w:left="1600" w:right="0"/>
          <w:pgNumType w:start="20"/>
        </w:sectPr>
      </w:pPr>
    </w:p>
    <w:p>
      <w:pPr>
        <w:spacing w:line="240" w:lineRule="auto" w:before="1"/>
        <w:rPr>
          <w:rFonts w:ascii="宋体" w:hAnsi="宋体" w:cs="宋体" w:eastAsia="宋体" w:hint="default"/>
          <w:sz w:val="21"/>
          <w:szCs w:val="21"/>
        </w:rPr>
      </w:pPr>
    </w:p>
    <w:p>
      <w:pPr>
        <w:spacing w:line="328" w:lineRule="auto" w:before="14"/>
        <w:ind w:left="321" w:right="473" w:firstLine="0"/>
        <w:jc w:val="left"/>
        <w:rPr>
          <w:rFonts w:ascii="宋体" w:hAnsi="宋体" w:cs="宋体" w:eastAsia="宋体" w:hint="default"/>
          <w:sz w:val="28"/>
          <w:szCs w:val="28"/>
        </w:rPr>
      </w:pPr>
      <w:r>
        <w:rPr>
          <w:rFonts w:ascii="宋体" w:hAnsi="宋体" w:cs="宋体" w:eastAsia="宋体" w:hint="default"/>
          <w:spacing w:val="-2"/>
          <w:sz w:val="28"/>
          <w:szCs w:val="28"/>
        </w:rPr>
        <w:t>系。薪酬与考核委员会仔细核查了本报告所披露的公司董事、监事及</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高级管理人员的薪酬情况，认为真实、准确。</w:t>
      </w:r>
    </w:p>
    <w:p>
      <w:pPr>
        <w:spacing w:before="29"/>
        <w:ind w:left="143" w:right="0" w:firstLine="0"/>
        <w:jc w:val="both"/>
        <w:rPr>
          <w:rFonts w:ascii="宋体" w:hAnsi="宋体" w:cs="宋体" w:eastAsia="宋体" w:hint="default"/>
          <w:sz w:val="28"/>
          <w:szCs w:val="28"/>
        </w:rPr>
      </w:pPr>
      <w:r>
        <w:rPr>
          <w:rFonts w:ascii="宋体" w:hAnsi="宋体" w:cs="宋体" w:eastAsia="宋体" w:hint="default"/>
          <w:sz w:val="28"/>
          <w:szCs w:val="28"/>
        </w:rPr>
        <w:t>（八）公司本次利润分配预案或资本公积金转增股本预案</w:t>
      </w:r>
    </w:p>
    <w:p>
      <w:pPr>
        <w:spacing w:before="99"/>
        <w:ind w:left="143" w:right="0" w:firstLine="0"/>
        <w:jc w:val="both"/>
        <w:rPr>
          <w:rFonts w:ascii="宋体" w:hAnsi="宋体" w:cs="宋体" w:eastAsia="宋体" w:hint="default"/>
          <w:sz w:val="28"/>
          <w:szCs w:val="28"/>
        </w:rPr>
      </w:pPr>
      <w:r>
        <w:rPr>
          <w:rFonts w:ascii="宋体" w:hAnsi="宋体" w:cs="宋体" w:eastAsia="宋体" w:hint="default"/>
          <w:spacing w:val="2"/>
          <w:sz w:val="28"/>
          <w:szCs w:val="28"/>
        </w:rPr>
        <w:t>1、2011 </w:t>
      </w:r>
      <w:r>
        <w:rPr>
          <w:rFonts w:ascii="宋体" w:hAnsi="宋体" w:cs="宋体" w:eastAsia="宋体" w:hint="default"/>
          <w:spacing w:val="6"/>
          <w:sz w:val="28"/>
          <w:szCs w:val="28"/>
        </w:rPr>
        <w:t>年母公司实现净利润 </w:t>
      </w:r>
      <w:r>
        <w:rPr>
          <w:rFonts w:ascii="宋体" w:hAnsi="宋体" w:cs="宋体" w:eastAsia="宋体" w:hint="default"/>
          <w:sz w:val="28"/>
          <w:szCs w:val="28"/>
        </w:rPr>
        <w:t>2,444,103.92</w:t>
      </w:r>
      <w:r>
        <w:rPr>
          <w:rFonts w:ascii="宋体" w:hAnsi="宋体" w:cs="宋体" w:eastAsia="宋体" w:hint="default"/>
          <w:spacing w:val="62"/>
          <w:sz w:val="28"/>
          <w:szCs w:val="28"/>
        </w:rPr>
        <w:t> </w:t>
      </w:r>
      <w:r>
        <w:rPr>
          <w:rFonts w:ascii="宋体" w:hAnsi="宋体" w:cs="宋体" w:eastAsia="宋体" w:hint="default"/>
          <w:spacing w:val="6"/>
          <w:sz w:val="28"/>
          <w:szCs w:val="28"/>
        </w:rPr>
        <w:t>元，加年初未分配利润</w:t>
      </w:r>
    </w:p>
    <w:p>
      <w:pPr>
        <w:spacing w:before="94"/>
        <w:ind w:left="143" w:right="0" w:firstLine="0"/>
        <w:jc w:val="both"/>
        <w:rPr>
          <w:rFonts w:ascii="宋体" w:hAnsi="宋体" w:cs="宋体" w:eastAsia="宋体" w:hint="default"/>
          <w:sz w:val="28"/>
          <w:szCs w:val="28"/>
        </w:rPr>
      </w:pPr>
      <w:r>
        <w:rPr>
          <w:rFonts w:ascii="宋体" w:hAnsi="宋体" w:cs="宋体" w:eastAsia="宋体" w:hint="default"/>
          <w:spacing w:val="1"/>
          <w:w w:val="100"/>
          <w:sz w:val="28"/>
          <w:szCs w:val="28"/>
        </w:rPr>
        <w:t>8</w:t>
      </w:r>
      <w:r>
        <w:rPr>
          <w:rFonts w:ascii="宋体" w:hAnsi="宋体" w:cs="宋体" w:eastAsia="宋体" w:hint="default"/>
          <w:spacing w:val="-2"/>
          <w:w w:val="100"/>
          <w:sz w:val="28"/>
          <w:szCs w:val="28"/>
        </w:rPr>
        <w:t>6,</w:t>
      </w:r>
      <w:r>
        <w:rPr>
          <w:rFonts w:ascii="宋体" w:hAnsi="宋体" w:cs="宋体" w:eastAsia="宋体" w:hint="default"/>
          <w:spacing w:val="1"/>
          <w:w w:val="100"/>
          <w:sz w:val="28"/>
          <w:szCs w:val="28"/>
        </w:rPr>
        <w:t>7</w:t>
      </w:r>
      <w:r>
        <w:rPr>
          <w:rFonts w:ascii="宋体" w:hAnsi="宋体" w:cs="宋体" w:eastAsia="宋体" w:hint="default"/>
          <w:spacing w:val="-2"/>
          <w:w w:val="100"/>
          <w:sz w:val="28"/>
          <w:szCs w:val="28"/>
        </w:rPr>
        <w:t>23</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84</w:t>
      </w: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.3</w:t>
      </w:r>
      <w:r>
        <w:rPr>
          <w:rFonts w:ascii="宋体" w:hAnsi="宋体" w:cs="宋体" w:eastAsia="宋体" w:hint="default"/>
          <w:w w:val="100"/>
          <w:sz w:val="28"/>
          <w:szCs w:val="28"/>
        </w:rPr>
        <w:t>8</w:t>
      </w:r>
      <w:r>
        <w:rPr>
          <w:rFonts w:ascii="宋体" w:hAnsi="宋体" w:cs="宋体" w:eastAsia="宋体" w:hint="default"/>
          <w:spacing w:val="-79"/>
          <w:sz w:val="28"/>
          <w:szCs w:val="28"/>
        </w:rPr>
        <w:t> </w:t>
      </w:r>
      <w:r>
        <w:rPr>
          <w:rFonts w:ascii="宋体" w:hAnsi="宋体" w:cs="宋体" w:eastAsia="宋体" w:hint="default"/>
          <w:spacing w:val="-3"/>
          <w:w w:val="100"/>
          <w:sz w:val="28"/>
          <w:szCs w:val="28"/>
        </w:rPr>
        <w:t>元</w:t>
      </w:r>
      <w:r>
        <w:rPr>
          <w:rFonts w:ascii="宋体" w:hAnsi="宋体" w:cs="宋体" w:eastAsia="宋体" w:hint="default"/>
          <w:spacing w:val="-142"/>
          <w:w w:val="100"/>
          <w:sz w:val="28"/>
          <w:szCs w:val="28"/>
        </w:rPr>
        <w:t>，</w:t>
      </w:r>
      <w:r>
        <w:rPr>
          <w:rFonts w:ascii="宋体" w:hAnsi="宋体" w:cs="宋体" w:eastAsia="宋体" w:hint="default"/>
          <w:w w:val="100"/>
          <w:sz w:val="28"/>
          <w:szCs w:val="28"/>
        </w:rPr>
        <w:t>减分配</w:t>
      </w:r>
      <w:r>
        <w:rPr>
          <w:rFonts w:ascii="宋体" w:hAnsi="宋体" w:cs="宋体" w:eastAsia="宋体" w:hint="default"/>
          <w:spacing w:val="-83"/>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0</w:t>
      </w:r>
      <w:r>
        <w:rPr>
          <w:rFonts w:ascii="宋体" w:hAnsi="宋体" w:cs="宋体" w:eastAsia="宋体" w:hint="default"/>
          <w:spacing w:val="-79"/>
          <w:sz w:val="28"/>
          <w:szCs w:val="28"/>
        </w:rPr>
        <w:t> </w:t>
      </w:r>
      <w:r>
        <w:rPr>
          <w:rFonts w:ascii="宋体" w:hAnsi="宋体" w:cs="宋体" w:eastAsia="宋体" w:hint="default"/>
          <w:spacing w:val="-3"/>
          <w:w w:val="100"/>
          <w:sz w:val="28"/>
          <w:szCs w:val="28"/>
        </w:rPr>
        <w:t>年</w:t>
      </w:r>
      <w:r>
        <w:rPr>
          <w:rFonts w:ascii="宋体" w:hAnsi="宋体" w:cs="宋体" w:eastAsia="宋体" w:hint="default"/>
          <w:w w:val="100"/>
          <w:sz w:val="28"/>
          <w:szCs w:val="28"/>
        </w:rPr>
        <w:t>度</w:t>
      </w:r>
      <w:r>
        <w:rPr>
          <w:rFonts w:ascii="宋体" w:hAnsi="宋体" w:cs="宋体" w:eastAsia="宋体" w:hint="default"/>
          <w:spacing w:val="-3"/>
          <w:w w:val="100"/>
          <w:sz w:val="28"/>
          <w:szCs w:val="28"/>
        </w:rPr>
        <w:t>利</w:t>
      </w:r>
      <w:r>
        <w:rPr>
          <w:rFonts w:ascii="宋体" w:hAnsi="宋体" w:cs="宋体" w:eastAsia="宋体" w:hint="default"/>
          <w:w w:val="100"/>
          <w:sz w:val="28"/>
          <w:szCs w:val="28"/>
        </w:rPr>
        <w:t>润</w:t>
      </w:r>
      <w:r>
        <w:rPr>
          <w:rFonts w:ascii="宋体" w:hAnsi="宋体" w:cs="宋体" w:eastAsia="宋体" w:hint="default"/>
          <w:spacing w:val="-80"/>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45</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3</w:t>
      </w: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2.0</w:t>
      </w:r>
      <w:r>
        <w:rPr>
          <w:rFonts w:ascii="宋体" w:hAnsi="宋体" w:cs="宋体" w:eastAsia="宋体" w:hint="default"/>
          <w:w w:val="100"/>
          <w:sz w:val="28"/>
          <w:szCs w:val="28"/>
        </w:rPr>
        <w:t>0</w:t>
      </w:r>
      <w:r>
        <w:rPr>
          <w:rFonts w:ascii="宋体" w:hAnsi="宋体" w:cs="宋体" w:eastAsia="宋体" w:hint="default"/>
          <w:spacing w:val="-79"/>
          <w:sz w:val="28"/>
          <w:szCs w:val="28"/>
        </w:rPr>
        <w:t> </w:t>
      </w:r>
      <w:r>
        <w:rPr>
          <w:rFonts w:ascii="宋体" w:hAnsi="宋体" w:cs="宋体" w:eastAsia="宋体" w:hint="default"/>
          <w:spacing w:val="-3"/>
          <w:w w:val="100"/>
          <w:sz w:val="28"/>
          <w:szCs w:val="28"/>
        </w:rPr>
        <w:t>元</w:t>
      </w:r>
      <w:r>
        <w:rPr>
          <w:rFonts w:ascii="宋体" w:hAnsi="宋体" w:cs="宋体" w:eastAsia="宋体" w:hint="default"/>
          <w:spacing w:val="1"/>
          <w:w w:val="100"/>
          <w:sz w:val="28"/>
          <w:szCs w:val="28"/>
        </w:rPr>
        <w:t>,</w:t>
      </w:r>
      <w:r>
        <w:rPr>
          <w:rFonts w:ascii="宋体" w:hAnsi="宋体" w:cs="宋体" w:eastAsia="宋体" w:hint="default"/>
          <w:w w:val="100"/>
          <w:sz w:val="28"/>
          <w:szCs w:val="28"/>
        </w:rPr>
        <w:t>减</w:t>
      </w:r>
      <w:r>
        <w:rPr>
          <w:rFonts w:ascii="宋体" w:hAnsi="宋体" w:cs="宋体" w:eastAsia="宋体" w:hint="default"/>
          <w:spacing w:val="-3"/>
          <w:w w:val="100"/>
          <w:sz w:val="28"/>
          <w:szCs w:val="28"/>
        </w:rPr>
        <w:t>提</w:t>
      </w:r>
      <w:r>
        <w:rPr>
          <w:rFonts w:ascii="宋体" w:hAnsi="宋体" w:cs="宋体" w:eastAsia="宋体" w:hint="default"/>
          <w:w w:val="100"/>
          <w:sz w:val="28"/>
          <w:szCs w:val="28"/>
        </w:rPr>
        <w:t>取</w:t>
      </w:r>
      <w:r>
        <w:rPr>
          <w:rFonts w:ascii="宋体" w:hAnsi="宋体" w:cs="宋体" w:eastAsia="宋体" w:hint="default"/>
          <w:spacing w:val="-83"/>
          <w:sz w:val="28"/>
          <w:szCs w:val="28"/>
        </w:rPr>
        <w:t> </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w:t>
      </w:r>
      <w:r>
        <w:rPr>
          <w:rFonts w:ascii="宋体" w:hAnsi="宋体" w:cs="宋体" w:eastAsia="宋体" w:hint="default"/>
          <w:spacing w:val="1"/>
          <w:w w:val="100"/>
          <w:sz w:val="28"/>
          <w:szCs w:val="28"/>
        </w:rPr>
        <w:t>1</w:t>
      </w:r>
      <w:r>
        <w:rPr>
          <w:rFonts w:ascii="宋体" w:hAnsi="宋体" w:cs="宋体" w:eastAsia="宋体" w:hint="default"/>
          <w:w w:val="100"/>
          <w:sz w:val="28"/>
          <w:szCs w:val="28"/>
        </w:rPr>
        <w:t>1</w:t>
      </w:r>
    </w:p>
    <w:p>
      <w:pPr>
        <w:spacing w:before="94"/>
        <w:ind w:left="143" w:right="0" w:firstLine="0"/>
        <w:jc w:val="both"/>
        <w:rPr>
          <w:rFonts w:ascii="宋体" w:hAnsi="宋体" w:cs="宋体" w:eastAsia="宋体" w:hint="default"/>
          <w:sz w:val="28"/>
          <w:szCs w:val="28"/>
        </w:rPr>
      </w:pPr>
      <w:r>
        <w:rPr>
          <w:rFonts w:ascii="宋体" w:hAnsi="宋体" w:cs="宋体" w:eastAsia="宋体" w:hint="default"/>
          <w:sz w:val="28"/>
          <w:szCs w:val="28"/>
        </w:rPr>
        <w:t>年度盈余公积</w:t>
      </w:r>
      <w:r>
        <w:rPr>
          <w:rFonts w:ascii="宋体" w:hAnsi="宋体" w:cs="宋体" w:eastAsia="宋体" w:hint="default"/>
          <w:spacing w:val="-70"/>
          <w:sz w:val="28"/>
          <w:szCs w:val="28"/>
        </w:rPr>
        <w:t> </w:t>
      </w:r>
      <w:r>
        <w:rPr>
          <w:rFonts w:ascii="宋体" w:hAnsi="宋体" w:cs="宋体" w:eastAsia="宋体" w:hint="default"/>
          <w:sz w:val="28"/>
          <w:szCs w:val="28"/>
        </w:rPr>
        <w:t>244,410.39</w:t>
      </w:r>
      <w:r>
        <w:rPr>
          <w:rFonts w:ascii="宋体" w:hAnsi="宋体" w:cs="宋体" w:eastAsia="宋体" w:hint="default"/>
          <w:spacing w:val="-69"/>
          <w:sz w:val="28"/>
          <w:szCs w:val="28"/>
        </w:rPr>
        <w:t> </w:t>
      </w:r>
      <w:r>
        <w:rPr>
          <w:rFonts w:ascii="宋体" w:hAnsi="宋体" w:cs="宋体" w:eastAsia="宋体" w:hint="default"/>
          <w:sz w:val="28"/>
          <w:szCs w:val="28"/>
        </w:rPr>
        <w:t>元,</w:t>
      </w:r>
      <w:r>
        <w:rPr>
          <w:rFonts w:ascii="宋体" w:hAnsi="宋体" w:cs="宋体" w:eastAsia="宋体" w:hint="default"/>
          <w:spacing w:val="2"/>
          <w:sz w:val="28"/>
          <w:szCs w:val="28"/>
        </w:rPr>
        <w:t> </w:t>
      </w:r>
      <w:r>
        <w:rPr>
          <w:rFonts w:ascii="宋体" w:hAnsi="宋体" w:cs="宋体" w:eastAsia="宋体" w:hint="default"/>
          <w:sz w:val="28"/>
          <w:szCs w:val="28"/>
        </w:rPr>
        <w:t>截止</w:t>
      </w:r>
      <w:r>
        <w:rPr>
          <w:rFonts w:ascii="宋体" w:hAnsi="宋体" w:cs="宋体" w:eastAsia="宋体" w:hint="default"/>
          <w:spacing w:val="-72"/>
          <w:sz w:val="28"/>
          <w:szCs w:val="28"/>
        </w:rPr>
        <w:t> </w:t>
      </w:r>
      <w:r>
        <w:rPr>
          <w:rFonts w:ascii="宋体" w:hAnsi="宋体" w:cs="宋体" w:eastAsia="宋体" w:hint="default"/>
          <w:sz w:val="28"/>
          <w:szCs w:val="28"/>
        </w:rPr>
        <w:t>2011</w:t>
      </w:r>
      <w:r>
        <w:rPr>
          <w:rFonts w:ascii="宋体" w:hAnsi="宋体" w:cs="宋体" w:eastAsia="宋体" w:hint="default"/>
          <w:spacing w:val="-69"/>
          <w:sz w:val="28"/>
          <w:szCs w:val="28"/>
        </w:rPr>
        <w:t> </w:t>
      </w:r>
      <w:r>
        <w:rPr>
          <w:rFonts w:ascii="宋体" w:hAnsi="宋体" w:cs="宋体" w:eastAsia="宋体" w:hint="default"/>
          <w:spacing w:val="-6"/>
          <w:sz w:val="28"/>
          <w:szCs w:val="28"/>
        </w:rPr>
        <w:t>年末，公司经审计的母公司未</w:t>
      </w:r>
    </w:p>
    <w:p>
      <w:pPr>
        <w:spacing w:line="302" w:lineRule="auto" w:before="92"/>
        <w:ind w:left="143" w:right="1579" w:firstLine="0"/>
        <w:jc w:val="both"/>
        <w:rPr>
          <w:rFonts w:ascii="宋体" w:hAnsi="宋体" w:cs="宋体" w:eastAsia="宋体" w:hint="default"/>
          <w:sz w:val="28"/>
          <w:szCs w:val="28"/>
        </w:rPr>
      </w:pPr>
      <w:r>
        <w:rPr>
          <w:rFonts w:ascii="宋体" w:hAnsi="宋体" w:cs="宋体" w:eastAsia="宋体" w:hint="default"/>
          <w:sz w:val="28"/>
          <w:szCs w:val="28"/>
        </w:rPr>
        <w:t>分配利润累计</w:t>
      </w:r>
      <w:r>
        <w:rPr>
          <w:rFonts w:ascii="宋体" w:hAnsi="宋体" w:cs="宋体" w:eastAsia="宋体" w:hint="default"/>
          <w:spacing w:val="-70"/>
          <w:sz w:val="28"/>
          <w:szCs w:val="28"/>
        </w:rPr>
        <w:t> </w:t>
      </w:r>
      <w:r>
        <w:rPr>
          <w:rFonts w:ascii="宋体" w:hAnsi="宋体" w:cs="宋体" w:eastAsia="宋体" w:hint="default"/>
          <w:sz w:val="28"/>
          <w:szCs w:val="28"/>
        </w:rPr>
        <w:t>86,778,222.91</w:t>
      </w:r>
      <w:r>
        <w:rPr>
          <w:rFonts w:ascii="宋体" w:hAnsi="宋体" w:cs="宋体" w:eastAsia="宋体" w:hint="default"/>
          <w:spacing w:val="2"/>
          <w:sz w:val="28"/>
          <w:szCs w:val="28"/>
        </w:rPr>
        <w:t> </w:t>
      </w:r>
      <w:r>
        <w:rPr>
          <w:rFonts w:ascii="宋体" w:hAnsi="宋体" w:cs="宋体" w:eastAsia="宋体" w:hint="default"/>
          <w:spacing w:val="-13"/>
          <w:sz w:val="28"/>
          <w:szCs w:val="28"/>
        </w:rPr>
        <w:t>元，资本公积</w:t>
      </w:r>
      <w:r>
        <w:rPr>
          <w:rFonts w:ascii="宋体" w:hAnsi="宋体" w:cs="宋体" w:eastAsia="宋体" w:hint="default"/>
          <w:spacing w:val="-70"/>
          <w:sz w:val="28"/>
          <w:szCs w:val="28"/>
        </w:rPr>
        <w:t> </w:t>
      </w:r>
      <w:r>
        <w:rPr>
          <w:rFonts w:ascii="宋体" w:hAnsi="宋体" w:cs="宋体" w:eastAsia="宋体" w:hint="default"/>
          <w:sz w:val="28"/>
          <w:szCs w:val="28"/>
        </w:rPr>
        <w:t>81,552,531.68</w:t>
      </w:r>
      <w:r>
        <w:rPr>
          <w:rFonts w:ascii="宋体" w:hAnsi="宋体" w:cs="宋体" w:eastAsia="宋体" w:hint="default"/>
          <w:spacing w:val="-69"/>
          <w:sz w:val="28"/>
          <w:szCs w:val="28"/>
        </w:rPr>
        <w:t> </w:t>
      </w:r>
      <w:r>
        <w:rPr>
          <w:rFonts w:ascii="宋体" w:hAnsi="宋体" w:cs="宋体" w:eastAsia="宋体" w:hint="default"/>
          <w:spacing w:val="-15"/>
          <w:sz w:val="28"/>
          <w:szCs w:val="28"/>
        </w:rPr>
        <w:t>元。经公司</w:t>
      </w:r>
      <w:r>
        <w:rPr>
          <w:rFonts w:ascii="宋体" w:hAnsi="宋体" w:cs="宋体" w:eastAsia="宋体" w:hint="default"/>
          <w:w w:val="100"/>
          <w:sz w:val="28"/>
          <w:szCs w:val="28"/>
        </w:rPr>
        <w:t> </w:t>
      </w:r>
      <w:r>
        <w:rPr>
          <w:rFonts w:ascii="宋体" w:hAnsi="宋体" w:cs="宋体" w:eastAsia="宋体" w:hint="default"/>
          <w:spacing w:val="-5"/>
          <w:sz w:val="28"/>
          <w:szCs w:val="28"/>
        </w:rPr>
        <w:t>六届十四次董事会议研究决定，2011</w:t>
      </w:r>
      <w:r>
        <w:rPr>
          <w:rFonts w:ascii="宋体" w:hAnsi="宋体" w:cs="宋体" w:eastAsia="宋体" w:hint="default"/>
          <w:spacing w:val="-42"/>
          <w:sz w:val="28"/>
          <w:szCs w:val="28"/>
        </w:rPr>
        <w:t> </w:t>
      </w:r>
      <w:r>
        <w:rPr>
          <w:rFonts w:ascii="宋体" w:hAnsi="宋体" w:cs="宋体" w:eastAsia="宋体" w:hint="default"/>
          <w:spacing w:val="-6"/>
          <w:sz w:val="28"/>
          <w:szCs w:val="28"/>
        </w:rPr>
        <w:t>年度利润分配预案为：不进行现金</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pacing w:val="-8"/>
          <w:sz w:val="28"/>
          <w:szCs w:val="28"/>
        </w:rPr>
        <w:t>分红，以</w:t>
      </w:r>
      <w:r>
        <w:rPr>
          <w:rFonts w:ascii="宋体" w:hAnsi="宋体" w:cs="宋体" w:eastAsia="宋体" w:hint="default"/>
          <w:spacing w:val="-67"/>
          <w:sz w:val="28"/>
          <w:szCs w:val="28"/>
        </w:rPr>
        <w:t> </w:t>
      </w:r>
      <w:r>
        <w:rPr>
          <w:rFonts w:ascii="宋体" w:hAnsi="宋体" w:cs="宋体" w:eastAsia="宋体" w:hint="default"/>
          <w:sz w:val="28"/>
          <w:szCs w:val="28"/>
        </w:rPr>
        <w:t>2011</w:t>
      </w:r>
      <w:r>
        <w:rPr>
          <w:rFonts w:ascii="宋体" w:hAnsi="宋体" w:cs="宋体" w:eastAsia="宋体" w:hint="default"/>
          <w:spacing w:val="-64"/>
          <w:sz w:val="28"/>
          <w:szCs w:val="28"/>
        </w:rPr>
        <w:t> </w:t>
      </w:r>
      <w:r>
        <w:rPr>
          <w:rFonts w:ascii="宋体" w:hAnsi="宋体" w:cs="宋体" w:eastAsia="宋体" w:hint="default"/>
          <w:sz w:val="28"/>
          <w:szCs w:val="28"/>
        </w:rPr>
        <w:t>年年末总股本</w:t>
      </w:r>
      <w:r>
        <w:rPr>
          <w:rFonts w:ascii="宋体" w:hAnsi="宋体" w:cs="宋体" w:eastAsia="宋体" w:hint="default"/>
          <w:spacing w:val="-67"/>
          <w:sz w:val="28"/>
          <w:szCs w:val="28"/>
        </w:rPr>
        <w:t> </w:t>
      </w:r>
      <w:r>
        <w:rPr>
          <w:rFonts w:ascii="宋体" w:hAnsi="宋体" w:cs="宋体" w:eastAsia="宋体" w:hint="default"/>
          <w:sz w:val="28"/>
          <w:szCs w:val="28"/>
        </w:rPr>
        <w:t>10726.56</w:t>
      </w:r>
      <w:r>
        <w:rPr>
          <w:rFonts w:ascii="宋体" w:hAnsi="宋体" w:cs="宋体" w:eastAsia="宋体" w:hint="default"/>
          <w:spacing w:val="-66"/>
          <w:sz w:val="28"/>
          <w:szCs w:val="28"/>
        </w:rPr>
        <w:t> </w:t>
      </w:r>
      <w:r>
        <w:rPr>
          <w:rFonts w:ascii="宋体" w:hAnsi="宋体" w:cs="宋体" w:eastAsia="宋体" w:hint="default"/>
          <w:spacing w:val="-4"/>
          <w:sz w:val="28"/>
          <w:szCs w:val="28"/>
        </w:rPr>
        <w:t>万股为基数，用资本公积向全体</w:t>
      </w:r>
    </w:p>
    <w:p>
      <w:pPr>
        <w:spacing w:line="355" w:lineRule="auto" w:before="19"/>
        <w:ind w:left="143" w:right="6416" w:firstLine="0"/>
        <w:jc w:val="left"/>
        <w:rPr>
          <w:rFonts w:ascii="宋体" w:hAnsi="宋体" w:cs="宋体" w:eastAsia="宋体" w:hint="default"/>
          <w:sz w:val="28"/>
          <w:szCs w:val="28"/>
        </w:rPr>
      </w:pPr>
      <w:r>
        <w:rPr/>
        <w:pict>
          <v:shape style="position:absolute;margin-left:83.49826pt;margin-top:49.941563pt;width:434.4pt;height:130.6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778"/>
                    <w:gridCol w:w="1778"/>
                    <w:gridCol w:w="1778"/>
                    <w:gridCol w:w="1778"/>
                  </w:tblGrid>
                  <w:tr>
                    <w:trPr>
                      <w:trHeight w:val="142" w:hRule="exact"/>
                    </w:trPr>
                    <w:tc>
                      <w:tcPr>
                        <w:tcW w:w="1560" w:type="dxa"/>
                        <w:vMerge w:val="restart"/>
                        <w:tcBorders>
                          <w:top w:val="single" w:sz="4" w:space="0" w:color="000000"/>
                          <w:left w:val="single" w:sz="4" w:space="0" w:color="000000"/>
                          <w:right w:val="single" w:sz="4" w:space="0" w:color="000000"/>
                        </w:tcBorders>
                        <w:shd w:val="clear" w:color="auto" w:fill="DCDCDC"/>
                      </w:tcPr>
                      <w:p>
                        <w:pPr/>
                      </w:p>
                    </w:tc>
                    <w:tc>
                      <w:tcPr>
                        <w:tcW w:w="17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77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2" w:lineRule="exact" w:before="27"/>
                          <w:ind w:left="249" w:right="38" w:hanging="212"/>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z w:val="21"/>
                            <w:szCs w:val="21"/>
                          </w:rPr>
                          <w:t>股东的净利润</w:t>
                        </w:r>
                      </w:p>
                    </w:tc>
                    <w:tc>
                      <w:tcPr>
                        <w:tcW w:w="177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72" w:lineRule="exact" w:before="27"/>
                          <w:ind w:left="251" w:right="36" w:hanging="212"/>
                          <w:jc w:val="left"/>
                          <w:rPr>
                            <w:rFonts w:ascii="宋体" w:hAnsi="宋体" w:cs="宋体" w:eastAsia="宋体" w:hint="default"/>
                            <w:sz w:val="21"/>
                            <w:szCs w:val="21"/>
                          </w:rPr>
                        </w:pPr>
                        <w:r>
                          <w:rPr>
                            <w:rFonts w:ascii="宋体" w:hAnsi="宋体" w:cs="宋体" w:eastAsia="宋体" w:hint="default"/>
                            <w:sz w:val="21"/>
                            <w:szCs w:val="21"/>
                          </w:rPr>
                          <w:t>于上市公司股东的</w:t>
                        </w:r>
                        <w:r>
                          <w:rPr>
                            <w:rFonts w:ascii="宋体" w:hAnsi="宋体" w:cs="宋体" w:eastAsia="宋体" w:hint="default"/>
                            <w:spacing w:val="-96"/>
                            <w:sz w:val="21"/>
                            <w:szCs w:val="21"/>
                          </w:rPr>
                          <w:t> </w:t>
                        </w:r>
                        <w:r>
                          <w:rPr>
                            <w:rFonts w:ascii="宋体" w:hAnsi="宋体" w:cs="宋体" w:eastAsia="宋体" w:hint="default"/>
                            <w:sz w:val="21"/>
                            <w:szCs w:val="21"/>
                          </w:rPr>
                          <w:t>净利润的比率</w:t>
                        </w:r>
                      </w:p>
                    </w:tc>
                    <w:tc>
                      <w:tcPr>
                        <w:tcW w:w="1778" w:type="dxa"/>
                        <w:vMerge w:val="restart"/>
                        <w:tcBorders>
                          <w:top w:val="single" w:sz="4" w:space="0" w:color="000000"/>
                          <w:left w:val="single" w:sz="4" w:space="0" w:color="000000"/>
                          <w:right w:val="single" w:sz="4" w:space="0" w:color="000000"/>
                        </w:tcBorders>
                        <w:shd w:val="clear" w:color="auto" w:fill="DCDCDC"/>
                      </w:tcPr>
                      <w:p>
                        <w:pPr/>
                      </w:p>
                    </w:tc>
                  </w:tr>
                  <w:tr>
                    <w:trPr>
                      <w:trHeight w:val="136" w:hRule="exact"/>
                    </w:trPr>
                    <w:tc>
                      <w:tcPr>
                        <w:tcW w:w="1560" w:type="dxa"/>
                        <w:vMerge/>
                        <w:tcBorders>
                          <w:left w:val="single" w:sz="4" w:space="0" w:color="000000"/>
                          <w:bottom w:val="nil" w:sz="6" w:space="0" w:color="auto"/>
                          <w:right w:val="single" w:sz="4" w:space="0" w:color="000000"/>
                        </w:tcBorders>
                        <w:shd w:val="clear" w:color="auto" w:fill="DCDCDC"/>
                      </w:tcPr>
                      <w:p>
                        <w:pPr/>
                      </w:p>
                    </w:tc>
                    <w:tc>
                      <w:tcPr>
                        <w:tcW w:w="177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现金分红金额（含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税）</w:t>
                        </w:r>
                      </w:p>
                    </w:tc>
                    <w:tc>
                      <w:tcPr>
                        <w:tcW w:w="1778" w:type="dxa"/>
                        <w:vMerge/>
                        <w:tcBorders>
                          <w:left w:val="single" w:sz="4" w:space="0" w:color="000000"/>
                          <w:right w:val="single" w:sz="4" w:space="0" w:color="000000"/>
                        </w:tcBorders>
                        <w:shd w:val="clear" w:color="auto" w:fill="DCDCDC"/>
                      </w:tcPr>
                      <w:p>
                        <w:pPr/>
                      </w:p>
                    </w:tc>
                    <w:tc>
                      <w:tcPr>
                        <w:tcW w:w="1778" w:type="dxa"/>
                        <w:vMerge/>
                        <w:tcBorders>
                          <w:left w:val="single" w:sz="4" w:space="0" w:color="000000"/>
                          <w:right w:val="single" w:sz="4" w:space="0" w:color="000000"/>
                        </w:tcBorders>
                        <w:shd w:val="clear" w:color="auto" w:fill="DCDCDC"/>
                      </w:tcPr>
                      <w:p>
                        <w:pPr/>
                      </w:p>
                    </w:tc>
                    <w:tc>
                      <w:tcPr>
                        <w:tcW w:w="1778" w:type="dxa"/>
                        <w:vMerge/>
                        <w:tcBorders>
                          <w:left w:val="single" w:sz="4" w:space="0" w:color="000000"/>
                          <w:bottom w:val="nil" w:sz="6" w:space="0" w:color="auto"/>
                          <w:right w:val="single" w:sz="4" w:space="0" w:color="000000"/>
                        </w:tcBorders>
                        <w:shd w:val="clear" w:color="auto" w:fill="DCDCDC"/>
                      </w:tcPr>
                      <w:p>
                        <w:pPr/>
                      </w:p>
                    </w:tc>
                  </w:tr>
                  <w:tr>
                    <w:trPr>
                      <w:trHeight w:val="274" w:hRule="exact"/>
                    </w:trPr>
                    <w:tc>
                      <w:tcPr>
                        <w:tcW w:w="1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778" w:type="dxa"/>
                        <w:vMerge/>
                        <w:tcBorders>
                          <w:left w:val="single" w:sz="4" w:space="0" w:color="000000"/>
                          <w:right w:val="single" w:sz="4" w:space="0" w:color="000000"/>
                        </w:tcBorders>
                        <w:shd w:val="clear" w:color="auto" w:fill="DCDCDC"/>
                      </w:tcPr>
                      <w:p>
                        <w:pPr/>
                      </w:p>
                    </w:tc>
                    <w:tc>
                      <w:tcPr>
                        <w:tcW w:w="1778" w:type="dxa"/>
                        <w:vMerge/>
                        <w:tcBorders>
                          <w:left w:val="single" w:sz="4" w:space="0" w:color="000000"/>
                          <w:right w:val="single" w:sz="4" w:space="0" w:color="000000"/>
                        </w:tcBorders>
                        <w:shd w:val="clear" w:color="auto" w:fill="DCDCDC"/>
                      </w:tcPr>
                      <w:p>
                        <w:pPr/>
                      </w:p>
                    </w:tc>
                    <w:tc>
                      <w:tcPr>
                        <w:tcW w:w="1778" w:type="dxa"/>
                        <w:vMerge/>
                        <w:tcBorders>
                          <w:left w:val="single" w:sz="4" w:space="0" w:color="000000"/>
                          <w:right w:val="single" w:sz="4" w:space="0" w:color="000000"/>
                        </w:tcBorders>
                        <w:shd w:val="clear" w:color="auto" w:fill="DCDCDC"/>
                      </w:tcPr>
                      <w:p>
                        <w:pPr/>
                      </w:p>
                    </w:tc>
                    <w:tc>
                      <w:tcPr>
                        <w:tcW w:w="17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34" w:hRule="exact"/>
                    </w:trPr>
                    <w:tc>
                      <w:tcPr>
                        <w:tcW w:w="1560" w:type="dxa"/>
                        <w:vMerge w:val="restart"/>
                        <w:tcBorders>
                          <w:top w:val="nil" w:sz="6" w:space="0" w:color="auto"/>
                          <w:left w:val="single" w:sz="4" w:space="0" w:color="000000"/>
                          <w:right w:val="single" w:sz="4" w:space="0" w:color="000000"/>
                        </w:tcBorders>
                        <w:shd w:val="clear" w:color="auto" w:fill="DCDCDC"/>
                      </w:tcPr>
                      <w:p>
                        <w:pPr/>
                      </w:p>
                    </w:tc>
                    <w:tc>
                      <w:tcPr>
                        <w:tcW w:w="1778" w:type="dxa"/>
                        <w:vMerge/>
                        <w:tcBorders>
                          <w:left w:val="single" w:sz="4" w:space="0" w:color="000000"/>
                          <w:bottom w:val="nil" w:sz="6" w:space="0" w:color="auto"/>
                          <w:right w:val="single" w:sz="4" w:space="0" w:color="000000"/>
                        </w:tcBorders>
                        <w:shd w:val="clear" w:color="auto" w:fill="DCDCDC"/>
                      </w:tcPr>
                      <w:p>
                        <w:pPr/>
                      </w:p>
                    </w:tc>
                    <w:tc>
                      <w:tcPr>
                        <w:tcW w:w="1778" w:type="dxa"/>
                        <w:vMerge/>
                        <w:tcBorders>
                          <w:left w:val="single" w:sz="4" w:space="0" w:color="000000"/>
                          <w:right w:val="single" w:sz="4" w:space="0" w:color="000000"/>
                        </w:tcBorders>
                        <w:shd w:val="clear" w:color="auto" w:fill="DCDCDC"/>
                      </w:tcPr>
                      <w:p>
                        <w:pPr/>
                      </w:p>
                    </w:tc>
                    <w:tc>
                      <w:tcPr>
                        <w:tcW w:w="1778" w:type="dxa"/>
                        <w:vMerge/>
                        <w:tcBorders>
                          <w:left w:val="single" w:sz="4" w:space="0" w:color="000000"/>
                          <w:right w:val="single" w:sz="4" w:space="0" w:color="000000"/>
                        </w:tcBorders>
                        <w:shd w:val="clear" w:color="auto" w:fill="DCDCDC"/>
                      </w:tcPr>
                      <w:p>
                        <w:pPr/>
                      </w:p>
                    </w:tc>
                    <w:tc>
                      <w:tcPr>
                        <w:tcW w:w="1778" w:type="dxa"/>
                        <w:vMerge w:val="restart"/>
                        <w:tcBorders>
                          <w:top w:val="nil" w:sz="6" w:space="0" w:color="auto"/>
                          <w:left w:val="single" w:sz="4" w:space="0" w:color="000000"/>
                          <w:right w:val="single" w:sz="4" w:space="0" w:color="000000"/>
                        </w:tcBorders>
                        <w:shd w:val="clear" w:color="auto" w:fill="DCDCDC"/>
                      </w:tcPr>
                      <w:p>
                        <w:pPr/>
                      </w:p>
                    </w:tc>
                  </w:tr>
                  <w:tr>
                    <w:trPr>
                      <w:trHeight w:val="142" w:hRule="exact"/>
                    </w:trPr>
                    <w:tc>
                      <w:tcPr>
                        <w:tcW w:w="1560" w:type="dxa"/>
                        <w:vMerge/>
                        <w:tcBorders>
                          <w:left w:val="single" w:sz="4" w:space="0" w:color="000000"/>
                          <w:bottom w:val="single" w:sz="4" w:space="0" w:color="000000"/>
                          <w:right w:val="single" w:sz="4" w:space="0" w:color="000000"/>
                        </w:tcBorders>
                        <w:shd w:val="clear" w:color="auto" w:fill="DCDCDC"/>
                      </w:tcPr>
                      <w:p>
                        <w:pPr/>
                      </w:p>
                    </w:tc>
                    <w:tc>
                      <w:tcPr>
                        <w:tcW w:w="1778" w:type="dxa"/>
                        <w:tcBorders>
                          <w:top w:val="nil" w:sz="6" w:space="0" w:color="auto"/>
                          <w:left w:val="single" w:sz="4" w:space="0" w:color="000000"/>
                          <w:bottom w:val="single" w:sz="4" w:space="0" w:color="000000"/>
                          <w:right w:val="single" w:sz="4" w:space="0" w:color="000000"/>
                        </w:tcBorders>
                        <w:shd w:val="clear" w:color="auto" w:fill="DCDCDC"/>
                      </w:tcPr>
                      <w:p>
                        <w:pPr/>
                      </w:p>
                    </w:tc>
                    <w:tc>
                      <w:tcPr>
                        <w:tcW w:w="1778" w:type="dxa"/>
                        <w:vMerge/>
                        <w:tcBorders>
                          <w:left w:val="single" w:sz="4" w:space="0" w:color="000000"/>
                          <w:bottom w:val="single" w:sz="4" w:space="0" w:color="000000"/>
                          <w:right w:val="single" w:sz="4" w:space="0" w:color="000000"/>
                        </w:tcBorders>
                        <w:shd w:val="clear" w:color="auto" w:fill="DCDCDC"/>
                      </w:tcPr>
                      <w:p>
                        <w:pPr/>
                      </w:p>
                    </w:tc>
                    <w:tc>
                      <w:tcPr>
                        <w:tcW w:w="1778" w:type="dxa"/>
                        <w:vMerge/>
                        <w:tcBorders>
                          <w:left w:val="single" w:sz="4" w:space="0" w:color="000000"/>
                          <w:bottom w:val="single" w:sz="4" w:space="0" w:color="000000"/>
                          <w:right w:val="single" w:sz="4" w:space="0" w:color="000000"/>
                        </w:tcBorders>
                        <w:shd w:val="clear" w:color="auto" w:fill="DCDCDC"/>
                      </w:tcPr>
                      <w:p>
                        <w:pPr/>
                      </w:p>
                    </w:tc>
                    <w:tc>
                      <w:tcPr>
                        <w:tcW w:w="1778" w:type="dxa"/>
                        <w:vMerge/>
                        <w:tcBorders>
                          <w:left w:val="single" w:sz="4" w:space="0" w:color="000000"/>
                          <w:bottom w:val="single" w:sz="4" w:space="0" w:color="000000"/>
                          <w:right w:val="single" w:sz="4" w:space="0" w:color="000000"/>
                        </w:tcBorders>
                        <w:shd w:val="clear" w:color="auto" w:fill="DCDCDC"/>
                      </w:tcPr>
                      <w:p>
                        <w:pPr/>
                      </w:p>
                    </w:tc>
                  </w:tr>
                  <w:tr>
                    <w:trPr>
                      <w:trHeight w:val="91" w:hRule="exact"/>
                    </w:trPr>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78" w:type="dxa"/>
                        <w:vMerge w:val="restart"/>
                        <w:tcBorders>
                          <w:top w:val="single" w:sz="4" w:space="0" w:color="000000"/>
                          <w:left w:val="single" w:sz="13" w:space="0" w:color="DCDCDC"/>
                          <w:right w:val="single" w:sz="4" w:space="0" w:color="000000"/>
                        </w:tcBorders>
                      </w:tcPr>
                      <w:p>
                        <w:pPr>
                          <w:pStyle w:val="TableParagraph"/>
                          <w:spacing w:line="240" w:lineRule="auto" w:before="94"/>
                          <w:ind w:left="631" w:right="0"/>
                          <w:jc w:val="left"/>
                          <w:rPr>
                            <w:rFonts w:ascii="Times New Roman" w:hAnsi="Times New Roman" w:cs="Times New Roman" w:eastAsia="Times New Roman" w:hint="default"/>
                            <w:sz w:val="21"/>
                            <w:szCs w:val="21"/>
                          </w:rPr>
                        </w:pPr>
                        <w:r>
                          <w:rPr>
                            <w:rFonts w:ascii="Times New Roman"/>
                            <w:sz w:val="21"/>
                          </w:rPr>
                          <w:t>2,145,312.00</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left="640" w:right="0"/>
                          <w:jc w:val="left"/>
                          <w:rPr>
                            <w:rFonts w:ascii="Times New Roman" w:hAnsi="Times New Roman" w:cs="Times New Roman" w:eastAsia="Times New Roman" w:hint="default"/>
                            <w:sz w:val="21"/>
                            <w:szCs w:val="21"/>
                          </w:rPr>
                        </w:pPr>
                        <w:r>
                          <w:rPr>
                            <w:rFonts w:ascii="Times New Roman"/>
                            <w:sz w:val="21"/>
                          </w:rPr>
                          <w:t>9,475,388.21</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left="1096" w:right="0"/>
                          <w:jc w:val="left"/>
                          <w:rPr>
                            <w:rFonts w:ascii="Times New Roman" w:hAnsi="Times New Roman" w:cs="Times New Roman" w:eastAsia="Times New Roman" w:hint="default"/>
                            <w:sz w:val="21"/>
                            <w:szCs w:val="21"/>
                          </w:rPr>
                        </w:pPr>
                        <w:r>
                          <w:rPr>
                            <w:rFonts w:ascii="Times New Roman"/>
                            <w:sz w:val="21"/>
                          </w:rPr>
                          <w:t>22.64%</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left="643" w:right="0"/>
                          <w:jc w:val="left"/>
                          <w:rPr>
                            <w:rFonts w:ascii="Times New Roman" w:hAnsi="Times New Roman" w:cs="Times New Roman" w:eastAsia="Times New Roman" w:hint="default"/>
                            <w:sz w:val="21"/>
                            <w:szCs w:val="21"/>
                          </w:rPr>
                        </w:pPr>
                        <w:r>
                          <w:rPr>
                            <w:rFonts w:ascii="Times New Roman"/>
                            <w:sz w:val="21"/>
                          </w:rPr>
                          <w:t>2,228,734.28</w:t>
                        </w:r>
                      </w:p>
                    </w:tc>
                  </w:tr>
                  <w:tr>
                    <w:trPr>
                      <w:trHeight w:val="271" w:hRule="exact"/>
                    </w:trPr>
                    <w:tc>
                      <w:tcPr>
                        <w:tcW w:w="1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sz w:val="21"/>
                            <w:szCs w:val="21"/>
                          </w:rPr>
                          <w:t>年</w:t>
                        </w:r>
                      </w:p>
                    </w:tc>
                    <w:tc>
                      <w:tcPr>
                        <w:tcW w:w="1778" w:type="dxa"/>
                        <w:vMerge/>
                        <w:tcBorders>
                          <w:left w:val="single" w:sz="13" w:space="0" w:color="DCDCDC"/>
                          <w:right w:val="single" w:sz="4" w:space="0" w:color="000000"/>
                        </w:tcBorders>
                      </w:tcPr>
                      <w:p>
                        <w:pPr/>
                      </w:p>
                    </w:tc>
                    <w:tc>
                      <w:tcPr>
                        <w:tcW w:w="1778" w:type="dxa"/>
                        <w:vMerge/>
                        <w:tcBorders>
                          <w:left w:val="single" w:sz="4" w:space="0" w:color="000000"/>
                          <w:right w:val="single" w:sz="4" w:space="0" w:color="000000"/>
                        </w:tcBorders>
                      </w:tcPr>
                      <w:p>
                        <w:pPr/>
                      </w:p>
                    </w:tc>
                    <w:tc>
                      <w:tcPr>
                        <w:tcW w:w="1778" w:type="dxa"/>
                        <w:vMerge/>
                        <w:tcBorders>
                          <w:left w:val="single" w:sz="4" w:space="0" w:color="000000"/>
                          <w:right w:val="single" w:sz="4" w:space="0" w:color="000000"/>
                        </w:tcBorders>
                      </w:tcPr>
                      <w:p>
                        <w:pPr/>
                      </w:p>
                    </w:tc>
                    <w:tc>
                      <w:tcPr>
                        <w:tcW w:w="1778" w:type="dxa"/>
                        <w:vMerge/>
                        <w:tcBorders>
                          <w:left w:val="single" w:sz="4" w:space="0" w:color="000000"/>
                          <w:right w:val="single" w:sz="4" w:space="0" w:color="000000"/>
                        </w:tcBorders>
                      </w:tcPr>
                      <w:p>
                        <w:pPr/>
                      </w:p>
                    </w:tc>
                  </w:tr>
                  <w:tr>
                    <w:trPr>
                      <w:trHeight w:val="92" w:hRule="exact"/>
                    </w:trPr>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78" w:type="dxa"/>
                        <w:vMerge/>
                        <w:tcBorders>
                          <w:left w:val="single" w:sz="13" w:space="0" w:color="DCDCDC"/>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r>
                  <w:tr>
                    <w:trPr>
                      <w:trHeight w:val="92" w:hRule="exact"/>
                    </w:trPr>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78" w:type="dxa"/>
                        <w:vMerge w:val="restart"/>
                        <w:tcBorders>
                          <w:top w:val="single" w:sz="4" w:space="0" w:color="000000"/>
                          <w:left w:val="single" w:sz="13" w:space="0" w:color="DCDCDC"/>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21"/>
                            <w:szCs w:val="21"/>
                          </w:rPr>
                        </w:pPr>
                        <w:r>
                          <w:rPr>
                            <w:rFonts w:ascii="Times New Roman"/>
                            <w:w w:val="100"/>
                            <w:sz w:val="21"/>
                          </w:rPr>
                          <w:t>-</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left="640" w:right="0"/>
                          <w:jc w:val="left"/>
                          <w:rPr>
                            <w:rFonts w:ascii="Times New Roman" w:hAnsi="Times New Roman" w:cs="Times New Roman" w:eastAsia="Times New Roman" w:hint="default"/>
                            <w:sz w:val="21"/>
                            <w:szCs w:val="21"/>
                          </w:rPr>
                        </w:pPr>
                        <w:r>
                          <w:rPr>
                            <w:rFonts w:ascii="Times New Roman"/>
                            <w:sz w:val="21"/>
                          </w:rPr>
                          <w:t>2,795,338.25</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21"/>
                            <w:szCs w:val="21"/>
                          </w:rPr>
                        </w:pPr>
                        <w:r>
                          <w:rPr>
                            <w:rFonts w:ascii="Times New Roman"/>
                            <w:w w:val="100"/>
                            <w:sz w:val="21"/>
                          </w:rPr>
                          <w:t>-</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21"/>
                            <w:szCs w:val="21"/>
                          </w:rPr>
                        </w:pPr>
                        <w:r>
                          <w:rPr>
                            <w:rFonts w:ascii="Times New Roman"/>
                            <w:w w:val="100"/>
                            <w:sz w:val="21"/>
                          </w:rPr>
                          <w:t>-</w:t>
                        </w:r>
                      </w:p>
                    </w:tc>
                  </w:tr>
                  <w:tr>
                    <w:trPr>
                      <w:trHeight w:val="362" w:hRule="exact"/>
                    </w:trPr>
                    <w:tc>
                      <w:tcPr>
                        <w:tcW w:w="15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sz w:val="21"/>
                            <w:szCs w:val="21"/>
                          </w:rPr>
                          <w:t>年</w:t>
                        </w:r>
                      </w:p>
                    </w:tc>
                    <w:tc>
                      <w:tcPr>
                        <w:tcW w:w="1778" w:type="dxa"/>
                        <w:vMerge/>
                        <w:tcBorders>
                          <w:left w:val="single" w:sz="13" w:space="0" w:color="DCDCDC"/>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r>
                  <w:tr>
                    <w:trPr>
                      <w:trHeight w:val="91" w:hRule="exact"/>
                    </w:trPr>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78" w:type="dxa"/>
                        <w:vMerge w:val="restart"/>
                        <w:tcBorders>
                          <w:top w:val="single" w:sz="4" w:space="0" w:color="000000"/>
                          <w:left w:val="single" w:sz="13" w:space="0" w:color="DCDCDC"/>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21"/>
                            <w:szCs w:val="21"/>
                          </w:rPr>
                        </w:pPr>
                        <w:r>
                          <w:rPr>
                            <w:rFonts w:ascii="Times New Roman"/>
                            <w:w w:val="100"/>
                            <w:sz w:val="21"/>
                          </w:rPr>
                          <w:t>-</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left="640" w:right="0"/>
                          <w:jc w:val="left"/>
                          <w:rPr>
                            <w:rFonts w:ascii="Times New Roman" w:hAnsi="Times New Roman" w:cs="Times New Roman" w:eastAsia="Times New Roman" w:hint="default"/>
                            <w:sz w:val="21"/>
                            <w:szCs w:val="21"/>
                          </w:rPr>
                        </w:pPr>
                        <w:r>
                          <w:rPr>
                            <w:rFonts w:ascii="Times New Roman"/>
                            <w:sz w:val="21"/>
                          </w:rPr>
                          <w:t>6,324,870.56</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21"/>
                            <w:szCs w:val="21"/>
                          </w:rPr>
                        </w:pPr>
                        <w:r>
                          <w:rPr>
                            <w:rFonts w:ascii="Times New Roman"/>
                            <w:w w:val="100"/>
                            <w:sz w:val="21"/>
                          </w:rPr>
                          <w:t>-</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94"/>
                          <w:ind w:left="643" w:right="0"/>
                          <w:jc w:val="left"/>
                          <w:rPr>
                            <w:rFonts w:ascii="Times New Roman" w:hAnsi="Times New Roman" w:cs="Times New Roman" w:eastAsia="Times New Roman" w:hint="default"/>
                            <w:sz w:val="21"/>
                            <w:szCs w:val="21"/>
                          </w:rPr>
                        </w:pPr>
                        <w:r>
                          <w:rPr>
                            <w:rFonts w:ascii="Times New Roman"/>
                            <w:sz w:val="21"/>
                          </w:rPr>
                          <w:t>3,683,261.58</w:t>
                        </w:r>
                      </w:p>
                    </w:tc>
                  </w:tr>
                  <w:tr>
                    <w:trPr>
                      <w:trHeight w:val="406" w:hRule="exact"/>
                    </w:trPr>
                    <w:tc>
                      <w:tcPr>
                        <w:tcW w:w="15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 </w:t>
                        </w:r>
                        <w:r>
                          <w:rPr>
                            <w:rFonts w:ascii="宋体" w:hAnsi="宋体" w:cs="宋体" w:eastAsia="宋体" w:hint="default"/>
                            <w:sz w:val="21"/>
                            <w:szCs w:val="21"/>
                          </w:rPr>
                          <w:t>年</w:t>
                        </w:r>
                      </w:p>
                    </w:tc>
                    <w:tc>
                      <w:tcPr>
                        <w:tcW w:w="1778" w:type="dxa"/>
                        <w:vMerge/>
                        <w:tcBorders>
                          <w:left w:val="single" w:sz="13" w:space="0" w:color="DCDCDC"/>
                          <w:bottom w:val="single" w:sz="34" w:space="0" w:color="DCDCDC"/>
                          <w:right w:val="single" w:sz="4" w:space="0" w:color="000000"/>
                        </w:tcBorders>
                      </w:tcPr>
                      <w:p>
                        <w:pPr/>
                      </w:p>
                    </w:tc>
                    <w:tc>
                      <w:tcPr>
                        <w:tcW w:w="1778" w:type="dxa"/>
                        <w:vMerge/>
                        <w:tcBorders>
                          <w:left w:val="single" w:sz="4" w:space="0" w:color="000000"/>
                          <w:bottom w:val="single" w:sz="34" w:space="0" w:color="DCDCDC"/>
                          <w:right w:val="single" w:sz="4" w:space="0" w:color="000000"/>
                        </w:tcBorders>
                      </w:tcPr>
                      <w:p>
                        <w:pPr/>
                      </w:p>
                    </w:tc>
                    <w:tc>
                      <w:tcPr>
                        <w:tcW w:w="1778" w:type="dxa"/>
                        <w:vMerge/>
                        <w:tcBorders>
                          <w:left w:val="single" w:sz="4" w:space="0" w:color="000000"/>
                          <w:bottom w:val="single" w:sz="34" w:space="0" w:color="DCDCDC"/>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r>
                  <w:tr>
                    <w:trPr>
                      <w:trHeight w:val="370" w:hRule="exact"/>
                    </w:trPr>
                    <w:tc>
                      <w:tcPr>
                        <w:tcW w:w="6895"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03"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c>
                      <w:tcPr>
                        <w:tcW w:w="17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1"/>
                          <w:ind w:right="227"/>
                          <w:jc w:val="right"/>
                          <w:rPr>
                            <w:rFonts w:ascii="Times New Roman" w:hAnsi="Times New Roman" w:cs="Times New Roman" w:eastAsia="Times New Roman" w:hint="default"/>
                            <w:sz w:val="21"/>
                            <w:szCs w:val="21"/>
                          </w:rPr>
                        </w:pPr>
                        <w:r>
                          <w:rPr>
                            <w:rFonts w:ascii="Times New Roman"/>
                            <w:sz w:val="21"/>
                          </w:rPr>
                          <w:t>108.86%</w:t>
                        </w:r>
                      </w:p>
                    </w:tc>
                  </w:tr>
                </w:tbl>
                <w:p>
                  <w:pPr/>
                </w:p>
              </w:txbxContent>
            </v:textbox>
            <w10:wrap type="none"/>
          </v:shape>
        </w:pict>
      </w:r>
      <w:r>
        <w:rPr>
          <w:rFonts w:ascii="宋体" w:hAnsi="宋体" w:cs="宋体" w:eastAsia="宋体" w:hint="default"/>
          <w:sz w:val="28"/>
          <w:szCs w:val="28"/>
        </w:rPr>
        <w:t>股东每</w:t>
      </w:r>
      <w:r>
        <w:rPr>
          <w:rFonts w:ascii="宋体" w:hAnsi="宋体" w:cs="宋体" w:eastAsia="宋体" w:hint="default"/>
          <w:spacing w:val="-71"/>
          <w:sz w:val="28"/>
          <w:szCs w:val="28"/>
        </w:rPr>
        <w:t> </w:t>
      </w:r>
      <w:r>
        <w:rPr>
          <w:rFonts w:ascii="宋体" w:hAnsi="宋体" w:cs="宋体" w:eastAsia="宋体" w:hint="default"/>
          <w:sz w:val="28"/>
          <w:szCs w:val="28"/>
        </w:rPr>
        <w:t>10</w:t>
      </w:r>
      <w:r>
        <w:rPr>
          <w:rFonts w:ascii="宋体" w:hAnsi="宋体" w:cs="宋体" w:eastAsia="宋体" w:hint="default"/>
          <w:spacing w:val="-70"/>
          <w:sz w:val="28"/>
          <w:szCs w:val="28"/>
        </w:rPr>
        <w:t> </w:t>
      </w:r>
      <w:r>
        <w:rPr>
          <w:rFonts w:ascii="宋体" w:hAnsi="宋体" w:cs="宋体" w:eastAsia="宋体" w:hint="default"/>
          <w:sz w:val="28"/>
          <w:szCs w:val="28"/>
        </w:rPr>
        <w:t>股转增</w:t>
      </w:r>
      <w:r>
        <w:rPr>
          <w:rFonts w:ascii="宋体" w:hAnsi="宋体" w:cs="宋体" w:eastAsia="宋体" w:hint="default"/>
          <w:spacing w:val="-71"/>
          <w:sz w:val="28"/>
          <w:szCs w:val="28"/>
        </w:rPr>
        <w:t> </w:t>
      </w:r>
      <w:r>
        <w:rPr>
          <w:rFonts w:ascii="宋体" w:hAnsi="宋体" w:cs="宋体" w:eastAsia="宋体" w:hint="default"/>
          <w:sz w:val="28"/>
          <w:szCs w:val="28"/>
        </w:rPr>
        <w:t>5</w:t>
      </w:r>
      <w:r>
        <w:rPr>
          <w:rFonts w:ascii="宋体" w:hAnsi="宋体" w:cs="宋体" w:eastAsia="宋体" w:hint="default"/>
          <w:spacing w:val="-72"/>
          <w:sz w:val="28"/>
          <w:szCs w:val="28"/>
        </w:rPr>
        <w:t> </w:t>
      </w:r>
      <w:r>
        <w:rPr>
          <w:rFonts w:ascii="宋体" w:hAnsi="宋体" w:cs="宋体" w:eastAsia="宋体" w:hint="default"/>
          <w:sz w:val="28"/>
          <w:szCs w:val="28"/>
        </w:rPr>
        <w:t>股。</w:t>
      </w:r>
      <w:r>
        <w:rPr>
          <w:rFonts w:ascii="宋体" w:hAnsi="宋体" w:cs="宋体" w:eastAsia="宋体" w:hint="default"/>
          <w:w w:val="100"/>
          <w:sz w:val="28"/>
          <w:szCs w:val="28"/>
        </w:rPr>
        <w:t> </w:t>
      </w:r>
      <w:r>
        <w:rPr>
          <w:rFonts w:ascii="宋体" w:hAnsi="宋体" w:cs="宋体" w:eastAsia="宋体" w:hint="default"/>
          <w:spacing w:val="-1"/>
          <w:sz w:val="28"/>
          <w:szCs w:val="28"/>
        </w:rPr>
        <w:t>2、公司前三年现金分红情况表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spacing w:line="367" w:lineRule="auto"/>
        <w:ind w:left="695" w:right="473" w:hanging="140"/>
        <w:jc w:val="left"/>
      </w:pPr>
      <w:r>
        <w:rPr/>
        <w:pict>
          <v:shape style="position:absolute;margin-left:103.08847pt;margin-top:-74.570145pt;width:392.95pt;height:64.3pt;mso-position-horizontal-relative:page;mso-position-vertical-relative:paragraph;z-index:1696;rotation:315" type="#_x0000_t136" fillcolor="#e0e0e0" stroked="f">
            <o:extrusion v:ext="view" autorotationcenter="t"/>
            <v:textpath style="font-family:&amp;quot;Arial&amp;quot;;font-size:64pt;v-text-kern:t;mso-text-shadow:auto" string="UnRegistered"/>
            <w10:wrap type="none"/>
          </v:shape>
        </w:pict>
      </w:r>
      <w:r>
        <w:rPr/>
        <w:t>公司报告期前三年未进行资本公积金转增股本。</w:t>
      </w:r>
      <w:r>
        <w:rPr>
          <w:w w:val="100"/>
        </w:rPr>
        <w:t> </w:t>
      </w:r>
      <w:r>
        <w:rPr>
          <w:spacing w:val="-3"/>
        </w:rPr>
        <w:t>公司现金分红政策符合《公司章程》规定和股东大会决议要求，分</w:t>
      </w:r>
    </w:p>
    <w:p>
      <w:pPr>
        <w:spacing w:before="44"/>
        <w:ind w:left="143" w:right="0" w:firstLine="0"/>
        <w:jc w:val="both"/>
        <w:rPr>
          <w:rFonts w:ascii="宋体" w:hAnsi="宋体" w:cs="宋体" w:eastAsia="宋体" w:hint="default"/>
          <w:sz w:val="28"/>
          <w:szCs w:val="28"/>
        </w:rPr>
      </w:pPr>
      <w:r>
        <w:rPr>
          <w:rFonts w:ascii="宋体" w:hAnsi="宋体" w:cs="宋体" w:eastAsia="宋体" w:hint="default"/>
          <w:spacing w:val="-4"/>
          <w:sz w:val="28"/>
          <w:szCs w:val="28"/>
        </w:rPr>
        <w:t>红标准和比例明确和清晰，相关的决策程序和机制完备，独立董事尽职</w:t>
      </w:r>
    </w:p>
    <w:p>
      <w:pPr>
        <w:spacing w:line="560" w:lineRule="atLeast" w:before="1"/>
        <w:ind w:left="143" w:right="1581" w:firstLine="0"/>
        <w:jc w:val="both"/>
        <w:rPr>
          <w:rFonts w:ascii="宋体" w:hAnsi="宋体" w:cs="宋体" w:eastAsia="宋体" w:hint="default"/>
          <w:sz w:val="28"/>
          <w:szCs w:val="28"/>
        </w:rPr>
      </w:pPr>
      <w:r>
        <w:rPr>
          <w:rFonts w:ascii="宋体" w:hAnsi="宋体" w:cs="宋体" w:eastAsia="宋体" w:hint="default"/>
          <w:spacing w:val="-4"/>
          <w:sz w:val="28"/>
          <w:szCs w:val="28"/>
        </w:rPr>
        <w:t>履责并发挥应有的作用，中小股东有表达意见和诉求的机会，以保证其</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z w:val="28"/>
          <w:szCs w:val="28"/>
        </w:rPr>
        <w:t>合法权益得到维护。</w:t>
      </w:r>
    </w:p>
    <w:p>
      <w:pPr>
        <w:spacing w:line="357" w:lineRule="auto" w:before="22"/>
        <w:ind w:left="724" w:right="473" w:hanging="581"/>
        <w:jc w:val="left"/>
        <w:rPr>
          <w:rFonts w:ascii="宋体" w:hAnsi="宋体" w:cs="宋体" w:eastAsia="宋体" w:hint="default"/>
          <w:sz w:val="28"/>
          <w:szCs w:val="28"/>
        </w:rPr>
      </w:pPr>
      <w:r>
        <w:rPr>
          <w:rFonts w:ascii="宋体" w:hAnsi="宋体" w:cs="宋体" w:eastAsia="宋体" w:hint="default"/>
          <w:sz w:val="28"/>
          <w:szCs w:val="28"/>
        </w:rPr>
        <w:t>（九）公司建立健全内控体系的工作计划和实施方案</w:t>
      </w:r>
      <w:r>
        <w:rPr>
          <w:rFonts w:ascii="宋体" w:hAnsi="宋体" w:cs="宋体" w:eastAsia="宋体" w:hint="default"/>
          <w:w w:val="100"/>
          <w:sz w:val="28"/>
          <w:szCs w:val="28"/>
        </w:rPr>
        <w:t> </w:t>
      </w:r>
      <w:r>
        <w:rPr>
          <w:rFonts w:ascii="宋体" w:hAnsi="宋体" w:cs="宋体" w:eastAsia="宋体" w:hint="default"/>
          <w:spacing w:val="-4"/>
          <w:sz w:val="28"/>
          <w:szCs w:val="28"/>
        </w:rPr>
        <w:t>为加强和规范公司内部控制，提高公司经营管理水平和风险防范能</w:t>
      </w:r>
    </w:p>
    <w:p>
      <w:pPr>
        <w:spacing w:line="357" w:lineRule="auto" w:before="41"/>
        <w:ind w:left="143" w:right="1579" w:firstLine="0"/>
        <w:jc w:val="both"/>
        <w:rPr>
          <w:rFonts w:ascii="宋体" w:hAnsi="宋体" w:cs="宋体" w:eastAsia="宋体" w:hint="default"/>
          <w:sz w:val="28"/>
          <w:szCs w:val="28"/>
        </w:rPr>
      </w:pPr>
      <w:r>
        <w:rPr>
          <w:rFonts w:ascii="宋体" w:hAnsi="宋体" w:cs="宋体" w:eastAsia="宋体" w:hint="default"/>
          <w:spacing w:val="-3"/>
          <w:sz w:val="28"/>
          <w:szCs w:val="28"/>
        </w:rPr>
        <w:t>力，保证公司经营管理合法合规、资产安全、财务报告及相关信息真实</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完整，提高公司经营效率和效果，促进公司实现发展战略，根据《企业</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4"/>
          <w:sz w:val="28"/>
          <w:szCs w:val="28"/>
        </w:rPr>
        <w:t>内部控制基本规范》和《企业内部控制配套指引》等相关文件要求，结</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合公司实际情况，制定本内部控制规范实施工作方案。</w:t>
      </w:r>
    </w:p>
    <w:p>
      <w:pPr>
        <w:spacing w:after="0" w:line="357" w:lineRule="auto"/>
        <w:jc w:val="both"/>
        <w:rPr>
          <w:rFonts w:ascii="宋体" w:hAnsi="宋体" w:cs="宋体" w:eastAsia="宋体" w:hint="default"/>
          <w:sz w:val="28"/>
          <w:szCs w:val="28"/>
        </w:rPr>
        <w:sectPr>
          <w:pgSz w:w="11910" w:h="16840"/>
          <w:pgMar w:header="929" w:footer="837" w:top="1140" w:bottom="1020" w:left="1560" w:right="0"/>
        </w:sectPr>
      </w:pPr>
    </w:p>
    <w:p>
      <w:pPr>
        <w:spacing w:line="240" w:lineRule="auto" w:before="9"/>
        <w:rPr>
          <w:rFonts w:ascii="宋体" w:hAnsi="宋体" w:cs="宋体" w:eastAsia="宋体" w:hint="default"/>
          <w:sz w:val="11"/>
          <w:szCs w:val="11"/>
        </w:rPr>
      </w:pPr>
    </w:p>
    <w:p>
      <w:pPr>
        <w:spacing w:before="14"/>
        <w:ind w:left="103" w:right="0" w:firstLine="0"/>
        <w:jc w:val="both"/>
        <w:rPr>
          <w:rFonts w:ascii="宋体" w:hAnsi="宋体" w:cs="宋体" w:eastAsia="宋体" w:hint="default"/>
          <w:sz w:val="28"/>
          <w:szCs w:val="28"/>
        </w:rPr>
      </w:pPr>
      <w:r>
        <w:rPr>
          <w:rFonts w:ascii="宋体" w:hAnsi="宋体" w:cs="宋体" w:eastAsia="宋体" w:hint="default"/>
          <w:sz w:val="28"/>
          <w:szCs w:val="28"/>
        </w:rPr>
        <w:t>1、公司基本情况介绍</w:t>
      </w:r>
    </w:p>
    <w:p>
      <w:pPr>
        <w:spacing w:before="178"/>
        <w:ind w:left="103" w:right="0" w:firstLine="0"/>
        <w:jc w:val="both"/>
        <w:rPr>
          <w:rFonts w:ascii="宋体" w:hAnsi="宋体" w:cs="宋体" w:eastAsia="宋体" w:hint="default"/>
          <w:sz w:val="28"/>
          <w:szCs w:val="28"/>
        </w:rPr>
      </w:pPr>
      <w:r>
        <w:rPr>
          <w:rFonts w:ascii="宋体" w:hAnsi="宋体" w:cs="宋体" w:eastAsia="宋体" w:hint="default"/>
          <w:sz w:val="28"/>
          <w:szCs w:val="28"/>
        </w:rPr>
        <w:t>⑴、公司概况</w:t>
      </w:r>
    </w:p>
    <w:p>
      <w:pPr>
        <w:spacing w:line="357" w:lineRule="auto" w:before="178"/>
        <w:ind w:left="662" w:right="4314" w:firstLine="0"/>
        <w:jc w:val="left"/>
        <w:rPr>
          <w:rFonts w:ascii="宋体" w:hAnsi="宋体" w:cs="宋体" w:eastAsia="宋体" w:hint="default"/>
          <w:sz w:val="28"/>
          <w:szCs w:val="28"/>
        </w:rPr>
      </w:pPr>
      <w:r>
        <w:rPr>
          <w:rFonts w:ascii="宋体" w:hAnsi="宋体" w:cs="宋体" w:eastAsia="宋体" w:hint="default"/>
          <w:sz w:val="28"/>
          <w:szCs w:val="28"/>
        </w:rPr>
        <w:t>公司名称：黑龙江天伦置业股份有限公司</w:t>
      </w:r>
      <w:r>
        <w:rPr>
          <w:rFonts w:ascii="宋体" w:hAnsi="宋体" w:cs="宋体" w:eastAsia="宋体" w:hint="default"/>
          <w:w w:val="100"/>
          <w:sz w:val="28"/>
          <w:szCs w:val="28"/>
        </w:rPr>
        <w:t> </w:t>
      </w:r>
      <w:r>
        <w:rPr>
          <w:rFonts w:ascii="宋体" w:hAnsi="宋体" w:cs="宋体" w:eastAsia="宋体" w:hint="default"/>
          <w:sz w:val="28"/>
          <w:szCs w:val="28"/>
        </w:rPr>
        <w:t>法定代表人：许环曜</w:t>
      </w:r>
      <w:r>
        <w:rPr>
          <w:rFonts w:ascii="宋体" w:hAnsi="宋体" w:cs="宋体" w:eastAsia="宋体" w:hint="default"/>
          <w:w w:val="100"/>
          <w:sz w:val="28"/>
          <w:szCs w:val="28"/>
        </w:rPr>
        <w:t> </w:t>
      </w:r>
      <w:r>
        <w:rPr>
          <w:rFonts w:ascii="宋体" w:hAnsi="宋体" w:cs="宋体" w:eastAsia="宋体" w:hint="default"/>
          <w:sz w:val="28"/>
          <w:szCs w:val="28"/>
        </w:rPr>
        <w:t>注册地址：哈尔滨经济技术开发区</w:t>
      </w:r>
      <w:r>
        <w:rPr>
          <w:rFonts w:ascii="宋体" w:hAnsi="宋体" w:cs="宋体" w:eastAsia="宋体" w:hint="default"/>
          <w:w w:val="100"/>
          <w:sz w:val="28"/>
          <w:szCs w:val="28"/>
        </w:rPr>
        <w:t> </w:t>
      </w:r>
      <w:r>
        <w:rPr>
          <w:rFonts w:ascii="宋体" w:hAnsi="宋体" w:cs="宋体" w:eastAsia="宋体" w:hint="default"/>
          <w:spacing w:val="-1"/>
          <w:sz w:val="28"/>
          <w:szCs w:val="28"/>
        </w:rPr>
        <w:t>办公地址：广州市天河路45号天伦大厦25楼</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公司注册登记日期：1993年3月31日</w:t>
      </w:r>
      <w:r>
        <w:rPr>
          <w:rFonts w:ascii="宋体" w:hAnsi="宋体" w:cs="宋体" w:eastAsia="宋体" w:hint="default"/>
          <w:w w:val="100"/>
          <w:sz w:val="28"/>
          <w:szCs w:val="28"/>
        </w:rPr>
        <w:t> </w:t>
      </w:r>
      <w:r>
        <w:rPr>
          <w:rFonts w:ascii="宋体" w:hAnsi="宋体" w:cs="宋体" w:eastAsia="宋体" w:hint="default"/>
          <w:sz w:val="28"/>
          <w:szCs w:val="28"/>
        </w:rPr>
        <w:t>公司股票上市交易所：深圳证券交易所</w:t>
      </w:r>
      <w:r>
        <w:rPr>
          <w:rFonts w:ascii="宋体" w:hAnsi="宋体" w:cs="宋体" w:eastAsia="宋体" w:hint="default"/>
          <w:w w:val="100"/>
          <w:sz w:val="28"/>
          <w:szCs w:val="28"/>
        </w:rPr>
        <w:t> </w:t>
      </w:r>
      <w:r>
        <w:rPr>
          <w:rFonts w:ascii="宋体" w:hAnsi="宋体" w:cs="宋体" w:eastAsia="宋体" w:hint="default"/>
          <w:sz w:val="28"/>
          <w:szCs w:val="28"/>
        </w:rPr>
        <w:t>股票简称：天伦置业</w:t>
      </w:r>
    </w:p>
    <w:p>
      <w:pPr>
        <w:spacing w:before="41"/>
        <w:ind w:left="662" w:right="1402" w:firstLine="0"/>
        <w:jc w:val="left"/>
        <w:rPr>
          <w:rFonts w:ascii="宋体" w:hAnsi="宋体" w:cs="宋体" w:eastAsia="宋体" w:hint="default"/>
          <w:sz w:val="28"/>
          <w:szCs w:val="28"/>
        </w:rPr>
      </w:pPr>
      <w:r>
        <w:rPr>
          <w:rFonts w:ascii="宋体" w:hAnsi="宋体" w:cs="宋体" w:eastAsia="宋体" w:hint="default"/>
          <w:sz w:val="28"/>
          <w:szCs w:val="28"/>
        </w:rPr>
        <w:t>股票代码：000711</w:t>
      </w:r>
    </w:p>
    <w:p>
      <w:pPr>
        <w:spacing w:line="240" w:lineRule="auto" w:before="13"/>
        <w:rPr>
          <w:rFonts w:ascii="宋体" w:hAnsi="宋体" w:cs="宋体" w:eastAsia="宋体" w:hint="default"/>
          <w:sz w:val="22"/>
          <w:szCs w:val="22"/>
        </w:rPr>
      </w:pPr>
    </w:p>
    <w:p>
      <w:pPr>
        <w:pStyle w:val="Heading2"/>
        <w:spacing w:line="326" w:lineRule="auto" w:before="0"/>
        <w:ind w:right="1579" w:firstLine="559"/>
        <w:jc w:val="both"/>
      </w:pPr>
      <w:r>
        <w:rPr/>
        <w:pict>
          <v:shape style="position:absolute;margin-left:103.08847pt;margin-top:51.44986pt;width:392.95pt;height:64.3pt;mso-position-horizontal-relative:page;mso-position-vertical-relative:paragraph;z-index:-555472;rotation:315" type="#_x0000_t136" fillcolor="#e0e0e0" stroked="f">
            <o:extrusion v:ext="view" autorotationcenter="t"/>
            <v:textpath style="font-family:&amp;quot;Arial&amp;quot;;font-size:64pt;v-text-kern:t;mso-text-shadow:auto" string="UnRegistered"/>
            <w10:wrap type="none"/>
          </v:shape>
        </w:pict>
      </w:r>
      <w:r>
        <w:rPr/>
        <w:t>公司主要业务为房地产管理业。总股本为：107,265,600股。控股</w:t>
      </w:r>
      <w:r>
        <w:rPr>
          <w:w w:val="100"/>
        </w:rPr>
        <w:t> </w:t>
      </w:r>
      <w:r>
        <w:rPr>
          <w:spacing w:val="-3"/>
        </w:rPr>
        <w:t>股东为天伦控股有限公司，共持有本公司股份比例为26.64%。截止2011</w:t>
      </w:r>
      <w:r>
        <w:rPr>
          <w:spacing w:val="-107"/>
        </w:rPr>
        <w:t> </w:t>
      </w:r>
      <w:r>
        <w:rPr>
          <w:spacing w:val="-107"/>
        </w:rPr>
      </w:r>
      <w:r>
        <w:rPr>
          <w:spacing w:val="-4"/>
        </w:rPr>
        <w:t>年12月31日，公司总资产</w:t>
      </w:r>
      <w:r>
        <w:rPr>
          <w:spacing w:val="14"/>
        </w:rPr>
        <w:t> </w:t>
      </w:r>
      <w:r>
        <w:rPr>
          <w:spacing w:val="-3"/>
        </w:rPr>
        <w:t>8.10亿元，归属于母公司所有者权益</w:t>
      </w:r>
      <w:r>
        <w:rPr>
          <w:spacing w:val="14"/>
        </w:rPr>
        <w:t> </w:t>
      </w:r>
      <w:r>
        <w:rPr/>
        <w:t>3.63亿</w:t>
      </w:r>
      <w:r>
        <w:rPr>
          <w:spacing w:val="-138"/>
        </w:rPr>
        <w:t> </w:t>
      </w:r>
      <w:r>
        <w:rPr>
          <w:spacing w:val="-138"/>
        </w:rPr>
      </w:r>
      <w:r>
        <w:rPr>
          <w:spacing w:val="-3"/>
        </w:rPr>
        <w:t>元，2011年度公司实现营业收入</w:t>
      </w:r>
      <w:r>
        <w:rPr>
          <w:spacing w:val="30"/>
        </w:rPr>
        <w:t> </w:t>
      </w:r>
      <w:r>
        <w:rPr>
          <w:spacing w:val="-3"/>
        </w:rPr>
        <w:t>5,926万元，归属于母公司所有者净利</w:t>
      </w:r>
      <w:r>
        <w:rPr>
          <w:spacing w:val="-136"/>
        </w:rPr>
        <w:t> </w:t>
      </w:r>
      <w:r>
        <w:rPr>
          <w:spacing w:val="-136"/>
        </w:rPr>
      </w:r>
      <w:r>
        <w:rPr/>
        <w:t>润 1,863万元。</w:t>
      </w:r>
    </w:p>
    <w:p>
      <w:pPr>
        <w:spacing w:line="328" w:lineRule="auto" w:before="32"/>
        <w:ind w:left="662" w:right="1402" w:hanging="560"/>
        <w:jc w:val="left"/>
        <w:rPr>
          <w:rFonts w:ascii="宋体" w:hAnsi="宋体" w:cs="宋体" w:eastAsia="宋体" w:hint="default"/>
          <w:sz w:val="28"/>
          <w:szCs w:val="28"/>
        </w:rPr>
      </w:pPr>
      <w:r>
        <w:rPr>
          <w:rFonts w:ascii="宋体" w:hAnsi="宋体" w:cs="宋体" w:eastAsia="宋体" w:hint="default"/>
          <w:sz w:val="28"/>
          <w:szCs w:val="28"/>
        </w:rPr>
        <w:t>⑵、公司组织架构</w:t>
      </w:r>
      <w:r>
        <w:rPr>
          <w:rFonts w:ascii="宋体" w:hAnsi="宋体" w:cs="宋体" w:eastAsia="宋体" w:hint="default"/>
          <w:w w:val="100"/>
          <w:sz w:val="28"/>
          <w:szCs w:val="28"/>
        </w:rPr>
        <w:t> </w:t>
      </w:r>
      <w:r>
        <w:rPr>
          <w:rFonts w:ascii="宋体" w:hAnsi="宋体" w:cs="宋体" w:eastAsia="宋体" w:hint="default"/>
          <w:spacing w:val="-2"/>
          <w:sz w:val="28"/>
          <w:szCs w:val="28"/>
        </w:rPr>
        <w:t>公司严格按照《公司法》、《证券法》、《上市公司治理准则》、</w:t>
      </w:r>
    </w:p>
    <w:p>
      <w:pPr>
        <w:spacing w:line="328" w:lineRule="auto" w:before="29"/>
        <w:ind w:left="103" w:right="1442" w:firstLine="0"/>
        <w:jc w:val="both"/>
        <w:rPr>
          <w:rFonts w:ascii="宋体" w:hAnsi="宋体" w:cs="宋体" w:eastAsia="宋体" w:hint="default"/>
          <w:sz w:val="28"/>
          <w:szCs w:val="28"/>
        </w:rPr>
      </w:pPr>
      <w:r>
        <w:rPr>
          <w:rFonts w:ascii="宋体" w:hAnsi="宋体" w:cs="宋体" w:eastAsia="宋体" w:hint="default"/>
          <w:spacing w:val="-3"/>
          <w:sz w:val="28"/>
          <w:szCs w:val="28"/>
        </w:rPr>
        <w:t>《深圳证券交易所股票上市规则》及其他相关法律法规和部门规章的要</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求，建立了一整套行之有效的公司治理体系。公司股东大会、董事会、</w:t>
      </w:r>
      <w:r>
        <w:rPr>
          <w:rFonts w:ascii="宋体" w:hAnsi="宋体" w:cs="宋体" w:eastAsia="宋体" w:hint="default"/>
          <w:w w:val="100"/>
          <w:sz w:val="28"/>
          <w:szCs w:val="28"/>
        </w:rPr>
        <w:t> </w:t>
      </w:r>
      <w:r>
        <w:rPr>
          <w:rFonts w:ascii="宋体" w:hAnsi="宋体" w:cs="宋体" w:eastAsia="宋体" w:hint="default"/>
          <w:spacing w:val="-3"/>
          <w:sz w:val="28"/>
          <w:szCs w:val="28"/>
        </w:rPr>
        <w:t>监事会及管理层能够按照规定和《公司章程》独立运作，形成了权力机</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sz w:val="28"/>
          <w:szCs w:val="28"/>
        </w:rPr>
        <w:t>构、决策机构、监督机构和执行机构之间相互制衡的运行机制。公司组</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8"/>
          <w:sz w:val="28"/>
          <w:szCs w:val="28"/>
        </w:rPr>
        <w:t>织架构完善，运转正常，运作良好。在组织架构内，各组织间各司其职，</w:t>
      </w:r>
      <w:r>
        <w:rPr>
          <w:rFonts w:ascii="宋体" w:hAnsi="宋体" w:cs="宋体" w:eastAsia="宋体" w:hint="default"/>
          <w:spacing w:val="-98"/>
          <w:sz w:val="28"/>
          <w:szCs w:val="28"/>
        </w:rPr>
        <w:t> </w:t>
      </w:r>
      <w:r>
        <w:rPr>
          <w:rFonts w:ascii="宋体" w:hAnsi="宋体" w:cs="宋体" w:eastAsia="宋体" w:hint="default"/>
          <w:spacing w:val="-98"/>
          <w:sz w:val="28"/>
          <w:szCs w:val="28"/>
        </w:rPr>
      </w:r>
      <w:r>
        <w:rPr>
          <w:rFonts w:ascii="宋体" w:hAnsi="宋体" w:cs="宋体" w:eastAsia="宋体" w:hint="default"/>
          <w:sz w:val="28"/>
          <w:szCs w:val="28"/>
        </w:rPr>
        <w:t>管理规范。</w:t>
      </w:r>
    </w:p>
    <w:p>
      <w:pPr>
        <w:spacing w:before="29"/>
        <w:ind w:left="662" w:right="1402" w:firstLine="0"/>
        <w:jc w:val="left"/>
        <w:rPr>
          <w:rFonts w:ascii="宋体" w:hAnsi="宋体" w:cs="宋体" w:eastAsia="宋体" w:hint="default"/>
          <w:sz w:val="28"/>
          <w:szCs w:val="28"/>
        </w:rPr>
      </w:pPr>
      <w:r>
        <w:rPr>
          <w:rFonts w:ascii="宋体" w:hAnsi="宋体" w:cs="宋体" w:eastAsia="宋体" w:hint="default"/>
          <w:sz w:val="28"/>
          <w:szCs w:val="28"/>
        </w:rPr>
        <w:t>公司组织架构如下图所示：</w:t>
      </w:r>
    </w:p>
    <w:p>
      <w:pPr>
        <w:spacing w:after="0"/>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9"/>
        <w:rPr>
          <w:rFonts w:ascii="宋体" w:hAnsi="宋体" w:cs="宋体" w:eastAsia="宋体" w:hint="default"/>
          <w:sz w:val="17"/>
          <w:szCs w:val="17"/>
        </w:rPr>
      </w:pPr>
    </w:p>
    <w:p>
      <w:pPr>
        <w:pStyle w:val="Heading3"/>
        <w:spacing w:line="240" w:lineRule="auto" w:before="26"/>
        <w:ind w:left="3764" w:right="5200"/>
        <w:jc w:val="center"/>
        <w:rPr>
          <w:rFonts w:ascii="宋体" w:hAnsi="宋体" w:cs="宋体" w:eastAsia="宋体" w:hint="default"/>
        </w:rPr>
      </w:pPr>
      <w:r>
        <w:rPr>
          <w:rFonts w:ascii="宋体" w:hAnsi="宋体" w:cs="宋体" w:eastAsia="宋体" w:hint="default"/>
        </w:rPr>
        <w:t>股 东 大 会</w:t>
      </w:r>
    </w:p>
    <w:p>
      <w:pPr>
        <w:spacing w:line="240" w:lineRule="auto" w:before="1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929" w:footer="837" w:top="1140" w:bottom="1020" w:left="1580" w:right="0"/>
        </w:sectPr>
      </w:pPr>
    </w:p>
    <w:p>
      <w:pPr>
        <w:pStyle w:val="BodyText"/>
        <w:spacing w:line="240" w:lineRule="auto" w:before="36"/>
        <w:ind w:left="675" w:right="-11"/>
        <w:jc w:val="left"/>
        <w:rPr>
          <w:rFonts w:ascii="宋体" w:hAnsi="宋体" w:cs="宋体" w:eastAsia="宋体" w:hint="default"/>
        </w:rPr>
      </w:pPr>
      <w:r>
        <w:rPr>
          <w:rFonts w:ascii="宋体" w:hAnsi="宋体" w:cs="宋体" w:eastAsia="宋体" w:hint="default"/>
          <w:spacing w:val="-1"/>
        </w:rPr>
        <w:t>战略委员会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675" w:right="-11"/>
        <w:jc w:val="left"/>
        <w:rPr>
          <w:rFonts w:ascii="宋体" w:hAnsi="宋体" w:cs="宋体" w:eastAsia="宋体" w:hint="default"/>
        </w:rPr>
      </w:pPr>
      <w:r>
        <w:rPr>
          <w:rFonts w:ascii="宋体" w:hAnsi="宋体" w:cs="宋体" w:eastAsia="宋体" w:hint="default"/>
          <w:spacing w:val="-1"/>
        </w:rPr>
        <w:t>提名委员会</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Heading3"/>
        <w:spacing w:line="240" w:lineRule="auto" w:before="182"/>
        <w:ind w:left="675" w:right="-20"/>
        <w:jc w:val="left"/>
        <w:rPr>
          <w:rFonts w:ascii="宋体" w:hAnsi="宋体" w:cs="宋体" w:eastAsia="宋体" w:hint="default"/>
        </w:rPr>
      </w:pPr>
      <w:r>
        <w:rPr>
          <w:rFonts w:ascii="宋体" w:hAnsi="宋体" w:cs="宋体" w:eastAsia="宋体" w:hint="default"/>
        </w:rPr>
        <w:t>董 事 会</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675" w:right="0" w:firstLine="0"/>
        <w:jc w:val="left"/>
        <w:rPr>
          <w:rFonts w:ascii="宋体" w:hAnsi="宋体" w:cs="宋体" w:eastAsia="宋体" w:hint="default"/>
          <w:sz w:val="24"/>
          <w:szCs w:val="24"/>
        </w:rPr>
      </w:pPr>
      <w:r>
        <w:rPr>
          <w:rFonts w:ascii="宋体" w:hAnsi="宋体" w:cs="宋体" w:eastAsia="宋体" w:hint="default"/>
          <w:sz w:val="24"/>
          <w:szCs w:val="24"/>
        </w:rPr>
        <w:t>监 事 会</w:t>
      </w:r>
    </w:p>
    <w:p>
      <w:pPr>
        <w:spacing w:after="0"/>
        <w:jc w:val="left"/>
        <w:rPr>
          <w:rFonts w:ascii="宋体" w:hAnsi="宋体" w:cs="宋体" w:eastAsia="宋体" w:hint="default"/>
          <w:sz w:val="24"/>
          <w:szCs w:val="24"/>
        </w:rPr>
        <w:sectPr>
          <w:type w:val="continuous"/>
          <w:pgSz w:w="11910" w:h="16840"/>
          <w:pgMar w:top="1580" w:bottom="1020" w:left="1580" w:right="0"/>
          <w:cols w:num="3" w:equalWidth="0">
            <w:col w:w="1730" w:space="1647"/>
            <w:col w:w="1636" w:space="1203"/>
            <w:col w:w="4114"/>
          </w:cols>
        </w:sect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1020" w:left="1580" w:right="0"/>
        </w:sectPr>
      </w:pPr>
    </w:p>
    <w:p>
      <w:pPr>
        <w:pStyle w:val="BodyText"/>
        <w:spacing w:line="240" w:lineRule="auto" w:before="75"/>
        <w:ind w:left="363" w:right="-1"/>
        <w:jc w:val="left"/>
        <w:rPr>
          <w:rFonts w:ascii="宋体" w:hAnsi="宋体" w:cs="宋体" w:eastAsia="宋体" w:hint="default"/>
        </w:rPr>
      </w:pPr>
      <w:r>
        <w:rPr>
          <w:rFonts w:ascii="宋体" w:hAnsi="宋体" w:cs="宋体" w:eastAsia="宋体" w:hint="default"/>
          <w:spacing w:val="-2"/>
        </w:rPr>
        <w:t>薪酬与考核委员会</w:t>
      </w:r>
    </w:p>
    <w:p>
      <w:pPr>
        <w:pStyle w:val="Heading3"/>
        <w:spacing w:line="240" w:lineRule="auto" w:before="26"/>
        <w:ind w:left="363" w:right="0"/>
        <w:jc w:val="left"/>
        <w:rPr>
          <w:rFonts w:ascii="宋体" w:hAnsi="宋体" w:cs="宋体" w:eastAsia="宋体" w:hint="default"/>
        </w:rPr>
      </w:pPr>
      <w:r>
        <w:rPr/>
        <w:br w:type="column"/>
      </w:r>
      <w:r>
        <w:rPr>
          <w:rFonts w:ascii="宋体" w:hAnsi="宋体" w:cs="宋体" w:eastAsia="宋体" w:hint="default"/>
        </w:rPr>
        <w:t>董事会秘书处</w:t>
      </w:r>
    </w:p>
    <w:p>
      <w:pPr>
        <w:spacing w:after="0" w:line="240" w:lineRule="auto"/>
        <w:jc w:val="left"/>
        <w:rPr>
          <w:rFonts w:ascii="宋体" w:hAnsi="宋体" w:cs="宋体" w:eastAsia="宋体" w:hint="default"/>
        </w:rPr>
        <w:sectPr>
          <w:type w:val="continuous"/>
          <w:pgSz w:w="11910" w:h="16840"/>
          <w:pgMar w:top="1580" w:bottom="1020" w:left="1580" w:right="0"/>
          <w:cols w:num="2" w:equalWidth="0">
            <w:col w:w="2047" w:space="4280"/>
            <w:col w:w="4003"/>
          </w:cols>
        </w:sectPr>
      </w:pPr>
    </w:p>
    <w:p>
      <w:pPr>
        <w:spacing w:line="240" w:lineRule="auto" w:before="7"/>
        <w:rPr>
          <w:rFonts w:ascii="宋体" w:hAnsi="宋体" w:cs="宋体" w:eastAsia="宋体" w:hint="default"/>
          <w:sz w:val="20"/>
          <w:szCs w:val="20"/>
        </w:rPr>
      </w:pPr>
    </w:p>
    <w:p>
      <w:pPr>
        <w:tabs>
          <w:tab w:pos="4052" w:val="left" w:leader="none"/>
        </w:tabs>
        <w:spacing w:before="28"/>
        <w:ind w:left="675" w:right="1076" w:firstLine="0"/>
        <w:jc w:val="left"/>
        <w:rPr>
          <w:rFonts w:ascii="宋体" w:hAnsi="宋体" w:cs="宋体" w:eastAsia="宋体" w:hint="default"/>
          <w:sz w:val="24"/>
          <w:szCs w:val="24"/>
        </w:rPr>
      </w:pPr>
      <w:r>
        <w:rPr>
          <w:rFonts w:ascii="宋体" w:hAnsi="宋体" w:cs="宋体" w:eastAsia="宋体" w:hint="default"/>
          <w:spacing w:val="-1"/>
          <w:sz w:val="21"/>
          <w:szCs w:val="21"/>
        </w:rPr>
        <w:t>审计委员会</w:t>
        <w:tab/>
      </w:r>
      <w:r>
        <w:rPr>
          <w:rFonts w:ascii="宋体" w:hAnsi="宋体" w:cs="宋体" w:eastAsia="宋体" w:hint="default"/>
          <w:position w:val="13"/>
          <w:sz w:val="24"/>
          <w:szCs w:val="24"/>
        </w:rPr>
        <w:t>管 理 层</w:t>
      </w:r>
      <w:r>
        <w:rPr>
          <w:rFonts w:ascii="宋体" w:hAnsi="宋体" w:cs="宋体" w:eastAsia="宋体" w:hint="default"/>
          <w:sz w:val="24"/>
          <w:szCs w:val="24"/>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1020" w:left="1580" w:right="0"/>
        </w:sectPr>
      </w:pPr>
    </w:p>
    <w:p>
      <w:pPr>
        <w:pStyle w:val="BodyText"/>
        <w:tabs>
          <w:tab w:pos="2614" w:val="left" w:leader="none"/>
          <w:tab w:pos="3694" w:val="left" w:leader="none"/>
        </w:tabs>
        <w:spacing w:line="273" w:lineRule="exact" w:before="36"/>
        <w:ind w:left="1354" w:right="-19"/>
        <w:jc w:val="left"/>
        <w:rPr>
          <w:rFonts w:ascii="宋体" w:hAnsi="宋体" w:cs="宋体" w:eastAsia="宋体" w:hint="default"/>
        </w:rPr>
      </w:pPr>
      <w:r>
        <w:rPr>
          <w:rFonts w:ascii="宋体" w:hAnsi="宋体" w:cs="宋体" w:eastAsia="宋体" w:hint="default"/>
        </w:rPr>
        <w:t>行</w:t>
        <w:tab/>
        <w:t>财</w:t>
        <w:tab/>
        <w:t>审</w:t>
      </w:r>
    </w:p>
    <w:p>
      <w:pPr>
        <w:pStyle w:val="BodyText"/>
        <w:tabs>
          <w:tab w:pos="2614" w:val="left" w:leader="none"/>
          <w:tab w:pos="3694" w:val="left" w:leader="none"/>
        </w:tabs>
        <w:spacing w:line="272" w:lineRule="exact"/>
        <w:ind w:left="1354" w:right="-19"/>
        <w:jc w:val="left"/>
        <w:rPr>
          <w:rFonts w:ascii="宋体" w:hAnsi="宋体" w:cs="宋体" w:eastAsia="宋体" w:hint="default"/>
        </w:rPr>
      </w:pPr>
      <w:r>
        <w:rPr>
          <w:rFonts w:ascii="宋体" w:hAnsi="宋体" w:cs="宋体" w:eastAsia="宋体" w:hint="default"/>
        </w:rPr>
        <w:t>政</w:t>
        <w:tab/>
        <w:t>务</w:t>
        <w:tab/>
        <w:t>计</w:t>
      </w:r>
    </w:p>
    <w:p>
      <w:pPr>
        <w:pStyle w:val="BodyText"/>
        <w:tabs>
          <w:tab w:pos="2614" w:val="left" w:leader="none"/>
          <w:tab w:pos="3694" w:val="left" w:leader="none"/>
        </w:tabs>
        <w:spacing w:line="272" w:lineRule="exact"/>
        <w:ind w:left="1354" w:right="-19"/>
        <w:jc w:val="left"/>
        <w:rPr>
          <w:rFonts w:ascii="宋体" w:hAnsi="宋体" w:cs="宋体" w:eastAsia="宋体" w:hint="default"/>
        </w:rPr>
      </w:pPr>
      <w:r>
        <w:rPr>
          <w:rFonts w:ascii="宋体" w:hAnsi="宋体" w:cs="宋体" w:eastAsia="宋体" w:hint="default"/>
        </w:rPr>
        <w:t>事</w:t>
        <w:tab/>
        <w:t>管</w:t>
        <w:tab/>
        <w:t>监</w:t>
      </w:r>
    </w:p>
    <w:p>
      <w:pPr>
        <w:pStyle w:val="BodyText"/>
        <w:tabs>
          <w:tab w:pos="2614" w:val="left" w:leader="none"/>
          <w:tab w:pos="3694" w:val="left" w:leader="none"/>
        </w:tabs>
        <w:spacing w:line="272" w:lineRule="exact"/>
        <w:ind w:left="1354" w:right="-19"/>
        <w:jc w:val="left"/>
        <w:rPr>
          <w:rFonts w:ascii="宋体" w:hAnsi="宋体" w:cs="宋体" w:eastAsia="宋体" w:hint="default"/>
        </w:rPr>
      </w:pPr>
      <w:r>
        <w:rPr>
          <w:rFonts w:ascii="宋体" w:hAnsi="宋体" w:cs="宋体" w:eastAsia="宋体" w:hint="default"/>
        </w:rPr>
        <w:t>务</w:t>
        <w:tab/>
        <w:t>理</w:t>
        <w:tab/>
        <w:t>察</w:t>
      </w:r>
    </w:p>
    <w:p>
      <w:pPr>
        <w:pStyle w:val="BodyText"/>
        <w:tabs>
          <w:tab w:pos="2614" w:val="left" w:leader="none"/>
          <w:tab w:pos="3694" w:val="left" w:leader="none"/>
        </w:tabs>
        <w:spacing w:line="272" w:lineRule="exact"/>
        <w:ind w:left="1354" w:right="-19"/>
        <w:jc w:val="left"/>
        <w:rPr>
          <w:rFonts w:ascii="宋体" w:hAnsi="宋体" w:cs="宋体" w:eastAsia="宋体" w:hint="default"/>
        </w:rPr>
      </w:pPr>
      <w:r>
        <w:rPr>
          <w:rFonts w:ascii="宋体" w:hAnsi="宋体" w:cs="宋体" w:eastAsia="宋体" w:hint="default"/>
        </w:rPr>
        <w:t>中</w:t>
        <w:tab/>
        <w:t>中</w:t>
        <w:tab/>
        <w:t>中</w:t>
      </w:r>
    </w:p>
    <w:p>
      <w:pPr>
        <w:pStyle w:val="BodyText"/>
        <w:tabs>
          <w:tab w:pos="2614" w:val="left" w:leader="none"/>
          <w:tab w:pos="3694" w:val="left" w:leader="none"/>
        </w:tabs>
        <w:spacing w:line="273" w:lineRule="exact"/>
        <w:ind w:left="1354" w:right="-19"/>
        <w:jc w:val="left"/>
        <w:rPr>
          <w:rFonts w:ascii="宋体" w:hAnsi="宋体" w:cs="宋体" w:eastAsia="宋体" w:hint="default"/>
        </w:rPr>
      </w:pPr>
      <w:r>
        <w:rPr>
          <w:rFonts w:ascii="宋体" w:hAnsi="宋体" w:cs="宋体" w:eastAsia="宋体" w:hint="default"/>
        </w:rPr>
        <w:t>心</w:t>
        <w:tab/>
        <w:t>心</w:t>
        <w:tab/>
        <w:t>心</w:t>
      </w:r>
    </w:p>
    <w:p>
      <w:pPr>
        <w:pStyle w:val="BodyText"/>
        <w:tabs>
          <w:tab w:pos="2448" w:val="left" w:leader="none"/>
          <w:tab w:pos="3528" w:val="left" w:leader="none"/>
        </w:tabs>
        <w:spacing w:line="273" w:lineRule="exact" w:before="36"/>
        <w:ind w:left="1188" w:right="0"/>
        <w:jc w:val="left"/>
        <w:rPr>
          <w:rFonts w:ascii="宋体" w:hAnsi="宋体" w:cs="宋体" w:eastAsia="宋体" w:hint="default"/>
        </w:rPr>
      </w:pPr>
      <w:r>
        <w:rPr/>
        <w:br w:type="column"/>
      </w:r>
      <w:r>
        <w:rPr>
          <w:rFonts w:ascii="宋体" w:hAnsi="宋体" w:cs="宋体" w:eastAsia="宋体" w:hint="default"/>
        </w:rPr>
        <w:t>经</w:t>
        <w:tab/>
        <w:t>投</w:t>
        <w:tab/>
        <w:t>策</w:t>
      </w:r>
    </w:p>
    <w:p>
      <w:pPr>
        <w:pStyle w:val="BodyText"/>
        <w:tabs>
          <w:tab w:pos="2448" w:val="left" w:leader="none"/>
          <w:tab w:pos="3528" w:val="left" w:leader="none"/>
        </w:tabs>
        <w:spacing w:line="272" w:lineRule="exact"/>
        <w:ind w:left="1188" w:right="0"/>
        <w:jc w:val="left"/>
        <w:rPr>
          <w:rFonts w:ascii="宋体" w:hAnsi="宋体" w:cs="宋体" w:eastAsia="宋体" w:hint="default"/>
        </w:rPr>
      </w:pPr>
      <w:r>
        <w:rPr>
          <w:rFonts w:ascii="宋体" w:hAnsi="宋体" w:cs="宋体" w:eastAsia="宋体" w:hint="default"/>
        </w:rPr>
        <w:t>营</w:t>
        <w:tab/>
        <w:t>资</w:t>
        <w:tab/>
        <w:t>划</w:t>
      </w:r>
    </w:p>
    <w:p>
      <w:pPr>
        <w:pStyle w:val="BodyText"/>
        <w:tabs>
          <w:tab w:pos="2448" w:val="left" w:leader="none"/>
          <w:tab w:pos="3528" w:val="left" w:leader="none"/>
        </w:tabs>
        <w:spacing w:line="272" w:lineRule="exact"/>
        <w:ind w:left="1188" w:right="0"/>
        <w:jc w:val="left"/>
        <w:rPr>
          <w:rFonts w:ascii="宋体" w:hAnsi="宋体" w:cs="宋体" w:eastAsia="宋体" w:hint="default"/>
        </w:rPr>
      </w:pPr>
      <w:r>
        <w:rPr>
          <w:rFonts w:ascii="宋体" w:hAnsi="宋体" w:cs="宋体" w:eastAsia="宋体" w:hint="default"/>
        </w:rPr>
        <w:t>建</w:t>
        <w:tab/>
        <w:t>发</w:t>
        <w:tab/>
        <w:t>开</w:t>
      </w:r>
    </w:p>
    <w:p>
      <w:pPr>
        <w:pStyle w:val="BodyText"/>
        <w:tabs>
          <w:tab w:pos="2448" w:val="left" w:leader="none"/>
          <w:tab w:pos="3528" w:val="left" w:leader="none"/>
        </w:tabs>
        <w:spacing w:line="272" w:lineRule="exact"/>
        <w:ind w:left="1188" w:right="0"/>
        <w:jc w:val="left"/>
        <w:rPr>
          <w:rFonts w:ascii="宋体" w:hAnsi="宋体" w:cs="宋体" w:eastAsia="宋体" w:hint="default"/>
        </w:rPr>
      </w:pPr>
      <w:r>
        <w:rPr>
          <w:rFonts w:ascii="宋体" w:hAnsi="宋体" w:cs="宋体" w:eastAsia="宋体" w:hint="default"/>
        </w:rPr>
        <w:t>设</w:t>
        <w:tab/>
        <w:t>展</w:t>
        <w:tab/>
        <w:t>发</w:t>
      </w:r>
    </w:p>
    <w:p>
      <w:pPr>
        <w:pStyle w:val="BodyText"/>
        <w:tabs>
          <w:tab w:pos="2448" w:val="left" w:leader="none"/>
          <w:tab w:pos="3528" w:val="left" w:leader="none"/>
        </w:tabs>
        <w:spacing w:line="272" w:lineRule="exact"/>
        <w:ind w:left="1188" w:right="0"/>
        <w:jc w:val="left"/>
        <w:rPr>
          <w:rFonts w:ascii="宋体" w:hAnsi="宋体" w:cs="宋体" w:eastAsia="宋体" w:hint="default"/>
        </w:rPr>
      </w:pPr>
      <w:r>
        <w:rPr>
          <w:rFonts w:ascii="宋体" w:hAnsi="宋体" w:cs="宋体" w:eastAsia="宋体" w:hint="default"/>
        </w:rPr>
        <w:t>中</w:t>
        <w:tab/>
        <w:t>中</w:t>
        <w:tab/>
        <w:t>中</w:t>
      </w:r>
    </w:p>
    <w:p>
      <w:pPr>
        <w:pStyle w:val="BodyText"/>
        <w:tabs>
          <w:tab w:pos="2448" w:val="left" w:leader="none"/>
          <w:tab w:pos="3528" w:val="left" w:leader="none"/>
        </w:tabs>
        <w:spacing w:line="273" w:lineRule="exact"/>
        <w:ind w:left="1188" w:right="0"/>
        <w:jc w:val="left"/>
        <w:rPr>
          <w:rFonts w:ascii="宋体" w:hAnsi="宋体" w:cs="宋体" w:eastAsia="宋体" w:hint="default"/>
        </w:rPr>
      </w:pPr>
      <w:r>
        <w:rPr>
          <w:rFonts w:ascii="宋体" w:hAnsi="宋体" w:cs="宋体" w:eastAsia="宋体" w:hint="default"/>
        </w:rPr>
        <w:t>心</w:t>
        <w:tab/>
        <w:t>心</w:t>
        <w:tab/>
        <w:t>心</w:t>
      </w:r>
    </w:p>
    <w:p>
      <w:pPr>
        <w:spacing w:after="0" w:line="273" w:lineRule="exact"/>
        <w:jc w:val="left"/>
        <w:rPr>
          <w:rFonts w:ascii="宋体" w:hAnsi="宋体" w:cs="宋体" w:eastAsia="宋体" w:hint="default"/>
        </w:rPr>
        <w:sectPr>
          <w:type w:val="continuous"/>
          <w:pgSz w:w="11910" w:h="16840"/>
          <w:pgMar w:top="1580" w:bottom="1020" w:left="1580" w:right="0"/>
          <w:cols w:num="2" w:equalWidth="0">
            <w:col w:w="3906" w:space="40"/>
            <w:col w:w="6384"/>
          </w:cols>
        </w:sectPr>
      </w:pPr>
    </w:p>
    <w:p>
      <w:pPr>
        <w:spacing w:line="240" w:lineRule="auto" w:before="0"/>
        <w:rPr>
          <w:rFonts w:ascii="宋体" w:hAnsi="宋体" w:cs="宋体" w:eastAsia="宋体" w:hint="default"/>
          <w:sz w:val="20"/>
          <w:szCs w:val="20"/>
        </w:rPr>
      </w:pPr>
      <w:r>
        <w:rPr/>
        <w:pict>
          <v:group style="position:absolute;margin-left:84.818268pt;margin-top:68.018288pt;width:424.45pt;height:710.55pt;mso-position-horizontal-relative:page;mso-position-vertical-relative:page;z-index:-555448" coordorigin="1696,1360" coordsize="8489,14211">
            <v:group style="position:absolute;left:5124;top:1368;width:1800;height:468" coordorigin="5124,1368" coordsize="1800,468">
              <v:shape style="position:absolute;left:5124;top:1368;width:1800;height:468" coordorigin="5124,1368" coordsize="1800,468" path="m5124,1368l5124,1836,6924,1836,6924,1368,5124,1368xe" filled="false" stroked="true" strokeweight=".71999pt" strokecolor="#000000">
                <v:path arrowok="t"/>
              </v:shape>
            </v:group>
            <v:group style="position:absolute;left:6024;top:1836;width:2;height:771" coordorigin="6024,1836" coordsize="2,771">
              <v:shape style="position:absolute;left:6024;top:1836;width:2;height:771" coordorigin="6024,1836" coordsize="0,771" path="m6024,1836l6024,2606e" filled="false" stroked="true" strokeweight=".71999pt" strokecolor="#000000">
                <v:path arrowok="t"/>
              </v:shape>
            </v:group>
            <v:group style="position:absolute;left:6024;top:2308;width:1800;height:2" coordorigin="6024,2308" coordsize="1800,2">
              <v:shape style="position:absolute;left:6024;top:2308;width:1800;height:2" coordorigin="6024,2308" coordsize="1800,0" path="m6024,2308l7824,2308e" filled="false" stroked="true" strokeweight=".71999pt" strokecolor="#000000">
                <v:path arrowok="t"/>
              </v:shape>
            </v:group>
            <v:group style="position:absolute;left:7824;top:2152;width:2259;height:468" coordorigin="7824,2152" coordsize="2259,468">
              <v:shape style="position:absolute;left:7824;top:2152;width:2259;height:468" coordorigin="7824,2152" coordsize="2259,468" path="m7824,2152l7824,2620,10082,2620,10082,2152,7824,2152xe" filled="false" stroked="true" strokeweight=".71999pt" strokecolor="#000000">
                <v:path arrowok="t"/>
              </v:shape>
            </v:group>
            <v:group style="position:absolute;left:5124;top:2620;width:1980;height:468" coordorigin="5124,2620" coordsize="1980,468">
              <v:shape style="position:absolute;left:5124;top:2620;width:1980;height:468" coordorigin="5124,2620" coordsize="1980,468" path="m5124,2620l5124,3088,7104,3088,7104,2620,5124,2620xe" filled="false" stroked="true" strokeweight=".71999pt" strokecolor="#000000">
                <v:path arrowok="t"/>
              </v:shape>
            </v:group>
            <v:group style="position:absolute;left:5124;top:3864;width:1980;height:468" coordorigin="5124,3864" coordsize="1980,468">
              <v:shape style="position:absolute;left:5124;top:3864;width:1980;height:468" coordorigin="5124,3864" coordsize="1980,468" path="m5124,3864l5124,4332,7104,4332,7104,3864,5124,3864xe" filled="false" stroked="true" strokeweight=".71999pt" strokecolor="#000000">
                <v:path arrowok="t"/>
              </v:shape>
            </v:group>
            <v:group style="position:absolute;left:6024;top:3091;width:2;height:773" coordorigin="6024,3091" coordsize="2,773">
              <v:shape style="position:absolute;left:6024;top:3091;width:2;height:773" coordorigin="6024,3091" coordsize="0,773" path="m6024,3091l6024,3864e" filled="false" stroked="true" strokeweight=".71999pt" strokecolor="#000000">
                <v:path arrowok="t"/>
              </v:shape>
            </v:group>
            <v:group style="position:absolute;left:7824;top:3247;width:2333;height:468" coordorigin="7824,3247" coordsize="2333,468">
              <v:shape style="position:absolute;left:7824;top:3247;width:2333;height:468" coordorigin="7824,3247" coordsize="2333,468" path="m7824,3247l7824,3715,10156,3715,10156,3247,7824,3247xe" filled="false" stroked="true" strokeweight=".71999pt" strokecolor="#000000">
                <v:path arrowok="t"/>
              </v:shape>
            </v:group>
            <v:group style="position:absolute;left:2784;top:4965;width:540;height:2028" coordorigin="2784,4965" coordsize="540,2028">
              <v:shape style="position:absolute;left:2784;top:4965;width:540;height:2028" coordorigin="2784,4965" coordsize="540,2028" path="m2784,4965l2784,6993,3324,6993,3324,4965,2784,4965xe" filled="false" stroked="true" strokeweight=".71999pt" strokecolor="#000000">
                <v:path arrowok="t"/>
              </v:shape>
            </v:group>
            <v:group style="position:absolute;left:3144;top:4653;width:6120;height:2" coordorigin="3144,4653" coordsize="6120,2">
              <v:shape style="position:absolute;left:3144;top:4653;width:6120;height:2" coordorigin="3144,4653" coordsize="6120,0" path="m3144,4653l9264,4653e" filled="false" stroked="true" strokeweight=".71999pt" strokecolor="#000000">
                <v:path arrowok="t"/>
              </v:shape>
            </v:group>
            <v:group style="position:absolute;left:3144;top:4653;width:2;height:312" coordorigin="3144,4653" coordsize="2,312">
              <v:shape style="position:absolute;left:3144;top:4653;width:2;height:312" coordorigin="3144,4653" coordsize="0,312" path="m3144,4653l3144,4965e" filled="false" stroked="true" strokeweight=".71999pt" strokecolor="#000000">
                <v:path arrowok="t"/>
              </v:shape>
            </v:group>
            <v:group style="position:absolute;left:4044;top:4965;width:540;height:2028" coordorigin="4044,4965" coordsize="540,2028">
              <v:shape style="position:absolute;left:4044;top:4965;width:540;height:2028" coordorigin="4044,4965" coordsize="540,2028" path="m4044,4965l4044,6993,4584,6993,4584,4965,4044,4965xe" filled="false" stroked="true" strokeweight=".71999pt" strokecolor="#000000">
                <v:path arrowok="t"/>
              </v:shape>
            </v:group>
            <v:group style="position:absolute;left:4404;top:4653;width:2;height:312" coordorigin="4404,4653" coordsize="2,312">
              <v:shape style="position:absolute;left:4404;top:4653;width:2;height:312" coordorigin="4404,4653" coordsize="0,312" path="m4404,4653l4404,4965e" filled="false" stroked="true" strokeweight=".71999pt" strokecolor="#000000">
                <v:path arrowok="t"/>
              </v:shape>
            </v:group>
            <v:group style="position:absolute;left:5124;top:4965;width:540;height:2028" coordorigin="5124,4965" coordsize="540,2028">
              <v:shape style="position:absolute;left:5124;top:4965;width:540;height:2028" coordorigin="5124,4965" coordsize="540,2028" path="m5124,4965l5124,6993,5664,6993,5664,4965,5124,4965xe" filled="false" stroked="true" strokeweight=".71999pt" strokecolor="#000000">
                <v:path arrowok="t"/>
              </v:shape>
            </v:group>
            <v:group style="position:absolute;left:5484;top:4653;width:2;height:312" coordorigin="5484,4653" coordsize="2,312">
              <v:shape style="position:absolute;left:5484;top:4653;width:2;height:312" coordorigin="5484,4653" coordsize="0,312" path="m5484,4653l5484,4965e" filled="false" stroked="true" strokeweight=".71999pt" strokecolor="#000000">
                <v:path arrowok="t"/>
              </v:shape>
            </v:group>
            <v:group style="position:absolute;left:6564;top:4965;width:540;height:2028" coordorigin="6564,4965" coordsize="540,2028">
              <v:shape style="position:absolute;left:6564;top:4965;width:540;height:2028" coordorigin="6564,4965" coordsize="540,2028" path="m6564,4965l6564,6993,7104,6993,7104,4965,6564,4965xe" filled="false" stroked="true" strokeweight=".71999pt" strokecolor="#000000">
                <v:path arrowok="t"/>
              </v:shape>
            </v:group>
            <v:group style="position:absolute;left:6924;top:4653;width:2;height:312" coordorigin="6924,4653" coordsize="2,312">
              <v:shape style="position:absolute;left:6924;top:4653;width:2;height:312" coordorigin="6924,4653" coordsize="0,312" path="m6924,4653l6924,4965e" filled="false" stroked="true" strokeweight=".71999pt" strokecolor="#000000">
                <v:path arrowok="t"/>
              </v:shape>
            </v:group>
            <v:group style="position:absolute;left:7824;top:4965;width:540;height:2028" coordorigin="7824,4965" coordsize="540,2028">
              <v:shape style="position:absolute;left:7824;top:4965;width:540;height:2028" coordorigin="7824,4965" coordsize="540,2028" path="m7824,4965l7824,6993,8364,6993,8364,4965,7824,4965xe" filled="false" stroked="true" strokeweight=".71999pt" strokecolor="#000000">
                <v:path arrowok="t"/>
              </v:shape>
            </v:group>
            <v:group style="position:absolute;left:8184;top:4653;width:2;height:312" coordorigin="8184,4653" coordsize="2,312">
              <v:shape style="position:absolute;left:8184;top:4653;width:2;height:312" coordorigin="8184,4653" coordsize="0,312" path="m8184,4653l8184,4965e" filled="false" stroked="true" strokeweight=".71999pt" strokecolor="#000000">
                <v:path arrowok="t"/>
              </v:shape>
            </v:group>
            <v:group style="position:absolute;left:8904;top:4965;width:540;height:2028" coordorigin="8904,4965" coordsize="540,2028">
              <v:shape style="position:absolute;left:8904;top:4965;width:540;height:2028" coordorigin="8904,4965" coordsize="540,2028" path="m8904,4965l8904,6993,9444,6993,9444,4965,8904,4965xe" filled="false" stroked="true" strokeweight=".71999pt" strokecolor="#000000">
                <v:path arrowok="t"/>
              </v:shape>
            </v:group>
            <v:group style="position:absolute;left:9264;top:4653;width:2;height:312" coordorigin="9264,4653" coordsize="2,312">
              <v:shape style="position:absolute;left:9264;top:4653;width:2;height:312" coordorigin="9264,4653" coordsize="0,312" path="m9264,4653l9264,4965e" filled="false" stroked="true" strokeweight=".71999pt" strokecolor="#000000">
                <v:path arrowok="t"/>
              </v:shape>
            </v:group>
            <v:group style="position:absolute;left:6024;top:4742;width:2;height:780" coordorigin="6024,4742" coordsize="2,780">
              <v:shape style="position:absolute;left:6024;top:4742;width:2;height:780" coordorigin="6024,4742" coordsize="0,780" path="m6024,4742l6024,5522e" filled="false" stroked="true" strokeweight=".71999pt" strokecolor="#000000">
                <v:path arrowok="t"/>
              </v:shape>
            </v:group>
            <v:group style="position:absolute;left:6024;top:4332;width:2;height:2818" coordorigin="6024,4332" coordsize="2,2818">
              <v:shape style="position:absolute;left:6024;top:4332;width:2;height:2818" coordorigin="6024,4332" coordsize="0,2818" path="m6024,4332l6024,7149e" filled="false" stroked="true" strokeweight=".71999pt" strokecolor="#000000">
                <v:path arrowok="t"/>
              </v:shape>
            </v:group>
            <v:group style="position:absolute;left:2244;top:7149;width:7560;height:3" coordorigin="2244,7149" coordsize="7560,3">
              <v:shape style="position:absolute;left:2244;top:7149;width:7560;height:3" coordorigin="2244,7149" coordsize="7560,3" path="m2244,7152l9804,7149e" filled="false" stroked="true" strokeweight=".71999pt" strokecolor="#000000">
                <v:path arrowok="t"/>
              </v:shape>
            </v:group>
            <v:group style="position:absolute;left:2244;top:7152;width:2;height:312" coordorigin="2244,7152" coordsize="2,312">
              <v:shape style="position:absolute;left:2244;top:7152;width:2;height:312" coordorigin="2244,7152" coordsize="0,312" path="m2244,7464l2244,7152e" filled="false" stroked="true" strokeweight=".71999pt" strokecolor="#000000">
                <v:path arrowok="t"/>
              </v:shape>
            </v:group>
            <v:group style="position:absolute;left:8071;top:7152;width:2;height:312" coordorigin="8071,7152" coordsize="2,312">
              <v:shape style="position:absolute;left:8071;top:7152;width:2;height:312" coordorigin="8071,7152" coordsize="0,312" path="m8071,7152l8071,7464e" filled="false" stroked="true" strokeweight=".71999pt" strokecolor="#000000">
                <v:path arrowok="t"/>
              </v:shape>
            </v:group>
            <v:group style="position:absolute;left:1884;top:7461;width:540;height:3912" coordorigin="1884,7461" coordsize="540,3912">
              <v:shape style="position:absolute;left:1884;top:7461;width:540;height:3912" coordorigin="1884,7461" coordsize="540,3912" path="m1884,7461l1884,11373,2424,11373,2424,7461,1884,7461xe" filled="false" stroked="true" strokeweight=".71999pt" strokecolor="#000000">
                <v:path arrowok="t"/>
              </v:shape>
            </v:group>
            <v:group style="position:absolute;left:3864;top:7452;width:540;height:3900" coordorigin="3864,7452" coordsize="540,3900">
              <v:shape style="position:absolute;left:3864;top:7452;width:540;height:3900" coordorigin="3864,7452" coordsize="540,3900" path="m3864,7452l3864,11352,4404,11352,4404,7452,3864,7452xe" filled="false" stroked="true" strokeweight=".71999pt" strokecolor="#000000">
                <v:path arrowok="t"/>
              </v:shape>
            </v:group>
            <v:group style="position:absolute;left:5844;top:7452;width:540;height:3900" coordorigin="5844,7452" coordsize="540,3900">
              <v:shape style="position:absolute;left:5844;top:7452;width:540;height:3900" coordorigin="5844,7452" coordsize="540,3900" path="m5844,7452l5844,11352,6384,11352,6384,7452,5844,7452xe" filled="false" stroked="true" strokeweight=".71999pt" strokecolor="#000000">
                <v:path arrowok="t"/>
              </v:shape>
            </v:group>
            <v:group style="position:absolute;left:6024;top:7089;width:2;height:363" coordorigin="6024,7089" coordsize="2,363">
              <v:shape style="position:absolute;left:6024;top:7089;width:2;height:363" coordorigin="6024,7089" coordsize="0,363" path="m6024,7089l6024,7452e" filled="false" stroked="true" strokeweight=".71999pt" strokecolor="#000000">
                <v:path arrowok="t"/>
              </v:shape>
            </v:group>
            <v:group style="position:absolute;left:6204;top:11352;width:2;height:312" coordorigin="6204,11352" coordsize="2,312">
              <v:shape style="position:absolute;left:6204;top:11352;width:2;height:312" coordorigin="6204,11352" coordsize="0,312" path="m6204,11352l6204,11664e" filled="false" stroked="true" strokeweight=".71999pt" strokecolor="#000000">
                <v:path arrowok="t"/>
              </v:shape>
            </v:group>
            <v:group style="position:absolute;left:7824;top:7452;width:608;height:3900" coordorigin="7824,7452" coordsize="608,3900">
              <v:shape style="position:absolute;left:7824;top:7452;width:608;height:3900" coordorigin="7824,7452" coordsize="608,3900" path="m7824,7452l7824,11352,8431,11352,8431,7452,7824,7452xe" filled="false" stroked="true" strokeweight=".71999pt" strokecolor="#000000">
                <v:path arrowok="t"/>
              </v:shape>
            </v:group>
            <v:group style="position:absolute;left:9804;top:7164;width:2;height:312" coordorigin="9804,7164" coordsize="2,312">
              <v:shape style="position:absolute;left:9804;top:7164;width:2;height:312" coordorigin="9804,7164" coordsize="0,312" path="m9804,7164l9804,7476e" filled="false" stroked="true" strokeweight=".71999pt" strokecolor="#000000">
                <v:path arrowok="t"/>
              </v:shape>
            </v:group>
            <v:group style="position:absolute;left:1704;top:1840;width:2160;height:468" coordorigin="1704,1840" coordsize="2160,468">
              <v:shape style="position:absolute;left:1704;top:1840;width:2160;height:468" coordorigin="1704,1840" coordsize="2160,468" path="m1704,1840l1704,2308,3864,2308,3864,1840,1704,1840xe" filled="false" stroked="true" strokeweight=".71999pt" strokecolor="#000000">
                <v:path arrowok="t"/>
              </v:shape>
            </v:group>
            <v:group style="position:absolute;left:3864;top:2200;width:720;height:2" coordorigin="3864,2200" coordsize="720,2">
              <v:shape style="position:absolute;left:3864;top:2200;width:720;height:2" coordorigin="3864,2200" coordsize="720,0" path="m3864,2200l4584,2200e" filled="false" stroked="true" strokeweight=".71999pt" strokecolor="#000000">
                <v:path arrowok="t"/>
              </v:shape>
            </v:group>
            <v:group style="position:absolute;left:4584;top:2200;width:2;height:2136" coordorigin="4584,2200" coordsize="2,2136">
              <v:shape style="position:absolute;left:4584;top:2200;width:2;height:2136" coordorigin="4584,2200" coordsize="0,2136" path="m4584,2200l4584,4336e" filled="false" stroked="true" strokeweight=".71999pt" strokecolor="#000000">
                <v:path arrowok="t"/>
              </v:shape>
            </v:group>
            <v:group style="position:absolute;left:1704;top:4024;width:2160;height:468" coordorigin="1704,4024" coordsize="2160,468">
              <v:shape style="position:absolute;left:1704;top:4024;width:2160;height:468" coordorigin="1704,4024" coordsize="2160,468" path="m1704,4024l1704,4492,3864,4492,3864,4024,1704,4024xe" filled="false" stroked="true" strokeweight=".71999pt" strokecolor="#000000">
                <v:path arrowok="t"/>
              </v:shape>
            </v:group>
            <v:group style="position:absolute;left:3864;top:4336;width:720;height:2" coordorigin="3864,4336" coordsize="720,2">
              <v:shape style="position:absolute;left:3864;top:4336;width:720;height:2" coordorigin="3864,4336" coordsize="720,0" path="m3864,4336l4584,4336e" filled="false" stroked="true" strokeweight=".71999pt" strokecolor="#000000">
                <v:path arrowok="t"/>
              </v:shape>
            </v:group>
            <v:group style="position:absolute;left:1704;top:2668;width:2160;height:468" coordorigin="1704,2668" coordsize="2160,468">
              <v:shape style="position:absolute;left:1704;top:2668;width:2160;height:468" coordorigin="1704,2668" coordsize="2160,468" path="m1704,2668l1704,3136,3864,3136,3864,2668,1704,2668xe" filled="false" stroked="true" strokeweight=".71999pt" strokecolor="#000000">
                <v:path arrowok="t"/>
              </v:shape>
            </v:group>
            <v:group style="position:absolute;left:3864;top:2935;width:720;height:2" coordorigin="3864,2935" coordsize="720,2">
              <v:shape style="position:absolute;left:3864;top:2935;width:720;height:2" coordorigin="3864,2935" coordsize="720,0" path="m3864,2935l4584,2935e" filled="false" stroked="true" strokeweight=".71999pt" strokecolor="#000000">
                <v:path arrowok="t"/>
              </v:shape>
            </v:group>
            <v:group style="position:absolute;left:1704;top:3290;width:2160;height:468" coordorigin="1704,3290" coordsize="2160,468">
              <v:shape style="position:absolute;left:1704;top:3290;width:2160;height:468" coordorigin="1704,3290" coordsize="2160,468" path="m1704,3290l1704,3758,3864,3758,3864,3290,1704,3290xe" filled="false" stroked="true" strokeweight=".71999pt" strokecolor="#000000">
                <v:path arrowok="t"/>
              </v:shape>
            </v:group>
            <v:group style="position:absolute;left:3864;top:3556;width:720;height:2" coordorigin="3864,3556" coordsize="720,2">
              <v:shape style="position:absolute;left:3864;top:3556;width:720;height:2" coordorigin="3864,3556" coordsize="720,0" path="m3864,3556l4584,3556e" filled="false" stroked="true" strokeweight=".71999pt" strokecolor="#000000">
                <v:path arrowok="t"/>
              </v:shape>
            </v:group>
            <v:group style="position:absolute;left:4584;top:3403;width:3240;height:2" coordorigin="4584,3403" coordsize="3240,2">
              <v:shape style="position:absolute;left:4584;top:3403;width:3240;height:2" coordorigin="4584,3403" coordsize="3240,0" path="m4584,3403l7824,3403e" filled="false" stroked="true" strokeweight=".71999pt" strokecolor="#000000">
                <v:path arrowok="t"/>
              </v:shape>
            </v:group>
            <v:group style="position:absolute;left:5844;top:11664;width:540;height:3900" coordorigin="5844,11664" coordsize="540,3900">
              <v:shape style="position:absolute;left:5844;top:11664;width:540;height:3900" coordorigin="5844,11664" coordsize="540,3900" path="m5844,11664l5844,15564,6384,15564,6384,11664,5844,11664xe" filled="false" stroked="true" strokeweight=".71999pt" strokecolor="#000000">
                <v:path arrowok="t"/>
              </v:shape>
            </v:group>
            <v:group style="position:absolute;left:3684;top:11664;width:540;height:3900" coordorigin="3684,11664" coordsize="540,3900">
              <v:shape style="position:absolute;left:3684;top:11664;width:540;height:3900" coordorigin="3684,11664" coordsize="540,3900" path="m3684,11664l3684,15564,4224,15564,4224,11664,3684,11664xe" filled="false" stroked="true" strokeweight=".71999pt" strokecolor="#000000">
                <v:path arrowok="t"/>
              </v:shape>
            </v:group>
            <v:group style="position:absolute;left:4224;top:11613;width:2;height:312" coordorigin="4224,11613" coordsize="2,312">
              <v:shape style="position:absolute;left:4224;top:11613;width:2;height:312" coordorigin="4224,11613" coordsize="0,312" path="m4224,11613l4224,11925e" filled="false" stroked="true" strokeweight=".71999pt" strokecolor="#000000">
                <v:path arrowok="t"/>
              </v:shape>
            </v:group>
            <v:group style="position:absolute;left:9624;top:7452;width:540;height:3900" coordorigin="9624,7452" coordsize="540,3900">
              <v:shape style="position:absolute;left:9624;top:7452;width:540;height:3900" coordorigin="9624,7452" coordsize="540,3900" path="m9624,7452l9624,11352,10164,11352,10164,7452,9624,7452xe" filled="false" stroked="true" strokeweight=".71999pt" strokecolor="#000000">
                <v:path arrowok="t"/>
              </v:shape>
            </v:group>
            <v:group style="position:absolute;left:4044;top:11352;width:2;height:312" coordorigin="4044,11352" coordsize="2,312">
              <v:shape style="position:absolute;left:4044;top:11352;width:2;height:312" coordorigin="4044,11352" coordsize="0,312" path="m4044,11352l4044,11664e" filled="false" stroked="true" strokeweight=".71999pt" strokecolor="#000000">
                <v:path arrowok="t"/>
              </v:shape>
            </v:group>
            <v:group style="position:absolute;left:6024;top:11352;width:2;height:156" coordorigin="6024,11352" coordsize="2,156">
              <v:shape style="position:absolute;left:6024;top:11352;width:2;height:156" coordorigin="6024,11352" coordsize="0,156" path="m6024,11352l6024,11508e" filled="false" stroked="true" strokeweight=".71999pt" strokecolor="#000000">
                <v:path arrowok="t"/>
              </v:shape>
            </v:group>
            <v:group style="position:absolute;left:9804;top:11376;width:2;height:288" coordorigin="9804,11376" coordsize="2,288">
              <v:shape style="position:absolute;left:9804;top:11376;width:2;height:288" coordorigin="9804,11376" coordsize="0,288" path="m9804,11376l9804,11664e" filled="false" stroked="true" strokeweight=".71999pt" strokecolor="#000000">
                <v:path arrowok="t"/>
              </v:shape>
            </v:group>
            <v:group style="position:absolute;left:4044;top:11508;width:1980;height:2" coordorigin="4044,11508" coordsize="1980,2">
              <v:shape style="position:absolute;left:4044;top:11508;width:1980;height:2" coordorigin="4044,11508" coordsize="1980,0" path="m4044,11508l6024,11508e" filled="false" stroked="true" strokeweight=".71999pt" strokecolor="#000000">
                <v:path arrowok="t"/>
              </v:shape>
            </v:group>
            <v:group style="position:absolute;left:9624;top:11664;width:555;height:3900" coordorigin="9624,11664" coordsize="555,3900">
              <v:shape style="position:absolute;left:9624;top:11664;width:555;height:3900" coordorigin="9624,11664" coordsize="555,3900" path="m9624,11664l9624,15564,10178,15564,10178,11664,9624,11664xe" filled="false" stroked="true" strokeweight=".71999pt" strokecolor="#000000">
                <v:path arrowok="t"/>
              </v:shape>
            </v:group>
            <v:group style="position:absolute;left:4044;top:7140;width:2;height:272" coordorigin="4044,7140" coordsize="2,272">
              <v:shape style="position:absolute;left:4044;top:7140;width:2;height:272" coordorigin="4044,7140" coordsize="0,272" path="m4044,7411l4044,7140e" filled="false" stroked="true" strokeweight=".71999pt" strokecolor="#000000">
                <v:path arrowok="t"/>
              </v:shape>
            </v:group>
            <w10:wrap type="none"/>
          </v:group>
        </w:pict>
      </w:r>
    </w:p>
    <w:p>
      <w:pPr>
        <w:spacing w:line="240" w:lineRule="auto" w:before="1"/>
        <w:rPr>
          <w:rFonts w:ascii="宋体" w:hAnsi="宋体" w:cs="宋体" w:eastAsia="宋体" w:hint="default"/>
          <w:sz w:val="15"/>
          <w:szCs w:val="15"/>
        </w:rPr>
      </w:pPr>
    </w:p>
    <w:p>
      <w:pPr>
        <w:pStyle w:val="BodyText"/>
        <w:tabs>
          <w:tab w:pos="2542" w:val="left" w:leader="none"/>
          <w:tab w:pos="4537" w:val="left" w:leader="none"/>
          <w:tab w:pos="6740" w:val="left" w:leader="none"/>
          <w:tab w:pos="8420" w:val="left" w:leader="none"/>
        </w:tabs>
        <w:spacing w:line="240" w:lineRule="auto" w:before="36"/>
        <w:ind w:left="754" w:right="1076"/>
        <w:jc w:val="left"/>
        <w:rPr>
          <w:rFonts w:ascii="宋体" w:hAnsi="宋体" w:cs="宋体" w:eastAsia="宋体" w:hint="default"/>
        </w:rPr>
      </w:pPr>
      <w:r>
        <w:rPr>
          <w:rFonts w:ascii="宋体"/>
        </w:rPr>
        <w:t>100%</w:t>
        <w:tab/>
      </w:r>
      <w:r>
        <w:rPr>
          <w:rFonts w:ascii="宋体"/>
          <w:spacing w:val="-1"/>
        </w:rPr>
        <w:t>100%</w:t>
        <w:tab/>
        <w:t>100%</w:t>
        <w:tab/>
      </w:r>
      <w:r>
        <w:rPr>
          <w:rFonts w:ascii="宋体"/>
        </w:rPr>
        <w:t>60%</w:t>
        <w:tab/>
      </w:r>
      <w:r>
        <w:rPr>
          <w:rFonts w:ascii="宋体"/>
          <w:spacing w:val="-1"/>
        </w:rPr>
        <w:t>55%</w:t>
      </w:r>
    </w:p>
    <w:p>
      <w:pPr>
        <w:tabs>
          <w:tab w:pos="2434" w:val="left" w:leader="none"/>
          <w:tab w:pos="4414" w:val="left" w:leader="none"/>
          <w:tab w:pos="8194" w:val="left" w:leader="none"/>
        </w:tabs>
        <w:spacing w:line="296" w:lineRule="exact" w:before="78"/>
        <w:ind w:left="454" w:right="1076" w:firstLine="0"/>
        <w:jc w:val="left"/>
        <w:rPr>
          <w:rFonts w:ascii="宋体" w:hAnsi="宋体" w:cs="宋体" w:eastAsia="宋体" w:hint="default"/>
          <w:sz w:val="21"/>
          <w:szCs w:val="21"/>
        </w:rPr>
      </w:pPr>
      <w:r>
        <w:rPr/>
        <w:pict>
          <v:shape style="position:absolute;margin-left:400.693207pt;margin-top:4.385939pt;width:12.6pt;height:185.85pt;mso-position-horizontal-relative:page;mso-position-vertical-relative:paragraph;z-index:-555376"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100"/>
                    </w:rPr>
                    <w:t>贵</w:t>
                  </w:r>
                  <w:r>
                    <w:rPr>
                      <w:rFonts w:ascii="宋体" w:hAnsi="宋体" w:cs="宋体" w:eastAsia="宋体" w:hint="default"/>
                    </w:rPr>
                    <w:t> </w:t>
                  </w:r>
                  <w:r>
                    <w:rPr>
                      <w:rFonts w:ascii="宋体" w:hAnsi="宋体" w:cs="宋体" w:eastAsia="宋体" w:hint="default"/>
                      <w:w w:val="100"/>
                    </w:rPr>
                    <w:t>州</w:t>
                  </w:r>
                  <w:r>
                    <w:rPr>
                      <w:rFonts w:ascii="宋体" w:hAnsi="宋体" w:cs="宋体" w:eastAsia="宋体" w:hint="default"/>
                      <w:spacing w:val="-2"/>
                    </w:rPr>
                    <w:t> </w:t>
                  </w:r>
                  <w:r>
                    <w:rPr>
                      <w:rFonts w:ascii="宋体" w:hAnsi="宋体" w:cs="宋体" w:eastAsia="宋体" w:hint="default"/>
                      <w:w w:val="100"/>
                    </w:rPr>
                    <w:t>吉</w:t>
                  </w:r>
                  <w:r>
                    <w:rPr>
                      <w:rFonts w:ascii="宋体" w:hAnsi="宋体" w:cs="宋体" w:eastAsia="宋体" w:hint="default"/>
                      <w:spacing w:val="-2"/>
                    </w:rPr>
                    <w:t> </w:t>
                  </w:r>
                  <w:r>
                    <w:rPr>
                      <w:rFonts w:ascii="宋体" w:hAnsi="宋体" w:cs="宋体" w:eastAsia="宋体" w:hint="default"/>
                      <w:w w:val="100"/>
                    </w:rPr>
                    <w:t>源</w:t>
                  </w:r>
                  <w:r>
                    <w:rPr>
                      <w:rFonts w:ascii="宋体" w:hAnsi="宋体" w:cs="宋体" w:eastAsia="宋体" w:hint="default"/>
                    </w:rPr>
                    <w:t> </w:t>
                  </w:r>
                  <w:r>
                    <w:rPr>
                      <w:rFonts w:ascii="宋体" w:hAnsi="宋体" w:cs="宋体" w:eastAsia="宋体" w:hint="default"/>
                      <w:w w:val="100"/>
                    </w:rPr>
                    <w:t>煤</w:t>
                  </w:r>
                  <w:r>
                    <w:rPr>
                      <w:rFonts w:ascii="宋体" w:hAnsi="宋体" w:cs="宋体" w:eastAsia="宋体" w:hint="default"/>
                      <w:spacing w:val="-2"/>
                    </w:rPr>
                    <w:t> </w:t>
                  </w:r>
                  <w:r>
                    <w:rPr>
                      <w:rFonts w:ascii="宋体" w:hAnsi="宋体" w:cs="宋体" w:eastAsia="宋体" w:hint="default"/>
                      <w:w w:val="100"/>
                    </w:rPr>
                    <w:t>业</w:t>
                  </w:r>
                  <w:r>
                    <w:rPr>
                      <w:rFonts w:ascii="宋体" w:hAnsi="宋体" w:cs="宋体" w:eastAsia="宋体" w:hint="default"/>
                      <w:spacing w:val="-2"/>
                    </w:rPr>
                    <w:t> </w:t>
                  </w:r>
                  <w:r>
                    <w:rPr>
                      <w:rFonts w:ascii="宋体" w:hAnsi="宋体" w:cs="宋体" w:eastAsia="宋体" w:hint="default"/>
                      <w:w w:val="100"/>
                    </w:rPr>
                    <w:t>有</w:t>
                  </w:r>
                  <w:r>
                    <w:rPr>
                      <w:rFonts w:ascii="宋体" w:hAnsi="宋体" w:cs="宋体" w:eastAsia="宋体" w:hint="default"/>
                      <w:spacing w:val="-2"/>
                    </w:rPr>
                    <w:t> </w:t>
                  </w:r>
                  <w:r>
                    <w:rPr>
                      <w:rFonts w:ascii="宋体" w:hAnsi="宋体" w:cs="宋体" w:eastAsia="宋体" w:hint="default"/>
                      <w:w w:val="100"/>
                    </w:rPr>
                    <w:t>限</w:t>
                  </w:r>
                  <w:r>
                    <w:rPr>
                      <w:rFonts w:ascii="宋体" w:hAnsi="宋体" w:cs="宋体" w:eastAsia="宋体" w:hint="default"/>
                      <w:spacing w:val="-2"/>
                    </w:rPr>
                    <w:t> </w:t>
                  </w:r>
                  <w:r>
                    <w:rPr>
                      <w:rFonts w:ascii="宋体" w:hAnsi="宋体" w:cs="宋体" w:eastAsia="宋体" w:hint="default"/>
                      <w:w w:val="100"/>
                    </w:rPr>
                    <w:t>责</w:t>
                  </w:r>
                  <w:r>
                    <w:rPr>
                      <w:rFonts w:ascii="宋体" w:hAnsi="宋体" w:cs="宋体" w:eastAsia="宋体" w:hint="default"/>
                    </w:rPr>
                    <w:t> </w:t>
                  </w:r>
                  <w:r>
                    <w:rPr>
                      <w:rFonts w:ascii="宋体" w:hAnsi="宋体" w:cs="宋体" w:eastAsia="宋体" w:hint="default"/>
                      <w:w w:val="100"/>
                    </w:rPr>
                    <w:t>任</w:t>
                  </w:r>
                  <w:r>
                    <w:rPr>
                      <w:rFonts w:ascii="宋体" w:hAnsi="宋体" w:cs="宋体" w:eastAsia="宋体" w:hint="default"/>
                      <w:spacing w:val="-2"/>
                    </w:rPr>
                    <w:t> </w:t>
                  </w:r>
                  <w:r>
                    <w:rPr>
                      <w:rFonts w:ascii="宋体" w:hAnsi="宋体" w:cs="宋体" w:eastAsia="宋体" w:hint="default"/>
                      <w:w w:val="100"/>
                    </w:rPr>
                    <w:t>公</w:t>
                  </w:r>
                  <w:r>
                    <w:rPr>
                      <w:rFonts w:ascii="宋体" w:hAnsi="宋体" w:cs="宋体" w:eastAsia="宋体" w:hint="default"/>
                      <w:spacing w:val="-2"/>
                    </w:rPr>
                    <w:t> </w:t>
                  </w:r>
                  <w:r>
                    <w:rPr>
                      <w:rFonts w:ascii="宋体" w:hAnsi="宋体" w:cs="宋体" w:eastAsia="宋体" w:hint="default"/>
                      <w:w w:val="100"/>
                    </w:rPr>
                    <w:t>司</w:t>
                  </w:r>
                </w:p>
              </w:txbxContent>
            </v:textbox>
            <w10:wrap type="none"/>
          </v:shape>
        </w:pict>
      </w:r>
      <w:r>
        <w:rPr>
          <w:rFonts w:ascii="宋体" w:hAnsi="宋体" w:cs="宋体" w:eastAsia="宋体" w:hint="default"/>
          <w:position w:val="-3"/>
          <w:sz w:val="24"/>
          <w:szCs w:val="24"/>
        </w:rPr>
        <w:t>广</w:t>
        <w:tab/>
      </w:r>
      <w:r>
        <w:rPr>
          <w:rFonts w:ascii="宋体" w:hAnsi="宋体" w:cs="宋体" w:eastAsia="宋体" w:hint="default"/>
          <w:sz w:val="21"/>
          <w:szCs w:val="21"/>
        </w:rPr>
        <w:t>广</w:t>
        <w:tab/>
        <w:t>广</w:t>
        <w:tab/>
        <w:t>广</w:t>
      </w:r>
    </w:p>
    <w:p>
      <w:pPr>
        <w:pStyle w:val="BodyText"/>
        <w:tabs>
          <w:tab w:pos="4414" w:val="left" w:leader="none"/>
          <w:tab w:pos="8194" w:val="left" w:leader="none"/>
        </w:tabs>
        <w:spacing w:line="250" w:lineRule="exact"/>
        <w:ind w:left="2434" w:right="1076"/>
        <w:jc w:val="left"/>
        <w:rPr>
          <w:rFonts w:ascii="宋体" w:hAnsi="宋体" w:cs="宋体" w:eastAsia="宋体" w:hint="default"/>
        </w:rPr>
      </w:pPr>
      <w:r>
        <w:rPr/>
        <w:pict>
          <v:shape style="position:absolute;margin-left:103.08847pt;margin-top:6.266372pt;width:392.95pt;height:64.3pt;mso-position-horizontal-relative:page;mso-position-vertical-relative:paragraph;z-index:-555352;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rPr>
        <w:t>州</w:t>
        <w:tab/>
        <w:t>州</w:t>
        <w:tab/>
        <w:t>西</w:t>
      </w:r>
    </w:p>
    <w:p>
      <w:pPr>
        <w:tabs>
          <w:tab w:pos="2434" w:val="left" w:leader="none"/>
          <w:tab w:pos="4414" w:val="left" w:leader="none"/>
          <w:tab w:pos="8194" w:val="left" w:leader="none"/>
        </w:tabs>
        <w:spacing w:line="315" w:lineRule="exact" w:before="0"/>
        <w:ind w:left="454" w:right="1076" w:firstLine="0"/>
        <w:jc w:val="left"/>
        <w:rPr>
          <w:rFonts w:ascii="宋体" w:hAnsi="宋体" w:cs="宋体" w:eastAsia="宋体" w:hint="default"/>
          <w:sz w:val="21"/>
          <w:szCs w:val="21"/>
        </w:rPr>
      </w:pPr>
      <w:r>
        <w:rPr>
          <w:rFonts w:ascii="宋体" w:hAnsi="宋体" w:cs="宋体" w:eastAsia="宋体" w:hint="default"/>
          <w:position w:val="-7"/>
          <w:sz w:val="24"/>
          <w:szCs w:val="24"/>
        </w:rPr>
        <w:t>州</w:t>
        <w:tab/>
      </w:r>
      <w:r>
        <w:rPr>
          <w:rFonts w:ascii="宋体" w:hAnsi="宋体" w:cs="宋体" w:eastAsia="宋体" w:hint="default"/>
          <w:sz w:val="21"/>
          <w:szCs w:val="21"/>
        </w:rPr>
        <w:t>润</w:t>
        <w:tab/>
        <w:t>天</w:t>
        <w:tab/>
        <w:t>田</w:t>
      </w:r>
    </w:p>
    <w:p>
      <w:pPr>
        <w:pStyle w:val="BodyText"/>
        <w:tabs>
          <w:tab w:pos="4414" w:val="left" w:leader="none"/>
          <w:tab w:pos="8194" w:val="left" w:leader="none"/>
        </w:tabs>
        <w:spacing w:line="230" w:lineRule="exact"/>
        <w:ind w:left="2434" w:right="1076"/>
        <w:jc w:val="left"/>
        <w:rPr>
          <w:rFonts w:ascii="宋体" w:hAnsi="宋体" w:cs="宋体" w:eastAsia="宋体" w:hint="default"/>
        </w:rPr>
      </w:pPr>
      <w:r>
        <w:rPr>
          <w:rFonts w:ascii="宋体" w:hAnsi="宋体" w:cs="宋体" w:eastAsia="宋体" w:hint="default"/>
        </w:rPr>
        <w:t>龙</w:t>
        <w:tab/>
        <w:t>利</w:t>
        <w:tab/>
        <w:t>阳</w:t>
      </w:r>
    </w:p>
    <w:p>
      <w:pPr>
        <w:tabs>
          <w:tab w:pos="2434" w:val="left" w:leader="none"/>
          <w:tab w:pos="4414" w:val="left" w:leader="none"/>
          <w:tab w:pos="8194" w:val="left" w:leader="none"/>
        </w:tabs>
        <w:spacing w:line="335" w:lineRule="exact" w:before="0"/>
        <w:ind w:left="454" w:right="1076" w:firstLine="0"/>
        <w:jc w:val="left"/>
        <w:rPr>
          <w:rFonts w:ascii="宋体" w:hAnsi="宋体" w:cs="宋体" w:eastAsia="宋体" w:hint="default"/>
          <w:sz w:val="21"/>
          <w:szCs w:val="21"/>
        </w:rPr>
      </w:pPr>
      <w:r>
        <w:rPr>
          <w:rFonts w:ascii="宋体" w:hAnsi="宋体" w:cs="宋体" w:eastAsia="宋体" w:hint="default"/>
          <w:position w:val="-11"/>
          <w:sz w:val="24"/>
          <w:szCs w:val="24"/>
        </w:rPr>
        <w:t>分</w:t>
        <w:tab/>
      </w:r>
      <w:r>
        <w:rPr>
          <w:rFonts w:ascii="宋体" w:hAnsi="宋体" w:cs="宋体" w:eastAsia="宋体" w:hint="default"/>
          <w:sz w:val="21"/>
          <w:szCs w:val="21"/>
        </w:rPr>
        <w:t>房</w:t>
        <w:tab/>
        <w:t>达</w:t>
        <w:tab/>
        <w:t>天</w:t>
      </w:r>
    </w:p>
    <w:p>
      <w:pPr>
        <w:pStyle w:val="BodyText"/>
        <w:tabs>
          <w:tab w:pos="4414" w:val="left" w:leader="none"/>
          <w:tab w:pos="8194" w:val="left" w:leader="none"/>
        </w:tabs>
        <w:spacing w:line="210" w:lineRule="exact"/>
        <w:ind w:left="2434" w:right="1076"/>
        <w:jc w:val="left"/>
        <w:rPr>
          <w:rFonts w:ascii="宋体" w:hAnsi="宋体" w:cs="宋体" w:eastAsia="宋体" w:hint="default"/>
        </w:rPr>
      </w:pPr>
      <w:r>
        <w:rPr>
          <w:rFonts w:ascii="宋体" w:hAnsi="宋体" w:cs="宋体" w:eastAsia="宋体" w:hint="default"/>
        </w:rPr>
        <w:t>地</w:t>
        <w:tab/>
        <w:t>实</w:t>
        <w:tab/>
        <w:t>伦</w:t>
      </w:r>
    </w:p>
    <w:p>
      <w:pPr>
        <w:pStyle w:val="BodyText"/>
        <w:tabs>
          <w:tab w:pos="4414" w:val="left" w:leader="none"/>
          <w:tab w:pos="8194" w:val="left" w:leader="none"/>
        </w:tabs>
        <w:spacing w:line="200" w:lineRule="exact"/>
        <w:ind w:left="2434" w:right="1076"/>
        <w:jc w:val="left"/>
        <w:rPr>
          <w:rFonts w:ascii="宋体" w:hAnsi="宋体" w:cs="宋体" w:eastAsia="宋体" w:hint="default"/>
        </w:rPr>
      </w:pPr>
      <w:r>
        <w:rPr>
          <w:rFonts w:ascii="宋体" w:hAnsi="宋体" w:cs="宋体" w:eastAsia="宋体" w:hint="default"/>
        </w:rPr>
        <w:t>产</w:t>
        <w:tab/>
        <w:t>业</w:t>
        <w:tab/>
        <w:t>矿</w:t>
      </w:r>
    </w:p>
    <w:p>
      <w:pPr>
        <w:tabs>
          <w:tab w:pos="2434" w:val="left" w:leader="none"/>
          <w:tab w:pos="4414" w:val="left" w:leader="none"/>
          <w:tab w:pos="8194" w:val="left" w:leader="none"/>
        </w:tabs>
        <w:spacing w:line="345" w:lineRule="exact" w:before="0"/>
        <w:ind w:left="454" w:right="1076" w:firstLine="0"/>
        <w:jc w:val="left"/>
        <w:rPr>
          <w:rFonts w:ascii="宋体" w:hAnsi="宋体" w:cs="宋体" w:eastAsia="宋体" w:hint="default"/>
          <w:sz w:val="21"/>
          <w:szCs w:val="21"/>
        </w:rPr>
      </w:pPr>
      <w:r>
        <w:rPr>
          <w:rFonts w:ascii="宋体" w:hAnsi="宋体" w:cs="宋体" w:eastAsia="宋体" w:hint="default"/>
          <w:position w:val="11"/>
          <w:sz w:val="24"/>
          <w:szCs w:val="24"/>
        </w:rPr>
        <w:t>公</w:t>
        <w:tab/>
      </w:r>
      <w:r>
        <w:rPr>
          <w:rFonts w:ascii="宋体" w:hAnsi="宋体" w:cs="宋体" w:eastAsia="宋体" w:hint="default"/>
          <w:sz w:val="21"/>
          <w:szCs w:val="21"/>
        </w:rPr>
        <w:t>有</w:t>
        <w:tab/>
        <w:t>有</w:t>
        <w:tab/>
        <w:t>业</w:t>
      </w:r>
    </w:p>
    <w:p>
      <w:pPr>
        <w:pStyle w:val="BodyText"/>
        <w:tabs>
          <w:tab w:pos="4414" w:val="left" w:leader="none"/>
          <w:tab w:pos="8194" w:val="left" w:leader="none"/>
        </w:tabs>
        <w:spacing w:line="225" w:lineRule="exact"/>
        <w:ind w:left="2434" w:right="1076"/>
        <w:jc w:val="left"/>
        <w:rPr>
          <w:rFonts w:ascii="宋体" w:hAnsi="宋体" w:cs="宋体" w:eastAsia="宋体" w:hint="default"/>
        </w:rPr>
      </w:pPr>
      <w:r>
        <w:rPr>
          <w:rFonts w:ascii="宋体" w:hAnsi="宋体" w:cs="宋体" w:eastAsia="宋体" w:hint="default"/>
        </w:rPr>
        <w:t>限</w:t>
        <w:tab/>
        <w:t>限</w:t>
        <w:tab/>
        <w:t>有</w:t>
      </w:r>
    </w:p>
    <w:p>
      <w:pPr>
        <w:tabs>
          <w:tab w:pos="2434" w:val="left" w:leader="none"/>
          <w:tab w:pos="4414" w:val="left" w:leader="none"/>
          <w:tab w:pos="8194" w:val="left" w:leader="none"/>
        </w:tabs>
        <w:spacing w:line="320" w:lineRule="exact" w:before="0"/>
        <w:ind w:left="454" w:right="1076" w:firstLine="0"/>
        <w:jc w:val="left"/>
        <w:rPr>
          <w:rFonts w:ascii="宋体" w:hAnsi="宋体" w:cs="宋体" w:eastAsia="宋体" w:hint="default"/>
          <w:sz w:val="21"/>
          <w:szCs w:val="21"/>
        </w:rPr>
      </w:pPr>
      <w:r>
        <w:rPr>
          <w:rFonts w:ascii="宋体" w:hAnsi="宋体" w:cs="宋体" w:eastAsia="宋体" w:hint="default"/>
          <w:position w:val="6"/>
          <w:sz w:val="24"/>
          <w:szCs w:val="24"/>
        </w:rPr>
        <w:t>司</w:t>
        <w:tab/>
      </w:r>
      <w:r>
        <w:rPr>
          <w:rFonts w:ascii="宋体" w:hAnsi="宋体" w:cs="宋体" w:eastAsia="宋体" w:hint="default"/>
          <w:sz w:val="21"/>
          <w:szCs w:val="21"/>
        </w:rPr>
        <w:t>公</w:t>
        <w:tab/>
        <w:t>公</w:t>
        <w:tab/>
        <w:t>限</w:t>
      </w:r>
    </w:p>
    <w:p>
      <w:pPr>
        <w:pStyle w:val="BodyText"/>
        <w:tabs>
          <w:tab w:pos="4414" w:val="left" w:leader="none"/>
          <w:tab w:pos="8194" w:val="left" w:leader="none"/>
        </w:tabs>
        <w:spacing w:line="272" w:lineRule="exact"/>
        <w:ind w:left="2434" w:right="1076"/>
        <w:jc w:val="left"/>
        <w:rPr>
          <w:rFonts w:ascii="宋体" w:hAnsi="宋体" w:cs="宋体" w:eastAsia="宋体" w:hint="default"/>
        </w:rPr>
      </w:pPr>
      <w:r>
        <w:rPr>
          <w:rFonts w:ascii="宋体" w:hAnsi="宋体" w:cs="宋体" w:eastAsia="宋体" w:hint="default"/>
        </w:rPr>
        <w:t>司</w:t>
        <w:tab/>
        <w:t>司</w:t>
        <w:tab/>
        <w:t>公</w:t>
      </w:r>
    </w:p>
    <w:p>
      <w:pPr>
        <w:pStyle w:val="BodyText"/>
        <w:spacing w:line="274" w:lineRule="exact"/>
        <w:ind w:left="0" w:right="1917"/>
        <w:jc w:val="right"/>
        <w:rPr>
          <w:rFonts w:ascii="宋体" w:hAnsi="宋体" w:cs="宋体" w:eastAsia="宋体" w:hint="default"/>
        </w:rPr>
      </w:pPr>
      <w:r>
        <w:rPr>
          <w:rFonts w:ascii="宋体" w:hAnsi="宋体" w:cs="宋体" w:eastAsia="宋体" w:hint="default"/>
          <w:w w:val="100"/>
        </w:rPr>
        <w:t>司</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4745" w:val="left" w:leader="none"/>
          <w:tab w:pos="8317" w:val="left" w:leader="none"/>
        </w:tabs>
        <w:spacing w:line="240" w:lineRule="auto" w:before="36"/>
        <w:ind w:left="3205" w:right="1076"/>
        <w:jc w:val="left"/>
        <w:rPr>
          <w:rFonts w:ascii="宋体" w:hAnsi="宋体" w:cs="宋体" w:eastAsia="宋体" w:hint="default"/>
        </w:rPr>
      </w:pPr>
      <w:r>
        <w:rPr>
          <w:rFonts w:ascii="宋体"/>
        </w:rPr>
        <w:t>100%</w:t>
        <w:tab/>
      </w:r>
      <w:r>
        <w:rPr>
          <w:rFonts w:ascii="宋体"/>
          <w:spacing w:val="-1"/>
        </w:rPr>
        <w:t>72.6%</w:t>
        <w:tab/>
        <w:t>100%</w:t>
      </w:r>
    </w:p>
    <w:p>
      <w:pPr>
        <w:pStyle w:val="BodyText"/>
        <w:tabs>
          <w:tab w:pos="4414" w:val="left" w:leader="none"/>
        </w:tabs>
        <w:spacing w:line="273" w:lineRule="exact" w:before="116"/>
        <w:ind w:left="2254" w:right="1076"/>
        <w:jc w:val="left"/>
        <w:rPr>
          <w:rFonts w:ascii="宋体" w:hAnsi="宋体" w:cs="宋体" w:eastAsia="宋体" w:hint="default"/>
        </w:rPr>
      </w:pPr>
      <w:r>
        <w:rPr/>
        <w:pict>
          <v:shape style="position:absolute;margin-left:488.173218pt;margin-top:6.285922pt;width:12.6pt;height:71.75pt;mso-position-horizontal-relative:page;mso-position-vertical-relative:paragraph;z-index:1792"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spacing w:val="-94"/>
                      <w:w w:val="100"/>
                    </w:rPr>
                    <w:t>广西凤</w:t>
                  </w:r>
                  <w:r>
                    <w:rPr>
                      <w:rFonts w:ascii="宋体" w:hAnsi="宋体" w:cs="宋体" w:eastAsia="宋体" w:hint="default"/>
                      <w:spacing w:val="-92"/>
                      <w:w w:val="100"/>
                    </w:rPr>
                    <w:t>山</w:t>
                  </w:r>
                  <w:r>
                    <w:rPr>
                      <w:rFonts w:ascii="宋体" w:hAnsi="宋体" w:cs="宋体" w:eastAsia="宋体" w:hint="default"/>
                      <w:spacing w:val="-94"/>
                      <w:w w:val="100"/>
                    </w:rPr>
                    <w:t>天伦</w:t>
                  </w:r>
                  <w:r>
                    <w:rPr>
                      <w:rFonts w:ascii="宋体" w:hAnsi="宋体" w:cs="宋体" w:eastAsia="宋体" w:hint="default"/>
                      <w:spacing w:val="-92"/>
                      <w:w w:val="100"/>
                    </w:rPr>
                    <w:t>矿业</w:t>
                  </w:r>
                  <w:r>
                    <w:rPr>
                      <w:rFonts w:ascii="宋体" w:hAnsi="宋体" w:cs="宋体" w:eastAsia="宋体" w:hint="default"/>
                      <w:spacing w:val="-94"/>
                      <w:w w:val="100"/>
                    </w:rPr>
                    <w:t>有限</w:t>
                  </w:r>
                  <w:r>
                    <w:rPr>
                      <w:rFonts w:ascii="宋体" w:hAnsi="宋体" w:cs="宋体" w:eastAsia="宋体" w:hint="default"/>
                      <w:w w:val="100"/>
                    </w:rPr>
                    <w:t>公</w:t>
                  </w:r>
                </w:p>
              </w:txbxContent>
            </v:textbox>
            <w10:wrap type="none"/>
          </v:shape>
        </w:pict>
      </w:r>
      <w:r>
        <w:rPr>
          <w:rFonts w:ascii="宋体" w:hAnsi="宋体" w:cs="宋体" w:eastAsia="宋体" w:hint="default"/>
        </w:rPr>
        <w:t>广</w:t>
        <w:tab/>
        <w:t>天</w:t>
      </w:r>
    </w:p>
    <w:p>
      <w:pPr>
        <w:pStyle w:val="BodyText"/>
        <w:tabs>
          <w:tab w:pos="4414" w:val="left" w:leader="none"/>
        </w:tabs>
        <w:spacing w:line="271" w:lineRule="exact"/>
        <w:ind w:left="2254" w:right="1076"/>
        <w:jc w:val="left"/>
        <w:rPr>
          <w:rFonts w:ascii="宋体" w:hAnsi="宋体" w:cs="宋体" w:eastAsia="宋体" w:hint="default"/>
        </w:rPr>
      </w:pPr>
      <w:r>
        <w:rPr>
          <w:rFonts w:ascii="宋体" w:hAnsi="宋体" w:cs="宋体" w:eastAsia="宋体" w:hint="default"/>
        </w:rPr>
        <w:t>州</w:t>
        <w:tab/>
        <w:t>和</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为</w:t>
        <w:tab/>
        <w:t>创</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众</w:t>
        <w:tab/>
        <w:t>展</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物</w:t>
        <w:tab/>
        <w:t>︵</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业</w:t>
        <w:tab/>
        <w:t>北</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管</w:t>
        <w:tab/>
        <w:t>京</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理</w:t>
        <w:tab/>
        <w:t>︶</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有</w:t>
        <w:tab/>
        <w:t>投</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限</w:t>
        <w:tab/>
        <w:t>资</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公</w:t>
        <w:tab/>
        <w:t>有</w:t>
      </w:r>
    </w:p>
    <w:p>
      <w:pPr>
        <w:pStyle w:val="BodyText"/>
        <w:tabs>
          <w:tab w:pos="4414" w:val="left" w:leader="none"/>
        </w:tabs>
        <w:spacing w:line="272" w:lineRule="exact"/>
        <w:ind w:left="2254" w:right="1076"/>
        <w:jc w:val="left"/>
        <w:rPr>
          <w:rFonts w:ascii="宋体" w:hAnsi="宋体" w:cs="宋体" w:eastAsia="宋体" w:hint="default"/>
        </w:rPr>
      </w:pPr>
      <w:r>
        <w:rPr>
          <w:rFonts w:ascii="宋体" w:hAnsi="宋体" w:cs="宋体" w:eastAsia="宋体" w:hint="default"/>
        </w:rPr>
        <w:t>司</w:t>
        <w:tab/>
        <w:t>限</w:t>
      </w:r>
    </w:p>
    <w:p>
      <w:pPr>
        <w:pStyle w:val="BodyText"/>
        <w:spacing w:line="240" w:lineRule="auto"/>
        <w:ind w:left="4414" w:right="5697"/>
        <w:jc w:val="center"/>
        <w:rPr>
          <w:rFonts w:ascii="宋体" w:hAnsi="宋体" w:cs="宋体" w:eastAsia="宋体" w:hint="default"/>
        </w:rPr>
      </w:pPr>
      <w:r>
        <w:rPr/>
        <w:pict>
          <v:shape style="position:absolute;margin-left:488.173218pt;margin-top:4.445922pt;width:12.6pt;height:12.6pt;mso-position-horizontal-relative:page;mso-position-vertical-relative:paragraph;z-index:1816"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100"/>
                    </w:rPr>
                    <w:t>司</w:t>
                  </w:r>
                </w:p>
              </w:txbxContent>
            </v:textbox>
            <w10:wrap type="none"/>
          </v:shape>
        </w:pict>
      </w:r>
      <w:r>
        <w:rPr>
          <w:rFonts w:ascii="宋体" w:hAnsi="宋体" w:cs="宋体" w:eastAsia="宋体" w:hint="default"/>
        </w:rPr>
        <w:t>公</w:t>
      </w:r>
      <w:r>
        <w:rPr>
          <w:rFonts w:ascii="宋体" w:hAnsi="宋体" w:cs="宋体" w:eastAsia="宋体" w:hint="default"/>
          <w:w w:val="100"/>
        </w:rPr>
        <w:t> </w:t>
      </w:r>
      <w:r>
        <w:rPr>
          <w:rFonts w:ascii="宋体" w:hAnsi="宋体" w:cs="宋体" w:eastAsia="宋体" w:hint="default"/>
        </w:rPr>
        <w:t>司</w:t>
      </w:r>
    </w:p>
    <w:p>
      <w:pPr>
        <w:spacing w:after="0" w:line="240" w:lineRule="auto"/>
        <w:jc w:val="center"/>
        <w:rPr>
          <w:rFonts w:ascii="宋体" w:hAnsi="宋体" w:cs="宋体" w:eastAsia="宋体" w:hint="default"/>
        </w:rPr>
        <w:sectPr>
          <w:type w:val="continuous"/>
          <w:pgSz w:w="11910" w:h="16840"/>
          <w:pgMar w:top="1580" w:bottom="1020" w:left="1580" w:right="0"/>
        </w:sectPr>
      </w:pPr>
    </w:p>
    <w:p>
      <w:pPr>
        <w:spacing w:line="240" w:lineRule="auto" w:before="9"/>
        <w:rPr>
          <w:rFonts w:ascii="宋体" w:hAnsi="宋体" w:cs="宋体" w:eastAsia="宋体" w:hint="default"/>
          <w:sz w:val="11"/>
          <w:szCs w:val="11"/>
        </w:rPr>
      </w:pPr>
    </w:p>
    <w:p>
      <w:pPr>
        <w:pStyle w:val="Heading2"/>
        <w:spacing w:line="357" w:lineRule="auto"/>
        <w:ind w:left="665" w:right="1402" w:hanging="562"/>
        <w:jc w:val="left"/>
      </w:pPr>
      <w:r>
        <w:rPr/>
        <w:t>2、内部控制规范实施工作组织机构</w:t>
      </w:r>
      <w:r>
        <w:rPr>
          <w:w w:val="100"/>
        </w:rPr>
        <w:t> </w:t>
      </w:r>
      <w:r>
        <w:rPr>
          <w:spacing w:val="-4"/>
        </w:rPr>
        <w:t>为做好公司内部控制建设、自我评价和内部审计工作，确保公司内</w:t>
      </w:r>
    </w:p>
    <w:p>
      <w:pPr>
        <w:spacing w:line="357" w:lineRule="auto" w:before="41"/>
        <w:ind w:left="103" w:right="1579" w:firstLine="0"/>
        <w:jc w:val="both"/>
        <w:rPr>
          <w:rFonts w:ascii="宋体" w:hAnsi="宋体" w:cs="宋体" w:eastAsia="宋体" w:hint="default"/>
          <w:sz w:val="28"/>
          <w:szCs w:val="28"/>
        </w:rPr>
      </w:pPr>
      <w:r>
        <w:rPr>
          <w:rFonts w:ascii="宋体" w:hAnsi="宋体" w:cs="宋体" w:eastAsia="宋体" w:hint="default"/>
          <w:spacing w:val="-3"/>
          <w:sz w:val="28"/>
          <w:szCs w:val="28"/>
        </w:rPr>
        <w:t>部控制规范实施工作顺利开展，根据《企业内部控制基本规范》和《企</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2"/>
          <w:w w:val="100"/>
          <w:sz w:val="28"/>
          <w:szCs w:val="28"/>
        </w:rPr>
        <w:t>业内部控制配套指引》等相关要求，公司成立内部控制规范领导小组（简</w:t>
      </w:r>
      <w:r>
        <w:rPr>
          <w:rFonts w:ascii="宋体" w:hAnsi="宋体" w:cs="宋体" w:eastAsia="宋体" w:hint="default"/>
          <w:spacing w:val="-133"/>
          <w:w w:val="100"/>
          <w:sz w:val="28"/>
          <w:szCs w:val="28"/>
        </w:rPr>
        <w:t> </w:t>
      </w:r>
      <w:r>
        <w:rPr>
          <w:rFonts w:ascii="宋体" w:hAnsi="宋体" w:cs="宋体" w:eastAsia="宋体" w:hint="default"/>
          <w:spacing w:val="-133"/>
          <w:w w:val="100"/>
          <w:sz w:val="28"/>
          <w:szCs w:val="28"/>
        </w:rPr>
      </w:r>
      <w:r>
        <w:rPr>
          <w:rFonts w:ascii="宋体" w:hAnsi="宋体" w:cs="宋体" w:eastAsia="宋体" w:hint="default"/>
          <w:sz w:val="28"/>
          <w:szCs w:val="28"/>
        </w:rPr>
        <w:t>称“领导小组”）和内控建设实施工作办公室（简称“内控办”）。</w:t>
      </w:r>
    </w:p>
    <w:p>
      <w:pPr>
        <w:spacing w:line="357" w:lineRule="auto" w:before="41"/>
        <w:ind w:left="564" w:right="6834" w:hanging="461"/>
        <w:jc w:val="left"/>
        <w:rPr>
          <w:rFonts w:ascii="宋体" w:hAnsi="宋体" w:cs="宋体" w:eastAsia="宋体" w:hint="default"/>
          <w:sz w:val="28"/>
          <w:szCs w:val="28"/>
        </w:rPr>
      </w:pPr>
      <w:r>
        <w:rPr>
          <w:rFonts w:ascii="宋体" w:hAnsi="宋体" w:cs="宋体" w:eastAsia="宋体" w:hint="default"/>
          <w:spacing w:val="-1"/>
          <w:sz w:val="28"/>
          <w:szCs w:val="28"/>
        </w:rPr>
        <w:t>⑴、内部控制规范领导小组</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组长：许环曜</w:t>
      </w:r>
      <w:r>
        <w:rPr>
          <w:rFonts w:ascii="宋体" w:hAnsi="宋体" w:cs="宋体" w:eastAsia="宋体" w:hint="default"/>
          <w:w w:val="100"/>
          <w:sz w:val="28"/>
          <w:szCs w:val="28"/>
        </w:rPr>
        <w:t> </w:t>
      </w:r>
      <w:r>
        <w:rPr>
          <w:rFonts w:ascii="宋体" w:hAnsi="宋体" w:cs="宋体" w:eastAsia="宋体" w:hint="default"/>
          <w:sz w:val="28"/>
          <w:szCs w:val="28"/>
        </w:rPr>
        <w:t>副组长：李智</w:t>
      </w:r>
    </w:p>
    <w:p>
      <w:pPr>
        <w:spacing w:line="357" w:lineRule="auto" w:before="41"/>
        <w:ind w:left="523" w:right="1402" w:firstLine="40"/>
        <w:jc w:val="left"/>
        <w:rPr>
          <w:rFonts w:ascii="宋体" w:hAnsi="宋体" w:cs="宋体" w:eastAsia="宋体" w:hint="default"/>
          <w:sz w:val="28"/>
          <w:szCs w:val="28"/>
        </w:rPr>
      </w:pPr>
      <w:r>
        <w:rPr>
          <w:rFonts w:ascii="宋体" w:hAnsi="宋体" w:cs="宋体" w:eastAsia="宋体" w:hint="default"/>
          <w:sz w:val="28"/>
          <w:szCs w:val="28"/>
        </w:rPr>
        <w:t>成员：杜杰、赵润涛、陈凤林、周鹏</w:t>
      </w:r>
      <w:r>
        <w:rPr>
          <w:rFonts w:ascii="宋体" w:hAnsi="宋体" w:cs="宋体" w:eastAsia="宋体" w:hint="default"/>
          <w:w w:val="100"/>
          <w:sz w:val="28"/>
          <w:szCs w:val="28"/>
        </w:rPr>
        <w:t> </w:t>
      </w:r>
      <w:r>
        <w:rPr>
          <w:rFonts w:ascii="宋体" w:hAnsi="宋体" w:cs="宋体" w:eastAsia="宋体" w:hint="default"/>
          <w:spacing w:val="-2"/>
          <w:sz w:val="28"/>
          <w:szCs w:val="28"/>
        </w:rPr>
        <w:t>主要职责：确定公司内部控制体系建设的总体目标，协调组织公司</w:t>
      </w:r>
    </w:p>
    <w:p>
      <w:pPr>
        <w:spacing w:before="41"/>
        <w:ind w:left="103" w:right="0" w:firstLine="0"/>
        <w:jc w:val="both"/>
        <w:rPr>
          <w:rFonts w:ascii="宋体" w:hAnsi="宋体" w:cs="宋体" w:eastAsia="宋体" w:hint="default"/>
          <w:sz w:val="28"/>
          <w:szCs w:val="28"/>
        </w:rPr>
      </w:pPr>
      <w:r>
        <w:rPr>
          <w:rFonts w:ascii="宋体" w:hAnsi="宋体" w:cs="宋体" w:eastAsia="宋体" w:hint="default"/>
          <w:spacing w:val="-8"/>
          <w:sz w:val="28"/>
          <w:szCs w:val="28"/>
        </w:rPr>
        <w:t>内外资源，确保各项工作顺利开展；组织领导内控日常工作的有效运行。</w:t>
      </w:r>
    </w:p>
    <w:p>
      <w:pPr>
        <w:pStyle w:val="Heading2"/>
        <w:spacing w:line="357" w:lineRule="auto" w:before="178"/>
        <w:ind w:left="665" w:right="6555" w:hanging="562"/>
        <w:jc w:val="left"/>
      </w:pPr>
      <w:r>
        <w:rPr/>
        <w:pict>
          <v:shape style="position:absolute;margin-left:103.08847pt;margin-top:39.229832pt;width:392.95pt;height:64.3pt;mso-position-horizontal-relative:page;mso-position-vertical-relative:paragraph;z-index:-555328;rotation:315" type="#_x0000_t136" fillcolor="#e0e0e0" stroked="f">
            <o:extrusion v:ext="view" autorotationcenter="t"/>
            <v:textpath style="font-family:&amp;quot;Arial&amp;quot;;font-size:64pt;v-text-kern:t;mso-text-shadow:auto" string="UnRegistered"/>
            <w10:wrap type="none"/>
          </v:shape>
        </w:pict>
      </w:r>
      <w:r>
        <w:rPr>
          <w:spacing w:val="-1"/>
        </w:rPr>
        <w:t>⑵、内部控制实施工作办公室</w:t>
      </w:r>
      <w:r>
        <w:rPr>
          <w:spacing w:val="-129"/>
        </w:rPr>
        <w:t> </w:t>
      </w:r>
      <w:r>
        <w:rPr>
          <w:spacing w:val="-129"/>
        </w:rPr>
      </w:r>
      <w:r>
        <w:rPr/>
        <w:t>内控办负责人：周鹏</w:t>
      </w:r>
    </w:p>
    <w:p>
      <w:pPr>
        <w:spacing w:line="357" w:lineRule="auto" w:before="41"/>
        <w:ind w:left="665" w:right="1402" w:firstLine="0"/>
        <w:jc w:val="left"/>
        <w:rPr>
          <w:rFonts w:ascii="宋体" w:hAnsi="宋体" w:cs="宋体" w:eastAsia="宋体" w:hint="default"/>
          <w:sz w:val="28"/>
          <w:szCs w:val="28"/>
        </w:rPr>
      </w:pPr>
      <w:r>
        <w:rPr>
          <w:rFonts w:ascii="宋体" w:hAnsi="宋体" w:cs="宋体" w:eastAsia="宋体" w:hint="default"/>
          <w:sz w:val="28"/>
          <w:szCs w:val="28"/>
        </w:rPr>
        <w:t>内控办成员：由公司总部各部门负责人、子公司负责人组成。</w:t>
      </w:r>
      <w:r>
        <w:rPr>
          <w:rFonts w:ascii="宋体" w:hAnsi="宋体" w:cs="宋体" w:eastAsia="宋体" w:hint="default"/>
          <w:w w:val="100"/>
          <w:sz w:val="28"/>
          <w:szCs w:val="28"/>
        </w:rPr>
        <w:t> </w:t>
      </w:r>
      <w:r>
        <w:rPr>
          <w:rFonts w:ascii="宋体" w:hAnsi="宋体" w:cs="宋体" w:eastAsia="宋体" w:hint="default"/>
          <w:spacing w:val="-2"/>
          <w:sz w:val="28"/>
          <w:szCs w:val="28"/>
        </w:rPr>
        <w:t>其中，公司内部控制规范体系建设工作的牵头部门为公司审计中</w:t>
      </w:r>
    </w:p>
    <w:p>
      <w:pPr>
        <w:spacing w:line="357" w:lineRule="auto" w:before="38"/>
        <w:ind w:left="103" w:right="1581" w:firstLine="0"/>
        <w:jc w:val="both"/>
        <w:rPr>
          <w:rFonts w:ascii="宋体" w:hAnsi="宋体" w:cs="宋体" w:eastAsia="宋体" w:hint="default"/>
          <w:sz w:val="28"/>
          <w:szCs w:val="28"/>
        </w:rPr>
      </w:pPr>
      <w:r>
        <w:rPr>
          <w:rFonts w:ascii="宋体" w:hAnsi="宋体" w:cs="宋体" w:eastAsia="宋体" w:hint="default"/>
          <w:spacing w:val="-4"/>
          <w:sz w:val="28"/>
          <w:szCs w:val="28"/>
        </w:rPr>
        <w:t>心，负责公司内控体系建设的具体组织和协调工作，公司财务管理中心</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和行政事务中心主要配合；公司内部控制规范工作对外牵头部门为董秘</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处，负责报送和联络证监局和交易所等相关监管部门，并按规定完成披</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露工作。</w:t>
      </w:r>
    </w:p>
    <w:p>
      <w:pPr>
        <w:spacing w:line="357" w:lineRule="auto" w:before="41"/>
        <w:ind w:left="103" w:right="1402" w:firstLine="559"/>
        <w:jc w:val="left"/>
        <w:rPr>
          <w:rFonts w:ascii="宋体" w:hAnsi="宋体" w:cs="宋体" w:eastAsia="宋体" w:hint="default"/>
          <w:sz w:val="28"/>
          <w:szCs w:val="28"/>
        </w:rPr>
      </w:pPr>
      <w:r>
        <w:rPr>
          <w:rFonts w:ascii="宋体" w:hAnsi="宋体" w:cs="宋体" w:eastAsia="宋体" w:hint="default"/>
          <w:spacing w:val="-4"/>
          <w:sz w:val="28"/>
          <w:szCs w:val="28"/>
        </w:rPr>
        <w:t>主要职责：在领导小组的领导下开展工作，全面贯彻执行内部控制</w:t>
      </w:r>
      <w:r>
        <w:rPr>
          <w:rFonts w:ascii="宋体" w:hAnsi="宋体" w:cs="宋体" w:eastAsia="宋体" w:hint="default"/>
          <w:w w:val="100"/>
          <w:sz w:val="28"/>
          <w:szCs w:val="28"/>
        </w:rPr>
        <w:t> </w:t>
      </w:r>
      <w:r>
        <w:rPr>
          <w:rFonts w:ascii="宋体" w:hAnsi="宋体" w:cs="宋体" w:eastAsia="宋体" w:hint="default"/>
          <w:sz w:val="28"/>
          <w:szCs w:val="28"/>
        </w:rPr>
        <w:t>规范体系建设的精神和方针。具体组织实施内控工作：</w:t>
      </w:r>
    </w:p>
    <w:p>
      <w:pPr>
        <w:spacing w:before="41"/>
        <w:ind w:left="103" w:right="0" w:firstLine="0"/>
        <w:jc w:val="both"/>
        <w:rPr>
          <w:rFonts w:ascii="宋体" w:hAnsi="宋体" w:cs="宋体" w:eastAsia="宋体" w:hint="default"/>
          <w:sz w:val="28"/>
          <w:szCs w:val="28"/>
        </w:rPr>
      </w:pPr>
      <w:r>
        <w:rPr>
          <w:rFonts w:ascii="宋体" w:hAnsi="宋体" w:cs="宋体" w:eastAsia="宋体" w:hint="default"/>
          <w:sz w:val="28"/>
          <w:szCs w:val="28"/>
        </w:rPr>
        <w:t>①、制定公司内控建设阶段性目标及实施方案，提交领导小组审核。</w:t>
      </w:r>
    </w:p>
    <w:p>
      <w:pPr>
        <w:spacing w:before="178"/>
        <w:ind w:left="103" w:right="0" w:firstLine="0"/>
        <w:jc w:val="both"/>
        <w:rPr>
          <w:rFonts w:ascii="宋体" w:hAnsi="宋体" w:cs="宋体" w:eastAsia="宋体" w:hint="default"/>
          <w:sz w:val="28"/>
          <w:szCs w:val="28"/>
        </w:rPr>
      </w:pPr>
      <w:r>
        <w:rPr>
          <w:rFonts w:ascii="宋体" w:hAnsi="宋体" w:cs="宋体" w:eastAsia="宋体" w:hint="default"/>
          <w:sz w:val="28"/>
          <w:szCs w:val="28"/>
        </w:rPr>
        <w:t>②、制定方案实施计划，组织公司员工进行内控培训。</w:t>
      </w:r>
    </w:p>
    <w:p>
      <w:pPr>
        <w:spacing w:before="178"/>
        <w:ind w:left="103" w:right="0" w:firstLine="0"/>
        <w:jc w:val="both"/>
        <w:rPr>
          <w:rFonts w:ascii="宋体" w:hAnsi="宋体" w:cs="宋体" w:eastAsia="宋体" w:hint="default"/>
          <w:sz w:val="28"/>
          <w:szCs w:val="28"/>
        </w:rPr>
      </w:pPr>
      <w:r>
        <w:rPr>
          <w:rFonts w:ascii="宋体" w:hAnsi="宋体" w:cs="宋体" w:eastAsia="宋体" w:hint="default"/>
          <w:sz w:val="28"/>
          <w:szCs w:val="28"/>
        </w:rPr>
        <w:t>③、梳理、修订和完善公司各个层面的规章管理制度。</w:t>
      </w:r>
    </w:p>
    <w:p>
      <w:pPr>
        <w:spacing w:line="357" w:lineRule="auto" w:before="178"/>
        <w:ind w:left="103" w:right="1581" w:firstLine="0"/>
        <w:jc w:val="both"/>
        <w:rPr>
          <w:rFonts w:ascii="宋体" w:hAnsi="宋体" w:cs="宋体" w:eastAsia="宋体" w:hint="default"/>
          <w:sz w:val="28"/>
          <w:szCs w:val="28"/>
        </w:rPr>
      </w:pPr>
      <w:r>
        <w:rPr>
          <w:rFonts w:ascii="宋体" w:hAnsi="宋体" w:cs="宋体" w:eastAsia="宋体" w:hint="default"/>
          <w:spacing w:val="-4"/>
          <w:sz w:val="28"/>
          <w:szCs w:val="28"/>
        </w:rPr>
        <w:t>④、督导公司各部门及子公司开展内控体系建设工作，并提供相应的技</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术支持。</w:t>
      </w:r>
    </w:p>
    <w:p>
      <w:pPr>
        <w:spacing w:after="0" w:line="357" w:lineRule="auto"/>
        <w:jc w:val="both"/>
        <w:rPr>
          <w:rFonts w:ascii="宋体" w:hAnsi="宋体" w:cs="宋体" w:eastAsia="宋体" w:hint="default"/>
          <w:sz w:val="28"/>
          <w:szCs w:val="28"/>
        </w:rPr>
        <w:sectPr>
          <w:pgSz w:w="11910" w:h="16840"/>
          <w:pgMar w:header="929" w:footer="837" w:top="1140" w:bottom="1020" w:left="1600" w:right="0"/>
        </w:sectPr>
      </w:pPr>
    </w:p>
    <w:p>
      <w:pPr>
        <w:spacing w:line="240" w:lineRule="auto" w:before="9"/>
        <w:rPr>
          <w:rFonts w:ascii="宋体" w:hAnsi="宋体" w:cs="宋体" w:eastAsia="宋体" w:hint="default"/>
          <w:sz w:val="11"/>
          <w:szCs w:val="11"/>
        </w:rPr>
      </w:pPr>
    </w:p>
    <w:p>
      <w:pPr>
        <w:spacing w:line="357" w:lineRule="auto" w:before="14"/>
        <w:ind w:left="103" w:right="1402" w:firstLine="0"/>
        <w:jc w:val="left"/>
        <w:rPr>
          <w:rFonts w:ascii="宋体" w:hAnsi="宋体" w:cs="宋体" w:eastAsia="宋体" w:hint="default"/>
          <w:sz w:val="28"/>
          <w:szCs w:val="28"/>
        </w:rPr>
      </w:pPr>
      <w:r>
        <w:rPr>
          <w:rFonts w:ascii="宋体" w:hAnsi="宋体" w:cs="宋体" w:eastAsia="宋体" w:hint="default"/>
          <w:spacing w:val="-4"/>
          <w:sz w:val="28"/>
          <w:szCs w:val="28"/>
        </w:rPr>
        <w:t>⑤、定期向领导小组汇报内控体系建设的进度、存在的问题及需要协调</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的事项。</w:t>
      </w:r>
    </w:p>
    <w:p>
      <w:pPr>
        <w:spacing w:before="41"/>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⑥、编</w:t>
      </w:r>
      <w:r>
        <w:rPr>
          <w:rFonts w:ascii="宋体" w:hAnsi="宋体" w:cs="宋体" w:eastAsia="宋体" w:hint="default"/>
          <w:spacing w:val="-3"/>
          <w:w w:val="100"/>
          <w:sz w:val="28"/>
          <w:szCs w:val="28"/>
        </w:rPr>
        <w:t>制</w:t>
      </w:r>
      <w:r>
        <w:rPr>
          <w:rFonts w:ascii="宋体" w:hAnsi="宋体" w:cs="宋体" w:eastAsia="宋体" w:hint="default"/>
          <w:w w:val="100"/>
          <w:sz w:val="28"/>
          <w:szCs w:val="28"/>
        </w:rPr>
        <w:t>《内</w:t>
      </w:r>
      <w:r>
        <w:rPr>
          <w:rFonts w:ascii="宋体" w:hAnsi="宋体" w:cs="宋体" w:eastAsia="宋体" w:hint="default"/>
          <w:spacing w:val="-3"/>
          <w:w w:val="100"/>
          <w:sz w:val="28"/>
          <w:szCs w:val="28"/>
        </w:rPr>
        <w:t>部控</w:t>
      </w:r>
      <w:r>
        <w:rPr>
          <w:rFonts w:ascii="宋体" w:hAnsi="宋体" w:cs="宋体" w:eastAsia="宋体" w:hint="default"/>
          <w:w w:val="100"/>
          <w:sz w:val="28"/>
          <w:szCs w:val="28"/>
        </w:rPr>
        <w:t>制自我</w:t>
      </w:r>
      <w:r>
        <w:rPr>
          <w:rFonts w:ascii="宋体" w:hAnsi="宋体" w:cs="宋体" w:eastAsia="宋体" w:hint="default"/>
          <w:spacing w:val="-3"/>
          <w:w w:val="100"/>
          <w:sz w:val="28"/>
          <w:szCs w:val="28"/>
        </w:rPr>
        <w:t>评</w:t>
      </w:r>
      <w:r>
        <w:rPr>
          <w:rFonts w:ascii="宋体" w:hAnsi="宋体" w:cs="宋体" w:eastAsia="宋体" w:hint="default"/>
          <w:w w:val="100"/>
          <w:sz w:val="28"/>
          <w:szCs w:val="28"/>
        </w:rPr>
        <w:t>价报</w:t>
      </w:r>
      <w:r>
        <w:rPr>
          <w:rFonts w:ascii="宋体" w:hAnsi="宋体" w:cs="宋体" w:eastAsia="宋体" w:hint="default"/>
          <w:spacing w:val="-3"/>
          <w:w w:val="100"/>
          <w:sz w:val="28"/>
          <w:szCs w:val="28"/>
        </w:rPr>
        <w:t>告</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p>
    <w:p>
      <w:pPr>
        <w:spacing w:before="178"/>
        <w:ind w:left="103" w:right="0" w:firstLine="0"/>
        <w:jc w:val="both"/>
        <w:rPr>
          <w:rFonts w:ascii="宋体" w:hAnsi="宋体" w:cs="宋体" w:eastAsia="宋体" w:hint="default"/>
          <w:sz w:val="28"/>
          <w:szCs w:val="28"/>
        </w:rPr>
      </w:pPr>
      <w:r>
        <w:rPr>
          <w:rFonts w:ascii="宋体" w:hAnsi="宋体" w:cs="宋体" w:eastAsia="宋体" w:hint="default"/>
          <w:sz w:val="28"/>
          <w:szCs w:val="28"/>
        </w:rPr>
        <w:t>⑦、负责公司《内部控制管理手册》的编制、修改及更新。</w:t>
      </w:r>
    </w:p>
    <w:p>
      <w:pPr>
        <w:spacing w:line="357" w:lineRule="auto" w:before="178"/>
        <w:ind w:left="662" w:right="1402" w:hanging="560"/>
        <w:jc w:val="left"/>
        <w:rPr>
          <w:rFonts w:ascii="宋体" w:hAnsi="宋体" w:cs="宋体" w:eastAsia="宋体" w:hint="default"/>
          <w:sz w:val="28"/>
          <w:szCs w:val="28"/>
        </w:rPr>
      </w:pPr>
      <w:r>
        <w:rPr>
          <w:rFonts w:ascii="宋体" w:hAnsi="宋体" w:cs="宋体" w:eastAsia="宋体" w:hint="default"/>
          <w:sz w:val="28"/>
          <w:szCs w:val="28"/>
        </w:rPr>
        <w:t>⑶、聘请外部咨询机构</w:t>
      </w:r>
      <w:r>
        <w:rPr>
          <w:rFonts w:ascii="宋体" w:hAnsi="宋体" w:cs="宋体" w:eastAsia="宋体" w:hint="default"/>
          <w:w w:val="100"/>
          <w:sz w:val="28"/>
          <w:szCs w:val="28"/>
        </w:rPr>
        <w:t> </w:t>
      </w:r>
      <w:r>
        <w:rPr>
          <w:rFonts w:ascii="宋体" w:hAnsi="宋体" w:cs="宋体" w:eastAsia="宋体" w:hint="default"/>
          <w:spacing w:val="-4"/>
          <w:sz w:val="28"/>
          <w:szCs w:val="28"/>
        </w:rPr>
        <w:t>公司认为必要时可聘请专业的咨询机构，协助公司设计内部控制总</w:t>
      </w:r>
    </w:p>
    <w:p>
      <w:pPr>
        <w:spacing w:line="357" w:lineRule="auto" w:before="41"/>
        <w:ind w:left="103" w:right="1402" w:firstLine="0"/>
        <w:jc w:val="left"/>
        <w:rPr>
          <w:rFonts w:ascii="宋体" w:hAnsi="宋体" w:cs="宋体" w:eastAsia="宋体" w:hint="default"/>
          <w:sz w:val="28"/>
          <w:szCs w:val="28"/>
        </w:rPr>
      </w:pPr>
      <w:r>
        <w:rPr>
          <w:rFonts w:ascii="宋体" w:hAnsi="宋体" w:cs="宋体" w:eastAsia="宋体" w:hint="default"/>
          <w:spacing w:val="-4"/>
          <w:sz w:val="28"/>
          <w:szCs w:val="28"/>
        </w:rPr>
        <w:t>体架构，帮助公司识别内部控制存在的薄弱环节和主要风险，有针对性</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4"/>
          <w:sz w:val="28"/>
          <w:szCs w:val="28"/>
        </w:rPr>
        <w:t>的设计内部控制的重要流程和内容，提供内控业务的培训，培养内部控</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制建设及评价的人才，协助公司开展内部控制自我评价工作。</w:t>
      </w:r>
      <w:r>
        <w:rPr>
          <w:rFonts w:ascii="宋体" w:hAnsi="宋体" w:cs="宋体" w:eastAsia="宋体" w:hint="default"/>
          <w:w w:val="100"/>
          <w:sz w:val="28"/>
          <w:szCs w:val="28"/>
        </w:rPr>
        <w:t> </w:t>
      </w:r>
      <w:r>
        <w:rPr>
          <w:rFonts w:ascii="宋体" w:hAnsi="宋体" w:cs="宋体" w:eastAsia="宋体" w:hint="default"/>
          <w:sz w:val="28"/>
          <w:szCs w:val="28"/>
        </w:rPr>
        <w:t>3、内部控制实施工作计划及方案</w:t>
      </w:r>
    </w:p>
    <w:p>
      <w:pPr>
        <w:spacing w:before="41"/>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⑴、第</w:t>
      </w:r>
      <w:r>
        <w:rPr>
          <w:rFonts w:ascii="宋体" w:hAnsi="宋体" w:cs="宋体" w:eastAsia="宋体" w:hint="default"/>
          <w:spacing w:val="-3"/>
          <w:w w:val="100"/>
          <w:sz w:val="28"/>
          <w:szCs w:val="28"/>
        </w:rPr>
        <w:t>一</w:t>
      </w:r>
      <w:r>
        <w:rPr>
          <w:rFonts w:ascii="宋体" w:hAnsi="宋体" w:cs="宋体" w:eastAsia="宋体" w:hint="default"/>
          <w:w w:val="100"/>
          <w:sz w:val="28"/>
          <w:szCs w:val="28"/>
        </w:rPr>
        <w:t>阶</w:t>
      </w:r>
      <w:r>
        <w:rPr>
          <w:rFonts w:ascii="宋体" w:hAnsi="宋体" w:cs="宋体" w:eastAsia="宋体" w:hint="default"/>
          <w:spacing w:val="-3"/>
          <w:w w:val="100"/>
          <w:sz w:val="28"/>
          <w:szCs w:val="28"/>
        </w:rPr>
        <w:t>段</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r>
        <w:rPr>
          <w:rFonts w:ascii="宋体" w:hAnsi="宋体" w:cs="宋体" w:eastAsia="宋体" w:hint="default"/>
          <w:spacing w:val="-3"/>
          <w:w w:val="100"/>
          <w:sz w:val="28"/>
          <w:szCs w:val="28"/>
        </w:rPr>
        <w:t>时</w:t>
      </w:r>
      <w:r>
        <w:rPr>
          <w:rFonts w:ascii="宋体" w:hAnsi="宋体" w:cs="宋体" w:eastAsia="宋体" w:hint="default"/>
          <w:w w:val="100"/>
          <w:sz w:val="28"/>
          <w:szCs w:val="28"/>
        </w:rPr>
        <w:t>间：</w:t>
      </w:r>
      <w:r>
        <w:rPr>
          <w:rFonts w:ascii="宋体" w:hAnsi="宋体" w:cs="宋体" w:eastAsia="宋体" w:hint="default"/>
          <w:spacing w:val="-2"/>
          <w:w w:val="100"/>
          <w:sz w:val="28"/>
          <w:szCs w:val="28"/>
        </w:rPr>
        <w:t>20</w:t>
      </w:r>
      <w:r>
        <w:rPr>
          <w:rFonts w:ascii="宋体" w:hAnsi="宋体" w:cs="宋体" w:eastAsia="宋体" w:hint="default"/>
          <w:spacing w:val="1"/>
          <w:w w:val="100"/>
          <w:sz w:val="28"/>
          <w:szCs w:val="28"/>
        </w:rPr>
        <w:t>1</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1</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3"/>
          <w:w w:val="100"/>
          <w:sz w:val="28"/>
          <w:szCs w:val="28"/>
        </w:rPr>
        <w:t>－</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1"/>
          <w:sz w:val="28"/>
          <w:szCs w:val="28"/>
        </w:rPr>
        <w:t> </w:t>
      </w:r>
      <w:r>
        <w:rPr>
          <w:rFonts w:ascii="宋体" w:hAnsi="宋体" w:cs="宋体" w:eastAsia="宋体" w:hint="default"/>
          <w:w w:val="100"/>
          <w:sz w:val="28"/>
          <w:szCs w:val="28"/>
        </w:rPr>
        <w:t>3</w:t>
      </w:r>
      <w:r>
        <w:rPr>
          <w:rFonts w:ascii="宋体" w:hAnsi="宋体" w:cs="宋体" w:eastAsia="宋体" w:hint="default"/>
          <w:spacing w:val="-72"/>
          <w:sz w:val="28"/>
          <w:szCs w:val="28"/>
        </w:rPr>
        <w:t> </w:t>
      </w:r>
      <w:r>
        <w:rPr>
          <w:rFonts w:ascii="宋体" w:hAnsi="宋体" w:cs="宋体" w:eastAsia="宋体" w:hint="default"/>
          <w:w w:val="100"/>
          <w:sz w:val="28"/>
          <w:szCs w:val="28"/>
        </w:rPr>
        <w:t>月）</w:t>
      </w:r>
    </w:p>
    <w:p>
      <w:pPr>
        <w:pStyle w:val="Heading2"/>
        <w:spacing w:line="357" w:lineRule="auto" w:before="178"/>
        <w:ind w:right="1581"/>
        <w:jc w:val="both"/>
      </w:pPr>
      <w:r>
        <w:rPr/>
        <w:pict>
          <v:shape style="position:absolute;margin-left:103.08847pt;margin-top:39.229832pt;width:392.95pt;height:64.3pt;mso-position-horizontal-relative:page;mso-position-vertical-relative:paragraph;z-index:-555304;rotation:315" type="#_x0000_t136" fillcolor="#e0e0e0" stroked="f">
            <o:extrusion v:ext="view" autorotationcenter="t"/>
            <v:textpath style="font-family:&amp;quot;Arial&amp;quot;;font-size:64pt;v-text-kern:t;mso-text-shadow:auto" string="UnRegistered"/>
            <w10:wrap type="none"/>
          </v:shape>
        </w:pict>
      </w:r>
      <w:r>
        <w:rPr>
          <w:spacing w:val="-3"/>
        </w:rPr>
        <w:t>①公司以《企业内部控制基本规范》和各项配套指引中的控制措施为依</w:t>
      </w:r>
      <w:r>
        <w:rPr>
          <w:spacing w:val="-115"/>
        </w:rPr>
        <w:t> </w:t>
      </w:r>
      <w:r>
        <w:rPr>
          <w:spacing w:val="-115"/>
        </w:rPr>
      </w:r>
      <w:r>
        <w:rPr>
          <w:spacing w:val="-4"/>
        </w:rPr>
        <w:t>据，制定内部控制规范实施工作方案，经公司董事会审议后上报证监局</w:t>
      </w:r>
      <w:r>
        <w:rPr>
          <w:spacing w:val="-86"/>
        </w:rPr>
        <w:t> </w:t>
      </w:r>
      <w:r>
        <w:rPr>
          <w:spacing w:val="-86"/>
        </w:rPr>
      </w:r>
      <w:r>
        <w:rPr/>
        <w:t>和交易所备案。</w:t>
      </w:r>
    </w:p>
    <w:p>
      <w:pPr>
        <w:spacing w:line="355" w:lineRule="auto" w:before="41"/>
        <w:ind w:left="103" w:right="1521" w:firstLine="0"/>
        <w:jc w:val="both"/>
        <w:rPr>
          <w:rFonts w:ascii="宋体" w:hAnsi="宋体" w:cs="宋体" w:eastAsia="宋体" w:hint="default"/>
          <w:sz w:val="28"/>
          <w:szCs w:val="28"/>
        </w:rPr>
      </w:pPr>
      <w:r>
        <w:rPr>
          <w:rFonts w:ascii="宋体" w:hAnsi="宋体" w:cs="宋体" w:eastAsia="宋体" w:hint="default"/>
          <w:spacing w:val="-3"/>
          <w:sz w:val="28"/>
          <w:szCs w:val="28"/>
        </w:rPr>
        <w:t>②公司组织员工进行内控建设的专题培训，动员全体员工积极参与内控</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2"/>
          <w:sz w:val="28"/>
          <w:szCs w:val="28"/>
        </w:rPr>
        <w:t>规范建设工作，提高员工对内控规范体系建设重要性和必要性的认识，</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加强员工风险控制意识。</w:t>
      </w:r>
    </w:p>
    <w:p>
      <w:pPr>
        <w:spacing w:before="44"/>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⑵、第</w:t>
      </w:r>
      <w:r>
        <w:rPr>
          <w:rFonts w:ascii="宋体" w:hAnsi="宋体" w:cs="宋体" w:eastAsia="宋体" w:hint="default"/>
          <w:spacing w:val="-3"/>
          <w:w w:val="100"/>
          <w:sz w:val="28"/>
          <w:szCs w:val="28"/>
        </w:rPr>
        <w:t>二</w:t>
      </w:r>
      <w:r>
        <w:rPr>
          <w:rFonts w:ascii="宋体" w:hAnsi="宋体" w:cs="宋体" w:eastAsia="宋体" w:hint="default"/>
          <w:w w:val="100"/>
          <w:sz w:val="28"/>
          <w:szCs w:val="28"/>
        </w:rPr>
        <w:t>阶</w:t>
      </w:r>
      <w:r>
        <w:rPr>
          <w:rFonts w:ascii="宋体" w:hAnsi="宋体" w:cs="宋体" w:eastAsia="宋体" w:hint="default"/>
          <w:spacing w:val="-3"/>
          <w:w w:val="100"/>
          <w:sz w:val="28"/>
          <w:szCs w:val="28"/>
        </w:rPr>
        <w:t>段</w:t>
      </w:r>
      <w:r>
        <w:rPr>
          <w:rFonts w:ascii="宋体" w:hAnsi="宋体" w:cs="宋体" w:eastAsia="宋体" w:hint="default"/>
          <w:spacing w:val="-140"/>
          <w:w w:val="100"/>
          <w:sz w:val="28"/>
          <w:szCs w:val="28"/>
        </w:rPr>
        <w:t>：</w:t>
      </w:r>
      <w:r>
        <w:rPr>
          <w:rFonts w:ascii="宋体" w:hAnsi="宋体" w:cs="宋体" w:eastAsia="宋体" w:hint="default"/>
          <w:spacing w:val="-3"/>
          <w:w w:val="100"/>
          <w:sz w:val="28"/>
          <w:szCs w:val="28"/>
        </w:rPr>
        <w:t>（</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w:t>
      </w:r>
      <w:r>
        <w:rPr>
          <w:rFonts w:ascii="宋体" w:hAnsi="宋体" w:cs="宋体" w:eastAsia="宋体" w:hint="default"/>
          <w:spacing w:val="1"/>
          <w:w w:val="100"/>
          <w:sz w:val="28"/>
          <w:szCs w:val="28"/>
        </w:rPr>
        <w:t>1</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4</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3"/>
          <w:w w:val="100"/>
          <w:sz w:val="28"/>
          <w:szCs w:val="28"/>
        </w:rPr>
        <w:t>－</w:t>
      </w:r>
      <w:r>
        <w:rPr>
          <w:rFonts w:ascii="宋体" w:hAnsi="宋体" w:cs="宋体" w:eastAsia="宋体" w:hint="default"/>
          <w:w w:val="100"/>
          <w:sz w:val="28"/>
          <w:szCs w:val="28"/>
        </w:rPr>
        <w:t>6</w:t>
      </w:r>
      <w:r>
        <w:rPr>
          <w:rFonts w:ascii="宋体" w:hAnsi="宋体" w:cs="宋体" w:eastAsia="宋体" w:hint="default"/>
          <w:spacing w:val="-70"/>
          <w:sz w:val="28"/>
          <w:szCs w:val="28"/>
        </w:rPr>
        <w:t> </w:t>
      </w:r>
      <w:r>
        <w:rPr>
          <w:rFonts w:ascii="宋体" w:hAnsi="宋体" w:cs="宋体" w:eastAsia="宋体" w:hint="default"/>
          <w:spacing w:val="-3"/>
          <w:w w:val="100"/>
          <w:sz w:val="28"/>
          <w:szCs w:val="28"/>
        </w:rPr>
        <w:t>月</w:t>
      </w:r>
      <w:r>
        <w:rPr>
          <w:rFonts w:ascii="宋体" w:hAnsi="宋体" w:cs="宋体" w:eastAsia="宋体" w:hint="default"/>
          <w:w w:val="100"/>
          <w:sz w:val="28"/>
          <w:szCs w:val="28"/>
        </w:rPr>
        <w:t>）</w:t>
      </w:r>
    </w:p>
    <w:p>
      <w:pPr>
        <w:spacing w:line="357" w:lineRule="auto" w:before="178"/>
        <w:ind w:left="103" w:right="1402" w:firstLine="0"/>
        <w:jc w:val="left"/>
        <w:rPr>
          <w:rFonts w:ascii="宋体" w:hAnsi="宋体" w:cs="宋体" w:eastAsia="宋体" w:hint="default"/>
          <w:sz w:val="28"/>
          <w:szCs w:val="28"/>
        </w:rPr>
      </w:pPr>
      <w:r>
        <w:rPr>
          <w:rFonts w:ascii="宋体" w:hAnsi="宋体" w:cs="宋体" w:eastAsia="宋体" w:hint="default"/>
          <w:spacing w:val="-3"/>
          <w:sz w:val="28"/>
          <w:szCs w:val="28"/>
        </w:rPr>
        <w:t>①组织各部门及子公司按照《企业内部控制基本规范》和配套指引的相</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8"/>
          <w:sz w:val="28"/>
          <w:szCs w:val="28"/>
        </w:rPr>
        <w:t>关要求，对各职责范围内各项业务流程进行全面系统的检查，梳理风险，</w:t>
      </w:r>
      <w:r>
        <w:rPr>
          <w:rFonts w:ascii="宋体" w:hAnsi="宋体" w:cs="宋体" w:eastAsia="宋体" w:hint="default"/>
          <w:spacing w:val="-95"/>
          <w:sz w:val="28"/>
          <w:szCs w:val="28"/>
        </w:rPr>
        <w:t> </w:t>
      </w:r>
      <w:r>
        <w:rPr>
          <w:rFonts w:ascii="宋体" w:hAnsi="宋体" w:cs="宋体" w:eastAsia="宋体" w:hint="default"/>
          <w:spacing w:val="-95"/>
          <w:sz w:val="28"/>
          <w:szCs w:val="28"/>
        </w:rPr>
      </w:r>
      <w:r>
        <w:rPr>
          <w:rFonts w:ascii="宋体" w:hAnsi="宋体" w:cs="宋体" w:eastAsia="宋体" w:hint="default"/>
          <w:sz w:val="28"/>
          <w:szCs w:val="28"/>
        </w:rPr>
        <w:t>编制风险清单。</w:t>
      </w:r>
    </w:p>
    <w:p>
      <w:pPr>
        <w:spacing w:line="357" w:lineRule="auto" w:before="41"/>
        <w:ind w:left="103" w:right="1581" w:firstLine="0"/>
        <w:jc w:val="both"/>
        <w:rPr>
          <w:rFonts w:ascii="宋体" w:hAnsi="宋体" w:cs="宋体" w:eastAsia="宋体" w:hint="default"/>
          <w:sz w:val="28"/>
          <w:szCs w:val="28"/>
        </w:rPr>
      </w:pPr>
      <w:r>
        <w:rPr>
          <w:rFonts w:ascii="宋体" w:hAnsi="宋体" w:cs="宋体" w:eastAsia="宋体" w:hint="default"/>
          <w:spacing w:val="-4"/>
          <w:sz w:val="28"/>
          <w:szCs w:val="28"/>
        </w:rPr>
        <w:t>②整理公司现有制度与风险清单进行对比，查找内部控制的缺陷，对发</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4"/>
          <w:sz w:val="28"/>
          <w:szCs w:val="28"/>
        </w:rPr>
        <w:t>现的内控缺陷及产生的原因进行全面分析，提出整改方案，报领导小组</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z w:val="28"/>
          <w:szCs w:val="28"/>
        </w:rPr>
        <w:t>审核、批准。</w:t>
      </w:r>
    </w:p>
    <w:p>
      <w:pPr>
        <w:spacing w:line="357" w:lineRule="auto" w:before="41"/>
        <w:ind w:left="103" w:right="1402" w:firstLine="0"/>
        <w:jc w:val="left"/>
        <w:rPr>
          <w:rFonts w:ascii="宋体" w:hAnsi="宋体" w:cs="宋体" w:eastAsia="宋体" w:hint="default"/>
          <w:sz w:val="28"/>
          <w:szCs w:val="28"/>
        </w:rPr>
      </w:pPr>
      <w:r>
        <w:rPr>
          <w:rFonts w:ascii="宋体" w:hAnsi="宋体" w:cs="宋体" w:eastAsia="宋体" w:hint="default"/>
          <w:spacing w:val="-4"/>
          <w:sz w:val="28"/>
          <w:szCs w:val="28"/>
        </w:rPr>
        <w:t>③根据经批准的整改方案，落实缺陷整改工作，通过调整机构设置和流</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程、修订政策及制度等，落实对公司内控制度的修订。</w:t>
      </w:r>
    </w:p>
    <w:p>
      <w:pPr>
        <w:spacing w:after="0" w:line="357" w:lineRule="auto"/>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9"/>
        <w:rPr>
          <w:rFonts w:ascii="宋体" w:hAnsi="宋体" w:cs="宋体" w:eastAsia="宋体" w:hint="default"/>
          <w:sz w:val="11"/>
          <w:szCs w:val="11"/>
        </w:rPr>
      </w:pPr>
    </w:p>
    <w:p>
      <w:pPr>
        <w:spacing w:before="14"/>
        <w:ind w:left="103" w:right="1402" w:firstLine="0"/>
        <w:jc w:val="left"/>
        <w:rPr>
          <w:rFonts w:ascii="宋体" w:hAnsi="宋体" w:cs="宋体" w:eastAsia="宋体" w:hint="default"/>
          <w:sz w:val="28"/>
          <w:szCs w:val="28"/>
        </w:rPr>
      </w:pPr>
      <w:r>
        <w:rPr>
          <w:rFonts w:ascii="宋体" w:hAnsi="宋体" w:cs="宋体" w:eastAsia="宋体" w:hint="default"/>
          <w:sz w:val="28"/>
          <w:szCs w:val="28"/>
        </w:rPr>
        <w:t>④由内控办负责检查内控缺陷的整改效果及整改的落实情况。</w:t>
      </w:r>
    </w:p>
    <w:p>
      <w:pPr>
        <w:spacing w:line="357" w:lineRule="auto" w:before="178"/>
        <w:ind w:left="103" w:right="1402" w:firstLine="0"/>
        <w:jc w:val="left"/>
        <w:rPr>
          <w:rFonts w:ascii="宋体" w:hAnsi="宋体" w:cs="宋体" w:eastAsia="宋体" w:hint="default"/>
          <w:sz w:val="28"/>
          <w:szCs w:val="28"/>
        </w:rPr>
      </w:pPr>
      <w:r>
        <w:rPr>
          <w:rFonts w:ascii="宋体" w:hAnsi="宋体" w:cs="宋体" w:eastAsia="宋体" w:hint="default"/>
          <w:spacing w:val="-6"/>
          <w:w w:val="100"/>
          <w:sz w:val="28"/>
          <w:szCs w:val="28"/>
        </w:rPr>
        <w:t>⑤根据实施进展情况编制《公司内部控制实施进展情况报告》，经领导</w:t>
      </w:r>
      <w:r>
        <w:rPr>
          <w:rFonts w:ascii="宋体" w:hAnsi="宋体" w:cs="宋体" w:eastAsia="宋体" w:hint="default"/>
          <w:spacing w:val="-129"/>
          <w:w w:val="100"/>
          <w:sz w:val="28"/>
          <w:szCs w:val="28"/>
        </w:rPr>
        <w:t> </w:t>
      </w:r>
      <w:r>
        <w:rPr>
          <w:rFonts w:ascii="宋体" w:hAnsi="宋体" w:cs="宋体" w:eastAsia="宋体" w:hint="default"/>
          <w:spacing w:val="-129"/>
          <w:w w:val="100"/>
          <w:sz w:val="28"/>
          <w:szCs w:val="28"/>
        </w:rPr>
      </w:r>
      <w:r>
        <w:rPr>
          <w:rFonts w:ascii="宋体" w:hAnsi="宋体" w:cs="宋体" w:eastAsia="宋体" w:hint="default"/>
          <w:sz w:val="28"/>
          <w:szCs w:val="28"/>
        </w:rPr>
        <w:t>小组审核通过于 2012 年 6 月 30</w:t>
      </w:r>
      <w:r>
        <w:rPr>
          <w:rFonts w:ascii="宋体" w:hAnsi="宋体" w:cs="宋体" w:eastAsia="宋体" w:hint="default"/>
          <w:spacing w:val="-75"/>
          <w:sz w:val="28"/>
          <w:szCs w:val="28"/>
        </w:rPr>
        <w:t> </w:t>
      </w:r>
      <w:r>
        <w:rPr>
          <w:rFonts w:ascii="宋体" w:hAnsi="宋体" w:cs="宋体" w:eastAsia="宋体" w:hint="default"/>
          <w:sz w:val="28"/>
          <w:szCs w:val="28"/>
        </w:rPr>
        <w:t>日前报证监局和交易所备案。</w:t>
      </w:r>
    </w:p>
    <w:p>
      <w:pPr>
        <w:spacing w:before="41"/>
        <w:ind w:left="103" w:right="1402" w:firstLine="0"/>
        <w:jc w:val="left"/>
        <w:rPr>
          <w:rFonts w:ascii="宋体" w:hAnsi="宋体" w:cs="宋体" w:eastAsia="宋体" w:hint="default"/>
          <w:sz w:val="28"/>
          <w:szCs w:val="28"/>
        </w:rPr>
      </w:pPr>
      <w:r>
        <w:rPr>
          <w:rFonts w:ascii="宋体" w:hAnsi="宋体" w:cs="宋体" w:eastAsia="宋体" w:hint="default"/>
          <w:w w:val="100"/>
          <w:sz w:val="28"/>
          <w:szCs w:val="28"/>
        </w:rPr>
        <w:t>⑶、第</w:t>
      </w:r>
      <w:r>
        <w:rPr>
          <w:rFonts w:ascii="宋体" w:hAnsi="宋体" w:cs="宋体" w:eastAsia="宋体" w:hint="default"/>
          <w:spacing w:val="-3"/>
          <w:w w:val="100"/>
          <w:sz w:val="28"/>
          <w:szCs w:val="28"/>
        </w:rPr>
        <w:t>三</w:t>
      </w:r>
      <w:r>
        <w:rPr>
          <w:rFonts w:ascii="宋体" w:hAnsi="宋体" w:cs="宋体" w:eastAsia="宋体" w:hint="default"/>
          <w:w w:val="100"/>
          <w:sz w:val="28"/>
          <w:szCs w:val="28"/>
        </w:rPr>
        <w:t>阶</w:t>
      </w:r>
      <w:r>
        <w:rPr>
          <w:rFonts w:ascii="宋体" w:hAnsi="宋体" w:cs="宋体" w:eastAsia="宋体" w:hint="default"/>
          <w:spacing w:val="-3"/>
          <w:w w:val="100"/>
          <w:sz w:val="28"/>
          <w:szCs w:val="28"/>
        </w:rPr>
        <w:t>段</w:t>
      </w:r>
      <w:r>
        <w:rPr>
          <w:rFonts w:ascii="宋体" w:hAnsi="宋体" w:cs="宋体" w:eastAsia="宋体" w:hint="default"/>
          <w:spacing w:val="-140"/>
          <w:w w:val="100"/>
          <w:sz w:val="28"/>
          <w:szCs w:val="28"/>
        </w:rPr>
        <w:t>：</w:t>
      </w:r>
      <w:r>
        <w:rPr>
          <w:rFonts w:ascii="宋体" w:hAnsi="宋体" w:cs="宋体" w:eastAsia="宋体" w:hint="default"/>
          <w:spacing w:val="-3"/>
          <w:w w:val="100"/>
          <w:sz w:val="28"/>
          <w:szCs w:val="28"/>
        </w:rPr>
        <w:t>（</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w:t>
      </w:r>
      <w:r>
        <w:rPr>
          <w:rFonts w:ascii="宋体" w:hAnsi="宋体" w:cs="宋体" w:eastAsia="宋体" w:hint="default"/>
          <w:spacing w:val="1"/>
          <w:w w:val="100"/>
          <w:sz w:val="28"/>
          <w:szCs w:val="28"/>
        </w:rPr>
        <w:t>1</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6</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3"/>
          <w:w w:val="100"/>
          <w:sz w:val="28"/>
          <w:szCs w:val="28"/>
        </w:rPr>
        <w:t>－</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3</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w w:val="100"/>
          <w:sz w:val="28"/>
          <w:szCs w:val="28"/>
        </w:rPr>
        <w:t>3</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1"/>
          <w:sz w:val="28"/>
          <w:szCs w:val="28"/>
        </w:rPr>
        <w:t> </w:t>
      </w:r>
      <w:r>
        <w:rPr>
          <w:rFonts w:ascii="宋体" w:hAnsi="宋体" w:cs="宋体" w:eastAsia="宋体" w:hint="default"/>
          <w:w w:val="100"/>
          <w:sz w:val="28"/>
          <w:szCs w:val="28"/>
        </w:rPr>
        <w:t>）</w:t>
      </w:r>
    </w:p>
    <w:p>
      <w:pPr>
        <w:spacing w:line="357" w:lineRule="auto" w:before="178"/>
        <w:ind w:left="103" w:right="1402" w:firstLine="0"/>
        <w:jc w:val="left"/>
        <w:rPr>
          <w:rFonts w:ascii="宋体" w:hAnsi="宋体" w:cs="宋体" w:eastAsia="宋体" w:hint="default"/>
          <w:sz w:val="28"/>
          <w:szCs w:val="28"/>
        </w:rPr>
      </w:pPr>
      <w:r>
        <w:rPr>
          <w:rFonts w:ascii="宋体" w:hAnsi="宋体" w:cs="宋体" w:eastAsia="宋体" w:hint="default"/>
          <w:spacing w:val="-3"/>
          <w:sz w:val="28"/>
          <w:szCs w:val="28"/>
        </w:rPr>
        <w:t>①对内部控制缺陷的改进和流程优化进行沟通和确认，并在实际运行中</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加强监控，及时进行整改和完善。</w:t>
      </w:r>
    </w:p>
    <w:p>
      <w:pPr>
        <w:spacing w:before="41"/>
        <w:ind w:left="103" w:right="1402" w:firstLine="0"/>
        <w:jc w:val="left"/>
        <w:rPr>
          <w:rFonts w:ascii="宋体" w:hAnsi="宋体" w:cs="宋体" w:eastAsia="宋体" w:hint="default"/>
          <w:sz w:val="28"/>
          <w:szCs w:val="28"/>
        </w:rPr>
      </w:pPr>
      <w:r>
        <w:rPr>
          <w:rFonts w:ascii="宋体" w:hAnsi="宋体" w:cs="宋体" w:eastAsia="宋体" w:hint="default"/>
          <w:sz w:val="28"/>
          <w:szCs w:val="28"/>
        </w:rPr>
        <w:t>②编制完成公司《内部控制管理手册》</w:t>
      </w:r>
    </w:p>
    <w:p>
      <w:pPr>
        <w:spacing w:line="357" w:lineRule="auto" w:before="178"/>
        <w:ind w:left="103" w:right="1574" w:firstLine="0"/>
        <w:jc w:val="left"/>
        <w:rPr>
          <w:rFonts w:ascii="宋体" w:hAnsi="宋体" w:cs="宋体" w:eastAsia="宋体" w:hint="default"/>
          <w:sz w:val="28"/>
          <w:szCs w:val="28"/>
        </w:rPr>
      </w:pPr>
      <w:r>
        <w:rPr>
          <w:rFonts w:ascii="宋体" w:hAnsi="宋体" w:cs="宋体" w:eastAsia="宋体" w:hint="default"/>
          <w:sz w:val="28"/>
          <w:szCs w:val="28"/>
        </w:rPr>
        <w:t>③根据本阶段内控实施进展情况编制《公司内部控制实施进展情况报</w:t>
      </w:r>
      <w:r>
        <w:rPr>
          <w:rFonts w:ascii="宋体" w:hAnsi="宋体" w:cs="宋体" w:eastAsia="宋体" w:hint="default"/>
          <w:w w:val="100"/>
          <w:sz w:val="28"/>
          <w:szCs w:val="28"/>
        </w:rPr>
        <w:t> </w:t>
      </w:r>
      <w:r>
        <w:rPr>
          <w:rFonts w:ascii="宋体" w:hAnsi="宋体" w:cs="宋体" w:eastAsia="宋体" w:hint="default"/>
          <w:spacing w:val="-21"/>
          <w:w w:val="100"/>
          <w:sz w:val="28"/>
          <w:szCs w:val="28"/>
        </w:rPr>
        <w:t>告》，经领导小组审核通过后于</w:t>
      </w:r>
      <w:r>
        <w:rPr>
          <w:rFonts w:ascii="宋体" w:hAnsi="宋体" w:cs="宋体" w:eastAsia="宋体" w:hint="default"/>
          <w:w w:val="100"/>
          <w:sz w:val="28"/>
          <w:szCs w:val="28"/>
        </w:rPr>
        <w:t> </w:t>
      </w:r>
      <w:r>
        <w:rPr>
          <w:rFonts w:ascii="宋体" w:hAnsi="宋体" w:cs="宋体" w:eastAsia="宋体" w:hint="default"/>
          <w:spacing w:val="-1"/>
          <w:w w:val="100"/>
          <w:sz w:val="28"/>
          <w:szCs w:val="28"/>
        </w:rPr>
        <w:t>2012</w:t>
      </w:r>
      <w:r>
        <w:rPr>
          <w:rFonts w:ascii="宋体" w:hAnsi="宋体" w:cs="宋体" w:eastAsia="宋体" w:hint="default"/>
          <w:w w:val="100"/>
          <w:sz w:val="28"/>
          <w:szCs w:val="28"/>
        </w:rPr>
        <w:t> 年 </w:t>
      </w:r>
      <w:r>
        <w:rPr>
          <w:rFonts w:ascii="宋体" w:hAnsi="宋体" w:cs="宋体" w:eastAsia="宋体" w:hint="default"/>
          <w:spacing w:val="-1"/>
          <w:w w:val="100"/>
          <w:sz w:val="28"/>
          <w:szCs w:val="28"/>
        </w:rPr>
        <w:t>12</w:t>
      </w:r>
      <w:r>
        <w:rPr>
          <w:rFonts w:ascii="宋体" w:hAnsi="宋体" w:cs="宋体" w:eastAsia="宋体" w:hint="default"/>
          <w:w w:val="100"/>
          <w:sz w:val="28"/>
          <w:szCs w:val="28"/>
        </w:rPr>
        <w:t> 月 </w:t>
      </w:r>
      <w:r>
        <w:rPr>
          <w:rFonts w:ascii="宋体" w:hAnsi="宋体" w:cs="宋体" w:eastAsia="宋体" w:hint="default"/>
          <w:spacing w:val="-1"/>
          <w:w w:val="100"/>
          <w:sz w:val="28"/>
          <w:szCs w:val="28"/>
        </w:rPr>
        <w:t>31</w:t>
      </w:r>
      <w:r>
        <w:rPr>
          <w:rFonts w:ascii="宋体" w:hAnsi="宋体" w:cs="宋体" w:eastAsia="宋体" w:hint="default"/>
          <w:spacing w:val="-67"/>
          <w:w w:val="100"/>
          <w:sz w:val="28"/>
          <w:szCs w:val="28"/>
        </w:rPr>
        <w:t> </w:t>
      </w:r>
      <w:r>
        <w:rPr>
          <w:rFonts w:ascii="宋体" w:hAnsi="宋体" w:cs="宋体" w:eastAsia="宋体" w:hint="default"/>
          <w:spacing w:val="-1"/>
          <w:w w:val="100"/>
          <w:sz w:val="28"/>
          <w:szCs w:val="28"/>
        </w:rPr>
        <w:t>日前报证监局和交易</w:t>
      </w:r>
      <w:r>
        <w:rPr>
          <w:rFonts w:ascii="宋体" w:hAnsi="宋体" w:cs="宋体" w:eastAsia="宋体" w:hint="default"/>
          <w:w w:val="100"/>
          <w:sz w:val="28"/>
          <w:szCs w:val="28"/>
        </w:rPr>
        <w:t> </w:t>
      </w:r>
      <w:r>
        <w:rPr>
          <w:rFonts w:ascii="宋体" w:hAnsi="宋体" w:cs="宋体" w:eastAsia="宋体" w:hint="default"/>
          <w:sz w:val="28"/>
          <w:szCs w:val="28"/>
        </w:rPr>
        <w:t>所备案。</w:t>
      </w:r>
    </w:p>
    <w:p>
      <w:pPr>
        <w:spacing w:line="357" w:lineRule="auto" w:before="41"/>
        <w:ind w:left="103" w:right="1402" w:firstLine="0"/>
        <w:jc w:val="left"/>
        <w:rPr>
          <w:rFonts w:ascii="宋体" w:hAnsi="宋体" w:cs="宋体" w:eastAsia="宋体" w:hint="default"/>
          <w:sz w:val="28"/>
          <w:szCs w:val="28"/>
        </w:rPr>
      </w:pPr>
      <w:r>
        <w:rPr>
          <w:rFonts w:ascii="宋体" w:hAnsi="宋体" w:cs="宋体" w:eastAsia="宋体" w:hint="default"/>
          <w:spacing w:val="-1"/>
          <w:sz w:val="28"/>
          <w:szCs w:val="28"/>
        </w:rPr>
        <w:t>④完成公司《内部控制自我评价工作报告》。</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4、内部控制自我评价工作计划</w:t>
      </w:r>
    </w:p>
    <w:p>
      <w:pPr>
        <w:pStyle w:val="Heading2"/>
        <w:spacing w:line="357" w:lineRule="auto" w:before="41"/>
        <w:ind w:right="1653" w:firstLine="561"/>
        <w:jc w:val="left"/>
      </w:pPr>
      <w:r>
        <w:rPr/>
        <w:pict>
          <v:shape style="position:absolute;margin-left:103.08847pt;margin-top:5.139843pt;width:392.95pt;height:64.3pt;mso-position-horizontal-relative:page;mso-position-vertical-relative:paragraph;z-index:-555280;rotation:315" type="#_x0000_t136" fillcolor="#e0e0e0" stroked="f">
            <o:extrusion v:ext="view" autorotationcenter="t"/>
            <v:textpath style="font-family:&amp;quot;Arial&amp;quot;;font-size:64pt;v-text-kern:t;mso-text-shadow:auto" string="UnRegistered"/>
            <w10:wrap type="none"/>
          </v:shape>
        </w:pict>
      </w:r>
      <w:r>
        <w:rPr/>
        <w:t>公司计划在</w:t>
      </w:r>
      <w:r>
        <w:rPr>
          <w:spacing w:val="-73"/>
        </w:rPr>
        <w:t> </w:t>
      </w:r>
      <w:r>
        <w:rPr/>
        <w:t>2012</w:t>
      </w:r>
      <w:r>
        <w:rPr>
          <w:spacing w:val="-72"/>
        </w:rPr>
        <w:t> </w:t>
      </w:r>
      <w:r>
        <w:rPr/>
        <w:t>年</w:t>
      </w:r>
      <w:r>
        <w:rPr>
          <w:spacing w:val="-71"/>
        </w:rPr>
        <w:t> </w:t>
      </w:r>
      <w:r>
        <w:rPr/>
        <w:t>12</w:t>
      </w:r>
      <w:r>
        <w:rPr>
          <w:spacing w:val="-72"/>
        </w:rPr>
        <w:t> </w:t>
      </w:r>
      <w:r>
        <w:rPr/>
        <w:t>月至</w:t>
      </w:r>
      <w:r>
        <w:rPr>
          <w:spacing w:val="-71"/>
        </w:rPr>
        <w:t> </w:t>
      </w:r>
      <w:r>
        <w:rPr/>
        <w:t>2013</w:t>
      </w:r>
      <w:r>
        <w:rPr>
          <w:spacing w:val="-70"/>
        </w:rPr>
        <w:t> </w:t>
      </w:r>
      <w:r>
        <w:rPr/>
        <w:t>年</w:t>
      </w:r>
      <w:r>
        <w:rPr>
          <w:spacing w:val="-73"/>
        </w:rPr>
        <w:t> </w:t>
      </w:r>
      <w:r>
        <w:rPr/>
        <w:t>3</w:t>
      </w:r>
      <w:r>
        <w:rPr>
          <w:spacing w:val="-70"/>
        </w:rPr>
        <w:t> </w:t>
      </w:r>
      <w:r>
        <w:rPr/>
        <w:t>月完成内部控制自我评价工</w:t>
      </w:r>
      <w:r>
        <w:rPr>
          <w:w w:val="100"/>
        </w:rPr>
        <w:t> </w:t>
      </w:r>
      <w:r>
        <w:rPr/>
        <w:t>作，由公司内控办负责组织实施工作。</w:t>
      </w:r>
    </w:p>
    <w:p>
      <w:pPr>
        <w:spacing w:before="41"/>
        <w:ind w:left="103" w:right="1402" w:firstLine="0"/>
        <w:jc w:val="left"/>
        <w:rPr>
          <w:rFonts w:ascii="宋体" w:hAnsi="宋体" w:cs="宋体" w:eastAsia="宋体" w:hint="default"/>
          <w:sz w:val="28"/>
          <w:szCs w:val="28"/>
        </w:rPr>
      </w:pPr>
      <w:r>
        <w:rPr>
          <w:rFonts w:ascii="宋体" w:hAnsi="宋体" w:cs="宋体" w:eastAsia="宋体" w:hint="default"/>
          <w:sz w:val="28"/>
          <w:szCs w:val="28"/>
        </w:rPr>
        <w:t>⑴、制定内部自我评价工作计划。</w:t>
      </w:r>
    </w:p>
    <w:p>
      <w:pPr>
        <w:spacing w:before="176"/>
        <w:ind w:left="103" w:right="1402" w:firstLine="0"/>
        <w:jc w:val="left"/>
        <w:rPr>
          <w:rFonts w:ascii="宋体" w:hAnsi="宋体" w:cs="宋体" w:eastAsia="宋体" w:hint="default"/>
          <w:sz w:val="28"/>
          <w:szCs w:val="28"/>
        </w:rPr>
      </w:pPr>
      <w:r>
        <w:rPr>
          <w:rFonts w:ascii="宋体" w:hAnsi="宋体" w:cs="宋体" w:eastAsia="宋体" w:hint="default"/>
          <w:spacing w:val="-8"/>
          <w:sz w:val="28"/>
          <w:szCs w:val="28"/>
        </w:rPr>
        <w:t>⑵、按照工作计划组织实施自我评价工作，形成内部控制评价工作底稿。</w:t>
      </w:r>
    </w:p>
    <w:p>
      <w:pPr>
        <w:spacing w:line="357" w:lineRule="auto" w:before="178"/>
        <w:ind w:left="115" w:right="1402" w:firstLine="0"/>
        <w:jc w:val="left"/>
        <w:rPr>
          <w:rFonts w:ascii="宋体" w:hAnsi="宋体" w:cs="宋体" w:eastAsia="宋体" w:hint="default"/>
          <w:sz w:val="28"/>
          <w:szCs w:val="28"/>
        </w:rPr>
      </w:pPr>
      <w:r>
        <w:rPr>
          <w:rFonts w:ascii="宋体" w:hAnsi="宋体" w:cs="宋体" w:eastAsia="宋体" w:hint="default"/>
          <w:spacing w:val="-2"/>
          <w:sz w:val="28"/>
          <w:szCs w:val="28"/>
        </w:rPr>
        <w:t>⑶、对自我评价工作中发现的问题及缺陷进行整改，并跟踪整改落实</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情况。</w:t>
      </w:r>
    </w:p>
    <w:p>
      <w:pPr>
        <w:spacing w:line="357" w:lineRule="auto" w:before="41"/>
        <w:ind w:left="209" w:right="1685" w:firstLine="0"/>
        <w:jc w:val="left"/>
        <w:rPr>
          <w:rFonts w:ascii="宋体" w:hAnsi="宋体" w:cs="宋体" w:eastAsia="宋体" w:hint="default"/>
          <w:sz w:val="28"/>
          <w:szCs w:val="28"/>
        </w:rPr>
      </w:pPr>
      <w:r>
        <w:rPr>
          <w:rFonts w:ascii="宋体" w:hAnsi="宋体" w:cs="宋体" w:eastAsia="宋体" w:hint="default"/>
          <w:spacing w:val="-1"/>
          <w:w w:val="100"/>
          <w:sz w:val="28"/>
          <w:szCs w:val="28"/>
        </w:rPr>
        <w:t>⑷、编制《内部控制自我评估报告</w:t>
      </w:r>
      <w:r>
        <w:rPr>
          <w:rFonts w:ascii="宋体" w:hAnsi="宋体" w:cs="宋体" w:eastAsia="宋体" w:hint="default"/>
          <w:spacing w:val="7"/>
          <w:w w:val="100"/>
          <w:sz w:val="28"/>
          <w:szCs w:val="28"/>
        </w:rPr>
        <w:t> </w:t>
      </w:r>
      <w:r>
        <w:rPr>
          <w:rFonts w:ascii="宋体" w:hAnsi="宋体" w:cs="宋体" w:eastAsia="宋体" w:hint="default"/>
          <w:spacing w:val="-11"/>
          <w:w w:val="100"/>
          <w:sz w:val="28"/>
          <w:szCs w:val="28"/>
        </w:rPr>
        <w:t>》，经公司董事会审议通过后与年</w:t>
      </w:r>
      <w:r>
        <w:rPr>
          <w:rFonts w:ascii="宋体" w:hAnsi="宋体" w:cs="宋体" w:eastAsia="宋体" w:hint="default"/>
          <w:w w:val="100"/>
          <w:sz w:val="28"/>
          <w:szCs w:val="28"/>
        </w:rPr>
        <w:t> </w:t>
      </w:r>
      <w:r>
        <w:rPr>
          <w:rFonts w:ascii="宋体" w:hAnsi="宋体" w:cs="宋体" w:eastAsia="宋体" w:hint="default"/>
          <w:sz w:val="28"/>
          <w:szCs w:val="28"/>
        </w:rPr>
        <w:t>报同时对外披露。</w:t>
      </w:r>
    </w:p>
    <w:p>
      <w:pPr>
        <w:spacing w:before="41"/>
        <w:ind w:left="103" w:right="1402" w:firstLine="0"/>
        <w:jc w:val="left"/>
        <w:rPr>
          <w:rFonts w:ascii="宋体" w:hAnsi="宋体" w:cs="宋体" w:eastAsia="宋体" w:hint="default"/>
          <w:sz w:val="28"/>
          <w:szCs w:val="28"/>
        </w:rPr>
      </w:pPr>
      <w:r>
        <w:rPr>
          <w:rFonts w:ascii="宋体" w:hAnsi="宋体" w:cs="宋体" w:eastAsia="宋体" w:hint="default"/>
          <w:sz w:val="28"/>
          <w:szCs w:val="28"/>
        </w:rPr>
        <w:t>5、内部控制审计工作计划</w:t>
      </w:r>
    </w:p>
    <w:p>
      <w:pPr>
        <w:spacing w:before="178"/>
        <w:ind w:left="103" w:right="1402" w:firstLine="0"/>
        <w:jc w:val="left"/>
        <w:rPr>
          <w:rFonts w:ascii="宋体" w:hAnsi="宋体" w:cs="宋体" w:eastAsia="宋体" w:hint="default"/>
          <w:sz w:val="28"/>
          <w:szCs w:val="28"/>
        </w:rPr>
      </w:pPr>
      <w:r>
        <w:rPr>
          <w:rFonts w:ascii="宋体" w:hAnsi="宋体" w:cs="宋体" w:eastAsia="宋体" w:hint="default"/>
          <w:sz w:val="28"/>
          <w:szCs w:val="28"/>
        </w:rPr>
        <w:t>⑴、内部控制审计基准日：2012</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12</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宋体" w:hAnsi="宋体" w:cs="宋体" w:eastAsia="宋体" w:hint="default"/>
          <w:sz w:val="28"/>
          <w:szCs w:val="28"/>
        </w:rPr>
        <w:t>31</w:t>
      </w:r>
      <w:r>
        <w:rPr>
          <w:rFonts w:ascii="宋体" w:hAnsi="宋体" w:cs="宋体" w:eastAsia="宋体" w:hint="default"/>
          <w:spacing w:val="-72"/>
          <w:sz w:val="28"/>
          <w:szCs w:val="28"/>
        </w:rPr>
        <w:t> </w:t>
      </w:r>
      <w:r>
        <w:rPr>
          <w:rFonts w:ascii="宋体" w:hAnsi="宋体" w:cs="宋体" w:eastAsia="宋体" w:hint="default"/>
          <w:sz w:val="28"/>
          <w:szCs w:val="28"/>
        </w:rPr>
        <w:t>日</w:t>
      </w:r>
    </w:p>
    <w:p>
      <w:pPr>
        <w:spacing w:line="357" w:lineRule="auto" w:before="178"/>
        <w:ind w:left="103" w:right="1581" w:firstLine="0"/>
        <w:jc w:val="both"/>
        <w:rPr>
          <w:rFonts w:ascii="宋体" w:hAnsi="宋体" w:cs="宋体" w:eastAsia="宋体" w:hint="default"/>
          <w:sz w:val="28"/>
          <w:szCs w:val="28"/>
        </w:rPr>
      </w:pPr>
      <w:r>
        <w:rPr>
          <w:rFonts w:ascii="宋体" w:hAnsi="宋体" w:cs="宋体" w:eastAsia="宋体" w:hint="default"/>
          <w:spacing w:val="-4"/>
          <w:sz w:val="28"/>
          <w:szCs w:val="28"/>
        </w:rPr>
        <w:t>⑵、公司聘请的会计师事务所根据相关执业准则，对公司内部控制设计</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4"/>
          <w:sz w:val="28"/>
          <w:szCs w:val="28"/>
        </w:rPr>
        <w:t>与运行的有效性进行审计，并出具公司内部控制审计报告，提交公司董</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事会审议通过后与年报同时对外披露。</w:t>
      </w:r>
    </w:p>
    <w:p>
      <w:pPr>
        <w:spacing w:after="0" w:line="357" w:lineRule="auto"/>
        <w:jc w:val="both"/>
        <w:rPr>
          <w:rFonts w:ascii="宋体" w:hAnsi="宋体" w:cs="宋体" w:eastAsia="宋体" w:hint="default"/>
          <w:sz w:val="28"/>
          <w:szCs w:val="28"/>
        </w:rPr>
        <w:sectPr>
          <w:pgSz w:w="11910" w:h="16840"/>
          <w:pgMar w:header="929" w:footer="837" w:top="1140" w:bottom="1020" w:left="1600" w:right="0"/>
        </w:sectPr>
      </w:pPr>
    </w:p>
    <w:p>
      <w:pPr>
        <w:spacing w:line="240" w:lineRule="auto" w:before="9"/>
        <w:rPr>
          <w:rFonts w:ascii="宋体" w:hAnsi="宋体" w:cs="宋体" w:eastAsia="宋体" w:hint="default"/>
          <w:sz w:val="24"/>
          <w:szCs w:val="24"/>
        </w:rPr>
      </w:pPr>
    </w:p>
    <w:p>
      <w:pPr>
        <w:spacing w:before="14"/>
        <w:ind w:left="103" w:right="1402" w:firstLine="0"/>
        <w:jc w:val="left"/>
        <w:rPr>
          <w:rFonts w:ascii="宋体" w:hAnsi="宋体" w:cs="宋体" w:eastAsia="宋体" w:hint="default"/>
          <w:sz w:val="28"/>
          <w:szCs w:val="28"/>
        </w:rPr>
      </w:pPr>
      <w:r>
        <w:rPr>
          <w:rFonts w:ascii="宋体" w:hAnsi="宋体" w:cs="宋体" w:eastAsia="宋体" w:hint="default"/>
          <w:sz w:val="28"/>
          <w:szCs w:val="28"/>
        </w:rPr>
        <w:t>（十）</w:t>
      </w:r>
      <w:r>
        <w:rPr>
          <w:rFonts w:ascii="宋体" w:hAnsi="宋体" w:cs="宋体" w:eastAsia="宋体" w:hint="default"/>
          <w:spacing w:val="-1"/>
          <w:sz w:val="28"/>
          <w:szCs w:val="28"/>
        </w:rPr>
        <w:t> </w:t>
      </w:r>
      <w:r>
        <w:rPr>
          <w:rFonts w:ascii="宋体" w:hAnsi="宋体" w:cs="宋体" w:eastAsia="宋体" w:hint="default"/>
          <w:sz w:val="28"/>
          <w:szCs w:val="28"/>
        </w:rPr>
        <w:t>内幕信息知情人登记管理制度的建立及执行情况</w:t>
      </w:r>
    </w:p>
    <w:p>
      <w:pPr>
        <w:spacing w:line="367" w:lineRule="auto" w:before="195"/>
        <w:ind w:left="103" w:right="1402" w:firstLine="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73"/>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12</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8</w:t>
      </w:r>
      <w:r>
        <w:rPr>
          <w:rFonts w:ascii="宋体" w:hAnsi="宋体" w:cs="宋体" w:eastAsia="宋体" w:hint="default"/>
          <w:spacing w:val="-73"/>
          <w:sz w:val="28"/>
          <w:szCs w:val="28"/>
        </w:rPr>
        <w:t> </w:t>
      </w:r>
      <w:r>
        <w:rPr>
          <w:rFonts w:ascii="宋体" w:hAnsi="宋体" w:cs="宋体" w:eastAsia="宋体" w:hint="default"/>
          <w:sz w:val="28"/>
          <w:szCs w:val="28"/>
        </w:rPr>
        <w:t>日召开的公司六届董事会第十二次会议（通讯表决</w:t>
      </w:r>
      <w:r>
        <w:rPr>
          <w:rFonts w:ascii="宋体" w:hAnsi="宋体" w:cs="宋体" w:eastAsia="宋体" w:hint="default"/>
          <w:w w:val="100"/>
          <w:sz w:val="28"/>
          <w:szCs w:val="28"/>
        </w:rPr>
        <w:t> </w:t>
      </w:r>
      <w:r>
        <w:rPr>
          <w:rFonts w:ascii="宋体" w:hAnsi="宋体" w:cs="宋体" w:eastAsia="宋体" w:hint="default"/>
          <w:spacing w:val="-4"/>
          <w:sz w:val="28"/>
          <w:szCs w:val="28"/>
        </w:rPr>
        <w:t>方式）审议通过了内幕信息知情人登记管理制度。报告期公司无内幕信</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3"/>
          <w:sz w:val="28"/>
          <w:szCs w:val="28"/>
        </w:rPr>
        <w:t>息知情人买卖公司股票及其衍生品种的情况，公司及相关人员无因内幕</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信息知情人登记管理制度执行或涉嫌内幕交易被监管部门采取监管措</w:t>
      </w:r>
      <w:r>
        <w:rPr>
          <w:rFonts w:ascii="宋体" w:hAnsi="宋体" w:cs="宋体" w:eastAsia="宋体" w:hint="default"/>
          <w:w w:val="100"/>
          <w:sz w:val="28"/>
          <w:szCs w:val="28"/>
        </w:rPr>
        <w:t> </w:t>
      </w:r>
      <w:r>
        <w:rPr>
          <w:rFonts w:ascii="宋体" w:hAnsi="宋体" w:cs="宋体" w:eastAsia="宋体" w:hint="default"/>
          <w:sz w:val="28"/>
          <w:szCs w:val="28"/>
        </w:rPr>
        <w:t>施及行政处罚情况。</w:t>
      </w:r>
    </w:p>
    <w:p>
      <w:pPr>
        <w:spacing w:before="44"/>
        <w:ind w:left="103" w:right="1402" w:firstLine="0"/>
        <w:jc w:val="left"/>
        <w:rPr>
          <w:rFonts w:ascii="宋体" w:hAnsi="宋体" w:cs="宋体" w:eastAsia="宋体" w:hint="default"/>
          <w:sz w:val="28"/>
          <w:szCs w:val="28"/>
        </w:rPr>
      </w:pPr>
      <w:r>
        <w:rPr>
          <w:rFonts w:ascii="宋体" w:hAnsi="宋体" w:cs="宋体" w:eastAsia="宋体" w:hint="default"/>
          <w:sz w:val="28"/>
          <w:szCs w:val="28"/>
        </w:rPr>
        <w:t>（十一）报告期公司不存在重大环保或其他重大社会安全问题。</w:t>
      </w:r>
    </w:p>
    <w:p>
      <w:pPr>
        <w:spacing w:before="195"/>
        <w:ind w:left="103" w:right="1402" w:firstLine="0"/>
        <w:jc w:val="left"/>
        <w:rPr>
          <w:rFonts w:ascii="宋体" w:hAnsi="宋体" w:cs="宋体" w:eastAsia="宋体" w:hint="default"/>
          <w:sz w:val="28"/>
          <w:szCs w:val="28"/>
        </w:rPr>
      </w:pPr>
      <w:r>
        <w:rPr>
          <w:rFonts w:ascii="宋体" w:hAnsi="宋体" w:cs="宋体" w:eastAsia="宋体" w:hint="default"/>
          <w:sz w:val="28"/>
          <w:szCs w:val="28"/>
        </w:rPr>
        <w:t>（十二）其他披露事项</w:t>
      </w:r>
    </w:p>
    <w:p>
      <w:pPr>
        <w:spacing w:line="240" w:lineRule="auto" w:before="0"/>
        <w:rPr>
          <w:rFonts w:ascii="宋体" w:hAnsi="宋体" w:cs="宋体" w:eastAsia="宋体" w:hint="default"/>
          <w:sz w:val="28"/>
          <w:szCs w:val="28"/>
        </w:rPr>
      </w:pPr>
    </w:p>
    <w:p>
      <w:pPr>
        <w:pStyle w:val="Heading2"/>
        <w:spacing w:line="364" w:lineRule="auto" w:before="205"/>
        <w:ind w:left="281" w:right="1402" w:firstLine="3590"/>
        <w:jc w:val="left"/>
      </w:pPr>
      <w:r>
        <w:rPr/>
        <w:pict>
          <v:shape style="position:absolute;margin-left:103.08847pt;margin-top:88.69986pt;width:392.95pt;height:64.3pt;mso-position-horizontal-relative:page;mso-position-vertical-relative:paragraph;z-index:-555256;rotation:315" type="#_x0000_t136" fillcolor="#e0e0e0" stroked="f">
            <o:extrusion v:ext="view" autorotationcenter="t"/>
            <v:textpath style="font-family:&amp;quot;Arial&amp;quot;;font-size:64pt;v-text-kern:t;mso-text-shadow:auto" string="UnRegistered"/>
            <w10:wrap type="none"/>
          </v:shape>
        </w:pict>
      </w:r>
      <w:r>
        <w:rPr/>
        <w:t>独立董事意见</w:t>
      </w:r>
      <w:r>
        <w:rPr>
          <w:w w:val="100"/>
        </w:rPr>
        <w:t> </w:t>
      </w:r>
      <w:r>
        <w:rPr/>
        <w:t>1、根据《关于规范上市公司与关联方资金往来及上市公司对外担保</w:t>
      </w:r>
      <w:r>
        <w:rPr>
          <w:w w:val="100"/>
        </w:rPr>
        <w:t> </w:t>
      </w:r>
      <w:r>
        <w:rPr>
          <w:spacing w:val="-2"/>
        </w:rPr>
        <w:t>若干问题的通知》和《关于规范上市公司对外担保行为的通知》等文</w:t>
      </w:r>
      <w:r>
        <w:rPr>
          <w:spacing w:val="-94"/>
        </w:rPr>
        <w:t> </w:t>
      </w:r>
      <w:r>
        <w:rPr>
          <w:spacing w:val="-94"/>
        </w:rPr>
      </w:r>
      <w:r>
        <w:rPr>
          <w:spacing w:val="-2"/>
        </w:rPr>
        <w:t>件的规定，本着公平、公正和客观的原则，我们对公司对外担保情况</w:t>
      </w:r>
      <w:r>
        <w:rPr>
          <w:spacing w:val="-96"/>
        </w:rPr>
        <w:t> </w:t>
      </w:r>
      <w:r>
        <w:rPr>
          <w:spacing w:val="-96"/>
        </w:rPr>
      </w:r>
      <w:r>
        <w:rPr>
          <w:spacing w:val="-2"/>
        </w:rPr>
        <w:t>进行了认真核查，我们认为：截至2011年12月31日，公司对外担保总</w:t>
      </w:r>
      <w:r>
        <w:rPr>
          <w:spacing w:val="-93"/>
        </w:rPr>
        <w:t> </w:t>
      </w:r>
      <w:r>
        <w:rPr>
          <w:spacing w:val="-93"/>
        </w:rPr>
      </w:r>
      <w:r>
        <w:rPr/>
        <w:t>额为0元，不存在违规情况。</w:t>
      </w:r>
    </w:p>
    <w:p>
      <w:pPr>
        <w:spacing w:before="47"/>
        <w:ind w:left="660" w:right="1402" w:firstLine="0"/>
        <w:jc w:val="left"/>
        <w:rPr>
          <w:rFonts w:ascii="宋体" w:hAnsi="宋体" w:cs="宋体" w:eastAsia="宋体" w:hint="default"/>
          <w:sz w:val="28"/>
          <w:szCs w:val="28"/>
        </w:rPr>
      </w:pPr>
      <w:r>
        <w:rPr>
          <w:rFonts w:ascii="宋体" w:hAnsi="宋体" w:cs="宋体" w:eastAsia="宋体" w:hint="default"/>
          <w:sz w:val="28"/>
          <w:szCs w:val="28"/>
        </w:rPr>
        <w:t>根据公司 2011</w:t>
      </w:r>
      <w:r>
        <w:rPr>
          <w:rFonts w:ascii="宋体" w:hAnsi="宋体" w:cs="宋体" w:eastAsia="宋体" w:hint="default"/>
          <w:spacing w:val="-70"/>
          <w:sz w:val="28"/>
          <w:szCs w:val="28"/>
        </w:rPr>
        <w:t> </w:t>
      </w:r>
      <w:r>
        <w:rPr>
          <w:rFonts w:ascii="宋体" w:hAnsi="宋体" w:cs="宋体" w:eastAsia="宋体" w:hint="default"/>
          <w:sz w:val="28"/>
          <w:szCs w:val="28"/>
        </w:rPr>
        <w:t>年年报和审计报告，我们对公司的关联方资金往来</w:t>
      </w:r>
    </w:p>
    <w:p>
      <w:pPr>
        <w:spacing w:line="367" w:lineRule="auto" w:before="192"/>
        <w:ind w:left="103" w:right="1578" w:firstLine="177"/>
        <w:jc w:val="left"/>
        <w:rPr>
          <w:rFonts w:ascii="宋体" w:hAnsi="宋体" w:cs="宋体" w:eastAsia="宋体" w:hint="default"/>
          <w:sz w:val="28"/>
          <w:szCs w:val="28"/>
        </w:rPr>
      </w:pPr>
      <w:r>
        <w:rPr>
          <w:rFonts w:ascii="宋体" w:hAnsi="宋体" w:cs="宋体" w:eastAsia="宋体" w:hint="default"/>
          <w:spacing w:val="-8"/>
          <w:sz w:val="28"/>
          <w:szCs w:val="28"/>
        </w:rPr>
        <w:t>情况进行了仔细核查，我们认为：公司 </w:t>
      </w:r>
      <w:r>
        <w:rPr>
          <w:rFonts w:ascii="宋体" w:hAnsi="宋体" w:cs="宋体" w:eastAsia="宋体" w:hint="default"/>
          <w:sz w:val="28"/>
          <w:szCs w:val="28"/>
        </w:rPr>
        <w:t>2011</w:t>
      </w:r>
      <w:r>
        <w:rPr>
          <w:rFonts w:ascii="宋体" w:hAnsi="宋体" w:cs="宋体" w:eastAsia="宋体" w:hint="default"/>
          <w:spacing w:val="-109"/>
          <w:sz w:val="28"/>
          <w:szCs w:val="28"/>
        </w:rPr>
        <w:t> </w:t>
      </w:r>
      <w:r>
        <w:rPr>
          <w:rFonts w:ascii="宋体" w:hAnsi="宋体" w:cs="宋体" w:eastAsia="宋体" w:hint="default"/>
          <w:sz w:val="28"/>
          <w:szCs w:val="28"/>
        </w:rPr>
        <w:t>年度未发生与大股东及其</w:t>
      </w:r>
      <w:r>
        <w:rPr>
          <w:rFonts w:ascii="宋体" w:hAnsi="宋体" w:cs="宋体" w:eastAsia="宋体" w:hint="default"/>
          <w:w w:val="100"/>
          <w:sz w:val="28"/>
          <w:szCs w:val="28"/>
        </w:rPr>
        <w:t> </w:t>
      </w:r>
      <w:r>
        <w:rPr>
          <w:rFonts w:ascii="宋体" w:hAnsi="宋体" w:cs="宋体" w:eastAsia="宋体" w:hint="default"/>
          <w:sz w:val="28"/>
          <w:szCs w:val="28"/>
        </w:rPr>
        <w:t>他关联方之间的资金往来事项。</w:t>
      </w:r>
      <w:r>
        <w:rPr>
          <w:rFonts w:ascii="宋体" w:hAnsi="宋体" w:cs="宋体" w:eastAsia="宋体" w:hint="default"/>
          <w:w w:val="100"/>
          <w:sz w:val="28"/>
          <w:szCs w:val="28"/>
        </w:rPr>
        <w:t> </w:t>
      </w:r>
      <w:r>
        <w:rPr>
          <w:rFonts w:ascii="宋体" w:hAnsi="宋体" w:cs="宋体" w:eastAsia="宋体" w:hint="default"/>
          <w:sz w:val="28"/>
          <w:szCs w:val="28"/>
        </w:rPr>
        <w:t>2、关于聘任公司2012年度审计机构及费用支付事项</w:t>
      </w:r>
    </w:p>
    <w:p>
      <w:pPr>
        <w:spacing w:line="367" w:lineRule="auto" w:before="44"/>
        <w:ind w:left="281" w:right="1402" w:firstLine="379"/>
        <w:jc w:val="left"/>
        <w:rPr>
          <w:rFonts w:ascii="宋体" w:hAnsi="宋体" w:cs="宋体" w:eastAsia="宋体" w:hint="default"/>
          <w:sz w:val="28"/>
          <w:szCs w:val="28"/>
        </w:rPr>
      </w:pPr>
      <w:r>
        <w:rPr>
          <w:rFonts w:ascii="宋体" w:hAnsi="宋体" w:cs="宋体" w:eastAsia="宋体" w:hint="default"/>
          <w:sz w:val="28"/>
          <w:szCs w:val="28"/>
        </w:rPr>
        <w:t>2011年度广东正中珠江会计师事务所有限公司在为公司提供审计</w:t>
      </w:r>
      <w:r>
        <w:rPr>
          <w:rFonts w:ascii="宋体" w:hAnsi="宋体" w:cs="宋体" w:eastAsia="宋体" w:hint="default"/>
          <w:w w:val="100"/>
          <w:sz w:val="28"/>
          <w:szCs w:val="28"/>
        </w:rPr>
        <w:t> </w:t>
      </w:r>
      <w:r>
        <w:rPr>
          <w:rFonts w:ascii="宋体" w:hAnsi="宋体" w:cs="宋体" w:eastAsia="宋体" w:hint="default"/>
          <w:spacing w:val="-1"/>
          <w:sz w:val="28"/>
          <w:szCs w:val="28"/>
        </w:rPr>
        <w:t>服务的过程中，遵循了独立、客观、公正的执业准则，顺利地完成了</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1"/>
          <w:sz w:val="28"/>
          <w:szCs w:val="28"/>
        </w:rPr>
        <w:t>年度各项审计任务。我们同意续聘其为公司2012年度财务审计中介机</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构。</w:t>
      </w:r>
    </w:p>
    <w:p>
      <w:pPr>
        <w:spacing w:before="61"/>
        <w:ind w:left="103" w:right="1402" w:firstLine="0"/>
        <w:jc w:val="left"/>
        <w:rPr>
          <w:rFonts w:ascii="宋体" w:hAnsi="宋体" w:cs="宋体" w:eastAsia="宋体" w:hint="default"/>
          <w:sz w:val="28"/>
          <w:szCs w:val="28"/>
        </w:rPr>
      </w:pPr>
      <w:r>
        <w:rPr>
          <w:rFonts w:ascii="宋体" w:hAnsi="宋体" w:cs="宋体" w:eastAsia="宋体" w:hint="default"/>
          <w:sz w:val="28"/>
          <w:szCs w:val="28"/>
        </w:rPr>
        <w:t>3、关于公司</w:t>
      </w:r>
      <w:r>
        <w:rPr>
          <w:rFonts w:ascii="宋体" w:hAnsi="宋体" w:cs="宋体" w:eastAsia="宋体" w:hint="default"/>
          <w:spacing w:val="-72"/>
          <w:sz w:val="28"/>
          <w:szCs w:val="28"/>
        </w:rPr>
        <w:t> </w:t>
      </w:r>
      <w:r>
        <w:rPr>
          <w:rFonts w:ascii="宋体" w:hAnsi="宋体" w:cs="宋体" w:eastAsia="宋体" w:hint="default"/>
          <w:sz w:val="28"/>
          <w:szCs w:val="28"/>
        </w:rPr>
        <w:t>2011</w:t>
      </w:r>
      <w:r>
        <w:rPr>
          <w:rFonts w:ascii="宋体" w:hAnsi="宋体" w:cs="宋体" w:eastAsia="宋体" w:hint="default"/>
          <w:spacing w:val="-71"/>
          <w:sz w:val="28"/>
          <w:szCs w:val="28"/>
        </w:rPr>
        <w:t> </w:t>
      </w:r>
      <w:r>
        <w:rPr>
          <w:rFonts w:ascii="宋体" w:hAnsi="宋体" w:cs="宋体" w:eastAsia="宋体" w:hint="default"/>
          <w:sz w:val="28"/>
          <w:szCs w:val="28"/>
        </w:rPr>
        <w:t>年证券投资事项</w:t>
      </w:r>
    </w:p>
    <w:p>
      <w:pPr>
        <w:spacing w:before="212"/>
        <w:ind w:left="662" w:right="1402" w:firstLine="0"/>
        <w:jc w:val="left"/>
        <w:rPr>
          <w:rFonts w:ascii="宋体" w:hAnsi="宋体" w:cs="宋体" w:eastAsia="宋体" w:hint="default"/>
          <w:sz w:val="28"/>
          <w:szCs w:val="28"/>
        </w:rPr>
      </w:pPr>
      <w:r>
        <w:rPr>
          <w:rFonts w:ascii="宋体" w:hAnsi="宋体" w:cs="宋体" w:eastAsia="宋体" w:hint="default"/>
          <w:sz w:val="28"/>
          <w:szCs w:val="28"/>
        </w:rPr>
        <w:t>我们认为，公司 2011</w:t>
      </w:r>
      <w:r>
        <w:rPr>
          <w:rFonts w:ascii="宋体" w:hAnsi="宋体" w:cs="宋体" w:eastAsia="宋体" w:hint="default"/>
          <w:spacing w:val="-65"/>
          <w:sz w:val="28"/>
          <w:szCs w:val="28"/>
        </w:rPr>
        <w:t> </w:t>
      </w:r>
      <w:r>
        <w:rPr>
          <w:rFonts w:ascii="宋体" w:hAnsi="宋体" w:cs="宋体" w:eastAsia="宋体" w:hint="default"/>
          <w:sz w:val="28"/>
          <w:szCs w:val="28"/>
        </w:rPr>
        <w:t>年利用自有闲置资金进行证券投资，是为提</w:t>
      </w:r>
    </w:p>
    <w:p>
      <w:pPr>
        <w:spacing w:after="0"/>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11"/>
        <w:rPr>
          <w:rFonts w:ascii="宋体" w:hAnsi="宋体" w:cs="宋体" w:eastAsia="宋体" w:hint="default"/>
          <w:sz w:val="25"/>
          <w:szCs w:val="25"/>
        </w:rPr>
      </w:pPr>
    </w:p>
    <w:p>
      <w:pPr>
        <w:spacing w:line="381" w:lineRule="auto" w:before="14"/>
        <w:ind w:left="103" w:right="1402" w:firstLine="0"/>
        <w:jc w:val="left"/>
        <w:rPr>
          <w:rFonts w:ascii="宋体" w:hAnsi="宋体" w:cs="宋体" w:eastAsia="宋体" w:hint="default"/>
          <w:sz w:val="28"/>
          <w:szCs w:val="28"/>
        </w:rPr>
      </w:pPr>
      <w:r>
        <w:rPr>
          <w:rFonts w:ascii="宋体" w:hAnsi="宋体" w:cs="宋体" w:eastAsia="宋体" w:hint="default"/>
          <w:spacing w:val="-3"/>
          <w:sz w:val="28"/>
          <w:szCs w:val="28"/>
        </w:rPr>
        <w:t>高公司的资金使用效率，投资金额较小，投资品种风险较低，希望公司</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尽量规避此类风险。</w:t>
      </w:r>
    </w:p>
    <w:p>
      <w:pPr>
        <w:spacing w:line="353" w:lineRule="exact" w:before="0"/>
        <w:ind w:left="103" w:right="1402" w:firstLine="0"/>
        <w:jc w:val="left"/>
        <w:rPr>
          <w:rFonts w:ascii="宋体" w:hAnsi="宋体" w:cs="宋体" w:eastAsia="宋体" w:hint="default"/>
          <w:sz w:val="28"/>
          <w:szCs w:val="28"/>
        </w:rPr>
      </w:pPr>
      <w:r>
        <w:rPr>
          <w:rFonts w:ascii="宋体" w:hAnsi="宋体" w:cs="宋体" w:eastAsia="宋体" w:hint="default"/>
          <w:sz w:val="28"/>
          <w:szCs w:val="28"/>
        </w:rPr>
        <w:t>4、关于公司</w:t>
      </w:r>
      <w:r>
        <w:rPr>
          <w:rFonts w:ascii="宋体" w:hAnsi="宋体" w:cs="宋体" w:eastAsia="宋体" w:hint="default"/>
          <w:spacing w:val="-74"/>
          <w:sz w:val="28"/>
          <w:szCs w:val="28"/>
        </w:rPr>
        <w:t> </w:t>
      </w:r>
      <w:r>
        <w:rPr>
          <w:rFonts w:ascii="宋体" w:hAnsi="宋体" w:cs="宋体" w:eastAsia="宋体" w:hint="default"/>
          <w:sz w:val="28"/>
          <w:szCs w:val="28"/>
        </w:rPr>
        <w:t>2011</w:t>
      </w:r>
      <w:r>
        <w:rPr>
          <w:rFonts w:ascii="宋体" w:hAnsi="宋体" w:cs="宋体" w:eastAsia="宋体" w:hint="default"/>
          <w:spacing w:val="-73"/>
          <w:sz w:val="28"/>
          <w:szCs w:val="28"/>
        </w:rPr>
        <w:t> </w:t>
      </w:r>
      <w:r>
        <w:rPr>
          <w:rFonts w:ascii="宋体" w:hAnsi="宋体" w:cs="宋体" w:eastAsia="宋体" w:hint="default"/>
          <w:sz w:val="28"/>
          <w:szCs w:val="28"/>
        </w:rPr>
        <w:t>年盈利但未进行利润分配事项</w:t>
      </w:r>
    </w:p>
    <w:p>
      <w:pPr>
        <w:spacing w:before="132"/>
        <w:ind w:left="662" w:right="1402" w:firstLine="0"/>
        <w:jc w:val="left"/>
        <w:rPr>
          <w:rFonts w:ascii="宋体" w:hAnsi="宋体" w:cs="宋体" w:eastAsia="宋体" w:hint="default"/>
          <w:sz w:val="28"/>
          <w:szCs w:val="28"/>
        </w:rPr>
      </w:pPr>
      <w:r>
        <w:rPr>
          <w:rFonts w:ascii="宋体" w:hAnsi="宋体" w:cs="宋体" w:eastAsia="宋体" w:hint="default"/>
          <w:sz w:val="28"/>
          <w:szCs w:val="28"/>
        </w:rPr>
        <w:t>我们认为，公司 2011</w:t>
      </w:r>
      <w:r>
        <w:rPr>
          <w:rFonts w:ascii="宋体" w:hAnsi="宋体" w:cs="宋体" w:eastAsia="宋体" w:hint="default"/>
          <w:spacing w:val="-65"/>
          <w:sz w:val="28"/>
          <w:szCs w:val="28"/>
        </w:rPr>
        <w:t> </w:t>
      </w:r>
      <w:r>
        <w:rPr>
          <w:rFonts w:ascii="宋体" w:hAnsi="宋体" w:cs="宋体" w:eastAsia="宋体" w:hint="default"/>
          <w:sz w:val="28"/>
          <w:szCs w:val="28"/>
        </w:rPr>
        <w:t>年盈利但未进行利润分配，是基于盈利水平</w:t>
      </w:r>
    </w:p>
    <w:p>
      <w:pPr>
        <w:spacing w:line="328" w:lineRule="auto" w:before="132"/>
        <w:ind w:left="103" w:right="1571" w:firstLine="0"/>
        <w:jc w:val="left"/>
        <w:rPr>
          <w:rFonts w:ascii="宋体" w:hAnsi="宋体" w:cs="宋体" w:eastAsia="宋体" w:hint="default"/>
          <w:sz w:val="28"/>
          <w:szCs w:val="28"/>
        </w:rPr>
      </w:pPr>
      <w:r>
        <w:rPr>
          <w:rFonts w:ascii="宋体" w:hAnsi="宋体" w:cs="宋体" w:eastAsia="宋体" w:hint="default"/>
          <w:sz w:val="28"/>
          <w:szCs w:val="28"/>
        </w:rPr>
        <w:t>和公司经营的考虑，同意公司董事会做出的公司 2011</w:t>
      </w:r>
      <w:r>
        <w:rPr>
          <w:rFonts w:ascii="宋体" w:hAnsi="宋体" w:cs="宋体" w:eastAsia="宋体" w:hint="default"/>
          <w:spacing w:val="-69"/>
          <w:sz w:val="28"/>
          <w:szCs w:val="28"/>
        </w:rPr>
        <w:t> </w:t>
      </w:r>
      <w:r>
        <w:rPr>
          <w:rFonts w:ascii="宋体" w:hAnsi="宋体" w:cs="宋体" w:eastAsia="宋体" w:hint="default"/>
          <w:sz w:val="28"/>
          <w:szCs w:val="28"/>
        </w:rPr>
        <w:t>年利润分配预案</w:t>
      </w:r>
      <w:r>
        <w:rPr>
          <w:rFonts w:ascii="宋体" w:hAnsi="宋体" w:cs="宋体" w:eastAsia="宋体" w:hint="default"/>
          <w:w w:val="100"/>
          <w:sz w:val="28"/>
          <w:szCs w:val="28"/>
        </w:rPr>
        <w:t> </w:t>
      </w:r>
      <w:r>
        <w:rPr>
          <w:rFonts w:ascii="宋体" w:hAnsi="宋体" w:cs="宋体" w:eastAsia="宋体" w:hint="default"/>
          <w:sz w:val="28"/>
          <w:szCs w:val="28"/>
        </w:rPr>
        <w:t>及所做出的解释。</w:t>
      </w:r>
    </w:p>
    <w:p>
      <w:pPr>
        <w:spacing w:line="357" w:lineRule="auto" w:before="29"/>
        <w:ind w:left="480" w:right="1402" w:hanging="377"/>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z w:val="28"/>
          <w:szCs w:val="28"/>
        </w:rPr>
        <w:t>、</w:t>
      </w:r>
      <w:r>
        <w:rPr>
          <w:rFonts w:ascii="宋体" w:hAnsi="宋体" w:cs="宋体" w:eastAsia="宋体" w:hint="default"/>
          <w:sz w:val="28"/>
          <w:szCs w:val="28"/>
        </w:rPr>
        <w:t>关于委托理财事项</w:t>
      </w:r>
      <w:r>
        <w:rPr>
          <w:rFonts w:ascii="宋体" w:hAnsi="宋体" w:cs="宋体" w:eastAsia="宋体" w:hint="default"/>
          <w:w w:val="100"/>
          <w:sz w:val="28"/>
          <w:szCs w:val="28"/>
        </w:rPr>
        <w:t> </w:t>
      </w:r>
      <w:r>
        <w:rPr>
          <w:rFonts w:ascii="宋体" w:hAnsi="宋体" w:cs="宋体" w:eastAsia="宋体" w:hint="default"/>
          <w:spacing w:val="-2"/>
          <w:sz w:val="28"/>
          <w:szCs w:val="28"/>
        </w:rPr>
        <w:t>我们认为：公司进行委托理财，符合有关规定和程序，公司建立了</w:t>
      </w:r>
    </w:p>
    <w:p>
      <w:pPr>
        <w:pStyle w:val="Heading2"/>
        <w:spacing w:line="367" w:lineRule="auto" w:before="58"/>
        <w:ind w:right="1579"/>
        <w:jc w:val="both"/>
      </w:pPr>
      <w:r>
        <w:rPr/>
        <w:pict>
          <v:shape style="position:absolute;margin-left:103.08847pt;margin-top:113.269875pt;width:392.95pt;height:64.3pt;mso-position-horizontal-relative:page;mso-position-vertical-relative:paragraph;z-index:-555232;rotation:315" type="#_x0000_t136" fillcolor="#e0e0e0" stroked="f">
            <o:extrusion v:ext="view" autorotationcenter="t"/>
            <v:textpath style="font-family:&amp;quot;Arial&amp;quot;;font-size:64pt;v-text-kern:t;mso-text-shadow:auto" string="UnRegistered"/>
            <w10:wrap type="none"/>
          </v:shape>
        </w:pict>
      </w:r>
      <w:r>
        <w:rPr>
          <w:spacing w:val="-6"/>
          <w:w w:val="100"/>
        </w:rPr>
        <w:t>《证券投资内部控制制度》，明确了委托理财的审批流程与权限，加强</w:t>
      </w:r>
      <w:r>
        <w:rPr>
          <w:spacing w:val="-126"/>
          <w:w w:val="100"/>
        </w:rPr>
        <w:t> </w:t>
      </w:r>
      <w:r>
        <w:rPr>
          <w:spacing w:val="-126"/>
          <w:w w:val="100"/>
        </w:rPr>
      </w:r>
      <w:r>
        <w:rPr>
          <w:spacing w:val="-3"/>
        </w:rPr>
        <w:t>风险管控，可以有效防范投资风险，保障公司资金安全。公司本次以自</w:t>
      </w:r>
      <w:r>
        <w:rPr>
          <w:spacing w:val="-112"/>
        </w:rPr>
        <w:t> </w:t>
      </w:r>
      <w:r>
        <w:rPr>
          <w:spacing w:val="-112"/>
        </w:rPr>
      </w:r>
      <w:r>
        <w:rPr>
          <w:spacing w:val="-4"/>
        </w:rPr>
        <w:t>有闲置资金进行委托理财，有利于提高公司闲置资金的使用效率，不会</w:t>
      </w:r>
      <w:r>
        <w:rPr>
          <w:spacing w:val="-86"/>
        </w:rPr>
        <w:t> </w:t>
      </w:r>
      <w:r>
        <w:rPr>
          <w:spacing w:val="-86"/>
        </w:rPr>
      </w:r>
      <w:r>
        <w:rPr/>
        <w:t>影响公司主营业务的正常开展，不存在损害中小股东利益的行为。</w:t>
      </w:r>
    </w:p>
    <w:p>
      <w:pPr>
        <w:spacing w:before="44"/>
        <w:ind w:left="943" w:right="1402" w:firstLine="0"/>
        <w:jc w:val="left"/>
        <w:rPr>
          <w:rFonts w:ascii="宋体" w:hAnsi="宋体" w:cs="宋体" w:eastAsia="宋体" w:hint="default"/>
          <w:sz w:val="28"/>
          <w:szCs w:val="28"/>
        </w:rPr>
      </w:pPr>
      <w:r>
        <w:rPr>
          <w:rFonts w:ascii="宋体" w:hAnsi="宋体" w:cs="宋体" w:eastAsia="宋体" w:hint="default"/>
          <w:sz w:val="28"/>
          <w:szCs w:val="28"/>
        </w:rPr>
        <w:t>独立董事：卫建国 王珺</w:t>
      </w:r>
      <w:r>
        <w:rPr>
          <w:rFonts w:ascii="宋体" w:hAnsi="宋体" w:cs="宋体" w:eastAsia="宋体" w:hint="default"/>
          <w:spacing w:val="2"/>
          <w:sz w:val="28"/>
          <w:szCs w:val="28"/>
        </w:rPr>
        <w:t> </w:t>
      </w:r>
      <w:r>
        <w:rPr>
          <w:rFonts w:ascii="宋体" w:hAnsi="宋体" w:cs="宋体" w:eastAsia="宋体" w:hint="default"/>
          <w:sz w:val="28"/>
          <w:szCs w:val="28"/>
        </w:rPr>
        <w:t>李新春</w:t>
      </w:r>
    </w:p>
    <w:p>
      <w:pPr>
        <w:spacing w:line="240" w:lineRule="auto" w:before="0"/>
        <w:rPr>
          <w:rFonts w:ascii="宋体" w:hAnsi="宋体" w:cs="宋体" w:eastAsia="宋体" w:hint="default"/>
          <w:sz w:val="28"/>
          <w:szCs w:val="28"/>
        </w:rPr>
      </w:pPr>
    </w:p>
    <w:p>
      <w:pPr>
        <w:spacing w:before="195"/>
        <w:ind w:left="60" w:right="1566" w:firstLine="0"/>
        <w:jc w:val="center"/>
        <w:rPr>
          <w:rFonts w:ascii="宋体" w:hAnsi="宋体" w:cs="宋体" w:eastAsia="宋体" w:hint="default"/>
          <w:sz w:val="32"/>
          <w:szCs w:val="32"/>
        </w:rPr>
      </w:pPr>
      <w:r>
        <w:rPr>
          <w:rFonts w:ascii="宋体" w:hAnsi="宋体" w:cs="宋体" w:eastAsia="宋体" w:hint="default"/>
          <w:spacing w:val="22"/>
          <w:sz w:val="32"/>
          <w:szCs w:val="32"/>
        </w:rPr>
        <w:t>九、监事会报告</w:t>
      </w:r>
    </w:p>
    <w:p>
      <w:pPr>
        <w:spacing w:line="240" w:lineRule="auto" w:before="12"/>
        <w:rPr>
          <w:rFonts w:ascii="宋体" w:hAnsi="宋体" w:cs="宋体" w:eastAsia="宋体" w:hint="default"/>
          <w:sz w:val="44"/>
          <w:szCs w:val="44"/>
        </w:rPr>
      </w:pPr>
    </w:p>
    <w:p>
      <w:pPr>
        <w:spacing w:line="357" w:lineRule="auto" w:before="0"/>
        <w:ind w:left="662" w:right="5146" w:hanging="560"/>
        <w:jc w:val="left"/>
        <w:rPr>
          <w:rFonts w:ascii="宋体" w:hAnsi="宋体" w:cs="宋体" w:eastAsia="宋体" w:hint="default"/>
          <w:sz w:val="28"/>
          <w:szCs w:val="28"/>
        </w:rPr>
      </w:pPr>
      <w:r>
        <w:rPr>
          <w:rFonts w:ascii="宋体" w:hAnsi="宋体" w:cs="宋体" w:eastAsia="宋体" w:hint="default"/>
          <w:sz w:val="28"/>
          <w:szCs w:val="28"/>
        </w:rPr>
        <w:t>（一）报告期内公司监事会会议情况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报告期内公司监事会召开</w:t>
      </w:r>
      <w:r>
        <w:rPr>
          <w:rFonts w:ascii="宋体" w:hAnsi="宋体" w:cs="宋体" w:eastAsia="宋体" w:hint="default"/>
          <w:spacing w:val="-71"/>
          <w:sz w:val="28"/>
          <w:szCs w:val="28"/>
        </w:rPr>
        <w:t> </w:t>
      </w:r>
      <w:r>
        <w:rPr>
          <w:rFonts w:ascii="宋体" w:hAnsi="宋体" w:cs="宋体" w:eastAsia="宋体" w:hint="default"/>
          <w:sz w:val="28"/>
          <w:szCs w:val="28"/>
        </w:rPr>
        <w:t>5</w:t>
      </w:r>
      <w:r>
        <w:rPr>
          <w:rFonts w:ascii="宋体" w:hAnsi="宋体" w:cs="宋体" w:eastAsia="宋体" w:hint="default"/>
          <w:spacing w:val="-72"/>
          <w:sz w:val="28"/>
          <w:szCs w:val="28"/>
        </w:rPr>
        <w:t> </w:t>
      </w:r>
      <w:r>
        <w:rPr>
          <w:rFonts w:ascii="宋体" w:hAnsi="宋体" w:cs="宋体" w:eastAsia="宋体" w:hint="default"/>
          <w:sz w:val="28"/>
          <w:szCs w:val="28"/>
        </w:rPr>
        <w:t>次会议：</w:t>
      </w:r>
    </w:p>
    <w:p>
      <w:pPr>
        <w:spacing w:before="58"/>
        <w:ind w:left="103" w:right="1402" w:firstLine="0"/>
        <w:jc w:val="left"/>
        <w:rPr>
          <w:rFonts w:ascii="宋体" w:hAnsi="宋体" w:cs="宋体" w:eastAsia="宋体" w:hint="default"/>
          <w:sz w:val="28"/>
          <w:szCs w:val="28"/>
        </w:rPr>
      </w:pPr>
      <w:r>
        <w:rPr>
          <w:rFonts w:ascii="宋体" w:hAnsi="宋体" w:cs="宋体" w:eastAsia="宋体" w:hint="default"/>
          <w:sz w:val="28"/>
          <w:szCs w:val="28"/>
        </w:rPr>
        <w:t>1、六届监事会第六次会议于</w:t>
      </w:r>
      <w:r>
        <w:rPr>
          <w:rFonts w:ascii="宋体" w:hAnsi="宋体" w:cs="宋体" w:eastAsia="宋体" w:hint="default"/>
          <w:spacing w:val="-68"/>
          <w:sz w:val="28"/>
          <w:szCs w:val="28"/>
        </w:rPr>
        <w:t> </w:t>
      </w:r>
      <w:r>
        <w:rPr>
          <w:rFonts w:ascii="宋体" w:hAnsi="宋体" w:cs="宋体" w:eastAsia="宋体" w:hint="default"/>
          <w:sz w:val="28"/>
          <w:szCs w:val="28"/>
        </w:rPr>
        <w:t>2011</w:t>
      </w:r>
      <w:r>
        <w:rPr>
          <w:rFonts w:ascii="宋体" w:hAnsi="宋体" w:cs="宋体" w:eastAsia="宋体" w:hint="default"/>
          <w:spacing w:val="-65"/>
          <w:sz w:val="28"/>
          <w:szCs w:val="28"/>
        </w:rPr>
        <w:t> </w:t>
      </w:r>
      <w:r>
        <w:rPr>
          <w:rFonts w:ascii="宋体" w:hAnsi="宋体" w:cs="宋体" w:eastAsia="宋体" w:hint="default"/>
          <w:sz w:val="28"/>
          <w:szCs w:val="28"/>
        </w:rPr>
        <w:t>年</w:t>
      </w:r>
      <w:r>
        <w:rPr>
          <w:rFonts w:ascii="宋体" w:hAnsi="宋体" w:cs="宋体" w:eastAsia="宋体" w:hint="default"/>
          <w:spacing w:val="-66"/>
          <w:sz w:val="28"/>
          <w:szCs w:val="28"/>
        </w:rPr>
        <w:t> </w:t>
      </w:r>
      <w:r>
        <w:rPr>
          <w:rFonts w:ascii="宋体" w:hAnsi="宋体" w:cs="宋体" w:eastAsia="宋体" w:hint="default"/>
          <w:sz w:val="28"/>
          <w:szCs w:val="28"/>
        </w:rPr>
        <w:t>3</w:t>
      </w:r>
      <w:r>
        <w:rPr>
          <w:rFonts w:ascii="宋体" w:hAnsi="宋体" w:cs="宋体" w:eastAsia="宋体" w:hint="default"/>
          <w:spacing w:val="-67"/>
          <w:sz w:val="28"/>
          <w:szCs w:val="28"/>
        </w:rPr>
        <w:t> </w:t>
      </w:r>
      <w:r>
        <w:rPr>
          <w:rFonts w:ascii="宋体" w:hAnsi="宋体" w:cs="宋体" w:eastAsia="宋体" w:hint="default"/>
          <w:sz w:val="28"/>
          <w:szCs w:val="28"/>
        </w:rPr>
        <w:t>月</w:t>
      </w:r>
      <w:r>
        <w:rPr>
          <w:rFonts w:ascii="宋体" w:hAnsi="宋体" w:cs="宋体" w:eastAsia="宋体" w:hint="default"/>
          <w:spacing w:val="-66"/>
          <w:sz w:val="28"/>
          <w:szCs w:val="28"/>
        </w:rPr>
        <w:t> </w:t>
      </w:r>
      <w:r>
        <w:rPr>
          <w:rFonts w:ascii="宋体" w:hAnsi="宋体" w:cs="宋体" w:eastAsia="宋体" w:hint="default"/>
          <w:sz w:val="28"/>
          <w:szCs w:val="28"/>
        </w:rPr>
        <w:t>24</w:t>
      </w:r>
      <w:r>
        <w:rPr>
          <w:rFonts w:ascii="宋体" w:hAnsi="宋体" w:cs="宋体" w:eastAsia="宋体" w:hint="default"/>
          <w:spacing w:val="-67"/>
          <w:sz w:val="28"/>
          <w:szCs w:val="28"/>
        </w:rPr>
        <w:t> </w:t>
      </w:r>
      <w:r>
        <w:rPr>
          <w:rFonts w:ascii="宋体" w:hAnsi="宋体" w:cs="宋体" w:eastAsia="宋体" w:hint="default"/>
          <w:sz w:val="28"/>
          <w:szCs w:val="28"/>
        </w:rPr>
        <w:t>日召开，审议通过了公司</w:t>
      </w:r>
    </w:p>
    <w:p>
      <w:pPr>
        <w:spacing w:before="192"/>
        <w:ind w:left="103" w:right="1402" w:firstLine="0"/>
        <w:jc w:val="left"/>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26"/>
          <w:sz w:val="28"/>
          <w:szCs w:val="28"/>
        </w:rPr>
        <w:t> </w:t>
      </w:r>
      <w:r>
        <w:rPr>
          <w:rFonts w:ascii="宋体" w:hAnsi="宋体" w:cs="宋体" w:eastAsia="宋体" w:hint="default"/>
          <w:sz w:val="28"/>
          <w:szCs w:val="28"/>
        </w:rPr>
        <w:t>年年度报告全文及摘要、监事会对公司内部控制自我评价的意见</w:t>
      </w:r>
    </w:p>
    <w:p>
      <w:pPr>
        <w:spacing w:before="192"/>
        <w:ind w:left="103" w:right="1402" w:firstLine="0"/>
        <w:jc w:val="left"/>
        <w:rPr>
          <w:rFonts w:ascii="宋体" w:hAnsi="宋体" w:cs="宋体" w:eastAsia="宋体" w:hint="default"/>
          <w:sz w:val="28"/>
          <w:szCs w:val="28"/>
        </w:rPr>
      </w:pPr>
      <w:r>
        <w:rPr>
          <w:rFonts w:ascii="宋体" w:hAnsi="宋体" w:cs="宋体" w:eastAsia="宋体" w:hint="default"/>
          <w:sz w:val="28"/>
          <w:szCs w:val="28"/>
        </w:rPr>
        <w:t>和公司</w:t>
      </w:r>
      <w:r>
        <w:rPr>
          <w:rFonts w:ascii="宋体" w:hAnsi="宋体" w:cs="宋体" w:eastAsia="宋体" w:hint="default"/>
          <w:spacing w:val="-71"/>
          <w:sz w:val="28"/>
          <w:szCs w:val="28"/>
        </w:rPr>
        <w:t> </w:t>
      </w:r>
      <w:r>
        <w:rPr>
          <w:rFonts w:ascii="宋体" w:hAnsi="宋体" w:cs="宋体" w:eastAsia="宋体" w:hint="default"/>
          <w:sz w:val="28"/>
          <w:szCs w:val="28"/>
        </w:rPr>
        <w:t>2010</w:t>
      </w:r>
      <w:r>
        <w:rPr>
          <w:rFonts w:ascii="宋体" w:hAnsi="宋体" w:cs="宋体" w:eastAsia="宋体" w:hint="default"/>
          <w:spacing w:val="-72"/>
          <w:sz w:val="28"/>
          <w:szCs w:val="28"/>
        </w:rPr>
        <w:t> </w:t>
      </w:r>
      <w:r>
        <w:rPr>
          <w:rFonts w:ascii="宋体" w:hAnsi="宋体" w:cs="宋体" w:eastAsia="宋体" w:hint="default"/>
          <w:sz w:val="28"/>
          <w:szCs w:val="28"/>
        </w:rPr>
        <w:t>年监事会工作报告。</w:t>
      </w:r>
    </w:p>
    <w:p>
      <w:pPr>
        <w:spacing w:before="195"/>
        <w:ind w:left="103" w:right="1402" w:firstLine="0"/>
        <w:jc w:val="left"/>
        <w:rPr>
          <w:rFonts w:ascii="宋体" w:hAnsi="宋体" w:cs="宋体" w:eastAsia="宋体" w:hint="default"/>
          <w:sz w:val="28"/>
          <w:szCs w:val="28"/>
        </w:rPr>
      </w:pPr>
      <w:r>
        <w:rPr>
          <w:rFonts w:ascii="宋体" w:hAnsi="宋体" w:cs="宋体" w:eastAsia="宋体" w:hint="default"/>
          <w:spacing w:val="-4"/>
          <w:sz w:val="28"/>
          <w:szCs w:val="28"/>
        </w:rPr>
        <w:t>2、六届监事会第七次会议（通讯表决方式）于</w:t>
      </w:r>
      <w:r>
        <w:rPr>
          <w:rFonts w:ascii="宋体" w:hAnsi="宋体" w:cs="宋体" w:eastAsia="宋体" w:hint="default"/>
          <w:spacing w:val="-70"/>
          <w:sz w:val="28"/>
          <w:szCs w:val="28"/>
        </w:rPr>
        <w:t> </w:t>
      </w:r>
      <w:r>
        <w:rPr>
          <w:rFonts w:ascii="宋体" w:hAnsi="宋体" w:cs="宋体" w:eastAsia="宋体" w:hint="default"/>
          <w:sz w:val="28"/>
          <w:szCs w:val="28"/>
        </w:rPr>
        <w:t>2011</w:t>
      </w:r>
      <w:r>
        <w:rPr>
          <w:rFonts w:ascii="宋体" w:hAnsi="宋体" w:cs="宋体" w:eastAsia="宋体" w:hint="default"/>
          <w:spacing w:val="-68"/>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4</w:t>
      </w:r>
      <w:r>
        <w:rPr>
          <w:rFonts w:ascii="宋体" w:hAnsi="宋体" w:cs="宋体" w:eastAsia="宋体" w:hint="default"/>
          <w:spacing w:val="-68"/>
          <w:sz w:val="28"/>
          <w:szCs w:val="28"/>
        </w:rPr>
        <w:t> </w:t>
      </w:r>
      <w:r>
        <w:rPr>
          <w:rFonts w:ascii="宋体" w:hAnsi="宋体" w:cs="宋体" w:eastAsia="宋体" w:hint="default"/>
          <w:sz w:val="28"/>
          <w:szCs w:val="28"/>
        </w:rPr>
        <w:t>月</w:t>
      </w:r>
      <w:r>
        <w:rPr>
          <w:rFonts w:ascii="宋体" w:hAnsi="宋体" w:cs="宋体" w:eastAsia="宋体" w:hint="default"/>
          <w:spacing w:val="-67"/>
          <w:sz w:val="28"/>
          <w:szCs w:val="28"/>
        </w:rPr>
        <w:t> </w:t>
      </w:r>
      <w:r>
        <w:rPr>
          <w:rFonts w:ascii="宋体" w:hAnsi="宋体" w:cs="宋体" w:eastAsia="宋体" w:hint="default"/>
          <w:sz w:val="28"/>
          <w:szCs w:val="28"/>
        </w:rPr>
        <w:t>21</w:t>
      </w:r>
      <w:r>
        <w:rPr>
          <w:rFonts w:ascii="宋体" w:hAnsi="宋体" w:cs="宋体" w:eastAsia="宋体" w:hint="default"/>
          <w:spacing w:val="-68"/>
          <w:sz w:val="28"/>
          <w:szCs w:val="28"/>
        </w:rPr>
        <w:t> </w:t>
      </w:r>
      <w:r>
        <w:rPr>
          <w:rFonts w:ascii="宋体" w:hAnsi="宋体" w:cs="宋体" w:eastAsia="宋体" w:hint="default"/>
          <w:sz w:val="28"/>
          <w:szCs w:val="28"/>
        </w:rPr>
        <w:t>日召开，</w:t>
      </w:r>
    </w:p>
    <w:p>
      <w:pPr>
        <w:spacing w:before="192"/>
        <w:ind w:left="103" w:right="1402" w:firstLine="0"/>
        <w:jc w:val="left"/>
        <w:rPr>
          <w:rFonts w:ascii="宋体" w:hAnsi="宋体" w:cs="宋体" w:eastAsia="宋体" w:hint="default"/>
          <w:sz w:val="28"/>
          <w:szCs w:val="28"/>
        </w:rPr>
      </w:pPr>
      <w:r>
        <w:rPr>
          <w:rFonts w:ascii="宋体" w:hAnsi="宋体" w:cs="宋体" w:eastAsia="宋体" w:hint="default"/>
          <w:sz w:val="28"/>
          <w:szCs w:val="28"/>
        </w:rPr>
        <w:t>审议通过了公司</w:t>
      </w:r>
      <w:r>
        <w:rPr>
          <w:rFonts w:ascii="宋体" w:hAnsi="宋体" w:cs="宋体" w:eastAsia="宋体" w:hint="default"/>
          <w:spacing w:val="-73"/>
          <w:sz w:val="28"/>
          <w:szCs w:val="28"/>
        </w:rPr>
        <w:t> </w:t>
      </w:r>
      <w:r>
        <w:rPr>
          <w:rFonts w:ascii="宋体" w:hAnsi="宋体" w:cs="宋体" w:eastAsia="宋体" w:hint="default"/>
          <w:sz w:val="28"/>
          <w:szCs w:val="28"/>
        </w:rPr>
        <w:t>2011</w:t>
      </w:r>
      <w:r>
        <w:rPr>
          <w:rFonts w:ascii="宋体" w:hAnsi="宋体" w:cs="宋体" w:eastAsia="宋体" w:hint="default"/>
          <w:spacing w:val="-70"/>
          <w:sz w:val="28"/>
          <w:szCs w:val="28"/>
        </w:rPr>
        <w:t> </w:t>
      </w:r>
      <w:r>
        <w:rPr>
          <w:rFonts w:ascii="宋体" w:hAnsi="宋体" w:cs="宋体" w:eastAsia="宋体" w:hint="default"/>
          <w:sz w:val="28"/>
          <w:szCs w:val="28"/>
        </w:rPr>
        <w:t>年第一季度报告。</w:t>
      </w:r>
    </w:p>
    <w:p>
      <w:pPr>
        <w:spacing w:before="192"/>
        <w:ind w:left="103" w:right="1402" w:firstLine="0"/>
        <w:jc w:val="left"/>
        <w:rPr>
          <w:rFonts w:ascii="宋体" w:hAnsi="宋体" w:cs="宋体" w:eastAsia="宋体" w:hint="default"/>
          <w:sz w:val="28"/>
          <w:szCs w:val="28"/>
        </w:rPr>
      </w:pPr>
      <w:r>
        <w:rPr>
          <w:rFonts w:ascii="宋体" w:hAnsi="宋体" w:cs="宋体" w:eastAsia="宋体" w:hint="default"/>
          <w:sz w:val="28"/>
          <w:szCs w:val="28"/>
        </w:rPr>
        <w:t>3、六届监事会第八次会议于</w:t>
      </w:r>
      <w:r>
        <w:rPr>
          <w:rFonts w:ascii="宋体" w:hAnsi="宋体" w:cs="宋体" w:eastAsia="宋体" w:hint="default"/>
          <w:spacing w:val="-58"/>
          <w:sz w:val="28"/>
          <w:szCs w:val="28"/>
        </w:rPr>
        <w:t> </w:t>
      </w:r>
      <w:r>
        <w:rPr>
          <w:rFonts w:ascii="宋体" w:hAnsi="宋体" w:cs="宋体" w:eastAsia="宋体" w:hint="default"/>
          <w:sz w:val="28"/>
          <w:szCs w:val="28"/>
        </w:rPr>
        <w:t>2011</w:t>
      </w:r>
      <w:r>
        <w:rPr>
          <w:rFonts w:ascii="宋体" w:hAnsi="宋体" w:cs="宋体" w:eastAsia="宋体" w:hint="default"/>
          <w:spacing w:val="-60"/>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8</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58"/>
          <w:sz w:val="28"/>
          <w:szCs w:val="28"/>
        </w:rPr>
        <w:t> </w:t>
      </w:r>
      <w:r>
        <w:rPr>
          <w:rFonts w:ascii="宋体" w:hAnsi="宋体" w:cs="宋体" w:eastAsia="宋体" w:hint="default"/>
          <w:sz w:val="28"/>
          <w:szCs w:val="28"/>
        </w:rPr>
        <w:t>18</w:t>
      </w:r>
      <w:r>
        <w:rPr>
          <w:rFonts w:ascii="宋体" w:hAnsi="宋体" w:cs="宋体" w:eastAsia="宋体" w:hint="default"/>
          <w:spacing w:val="-60"/>
          <w:sz w:val="28"/>
          <w:szCs w:val="28"/>
        </w:rPr>
        <w:t> </w:t>
      </w:r>
      <w:r>
        <w:rPr>
          <w:rFonts w:ascii="宋体" w:hAnsi="宋体" w:cs="宋体" w:eastAsia="宋体" w:hint="default"/>
          <w:sz w:val="28"/>
          <w:szCs w:val="28"/>
        </w:rPr>
        <w:t>日召开，审议通过了公司</w:t>
      </w:r>
    </w:p>
    <w:p>
      <w:pPr>
        <w:spacing w:before="195"/>
        <w:ind w:left="103" w:right="1402" w:firstLine="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71"/>
          <w:sz w:val="28"/>
          <w:szCs w:val="28"/>
        </w:rPr>
        <w:t> </w:t>
      </w:r>
      <w:r>
        <w:rPr>
          <w:rFonts w:ascii="宋体" w:hAnsi="宋体" w:cs="宋体" w:eastAsia="宋体" w:hint="default"/>
          <w:sz w:val="28"/>
          <w:szCs w:val="28"/>
        </w:rPr>
        <w:t>年半年度报告正文及摘要。</w:t>
      </w:r>
    </w:p>
    <w:p>
      <w:pPr>
        <w:spacing w:before="192"/>
        <w:ind w:left="103" w:right="1402" w:firstLine="0"/>
        <w:jc w:val="left"/>
        <w:rPr>
          <w:rFonts w:ascii="宋体" w:hAnsi="宋体" w:cs="宋体" w:eastAsia="宋体" w:hint="default"/>
          <w:sz w:val="28"/>
          <w:szCs w:val="28"/>
        </w:rPr>
      </w:pPr>
      <w:r>
        <w:rPr>
          <w:rFonts w:ascii="宋体" w:hAnsi="宋体" w:cs="宋体" w:eastAsia="宋体" w:hint="default"/>
          <w:spacing w:val="-4"/>
          <w:sz w:val="28"/>
          <w:szCs w:val="28"/>
        </w:rPr>
        <w:t>4、六届监事会第九次会议于</w:t>
      </w:r>
      <w:r>
        <w:rPr>
          <w:rFonts w:ascii="宋体" w:hAnsi="宋体" w:cs="宋体" w:eastAsia="宋体" w:hint="default"/>
          <w:spacing w:val="-69"/>
          <w:sz w:val="28"/>
          <w:szCs w:val="28"/>
        </w:rPr>
        <w:t> </w:t>
      </w:r>
      <w:r>
        <w:rPr>
          <w:rFonts w:ascii="宋体" w:hAnsi="宋体" w:cs="宋体" w:eastAsia="宋体" w:hint="default"/>
          <w:sz w:val="28"/>
          <w:szCs w:val="28"/>
        </w:rPr>
        <w:t>2011</w:t>
      </w:r>
      <w:r>
        <w:rPr>
          <w:rFonts w:ascii="宋体" w:hAnsi="宋体" w:cs="宋体" w:eastAsia="宋体" w:hint="default"/>
          <w:spacing w:val="-65"/>
          <w:sz w:val="28"/>
          <w:szCs w:val="28"/>
        </w:rPr>
        <w:t> </w:t>
      </w:r>
      <w:r>
        <w:rPr>
          <w:rFonts w:ascii="宋体" w:hAnsi="宋体" w:cs="宋体" w:eastAsia="宋体" w:hint="default"/>
          <w:sz w:val="28"/>
          <w:szCs w:val="28"/>
        </w:rPr>
        <w:t>年</w:t>
      </w:r>
      <w:r>
        <w:rPr>
          <w:rFonts w:ascii="宋体" w:hAnsi="宋体" w:cs="宋体" w:eastAsia="宋体" w:hint="default"/>
          <w:spacing w:val="-67"/>
          <w:sz w:val="28"/>
          <w:szCs w:val="28"/>
        </w:rPr>
        <w:t> </w:t>
      </w:r>
      <w:r>
        <w:rPr>
          <w:rFonts w:ascii="宋体" w:hAnsi="宋体" w:cs="宋体" w:eastAsia="宋体" w:hint="default"/>
          <w:sz w:val="28"/>
          <w:szCs w:val="28"/>
        </w:rPr>
        <w:t>10</w:t>
      </w:r>
      <w:r>
        <w:rPr>
          <w:rFonts w:ascii="宋体" w:hAnsi="宋体" w:cs="宋体" w:eastAsia="宋体" w:hint="default"/>
          <w:spacing w:val="-65"/>
          <w:sz w:val="28"/>
          <w:szCs w:val="28"/>
        </w:rPr>
        <w:t> </w:t>
      </w:r>
      <w:r>
        <w:rPr>
          <w:rFonts w:ascii="宋体" w:hAnsi="宋体" w:cs="宋体" w:eastAsia="宋体" w:hint="default"/>
          <w:sz w:val="28"/>
          <w:szCs w:val="28"/>
        </w:rPr>
        <w:t>月</w:t>
      </w:r>
      <w:r>
        <w:rPr>
          <w:rFonts w:ascii="宋体" w:hAnsi="宋体" w:cs="宋体" w:eastAsia="宋体" w:hint="default"/>
          <w:spacing w:val="-67"/>
          <w:sz w:val="28"/>
          <w:szCs w:val="28"/>
        </w:rPr>
        <w:t> </w:t>
      </w:r>
      <w:r>
        <w:rPr>
          <w:rFonts w:ascii="宋体" w:hAnsi="宋体" w:cs="宋体" w:eastAsia="宋体" w:hint="default"/>
          <w:sz w:val="28"/>
          <w:szCs w:val="28"/>
        </w:rPr>
        <w:t>20</w:t>
      </w:r>
      <w:r>
        <w:rPr>
          <w:rFonts w:ascii="宋体" w:hAnsi="宋体" w:cs="宋体" w:eastAsia="宋体" w:hint="default"/>
          <w:spacing w:val="-65"/>
          <w:sz w:val="28"/>
          <w:szCs w:val="28"/>
        </w:rPr>
        <w:t> </w:t>
      </w:r>
      <w:r>
        <w:rPr>
          <w:rFonts w:ascii="宋体" w:hAnsi="宋体" w:cs="宋体" w:eastAsia="宋体" w:hint="default"/>
          <w:spacing w:val="-4"/>
          <w:sz w:val="28"/>
          <w:szCs w:val="28"/>
        </w:rPr>
        <w:t>日召开，审议通过了公司</w:t>
      </w:r>
    </w:p>
    <w:p>
      <w:pPr>
        <w:spacing w:after="0"/>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9"/>
        <w:rPr>
          <w:rFonts w:ascii="宋体" w:hAnsi="宋体" w:cs="宋体" w:eastAsia="宋体" w:hint="default"/>
          <w:sz w:val="24"/>
          <w:szCs w:val="24"/>
        </w:rPr>
      </w:pPr>
    </w:p>
    <w:p>
      <w:pPr>
        <w:spacing w:before="14"/>
        <w:ind w:left="103" w:right="1402" w:firstLine="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70"/>
          <w:sz w:val="28"/>
          <w:szCs w:val="28"/>
        </w:rPr>
        <w:t> </w:t>
      </w:r>
      <w:r>
        <w:rPr>
          <w:rFonts w:ascii="宋体" w:hAnsi="宋体" w:cs="宋体" w:eastAsia="宋体" w:hint="default"/>
          <w:sz w:val="28"/>
          <w:szCs w:val="28"/>
        </w:rPr>
        <w:t>年第三季度报告。</w:t>
      </w:r>
    </w:p>
    <w:p>
      <w:pPr>
        <w:spacing w:line="367" w:lineRule="auto" w:before="195"/>
        <w:ind w:left="103" w:right="1402" w:firstLine="0"/>
        <w:jc w:val="left"/>
        <w:rPr>
          <w:rFonts w:ascii="宋体" w:hAnsi="宋体" w:cs="宋体" w:eastAsia="宋体" w:hint="default"/>
          <w:sz w:val="28"/>
          <w:szCs w:val="28"/>
        </w:rPr>
      </w:pPr>
      <w:r>
        <w:rPr>
          <w:rFonts w:ascii="宋体" w:hAnsi="宋体" w:cs="宋体" w:eastAsia="宋体" w:hint="default"/>
          <w:spacing w:val="-4"/>
          <w:sz w:val="28"/>
          <w:szCs w:val="28"/>
        </w:rPr>
        <w:t>5、六届监事会第十次会议（通讯表决方式）于</w:t>
      </w:r>
      <w:r>
        <w:rPr>
          <w:rFonts w:ascii="宋体" w:hAnsi="宋体" w:cs="宋体" w:eastAsia="宋体" w:hint="default"/>
          <w:spacing w:val="-71"/>
          <w:sz w:val="28"/>
          <w:szCs w:val="28"/>
        </w:rPr>
        <w:t> </w:t>
      </w:r>
      <w:r>
        <w:rPr>
          <w:rFonts w:ascii="宋体" w:hAnsi="宋体" w:cs="宋体" w:eastAsia="宋体" w:hint="default"/>
          <w:sz w:val="28"/>
          <w:szCs w:val="28"/>
        </w:rPr>
        <w:t>2011</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69"/>
          <w:sz w:val="28"/>
          <w:szCs w:val="28"/>
        </w:rPr>
        <w:t> </w:t>
      </w:r>
      <w:r>
        <w:rPr>
          <w:rFonts w:ascii="宋体" w:hAnsi="宋体" w:cs="宋体" w:eastAsia="宋体" w:hint="default"/>
          <w:sz w:val="28"/>
          <w:szCs w:val="28"/>
        </w:rPr>
        <w:t>12</w:t>
      </w:r>
      <w:r>
        <w:rPr>
          <w:rFonts w:ascii="宋体" w:hAnsi="宋体" w:cs="宋体" w:eastAsia="宋体" w:hint="default"/>
          <w:spacing w:val="-68"/>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宋体" w:hAnsi="宋体" w:cs="宋体" w:eastAsia="宋体" w:hint="default"/>
          <w:sz w:val="28"/>
          <w:szCs w:val="28"/>
        </w:rPr>
        <w:t>8</w:t>
      </w:r>
      <w:r>
        <w:rPr>
          <w:rFonts w:ascii="宋体" w:hAnsi="宋体" w:cs="宋体" w:eastAsia="宋体" w:hint="default"/>
          <w:spacing w:val="-68"/>
          <w:sz w:val="28"/>
          <w:szCs w:val="28"/>
        </w:rPr>
        <w:t> </w:t>
      </w:r>
      <w:r>
        <w:rPr>
          <w:rFonts w:ascii="宋体" w:hAnsi="宋体" w:cs="宋体" w:eastAsia="宋体" w:hint="default"/>
          <w:sz w:val="28"/>
          <w:szCs w:val="28"/>
        </w:rPr>
        <w:t>日召开，</w:t>
      </w:r>
      <w:r>
        <w:rPr>
          <w:rFonts w:ascii="宋体" w:hAnsi="宋体" w:cs="宋体" w:eastAsia="宋体" w:hint="default"/>
          <w:w w:val="100"/>
          <w:sz w:val="28"/>
          <w:szCs w:val="28"/>
        </w:rPr>
        <w:t> </w:t>
      </w:r>
      <w:r>
        <w:rPr>
          <w:rFonts w:ascii="宋体" w:hAnsi="宋体" w:cs="宋体" w:eastAsia="宋体" w:hint="default"/>
          <w:spacing w:val="-4"/>
          <w:sz w:val="28"/>
          <w:szCs w:val="28"/>
        </w:rPr>
        <w:t>审议通过了《黑龙江天伦置业股份有限公司关于黑龙江监管局现场检查</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14"/>
          <w:w w:val="100"/>
          <w:sz w:val="28"/>
          <w:szCs w:val="28"/>
        </w:rPr>
        <w:t>有关问题的整改报告》。</w:t>
      </w:r>
    </w:p>
    <w:p>
      <w:pPr>
        <w:pStyle w:val="Heading2"/>
        <w:spacing w:line="367" w:lineRule="auto" w:before="46"/>
        <w:ind w:right="1402"/>
        <w:jc w:val="left"/>
      </w:pPr>
      <w:r>
        <w:rPr/>
        <w:pict>
          <v:shape style="position:absolute;margin-left:103.08847pt;margin-top:211.669876pt;width:392.95pt;height:64.3pt;mso-position-horizontal-relative:page;mso-position-vertical-relative:paragraph;z-index:-555208;rotation:315" type="#_x0000_t136" fillcolor="#e0e0e0" stroked="f">
            <o:extrusion v:ext="view" autorotationcenter="t"/>
            <v:textpath style="font-family:&amp;quot;Arial&amp;quot;;font-size:64pt;v-text-kern:t;mso-text-shadow:auto" string="UnRegistered"/>
            <w10:wrap type="none"/>
          </v:shape>
        </w:pict>
      </w:r>
      <w:r>
        <w:rPr/>
        <w:t>（二）公司监事会对下列事项发表独立意见，认为：</w:t>
      </w:r>
      <w:r>
        <w:rPr>
          <w:w w:val="100"/>
        </w:rPr>
        <w:t> </w:t>
      </w:r>
      <w:r>
        <w:rPr>
          <w:spacing w:val="-3"/>
        </w:rPr>
        <w:t>1、公司能够依法运作，决策程序合法，已基本建立健全内部控制制度。</w:t>
      </w:r>
      <w:r>
        <w:rPr>
          <w:spacing w:val="-112"/>
        </w:rPr>
        <w:t> </w:t>
      </w:r>
      <w:r>
        <w:rPr>
          <w:spacing w:val="-112"/>
        </w:rPr>
      </w:r>
      <w:r>
        <w:rPr>
          <w:spacing w:val="-3"/>
        </w:rPr>
        <w:t>公司董事、经理执行公司职务时无违反法律、法规、公司章程或损害公</w:t>
      </w:r>
      <w:r>
        <w:rPr>
          <w:spacing w:val="-113"/>
        </w:rPr>
        <w:t> </w:t>
      </w:r>
      <w:r>
        <w:rPr>
          <w:spacing w:val="-113"/>
        </w:rPr>
      </w:r>
      <w:r>
        <w:rPr/>
        <w:t>司利益的行为；</w:t>
      </w:r>
      <w:r>
        <w:rPr>
          <w:spacing w:val="-138"/>
        </w:rPr>
        <w:t> </w:t>
      </w:r>
      <w:r>
        <w:rPr>
          <w:spacing w:val="-138"/>
        </w:rPr>
      </w:r>
      <w:r>
        <w:rPr/>
        <w:t>2、广东正中珠江会计师事务所有限公司的出具了标准无保留意见的审</w:t>
      </w:r>
      <w:r>
        <w:rPr>
          <w:spacing w:val="-71"/>
        </w:rPr>
        <w:t> </w:t>
      </w:r>
      <w:r>
        <w:rPr>
          <w:spacing w:val="-71"/>
        </w:rPr>
      </w:r>
      <w:r>
        <w:rPr>
          <w:spacing w:val="-3"/>
        </w:rPr>
        <w:t>计报告，出具的审计意见真实、完整、准确，财务报告真实反映了公司</w:t>
      </w:r>
      <w:r>
        <w:rPr>
          <w:spacing w:val="-113"/>
        </w:rPr>
        <w:t> </w:t>
      </w:r>
      <w:r>
        <w:rPr>
          <w:spacing w:val="-113"/>
        </w:rPr>
      </w:r>
      <w:r>
        <w:rPr/>
        <w:t>的财务状况和经营成果；</w:t>
      </w:r>
      <w:r>
        <w:rPr>
          <w:w w:val="100"/>
        </w:rPr>
        <w:t> </w:t>
      </w:r>
      <w:r>
        <w:rPr/>
        <w:t>3、公司最近一次募集资金实际投入项目和承诺投入项目有变更，变更</w:t>
      </w:r>
      <w:r>
        <w:rPr>
          <w:spacing w:val="-71"/>
        </w:rPr>
        <w:t> </w:t>
      </w:r>
      <w:r>
        <w:rPr>
          <w:spacing w:val="-71"/>
        </w:rPr>
      </w:r>
      <w:r>
        <w:rPr/>
        <w:t>程序合法；</w:t>
      </w:r>
      <w:r>
        <w:rPr>
          <w:w w:val="100"/>
        </w:rPr>
        <w:t> </w:t>
      </w:r>
      <w:r>
        <w:rPr/>
        <w:t>4、报告期公司出售资产事项交易价格合理，未发现内幕交易，无损害</w:t>
      </w:r>
      <w:r>
        <w:rPr>
          <w:spacing w:val="-71"/>
        </w:rPr>
        <w:t> </w:t>
      </w:r>
      <w:r>
        <w:rPr>
          <w:spacing w:val="-71"/>
        </w:rPr>
      </w:r>
      <w:r>
        <w:rPr/>
        <w:t>部分股东权益或造成公司资产流失；</w:t>
      </w:r>
    </w:p>
    <w:p>
      <w:pPr>
        <w:spacing w:before="44"/>
        <w:ind w:left="103" w:right="1402" w:firstLine="0"/>
        <w:jc w:val="left"/>
        <w:rPr>
          <w:rFonts w:ascii="宋体" w:hAnsi="宋体" w:cs="宋体" w:eastAsia="宋体" w:hint="default"/>
          <w:sz w:val="28"/>
          <w:szCs w:val="28"/>
        </w:rPr>
      </w:pPr>
      <w:r>
        <w:rPr>
          <w:rFonts w:ascii="宋体" w:hAnsi="宋体" w:cs="宋体" w:eastAsia="宋体" w:hint="default"/>
          <w:sz w:val="28"/>
          <w:szCs w:val="28"/>
        </w:rPr>
        <w:t>5、公司报告期无关联交易事项。</w:t>
      </w:r>
    </w:p>
    <w:p>
      <w:pPr>
        <w:spacing w:line="367" w:lineRule="auto" w:before="195"/>
        <w:ind w:left="662" w:right="1402" w:hanging="560"/>
        <w:jc w:val="left"/>
        <w:rPr>
          <w:rFonts w:ascii="宋体" w:hAnsi="宋体" w:cs="宋体" w:eastAsia="宋体" w:hint="default"/>
          <w:sz w:val="28"/>
          <w:szCs w:val="28"/>
        </w:rPr>
      </w:pPr>
      <w:r>
        <w:rPr>
          <w:rFonts w:ascii="宋体" w:hAnsi="宋体" w:cs="宋体" w:eastAsia="宋体" w:hint="default"/>
          <w:sz w:val="24"/>
          <w:szCs w:val="24"/>
        </w:rPr>
        <w:t>（</w:t>
      </w:r>
      <w:r>
        <w:rPr>
          <w:rFonts w:ascii="宋体" w:hAnsi="宋体" w:cs="宋体" w:eastAsia="宋体" w:hint="default"/>
          <w:sz w:val="28"/>
          <w:szCs w:val="28"/>
        </w:rPr>
        <w:t>三）监事会对公司内部控制自我评价意见</w:t>
      </w:r>
      <w:r>
        <w:rPr>
          <w:rFonts w:ascii="宋体" w:hAnsi="宋体" w:cs="宋体" w:eastAsia="宋体" w:hint="default"/>
          <w:w w:val="100"/>
          <w:sz w:val="28"/>
          <w:szCs w:val="28"/>
        </w:rPr>
        <w:t> </w:t>
      </w:r>
      <w:r>
        <w:rPr>
          <w:rFonts w:ascii="宋体" w:hAnsi="宋体" w:cs="宋体" w:eastAsia="宋体" w:hint="default"/>
          <w:spacing w:val="-4"/>
          <w:sz w:val="28"/>
          <w:szCs w:val="28"/>
        </w:rPr>
        <w:t>公司监事会认为：公司内部控制自我评价，对公司内部控制制度体</w:t>
      </w:r>
    </w:p>
    <w:p>
      <w:pPr>
        <w:spacing w:line="367" w:lineRule="auto" w:before="44"/>
        <w:ind w:left="103" w:right="1581" w:firstLine="0"/>
        <w:jc w:val="both"/>
        <w:rPr>
          <w:rFonts w:ascii="宋体" w:hAnsi="宋体" w:cs="宋体" w:eastAsia="宋体" w:hint="default"/>
          <w:sz w:val="28"/>
          <w:szCs w:val="28"/>
        </w:rPr>
      </w:pPr>
      <w:r>
        <w:rPr>
          <w:rFonts w:ascii="宋体" w:hAnsi="宋体" w:cs="宋体" w:eastAsia="宋体" w:hint="default"/>
          <w:spacing w:val="-3"/>
          <w:sz w:val="28"/>
          <w:szCs w:val="28"/>
        </w:rPr>
        <w:t>系的建立和完善、重点控制环节和工作总结等几个方面的内容作了详细</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4"/>
          <w:sz w:val="28"/>
          <w:szCs w:val="28"/>
        </w:rPr>
        <w:t>说明和介绍，是符合公司内部控制活动现状的客观评价。随着公司的快</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4"/>
          <w:sz w:val="28"/>
          <w:szCs w:val="28"/>
        </w:rPr>
        <w:t>速发展，公司应在进一步完善内部控制制度体系的基础上，加强内部控</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制的执行力度，切实为企业持续健康发展提供有力保障。</w:t>
      </w:r>
    </w:p>
    <w:p>
      <w:pPr>
        <w:spacing w:after="0" w:line="367" w:lineRule="auto"/>
        <w:jc w:val="both"/>
        <w:rPr>
          <w:rFonts w:ascii="宋体" w:hAnsi="宋体" w:cs="宋体" w:eastAsia="宋体" w:hint="default"/>
          <w:sz w:val="28"/>
          <w:szCs w:val="28"/>
        </w:rPr>
        <w:sectPr>
          <w:pgSz w:w="11910" w:h="16840"/>
          <w:pgMar w:header="929" w:footer="837" w:top="1140" w:bottom="1020" w:left="1600" w:right="0"/>
        </w:sectPr>
      </w:pPr>
    </w:p>
    <w:p>
      <w:pPr>
        <w:spacing w:line="240" w:lineRule="auto" w:before="3"/>
        <w:rPr>
          <w:rFonts w:ascii="宋体" w:hAnsi="宋体" w:cs="宋体" w:eastAsia="宋体" w:hint="default"/>
          <w:sz w:val="17"/>
          <w:szCs w:val="17"/>
        </w:rPr>
      </w:pPr>
    </w:p>
    <w:p>
      <w:pPr>
        <w:pStyle w:val="Heading1"/>
        <w:spacing w:line="240" w:lineRule="auto"/>
        <w:ind w:left="4371" w:right="4913"/>
        <w:jc w:val="center"/>
      </w:pPr>
      <w:r>
        <w:rPr/>
        <w:t>十、重要事项</w:t>
      </w:r>
    </w:p>
    <w:p>
      <w:pPr>
        <w:spacing w:line="240" w:lineRule="auto" w:before="0"/>
        <w:rPr>
          <w:rFonts w:ascii="宋体" w:hAnsi="宋体" w:cs="宋体" w:eastAsia="宋体" w:hint="default"/>
          <w:sz w:val="32"/>
          <w:szCs w:val="32"/>
        </w:rPr>
      </w:pPr>
    </w:p>
    <w:p>
      <w:pPr>
        <w:pStyle w:val="Heading2"/>
        <w:spacing w:line="367" w:lineRule="auto" w:before="234"/>
        <w:ind w:left="1600" w:right="1624" w:hanging="557"/>
        <w:jc w:val="left"/>
      </w:pPr>
      <w:r>
        <w:rPr/>
        <w:t>（一）重大诉讼、仲裁事项</w:t>
      </w:r>
      <w:r>
        <w:rPr>
          <w:spacing w:val="-135"/>
        </w:rPr>
        <w:t> </w:t>
      </w:r>
      <w:r>
        <w:rPr>
          <w:spacing w:val="-135"/>
        </w:rPr>
      </w:r>
      <w:r>
        <w:rPr>
          <w:spacing w:val="3"/>
        </w:rPr>
        <w:t>报告期公司控股子公司广西田阳天伦矿业有限公司涉及股权纠纷</w:t>
      </w:r>
    </w:p>
    <w:p>
      <w:pPr>
        <w:spacing w:line="367" w:lineRule="auto" w:before="44"/>
        <w:ind w:left="1221" w:right="1624" w:firstLine="0"/>
        <w:jc w:val="left"/>
        <w:rPr>
          <w:rFonts w:ascii="宋体" w:hAnsi="宋体" w:cs="宋体" w:eastAsia="宋体" w:hint="default"/>
          <w:sz w:val="28"/>
          <w:szCs w:val="28"/>
        </w:rPr>
      </w:pPr>
      <w:r>
        <w:rPr>
          <w:rFonts w:ascii="宋体" w:hAnsi="宋体" w:cs="宋体" w:eastAsia="宋体" w:hint="default"/>
          <w:spacing w:val="-2"/>
          <w:sz w:val="28"/>
          <w:szCs w:val="28"/>
        </w:rPr>
        <w:t>事项，其缘由及进展情况已多次在《中国证券报》和《证券时报》进</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z w:val="28"/>
          <w:szCs w:val="28"/>
        </w:rPr>
        <w:t>行及时和详细披露。</w:t>
      </w:r>
      <w:r>
        <w:rPr>
          <w:rFonts w:ascii="Times New Roman" w:hAnsi="Times New Roman" w:cs="Times New Roman" w:eastAsia="Times New Roman" w:hint="default"/>
          <w:sz w:val="28"/>
          <w:szCs w:val="28"/>
        </w:rPr>
        <w:t>2011</w:t>
      </w:r>
      <w:r>
        <w:rPr>
          <w:rFonts w:ascii="Times New Roman" w:hAnsi="Times New Roman" w:cs="Times New Roman" w:eastAsia="Times New Roman" w:hint="default"/>
          <w:spacing w:val="12"/>
          <w:sz w:val="28"/>
          <w:szCs w:val="28"/>
        </w:rPr>
        <w:t> </w:t>
      </w:r>
      <w:r>
        <w:rPr>
          <w:rFonts w:ascii="宋体" w:hAnsi="宋体" w:cs="宋体" w:eastAsia="宋体" w:hint="default"/>
          <w:sz w:val="28"/>
          <w:szCs w:val="28"/>
        </w:rPr>
        <w:t>年</w:t>
      </w:r>
      <w:r>
        <w:rPr>
          <w:rFonts w:ascii="宋体" w:hAnsi="宋体" w:cs="宋体" w:eastAsia="宋体" w:hint="default"/>
          <w:spacing w:val="-59"/>
          <w:sz w:val="28"/>
          <w:szCs w:val="28"/>
        </w:rPr>
        <w:t> </w:t>
      </w:r>
      <w:r>
        <w:rPr>
          <w:rFonts w:ascii="Times New Roman" w:hAnsi="Times New Roman" w:cs="Times New Roman" w:eastAsia="Times New Roman" w:hint="default"/>
          <w:spacing w:val="-5"/>
          <w:sz w:val="28"/>
          <w:szCs w:val="28"/>
        </w:rPr>
        <w:t>11</w:t>
      </w:r>
      <w:r>
        <w:rPr>
          <w:rFonts w:ascii="Times New Roman" w:hAnsi="Times New Roman" w:cs="Times New Roman" w:eastAsia="Times New Roman" w:hint="default"/>
          <w:spacing w:val="12"/>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Times New Roman" w:hAnsi="Times New Roman" w:cs="Times New Roman" w:eastAsia="Times New Roman" w:hint="default"/>
          <w:sz w:val="28"/>
          <w:szCs w:val="28"/>
        </w:rPr>
        <w:t>4</w:t>
      </w:r>
      <w:r>
        <w:rPr>
          <w:rFonts w:ascii="Times New Roman" w:hAnsi="Times New Roman" w:cs="Times New Roman" w:eastAsia="Times New Roman" w:hint="default"/>
          <w:spacing w:val="12"/>
          <w:sz w:val="28"/>
          <w:szCs w:val="28"/>
        </w:rPr>
        <w:t> </w:t>
      </w:r>
      <w:r>
        <w:rPr>
          <w:rFonts w:ascii="宋体" w:hAnsi="宋体" w:cs="宋体" w:eastAsia="宋体" w:hint="default"/>
          <w:sz w:val="28"/>
          <w:szCs w:val="28"/>
        </w:rPr>
        <w:t>日，公司收到广西壮族自治区百</w:t>
      </w:r>
    </w:p>
    <w:p>
      <w:pPr>
        <w:spacing w:line="367" w:lineRule="auto" w:before="9"/>
        <w:ind w:left="1221" w:right="1481" w:firstLine="0"/>
        <w:jc w:val="left"/>
        <w:rPr>
          <w:rFonts w:ascii="宋体" w:hAnsi="宋体" w:cs="宋体" w:eastAsia="宋体" w:hint="default"/>
          <w:sz w:val="28"/>
          <w:szCs w:val="28"/>
        </w:rPr>
      </w:pPr>
      <w:r>
        <w:rPr>
          <w:rFonts w:ascii="宋体" w:hAnsi="宋体" w:cs="宋体" w:eastAsia="宋体" w:hint="default"/>
          <w:sz w:val="28"/>
          <w:szCs w:val="28"/>
        </w:rPr>
        <w:t>色市中级人民法院《行政判决书》（（2010）百中行终字第</w:t>
      </w:r>
      <w:r>
        <w:rPr>
          <w:rFonts w:ascii="宋体" w:hAnsi="宋体" w:cs="宋体" w:eastAsia="宋体" w:hint="default"/>
          <w:spacing w:val="-79"/>
          <w:sz w:val="28"/>
          <w:szCs w:val="28"/>
        </w:rPr>
        <w:t> </w:t>
      </w:r>
      <w:r>
        <w:rPr>
          <w:rFonts w:ascii="宋体" w:hAnsi="宋体" w:cs="宋体" w:eastAsia="宋体" w:hint="default"/>
          <w:sz w:val="28"/>
          <w:szCs w:val="28"/>
        </w:rPr>
        <w:t>29</w:t>
      </w:r>
      <w:r>
        <w:rPr>
          <w:rFonts w:ascii="宋体" w:hAnsi="宋体" w:cs="宋体" w:eastAsia="宋体" w:hint="default"/>
          <w:spacing w:val="-78"/>
          <w:sz w:val="28"/>
          <w:szCs w:val="28"/>
        </w:rPr>
        <w:t> </w:t>
      </w:r>
      <w:r>
        <w:rPr>
          <w:rFonts w:ascii="宋体" w:hAnsi="宋体" w:cs="宋体" w:eastAsia="宋体" w:hint="default"/>
          <w:sz w:val="28"/>
          <w:szCs w:val="28"/>
        </w:rPr>
        <w:t>号），</w:t>
      </w:r>
      <w:r>
        <w:rPr>
          <w:rFonts w:ascii="宋体" w:hAnsi="宋体" w:cs="宋体" w:eastAsia="宋体" w:hint="default"/>
          <w:w w:val="100"/>
          <w:sz w:val="28"/>
          <w:szCs w:val="28"/>
        </w:rPr>
        <w:t> </w:t>
      </w:r>
      <w:r>
        <w:rPr>
          <w:rFonts w:ascii="宋体" w:hAnsi="宋体" w:cs="宋体" w:eastAsia="宋体" w:hint="default"/>
          <w:spacing w:val="2"/>
          <w:sz w:val="28"/>
          <w:szCs w:val="28"/>
        </w:rPr>
        <w:t>判决公司胜诉。截至本年报披露日，尚在办理股权过户手续。 </w:t>
      </w:r>
      <w:r>
        <w:rPr>
          <w:rFonts w:ascii="宋体" w:hAnsi="宋体" w:cs="宋体" w:eastAsia="宋体" w:hint="default"/>
          <w:sz w:val="28"/>
          <w:szCs w:val="28"/>
        </w:rPr>
        <w:t>由于</w:t>
      </w:r>
      <w:r>
        <w:rPr>
          <w:rFonts w:ascii="宋体" w:hAnsi="宋体" w:cs="宋体" w:eastAsia="宋体" w:hint="default"/>
          <w:spacing w:val="-83"/>
          <w:sz w:val="28"/>
          <w:szCs w:val="28"/>
        </w:rPr>
        <w:t> </w:t>
      </w:r>
      <w:r>
        <w:rPr>
          <w:rFonts w:ascii="宋体" w:hAnsi="宋体" w:cs="宋体" w:eastAsia="宋体" w:hint="default"/>
          <w:spacing w:val="-83"/>
          <w:sz w:val="28"/>
          <w:szCs w:val="28"/>
        </w:rPr>
      </w:r>
      <w:r>
        <w:rPr>
          <w:rFonts w:ascii="宋体" w:hAnsi="宋体" w:cs="宋体" w:eastAsia="宋体" w:hint="default"/>
          <w:sz w:val="28"/>
          <w:szCs w:val="28"/>
        </w:rPr>
        <w:t>涉及股权诉讼，致使该项目被迫处于暂停状态，对公司的经营和财务</w:t>
      </w:r>
      <w:r>
        <w:rPr>
          <w:rFonts w:ascii="宋体" w:hAnsi="宋体" w:cs="宋体" w:eastAsia="宋体" w:hint="default"/>
          <w:w w:val="100"/>
          <w:sz w:val="28"/>
          <w:szCs w:val="28"/>
        </w:rPr>
        <w:t> </w:t>
      </w:r>
      <w:r>
        <w:rPr>
          <w:rFonts w:ascii="宋体" w:hAnsi="宋体" w:cs="宋体" w:eastAsia="宋体" w:hint="default"/>
          <w:sz w:val="28"/>
          <w:szCs w:val="28"/>
        </w:rPr>
        <w:t>状况产生不利影响。</w:t>
      </w:r>
    </w:p>
    <w:p>
      <w:pPr>
        <w:spacing w:before="44"/>
        <w:ind w:left="1744" w:right="1624" w:firstLine="0"/>
        <w:jc w:val="left"/>
        <w:rPr>
          <w:rFonts w:ascii="宋体" w:hAnsi="宋体" w:cs="宋体" w:eastAsia="宋体" w:hint="default"/>
          <w:sz w:val="28"/>
          <w:szCs w:val="28"/>
        </w:rPr>
      </w:pPr>
      <w:r>
        <w:rPr>
          <w:rFonts w:ascii="宋体" w:hAnsi="宋体" w:cs="宋体" w:eastAsia="宋体" w:hint="default"/>
          <w:sz w:val="28"/>
          <w:szCs w:val="28"/>
        </w:rPr>
        <w:t>除此以外，本年度公司无其他重大诉讼、仲裁事项。</w:t>
      </w:r>
    </w:p>
    <w:p>
      <w:pPr>
        <w:pStyle w:val="Heading2"/>
        <w:spacing w:line="367" w:lineRule="auto" w:before="192"/>
        <w:ind w:left="1180" w:right="1481" w:hanging="137"/>
        <w:jc w:val="left"/>
      </w:pPr>
      <w:r>
        <w:rPr/>
        <w:pict>
          <v:shape style="position:absolute;margin-left:103.08847pt;margin-top:31.049858pt;width:392.95pt;height:64.3pt;mso-position-horizontal-relative:page;mso-position-vertical-relative:paragraph;z-index:-555184;rotation:315" type="#_x0000_t136" fillcolor="#e0e0e0" stroked="f">
            <o:extrusion v:ext="view" autorotationcenter="t"/>
            <v:textpath style="font-family:&amp;quot;Arial&amp;quot;;font-size:64pt;v-text-kern:t;mso-text-shadow:auto" string="UnRegistered"/>
            <w10:wrap type="none"/>
          </v:shape>
        </w:pict>
      </w:r>
      <w:r>
        <w:rPr>
          <w:spacing w:val="-4"/>
        </w:rPr>
        <w:t>（二）报告期公司未持有其他上市公司股权，未参股商业银行、证券公</w:t>
      </w:r>
      <w:r>
        <w:rPr>
          <w:spacing w:val="-86"/>
        </w:rPr>
        <w:t> </w:t>
      </w:r>
      <w:r>
        <w:rPr>
          <w:spacing w:val="-86"/>
        </w:rPr>
      </w:r>
      <w:r>
        <w:rPr/>
        <w:t>司、保险公司、信托公司和期货公司等金融企业股权。</w:t>
      </w:r>
    </w:p>
    <w:p>
      <w:pPr>
        <w:spacing w:before="44"/>
        <w:ind w:left="1456" w:right="1624" w:firstLine="0"/>
        <w:jc w:val="left"/>
        <w:rPr>
          <w:rFonts w:ascii="宋体" w:hAnsi="宋体" w:cs="宋体" w:eastAsia="宋体" w:hint="default"/>
          <w:sz w:val="28"/>
          <w:szCs w:val="28"/>
        </w:rPr>
      </w:pPr>
      <w:r>
        <w:rPr>
          <w:rFonts w:ascii="宋体" w:hAnsi="宋体" w:cs="宋体" w:eastAsia="宋体" w:hint="default"/>
          <w:sz w:val="28"/>
          <w:szCs w:val="28"/>
        </w:rPr>
        <w:t>报告期公司证券投资事项：</w:t>
      </w:r>
    </w:p>
    <w:p>
      <w:pPr>
        <w:spacing w:line="240" w:lineRule="auto" w:before="6"/>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59"/>
        <w:gridCol w:w="1366"/>
        <w:gridCol w:w="1092"/>
        <w:gridCol w:w="1663"/>
        <w:gridCol w:w="1214"/>
        <w:gridCol w:w="866"/>
        <w:gridCol w:w="1169"/>
        <w:gridCol w:w="1092"/>
        <w:gridCol w:w="1301"/>
      </w:tblGrid>
      <w:tr>
        <w:trPr>
          <w:trHeight w:val="828" w:hRule="exact"/>
        </w:trPr>
        <w:tc>
          <w:tcPr>
            <w:tcW w:w="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证券品种</w:t>
            </w: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证券代码</w:t>
            </w:r>
          </w:p>
        </w:tc>
        <w:tc>
          <w:tcPr>
            <w:tcW w:w="16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2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79" w:right="72" w:hanging="104"/>
              <w:jc w:val="left"/>
              <w:rPr>
                <w:rFonts w:ascii="宋体" w:hAnsi="宋体" w:cs="宋体" w:eastAsia="宋体" w:hint="default"/>
                <w:sz w:val="21"/>
                <w:szCs w:val="21"/>
              </w:rPr>
            </w:pPr>
            <w:r>
              <w:rPr>
                <w:rFonts w:ascii="宋体" w:hAnsi="宋体" w:cs="宋体" w:eastAsia="宋体" w:hint="default"/>
                <w:sz w:val="21"/>
                <w:szCs w:val="21"/>
              </w:rPr>
              <w:t>初始投资金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额（元）</w:t>
            </w:r>
          </w:p>
        </w:tc>
        <w:tc>
          <w:tcPr>
            <w:tcW w:w="8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72" w:lineRule="exact"/>
              <w:ind w:left="110" w:right="0"/>
              <w:jc w:val="left"/>
              <w:rPr>
                <w:rFonts w:ascii="宋体" w:hAnsi="宋体" w:cs="宋体" w:eastAsia="宋体" w:hint="default"/>
                <w:sz w:val="21"/>
                <w:szCs w:val="21"/>
              </w:rPr>
            </w:pPr>
            <w:r>
              <w:rPr>
                <w:rFonts w:ascii="宋体" w:hAnsi="宋体" w:cs="宋体" w:eastAsia="宋体" w:hint="default"/>
                <w:sz w:val="21"/>
                <w:szCs w:val="21"/>
              </w:rPr>
              <w:t>有数量</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1"/>
                <w:sz w:val="21"/>
                <w:szCs w:val="21"/>
              </w:rPr>
              <w:t>期末账面值</w:t>
            </w: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占期末证</w:t>
            </w:r>
          </w:p>
          <w:p>
            <w:pPr>
              <w:pStyle w:val="TableParagraph"/>
              <w:spacing w:line="272" w:lineRule="exact" w:before="27"/>
              <w:ind w:left="23" w:right="115" w:firstLine="98"/>
              <w:jc w:val="left"/>
              <w:rPr>
                <w:rFonts w:ascii="Times New Roman" w:hAnsi="Times New Roman" w:cs="Times New Roman" w:eastAsia="Times New Roman" w:hint="default"/>
                <w:sz w:val="21"/>
                <w:szCs w:val="21"/>
              </w:rPr>
            </w:pPr>
            <w:r>
              <w:rPr>
                <w:rFonts w:ascii="宋体" w:hAnsi="宋体" w:cs="宋体" w:eastAsia="宋体" w:hint="default"/>
                <w:sz w:val="21"/>
                <w:szCs w:val="21"/>
              </w:rPr>
              <w:t>券总投资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pacing w:val="2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3"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281"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开放式基金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700001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平安先锋</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5,000,000.00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4,479,166.67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-520,833.33</w:t>
            </w:r>
          </w:p>
        </w:tc>
      </w:tr>
      <w:tr>
        <w:trPr>
          <w:trHeight w:val="283" w:hRule="exact"/>
        </w:trPr>
        <w:tc>
          <w:tcPr>
            <w:tcW w:w="468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8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68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5,000,000.00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4,479,166.67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-520,833.33</w:t>
            </w:r>
          </w:p>
        </w:tc>
      </w:tr>
    </w:tbl>
    <w:p>
      <w:pPr>
        <w:spacing w:line="240" w:lineRule="auto" w:before="3"/>
        <w:rPr>
          <w:rFonts w:ascii="宋体" w:hAnsi="宋体" w:cs="宋体" w:eastAsia="宋体" w:hint="default"/>
          <w:sz w:val="8"/>
          <w:szCs w:val="8"/>
        </w:rPr>
      </w:pPr>
    </w:p>
    <w:p>
      <w:pPr>
        <w:spacing w:before="14"/>
        <w:ind w:left="1043" w:right="1624" w:firstLine="0"/>
        <w:jc w:val="left"/>
        <w:rPr>
          <w:rFonts w:ascii="宋体" w:hAnsi="宋体" w:cs="宋体" w:eastAsia="宋体" w:hint="default"/>
          <w:sz w:val="28"/>
          <w:szCs w:val="28"/>
        </w:rPr>
      </w:pPr>
      <w:r>
        <w:rPr>
          <w:rFonts w:ascii="宋体" w:hAnsi="宋体" w:cs="宋体" w:eastAsia="宋体" w:hint="default"/>
          <w:sz w:val="28"/>
          <w:szCs w:val="28"/>
        </w:rPr>
        <w:t>（三）报告期内公司收购、出售资产及吸收合并事项。</w:t>
      </w:r>
    </w:p>
    <w:p>
      <w:pPr>
        <w:spacing w:line="367" w:lineRule="auto" w:before="192"/>
        <w:ind w:left="1043" w:right="1581" w:firstLine="559"/>
        <w:jc w:val="both"/>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3</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24</w:t>
      </w:r>
      <w:r>
        <w:rPr>
          <w:rFonts w:ascii="宋体" w:hAnsi="宋体" w:cs="宋体" w:eastAsia="宋体" w:hint="default"/>
          <w:spacing w:val="-69"/>
          <w:sz w:val="28"/>
          <w:szCs w:val="28"/>
        </w:rPr>
        <w:t> </w:t>
      </w:r>
      <w:r>
        <w:rPr>
          <w:rFonts w:ascii="宋体" w:hAnsi="宋体" w:cs="宋体" w:eastAsia="宋体" w:hint="default"/>
          <w:sz w:val="28"/>
          <w:szCs w:val="28"/>
        </w:rPr>
        <w:t>日，公司全资子公司广州润龙房地产有限公司签署</w:t>
      </w:r>
      <w:r>
        <w:rPr>
          <w:rFonts w:ascii="宋体" w:hAnsi="宋体" w:cs="宋体" w:eastAsia="宋体" w:hint="default"/>
          <w:w w:val="100"/>
          <w:sz w:val="28"/>
          <w:szCs w:val="28"/>
        </w:rPr>
        <w:t> </w:t>
      </w:r>
      <w:r>
        <w:rPr>
          <w:rFonts w:ascii="宋体" w:hAnsi="宋体" w:cs="宋体" w:eastAsia="宋体" w:hint="default"/>
          <w:spacing w:val="-12"/>
          <w:w w:val="100"/>
          <w:sz w:val="28"/>
          <w:szCs w:val="28"/>
        </w:rPr>
        <w:t>了《股权转让协议》，将所持河南新景致房地产有限公司</w:t>
      </w:r>
      <w:r>
        <w:rPr>
          <w:rFonts w:ascii="宋体" w:hAnsi="宋体" w:cs="宋体" w:eastAsia="宋体" w:hint="default"/>
          <w:spacing w:val="-69"/>
          <w:w w:val="100"/>
          <w:sz w:val="28"/>
          <w:szCs w:val="28"/>
        </w:rPr>
        <w:t> </w:t>
      </w:r>
      <w:r>
        <w:rPr>
          <w:rFonts w:ascii="宋体" w:hAnsi="宋体" w:cs="宋体" w:eastAsia="宋体" w:hint="default"/>
          <w:spacing w:val="-1"/>
          <w:w w:val="100"/>
          <w:sz w:val="28"/>
          <w:szCs w:val="28"/>
        </w:rPr>
        <w:t>70%的股权全部</w:t>
      </w:r>
      <w:r>
        <w:rPr>
          <w:rFonts w:ascii="宋体" w:hAnsi="宋体" w:cs="宋体" w:eastAsia="宋体" w:hint="default"/>
          <w:w w:val="100"/>
          <w:sz w:val="28"/>
          <w:szCs w:val="28"/>
        </w:rPr>
        <w:t> </w:t>
      </w:r>
      <w:r>
        <w:rPr>
          <w:rFonts w:ascii="宋体" w:hAnsi="宋体" w:cs="宋体" w:eastAsia="宋体" w:hint="default"/>
          <w:sz w:val="28"/>
          <w:szCs w:val="28"/>
        </w:rPr>
        <w:t>转让，转让价格为人民币 1.04</w:t>
      </w:r>
      <w:r>
        <w:rPr>
          <w:rFonts w:ascii="宋体" w:hAnsi="宋体" w:cs="宋体" w:eastAsia="宋体" w:hint="default"/>
          <w:spacing w:val="-70"/>
          <w:sz w:val="28"/>
          <w:szCs w:val="28"/>
        </w:rPr>
        <w:t> </w:t>
      </w:r>
      <w:r>
        <w:rPr>
          <w:rFonts w:ascii="宋体" w:hAnsi="宋体" w:cs="宋体" w:eastAsia="宋体" w:hint="default"/>
          <w:sz w:val="28"/>
          <w:szCs w:val="28"/>
        </w:rPr>
        <w:t>亿元。本次股权转让，公司获得投资收</w:t>
      </w:r>
    </w:p>
    <w:p>
      <w:pPr>
        <w:spacing w:before="44"/>
        <w:ind w:left="1043" w:right="1624" w:firstLine="0"/>
        <w:jc w:val="left"/>
        <w:rPr>
          <w:rFonts w:ascii="宋体" w:hAnsi="宋体" w:cs="宋体" w:eastAsia="宋体" w:hint="default"/>
          <w:sz w:val="28"/>
          <w:szCs w:val="28"/>
        </w:rPr>
      </w:pPr>
      <w:r>
        <w:rPr>
          <w:rFonts w:ascii="宋体" w:hAnsi="宋体" w:cs="宋体" w:eastAsia="宋体" w:hint="default"/>
          <w:sz w:val="28"/>
          <w:szCs w:val="28"/>
        </w:rPr>
        <w:t>益</w:t>
      </w:r>
      <w:r>
        <w:rPr>
          <w:rFonts w:ascii="宋体" w:hAnsi="宋体" w:cs="宋体" w:eastAsia="宋体" w:hint="default"/>
          <w:spacing w:val="-71"/>
          <w:sz w:val="28"/>
          <w:szCs w:val="28"/>
        </w:rPr>
        <w:t> </w:t>
      </w:r>
      <w:r>
        <w:rPr>
          <w:rFonts w:ascii="宋体" w:hAnsi="宋体" w:cs="宋体" w:eastAsia="宋体" w:hint="default"/>
          <w:sz w:val="28"/>
          <w:szCs w:val="28"/>
        </w:rPr>
        <w:t>2,218.71</w:t>
      </w:r>
      <w:r>
        <w:rPr>
          <w:rFonts w:ascii="宋体" w:hAnsi="宋体" w:cs="宋体" w:eastAsia="宋体" w:hint="default"/>
          <w:spacing w:val="-72"/>
          <w:sz w:val="28"/>
          <w:szCs w:val="28"/>
        </w:rPr>
        <w:t> </w:t>
      </w:r>
      <w:r>
        <w:rPr>
          <w:rFonts w:ascii="宋体" w:hAnsi="宋体" w:cs="宋体" w:eastAsia="宋体" w:hint="default"/>
          <w:sz w:val="28"/>
          <w:szCs w:val="28"/>
        </w:rPr>
        <w:t>万元。</w:t>
      </w:r>
    </w:p>
    <w:p>
      <w:pPr>
        <w:spacing w:before="192"/>
        <w:ind w:left="1043" w:right="1624" w:firstLine="0"/>
        <w:jc w:val="left"/>
        <w:rPr>
          <w:rFonts w:ascii="宋体" w:hAnsi="宋体" w:cs="宋体" w:eastAsia="宋体" w:hint="default"/>
          <w:sz w:val="28"/>
          <w:szCs w:val="28"/>
        </w:rPr>
      </w:pPr>
      <w:r>
        <w:rPr>
          <w:rFonts w:ascii="宋体" w:hAnsi="宋体" w:cs="宋体" w:eastAsia="宋体" w:hint="default"/>
          <w:sz w:val="28"/>
          <w:szCs w:val="28"/>
        </w:rPr>
        <w:t>（四）报告期内公司未实施股权激励计划。</w:t>
      </w:r>
    </w:p>
    <w:p>
      <w:pPr>
        <w:spacing w:line="352" w:lineRule="auto" w:before="113"/>
        <w:ind w:left="1043" w:right="1624" w:firstLine="0"/>
        <w:jc w:val="left"/>
        <w:rPr>
          <w:rFonts w:ascii="宋体" w:hAnsi="宋体" w:cs="宋体" w:eastAsia="宋体" w:hint="default"/>
          <w:sz w:val="28"/>
          <w:szCs w:val="28"/>
        </w:rPr>
      </w:pPr>
      <w:r>
        <w:rPr>
          <w:rFonts w:ascii="宋体" w:hAnsi="宋体" w:cs="宋体" w:eastAsia="宋体" w:hint="default"/>
          <w:spacing w:val="-1"/>
          <w:sz w:val="28"/>
          <w:szCs w:val="28"/>
        </w:rPr>
        <w:t>（五）报告期内发生的重大关联交易事项</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sz w:val="28"/>
          <w:szCs w:val="28"/>
        </w:rPr>
        <w:t>1、报告期内公司未发生关联交易事项</w:t>
      </w:r>
    </w:p>
    <w:p>
      <w:pPr>
        <w:spacing w:after="0" w:line="352" w:lineRule="auto"/>
        <w:jc w:val="left"/>
        <w:rPr>
          <w:rFonts w:ascii="宋体" w:hAnsi="宋体" w:cs="宋体" w:eastAsia="宋体" w:hint="default"/>
          <w:sz w:val="28"/>
          <w:szCs w:val="28"/>
        </w:rPr>
        <w:sectPr>
          <w:footerReference w:type="default" r:id="rId17"/>
          <w:pgSz w:w="11910" w:h="16840"/>
          <w:pgMar w:footer="837" w:header="929" w:top="1140" w:bottom="1020" w:left="660" w:right="0"/>
          <w:pgNumType w:start="30"/>
        </w:sectPr>
      </w:pPr>
    </w:p>
    <w:p>
      <w:pPr>
        <w:spacing w:line="240" w:lineRule="auto" w:before="9"/>
        <w:rPr>
          <w:rFonts w:ascii="宋体" w:hAnsi="宋体" w:cs="宋体" w:eastAsia="宋体" w:hint="default"/>
          <w:sz w:val="24"/>
          <w:szCs w:val="24"/>
        </w:rPr>
      </w:pPr>
    </w:p>
    <w:p>
      <w:pPr>
        <w:spacing w:before="14"/>
        <w:ind w:left="103" w:right="1402" w:firstLine="0"/>
        <w:jc w:val="left"/>
        <w:rPr>
          <w:rFonts w:ascii="宋体" w:hAnsi="宋体" w:cs="宋体" w:eastAsia="宋体" w:hint="default"/>
          <w:sz w:val="28"/>
          <w:szCs w:val="28"/>
        </w:rPr>
      </w:pPr>
      <w:r>
        <w:rPr>
          <w:rFonts w:ascii="宋体" w:hAnsi="宋体" w:cs="宋体" w:eastAsia="宋体" w:hint="default"/>
          <w:sz w:val="28"/>
          <w:szCs w:val="28"/>
        </w:rPr>
        <w:t>2、关联债权债务往来事项</w:t>
      </w:r>
    </w:p>
    <w:p>
      <w:pPr>
        <w:spacing w:before="195"/>
        <w:ind w:left="660" w:right="1402" w:firstLine="0"/>
        <w:jc w:val="left"/>
        <w:rPr>
          <w:rFonts w:ascii="宋体" w:hAnsi="宋体" w:cs="宋体" w:eastAsia="宋体" w:hint="default"/>
          <w:sz w:val="28"/>
          <w:szCs w:val="28"/>
        </w:rPr>
      </w:pP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w:t>
      </w:r>
      <w:r>
        <w:rPr>
          <w:rFonts w:ascii="宋体" w:hAnsi="宋体" w:cs="宋体" w:eastAsia="宋体" w:hint="default"/>
          <w:spacing w:val="1"/>
          <w:w w:val="100"/>
          <w:sz w:val="28"/>
          <w:szCs w:val="28"/>
        </w:rPr>
        <w:t>1</w:t>
      </w:r>
      <w:r>
        <w:rPr>
          <w:rFonts w:ascii="宋体" w:hAnsi="宋体" w:cs="宋体" w:eastAsia="宋体" w:hint="default"/>
          <w:w w:val="100"/>
          <w:sz w:val="28"/>
          <w:szCs w:val="28"/>
        </w:rPr>
        <w:t>1</w:t>
      </w:r>
      <w:r>
        <w:rPr>
          <w:rFonts w:ascii="宋体" w:hAnsi="宋体" w:cs="宋体" w:eastAsia="宋体" w:hint="default"/>
          <w:spacing w:val="-72"/>
          <w:sz w:val="28"/>
          <w:szCs w:val="28"/>
        </w:rPr>
        <w:t> </w:t>
      </w:r>
      <w:r>
        <w:rPr>
          <w:rFonts w:ascii="宋体" w:hAnsi="宋体" w:cs="宋体" w:eastAsia="宋体" w:hint="default"/>
          <w:w w:val="100"/>
          <w:sz w:val="28"/>
          <w:szCs w:val="28"/>
        </w:rPr>
        <w:t>年</w:t>
      </w:r>
      <w:r>
        <w:rPr>
          <w:rFonts w:ascii="宋体" w:hAnsi="宋体" w:cs="宋体" w:eastAsia="宋体" w:hint="default"/>
          <w:spacing w:val="-132"/>
          <w:w w:val="100"/>
          <w:sz w:val="28"/>
          <w:szCs w:val="28"/>
        </w:rPr>
        <w:t>，</w:t>
      </w:r>
      <w:r>
        <w:rPr>
          <w:rFonts w:ascii="宋体" w:hAnsi="宋体" w:cs="宋体" w:eastAsia="宋体" w:hint="default"/>
          <w:w w:val="100"/>
          <w:sz w:val="28"/>
          <w:szCs w:val="28"/>
        </w:rPr>
        <w:t>公</w:t>
      </w:r>
      <w:r>
        <w:rPr>
          <w:rFonts w:ascii="宋体" w:hAnsi="宋体" w:cs="宋体" w:eastAsia="宋体" w:hint="default"/>
          <w:spacing w:val="-3"/>
          <w:w w:val="100"/>
          <w:sz w:val="28"/>
          <w:szCs w:val="28"/>
        </w:rPr>
        <w:t>司</w:t>
      </w:r>
      <w:r>
        <w:rPr>
          <w:rFonts w:ascii="宋体" w:hAnsi="宋体" w:cs="宋体" w:eastAsia="宋体" w:hint="default"/>
          <w:w w:val="100"/>
          <w:sz w:val="28"/>
          <w:szCs w:val="28"/>
        </w:rPr>
        <w:t>没</w:t>
      </w:r>
      <w:r>
        <w:rPr>
          <w:rFonts w:ascii="宋体" w:hAnsi="宋体" w:cs="宋体" w:eastAsia="宋体" w:hint="default"/>
          <w:spacing w:val="-3"/>
          <w:w w:val="100"/>
          <w:sz w:val="28"/>
          <w:szCs w:val="28"/>
        </w:rPr>
        <w:t>有</w:t>
      </w:r>
      <w:r>
        <w:rPr>
          <w:rFonts w:ascii="宋体" w:hAnsi="宋体" w:cs="宋体" w:eastAsia="宋体" w:hint="default"/>
          <w:w w:val="100"/>
          <w:sz w:val="28"/>
          <w:szCs w:val="28"/>
        </w:rPr>
        <w:t>大股东</w:t>
      </w:r>
      <w:r>
        <w:rPr>
          <w:rFonts w:ascii="宋体" w:hAnsi="宋体" w:cs="宋体" w:eastAsia="宋体" w:hint="default"/>
          <w:spacing w:val="-3"/>
          <w:w w:val="100"/>
          <w:sz w:val="28"/>
          <w:szCs w:val="28"/>
        </w:rPr>
        <w:t>及</w:t>
      </w:r>
      <w:r>
        <w:rPr>
          <w:rFonts w:ascii="宋体" w:hAnsi="宋体" w:cs="宋体" w:eastAsia="宋体" w:hint="default"/>
          <w:w w:val="100"/>
          <w:sz w:val="28"/>
          <w:szCs w:val="28"/>
        </w:rPr>
        <w:t>其附</w:t>
      </w:r>
      <w:r>
        <w:rPr>
          <w:rFonts w:ascii="宋体" w:hAnsi="宋体" w:cs="宋体" w:eastAsia="宋体" w:hint="default"/>
          <w:spacing w:val="-3"/>
          <w:w w:val="100"/>
          <w:sz w:val="28"/>
          <w:szCs w:val="28"/>
        </w:rPr>
        <w:t>属企</w:t>
      </w:r>
      <w:r>
        <w:rPr>
          <w:rFonts w:ascii="宋体" w:hAnsi="宋体" w:cs="宋体" w:eastAsia="宋体" w:hint="default"/>
          <w:w w:val="100"/>
          <w:sz w:val="28"/>
          <w:szCs w:val="28"/>
        </w:rPr>
        <w:t>业非经</w:t>
      </w:r>
      <w:r>
        <w:rPr>
          <w:rFonts w:ascii="宋体" w:hAnsi="宋体" w:cs="宋体" w:eastAsia="宋体" w:hint="default"/>
          <w:spacing w:val="-3"/>
          <w:w w:val="100"/>
          <w:sz w:val="28"/>
          <w:szCs w:val="28"/>
        </w:rPr>
        <w:t>营</w:t>
      </w:r>
      <w:r>
        <w:rPr>
          <w:rFonts w:ascii="宋体" w:hAnsi="宋体" w:cs="宋体" w:eastAsia="宋体" w:hint="default"/>
          <w:w w:val="100"/>
          <w:sz w:val="28"/>
          <w:szCs w:val="28"/>
        </w:rPr>
        <w:t>性占</w:t>
      </w:r>
      <w:r>
        <w:rPr>
          <w:rFonts w:ascii="宋体" w:hAnsi="宋体" w:cs="宋体" w:eastAsia="宋体" w:hint="default"/>
          <w:spacing w:val="-3"/>
          <w:w w:val="100"/>
          <w:sz w:val="28"/>
          <w:szCs w:val="28"/>
        </w:rPr>
        <w:t>用公</w:t>
      </w:r>
      <w:r>
        <w:rPr>
          <w:rFonts w:ascii="宋体" w:hAnsi="宋体" w:cs="宋体" w:eastAsia="宋体" w:hint="default"/>
          <w:w w:val="100"/>
          <w:sz w:val="28"/>
          <w:szCs w:val="28"/>
        </w:rPr>
        <w:t>司资金</w:t>
      </w:r>
      <w:r>
        <w:rPr>
          <w:rFonts w:ascii="宋体" w:hAnsi="宋体" w:cs="宋体" w:eastAsia="宋体" w:hint="default"/>
          <w:spacing w:val="-3"/>
          <w:w w:val="100"/>
          <w:sz w:val="28"/>
          <w:szCs w:val="28"/>
        </w:rPr>
        <w:t>情</w:t>
      </w:r>
      <w:r>
        <w:rPr>
          <w:rFonts w:ascii="宋体" w:hAnsi="宋体" w:cs="宋体" w:eastAsia="宋体" w:hint="default"/>
          <w:w w:val="100"/>
          <w:sz w:val="28"/>
          <w:szCs w:val="28"/>
        </w:rPr>
        <w:t>况</w:t>
      </w:r>
    </w:p>
    <w:p>
      <w:pPr>
        <w:spacing w:before="192"/>
        <w:ind w:left="266" w:right="1566" w:firstLine="0"/>
        <w:jc w:val="center"/>
        <w:rPr>
          <w:rFonts w:ascii="宋体" w:hAnsi="宋体" w:cs="宋体" w:eastAsia="宋体" w:hint="default"/>
          <w:sz w:val="28"/>
          <w:szCs w:val="28"/>
        </w:rPr>
      </w:pPr>
      <w:r>
        <w:rPr>
          <w:rFonts w:ascii="宋体" w:hAnsi="宋体" w:cs="宋体" w:eastAsia="宋体" w:hint="default"/>
          <w:spacing w:val="-11"/>
          <w:sz w:val="28"/>
          <w:szCs w:val="28"/>
        </w:rPr>
        <w:t>发生。截至 </w:t>
      </w:r>
      <w:r>
        <w:rPr>
          <w:rFonts w:ascii="宋体" w:hAnsi="宋体" w:cs="宋体" w:eastAsia="宋体" w:hint="default"/>
          <w:sz w:val="28"/>
          <w:szCs w:val="28"/>
        </w:rPr>
        <w:t>2011</w:t>
      </w:r>
      <w:r>
        <w:rPr>
          <w:rFonts w:ascii="宋体" w:hAnsi="宋体" w:cs="宋体" w:eastAsia="宋体" w:hint="default"/>
          <w:spacing w:val="-90"/>
          <w:sz w:val="28"/>
          <w:szCs w:val="28"/>
        </w:rPr>
        <w:t> </w:t>
      </w:r>
      <w:r>
        <w:rPr>
          <w:rFonts w:ascii="宋体" w:hAnsi="宋体" w:cs="宋体" w:eastAsia="宋体" w:hint="default"/>
          <w:spacing w:val="-4"/>
          <w:sz w:val="28"/>
          <w:szCs w:val="28"/>
        </w:rPr>
        <w:t>年年底，公司大股东及其附属企业非经营性占用上市</w:t>
      </w:r>
    </w:p>
    <w:p>
      <w:pPr>
        <w:spacing w:before="192"/>
        <w:ind w:left="281" w:right="1402" w:firstLine="0"/>
        <w:jc w:val="left"/>
        <w:rPr>
          <w:rFonts w:ascii="宋体" w:hAnsi="宋体" w:cs="宋体" w:eastAsia="宋体" w:hint="default"/>
          <w:sz w:val="28"/>
          <w:szCs w:val="28"/>
        </w:rPr>
      </w:pPr>
      <w:r>
        <w:rPr>
          <w:rFonts w:ascii="宋体" w:hAnsi="宋体" w:cs="宋体" w:eastAsia="宋体" w:hint="default"/>
          <w:sz w:val="28"/>
          <w:szCs w:val="28"/>
        </w:rPr>
        <w:t>公司资金余额为</w:t>
      </w:r>
      <w:r>
        <w:rPr>
          <w:rFonts w:ascii="宋体" w:hAnsi="宋体" w:cs="宋体" w:eastAsia="宋体" w:hint="default"/>
          <w:spacing w:val="-71"/>
          <w:sz w:val="28"/>
          <w:szCs w:val="28"/>
        </w:rPr>
        <w:t> </w:t>
      </w:r>
      <w:r>
        <w:rPr>
          <w:rFonts w:ascii="宋体" w:hAnsi="宋体" w:cs="宋体" w:eastAsia="宋体" w:hint="default"/>
          <w:sz w:val="28"/>
          <w:szCs w:val="28"/>
        </w:rPr>
        <w:t>0</w:t>
      </w:r>
      <w:r>
        <w:rPr>
          <w:rFonts w:ascii="宋体" w:hAnsi="宋体" w:cs="宋体" w:eastAsia="宋体" w:hint="default"/>
          <w:spacing w:val="-70"/>
          <w:sz w:val="28"/>
          <w:szCs w:val="28"/>
        </w:rPr>
        <w:t> </w:t>
      </w:r>
      <w:r>
        <w:rPr>
          <w:rFonts w:ascii="宋体" w:hAnsi="宋体" w:cs="宋体" w:eastAsia="宋体" w:hint="default"/>
          <w:sz w:val="28"/>
          <w:szCs w:val="28"/>
        </w:rPr>
        <w:t>元。</w:t>
      </w:r>
    </w:p>
    <w:p>
      <w:pPr>
        <w:spacing w:line="367" w:lineRule="auto" w:before="195"/>
        <w:ind w:left="103" w:right="1402" w:firstLine="0"/>
        <w:jc w:val="left"/>
        <w:rPr>
          <w:rFonts w:ascii="宋体" w:hAnsi="宋体" w:cs="宋体" w:eastAsia="宋体" w:hint="default"/>
          <w:sz w:val="28"/>
          <w:szCs w:val="28"/>
        </w:rPr>
      </w:pPr>
      <w:r>
        <w:rPr>
          <w:rFonts w:ascii="宋体" w:hAnsi="宋体" w:cs="宋体" w:eastAsia="宋体" w:hint="default"/>
          <w:sz w:val="28"/>
          <w:szCs w:val="28"/>
        </w:rPr>
        <w:t>（六）重大合同及其履行情况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1、报告期公司继续将广州天誉花园五楼物业资产租赁经营，报告期实</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现租赁收入 508.33 万元，实现营业利润 165.58</w:t>
      </w:r>
      <w:r>
        <w:rPr>
          <w:rFonts w:ascii="宋体" w:hAnsi="宋体" w:cs="宋体" w:eastAsia="宋体" w:hint="default"/>
          <w:spacing w:val="-73"/>
          <w:sz w:val="28"/>
          <w:szCs w:val="28"/>
        </w:rPr>
        <w:t> </w:t>
      </w:r>
      <w:r>
        <w:rPr>
          <w:rFonts w:ascii="宋体" w:hAnsi="宋体" w:cs="宋体" w:eastAsia="宋体" w:hint="default"/>
          <w:sz w:val="28"/>
          <w:szCs w:val="28"/>
        </w:rPr>
        <w:t>万元。</w:t>
      </w:r>
      <w:r>
        <w:rPr>
          <w:rFonts w:ascii="宋体" w:hAnsi="宋体" w:cs="宋体" w:eastAsia="宋体" w:hint="default"/>
          <w:w w:val="100"/>
          <w:sz w:val="28"/>
          <w:szCs w:val="28"/>
        </w:rPr>
        <w:t> </w:t>
      </w:r>
      <w:r>
        <w:rPr>
          <w:rFonts w:ascii="宋体" w:hAnsi="宋体" w:cs="宋体" w:eastAsia="宋体" w:hint="default"/>
          <w:sz w:val="28"/>
          <w:szCs w:val="28"/>
        </w:rPr>
        <w:t>2、报告期公司与多家客户签订了天伦大厦租赁合同，报告期天伦大厦</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实现租赁收入</w:t>
      </w:r>
      <w:r>
        <w:rPr>
          <w:rFonts w:ascii="宋体" w:hAnsi="宋体" w:cs="宋体" w:eastAsia="宋体" w:hint="default"/>
          <w:spacing w:val="-72"/>
          <w:sz w:val="28"/>
          <w:szCs w:val="28"/>
        </w:rPr>
        <w:t> </w:t>
      </w:r>
      <w:r>
        <w:rPr>
          <w:rFonts w:ascii="宋体" w:hAnsi="宋体" w:cs="宋体" w:eastAsia="宋体" w:hint="default"/>
          <w:sz w:val="28"/>
          <w:szCs w:val="28"/>
        </w:rPr>
        <w:t>5,382.35</w:t>
      </w:r>
      <w:r>
        <w:rPr>
          <w:rFonts w:ascii="宋体" w:hAnsi="宋体" w:cs="宋体" w:eastAsia="宋体" w:hint="default"/>
          <w:spacing w:val="-2"/>
          <w:sz w:val="28"/>
          <w:szCs w:val="28"/>
        </w:rPr>
        <w:t> </w:t>
      </w:r>
      <w:r>
        <w:rPr>
          <w:rFonts w:ascii="宋体" w:hAnsi="宋体" w:cs="宋体" w:eastAsia="宋体" w:hint="default"/>
          <w:sz w:val="28"/>
          <w:szCs w:val="28"/>
        </w:rPr>
        <w:t>万元，实现营业利润</w:t>
      </w:r>
      <w:r>
        <w:rPr>
          <w:rFonts w:ascii="宋体" w:hAnsi="宋体" w:cs="宋体" w:eastAsia="宋体" w:hint="default"/>
          <w:spacing w:val="-72"/>
          <w:sz w:val="28"/>
          <w:szCs w:val="28"/>
        </w:rPr>
        <w:t> </w:t>
      </w:r>
      <w:r>
        <w:rPr>
          <w:rFonts w:ascii="宋体" w:hAnsi="宋体" w:cs="宋体" w:eastAsia="宋体" w:hint="default"/>
          <w:sz w:val="28"/>
          <w:szCs w:val="28"/>
        </w:rPr>
        <w:t>4,215.35</w:t>
      </w:r>
      <w:r>
        <w:rPr>
          <w:rFonts w:ascii="宋体" w:hAnsi="宋体" w:cs="宋体" w:eastAsia="宋体" w:hint="default"/>
          <w:spacing w:val="-71"/>
          <w:sz w:val="28"/>
          <w:szCs w:val="28"/>
        </w:rPr>
        <w:t> </w:t>
      </w:r>
      <w:r>
        <w:rPr>
          <w:rFonts w:ascii="宋体" w:hAnsi="宋体" w:cs="宋体" w:eastAsia="宋体" w:hint="default"/>
          <w:sz w:val="28"/>
          <w:szCs w:val="28"/>
        </w:rPr>
        <w:t>万元。</w:t>
      </w:r>
      <w:r>
        <w:rPr>
          <w:rFonts w:ascii="宋体" w:hAnsi="宋体" w:cs="宋体" w:eastAsia="宋体" w:hint="default"/>
          <w:w w:val="100"/>
          <w:sz w:val="28"/>
          <w:szCs w:val="28"/>
        </w:rPr>
        <w:t> </w:t>
      </w:r>
      <w:r>
        <w:rPr>
          <w:rFonts w:ascii="宋体" w:hAnsi="宋体" w:cs="宋体" w:eastAsia="宋体" w:hint="default"/>
          <w:sz w:val="28"/>
          <w:szCs w:val="28"/>
        </w:rPr>
        <w:t>3、报告期广州润龙房地产有限公司将所持河南新景致房地产有限公司</w:t>
      </w:r>
    </w:p>
    <w:p>
      <w:pPr>
        <w:pStyle w:val="Heading2"/>
        <w:spacing w:line="367" w:lineRule="auto" w:before="46"/>
        <w:ind w:left="662" w:right="1402" w:hanging="560"/>
        <w:jc w:val="left"/>
      </w:pPr>
      <w:r>
        <w:rPr/>
        <w:pict>
          <v:shape style="position:absolute;margin-left:103.08847pt;margin-top:43.669842pt;width:392.95pt;height:64.3pt;mso-position-horizontal-relative:page;mso-position-vertical-relative:paragraph;z-index:-555160;rotation:315" type="#_x0000_t136" fillcolor="#e0e0e0" stroked="f">
            <o:extrusion v:ext="view" autorotationcenter="t"/>
            <v:textpath style="font-family:&amp;quot;Arial&amp;quot;;font-size:64pt;v-text-kern:t;mso-text-shadow:auto" string="UnRegistered"/>
            <w10:wrap type="none"/>
          </v:shape>
        </w:pict>
      </w:r>
      <w:r>
        <w:rPr/>
        <w:t>70%的股权全部转让，已过户完毕。</w:t>
      </w:r>
      <w:r>
        <w:rPr>
          <w:w w:val="100"/>
        </w:rPr>
        <w:t> </w:t>
      </w:r>
      <w:r>
        <w:rPr>
          <w:spacing w:val="-4"/>
        </w:rPr>
        <w:t>除上述事项以外，公司没有发生或以前期间发生但延续到报告期的</w:t>
      </w:r>
    </w:p>
    <w:p>
      <w:pPr>
        <w:spacing w:line="367" w:lineRule="auto" w:before="44"/>
        <w:ind w:left="103" w:right="1402" w:firstLine="0"/>
        <w:jc w:val="left"/>
        <w:rPr>
          <w:rFonts w:ascii="宋体" w:hAnsi="宋体" w:cs="宋体" w:eastAsia="宋体" w:hint="default"/>
          <w:sz w:val="28"/>
          <w:szCs w:val="28"/>
        </w:rPr>
      </w:pPr>
      <w:r>
        <w:rPr>
          <w:rFonts w:ascii="宋体" w:hAnsi="宋体" w:cs="宋体" w:eastAsia="宋体" w:hint="default"/>
          <w:spacing w:val="-3"/>
          <w:sz w:val="28"/>
          <w:szCs w:val="28"/>
        </w:rPr>
        <w:t>重大托管、承包、租赁其他公司资产或其他公司托管、承包、租赁公司</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资产的事项。</w:t>
      </w:r>
    </w:p>
    <w:p>
      <w:pPr>
        <w:spacing w:line="329" w:lineRule="exact" w:before="0"/>
        <w:ind w:left="103" w:right="1402" w:firstLine="0"/>
        <w:jc w:val="left"/>
        <w:rPr>
          <w:rFonts w:ascii="宋体" w:hAnsi="宋体" w:cs="宋体" w:eastAsia="宋体" w:hint="default"/>
          <w:sz w:val="28"/>
          <w:szCs w:val="28"/>
        </w:rPr>
      </w:pPr>
      <w:r>
        <w:rPr>
          <w:rFonts w:ascii="宋体" w:hAnsi="宋体" w:cs="宋体" w:eastAsia="宋体" w:hint="default"/>
          <w:sz w:val="28"/>
          <w:szCs w:val="28"/>
        </w:rPr>
        <w:t>（七）贷款事项</w:t>
      </w:r>
    </w:p>
    <w:p>
      <w:pPr>
        <w:spacing w:line="360" w:lineRule="auto" w:before="176"/>
        <w:ind w:left="103" w:right="1581" w:firstLine="0"/>
        <w:jc w:val="both"/>
        <w:rPr>
          <w:rFonts w:ascii="宋体" w:hAnsi="宋体" w:cs="宋体" w:eastAsia="宋体" w:hint="default"/>
          <w:sz w:val="28"/>
          <w:szCs w:val="28"/>
        </w:rPr>
      </w:pPr>
      <w:r>
        <w:rPr>
          <w:rFonts w:ascii="宋体" w:hAnsi="宋体" w:cs="宋体" w:eastAsia="宋体" w:hint="default"/>
          <w:sz w:val="28"/>
          <w:szCs w:val="28"/>
        </w:rPr>
        <w:t>1、公司全资子公司广州润龙房地产有限公司获得深圳发展银行广州分</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行信源支行综合授信额度</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3.5</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亿元，期限十年，广州润龙房地产有限公</w:t>
      </w:r>
      <w:r>
        <w:rPr>
          <w:rFonts w:ascii="宋体" w:hAnsi="宋体" w:cs="宋体" w:eastAsia="宋体" w:hint="default"/>
          <w:w w:val="100"/>
          <w:sz w:val="28"/>
          <w:szCs w:val="28"/>
        </w:rPr>
        <w:t> </w:t>
      </w:r>
      <w:r>
        <w:rPr>
          <w:rFonts w:ascii="宋体" w:hAnsi="宋体" w:cs="宋体" w:eastAsia="宋体" w:hint="default"/>
          <w:spacing w:val="-4"/>
          <w:sz w:val="28"/>
          <w:szCs w:val="28"/>
        </w:rPr>
        <w:t>司以其所有的天伦大厦整栋物业资产为本次贷款提供抵押。本次贷款事</w:t>
      </w:r>
      <w:r>
        <w:rPr>
          <w:rFonts w:ascii="宋体" w:hAnsi="宋体" w:cs="宋体" w:eastAsia="宋体" w:hint="default"/>
          <w:spacing w:val="-90"/>
          <w:sz w:val="28"/>
          <w:szCs w:val="28"/>
        </w:rPr>
        <w:t> </w:t>
      </w:r>
      <w:r>
        <w:rPr>
          <w:rFonts w:ascii="宋体" w:hAnsi="宋体" w:cs="宋体" w:eastAsia="宋体" w:hint="default"/>
          <w:spacing w:val="-90"/>
          <w:sz w:val="28"/>
          <w:szCs w:val="28"/>
        </w:rPr>
      </w:r>
      <w:r>
        <w:rPr>
          <w:rFonts w:ascii="宋体" w:hAnsi="宋体" w:cs="宋体" w:eastAsia="宋体" w:hint="default"/>
          <w:sz w:val="28"/>
          <w:szCs w:val="28"/>
        </w:rPr>
        <w:t>项经公司六届八次董事会会议和公司</w:t>
      </w:r>
      <w:r>
        <w:rPr>
          <w:rFonts w:ascii="宋体" w:hAnsi="宋体" w:cs="宋体" w:eastAsia="宋体" w:hint="default"/>
          <w:spacing w:val="-74"/>
          <w:sz w:val="28"/>
          <w:szCs w:val="28"/>
        </w:rPr>
        <w:t> </w:t>
      </w:r>
      <w:r>
        <w:rPr>
          <w:rFonts w:ascii="宋体" w:hAnsi="宋体" w:cs="宋体" w:eastAsia="宋体" w:hint="default"/>
          <w:sz w:val="28"/>
          <w:szCs w:val="28"/>
        </w:rPr>
        <w:t>2010</w:t>
      </w:r>
      <w:r>
        <w:rPr>
          <w:rFonts w:ascii="宋体" w:hAnsi="宋体" w:cs="宋体" w:eastAsia="宋体" w:hint="default"/>
          <w:spacing w:val="-71"/>
          <w:sz w:val="28"/>
          <w:szCs w:val="28"/>
        </w:rPr>
        <w:t> </w:t>
      </w:r>
      <w:r>
        <w:rPr>
          <w:rFonts w:ascii="宋体" w:hAnsi="宋体" w:cs="宋体" w:eastAsia="宋体" w:hint="default"/>
          <w:sz w:val="28"/>
          <w:szCs w:val="28"/>
        </w:rPr>
        <w:t>年年度股东大会审议通过。</w:t>
      </w:r>
      <w:r>
        <w:rPr>
          <w:rFonts w:ascii="宋体" w:hAnsi="宋体" w:cs="宋体" w:eastAsia="宋体" w:hint="default"/>
          <w:w w:val="100"/>
          <w:sz w:val="28"/>
          <w:szCs w:val="28"/>
        </w:rPr>
        <w:t> </w:t>
      </w:r>
      <w:r>
        <w:rPr>
          <w:rFonts w:ascii="Times New Roman" w:hAnsi="Times New Roman" w:cs="Times New Roman" w:eastAsia="Times New Roman" w:hint="default"/>
          <w:sz w:val="28"/>
          <w:szCs w:val="28"/>
        </w:rPr>
        <w:t>2</w:t>
      </w:r>
      <w:r>
        <w:rPr>
          <w:rFonts w:ascii="宋体" w:hAnsi="宋体" w:cs="宋体" w:eastAsia="宋体" w:hint="default"/>
          <w:sz w:val="28"/>
          <w:szCs w:val="28"/>
        </w:rPr>
        <w:t>、公司广州分公司获得深圳发展银行广州分行信源支行授信额度六千</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4"/>
          <w:sz w:val="28"/>
          <w:szCs w:val="28"/>
        </w:rPr>
        <w:t>五百万元，公司以广州天誉花园五楼物业资产为本次贷款提供抵押。本</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次贷款事项经公司六届十一次董事会会议审议通过。</w:t>
      </w:r>
    </w:p>
    <w:p>
      <w:pPr>
        <w:spacing w:before="52"/>
        <w:ind w:left="103" w:right="1402" w:firstLine="0"/>
        <w:jc w:val="left"/>
        <w:rPr>
          <w:rFonts w:ascii="宋体" w:hAnsi="宋体" w:cs="宋体" w:eastAsia="宋体" w:hint="default"/>
          <w:sz w:val="28"/>
          <w:szCs w:val="28"/>
        </w:rPr>
      </w:pPr>
      <w:r>
        <w:rPr>
          <w:rFonts w:ascii="宋体" w:hAnsi="宋体" w:cs="宋体" w:eastAsia="宋体" w:hint="default"/>
          <w:spacing w:val="-9"/>
          <w:sz w:val="28"/>
          <w:szCs w:val="28"/>
        </w:rPr>
        <w:t>3、公司</w:t>
      </w:r>
      <w:r>
        <w:rPr>
          <w:rFonts w:ascii="宋体" w:hAnsi="宋体" w:cs="宋体" w:eastAsia="宋体" w:hint="default"/>
          <w:spacing w:val="-71"/>
          <w:sz w:val="28"/>
          <w:szCs w:val="28"/>
        </w:rPr>
        <w:t> </w:t>
      </w:r>
      <w:r>
        <w:rPr>
          <w:rFonts w:ascii="宋体" w:hAnsi="宋体" w:cs="宋体" w:eastAsia="宋体" w:hint="default"/>
          <w:sz w:val="28"/>
          <w:szCs w:val="28"/>
        </w:rPr>
        <w:t>2011</w:t>
      </w:r>
      <w:r>
        <w:rPr>
          <w:rFonts w:ascii="宋体" w:hAnsi="宋体" w:cs="宋体" w:eastAsia="宋体" w:hint="default"/>
          <w:spacing w:val="-70"/>
          <w:sz w:val="28"/>
          <w:szCs w:val="28"/>
        </w:rPr>
        <w:t> </w:t>
      </w:r>
      <w:r>
        <w:rPr>
          <w:rFonts w:ascii="宋体" w:hAnsi="宋体" w:cs="宋体" w:eastAsia="宋体" w:hint="default"/>
          <w:sz w:val="28"/>
          <w:szCs w:val="28"/>
        </w:rPr>
        <w:t>年度发生的对控股子公司提供担保的金额为</w:t>
      </w:r>
      <w:r>
        <w:rPr>
          <w:rFonts w:ascii="宋体" w:hAnsi="宋体" w:cs="宋体" w:eastAsia="宋体" w:hint="default"/>
          <w:spacing w:val="-71"/>
          <w:sz w:val="28"/>
          <w:szCs w:val="28"/>
        </w:rPr>
        <w:t> </w:t>
      </w:r>
      <w:r>
        <w:rPr>
          <w:rFonts w:ascii="宋体" w:hAnsi="宋体" w:cs="宋体" w:eastAsia="宋体" w:hint="default"/>
          <w:sz w:val="28"/>
          <w:szCs w:val="28"/>
        </w:rPr>
        <w:t>0</w:t>
      </w:r>
      <w:r>
        <w:rPr>
          <w:rFonts w:ascii="宋体" w:hAnsi="宋体" w:cs="宋体" w:eastAsia="宋体" w:hint="default"/>
          <w:spacing w:val="-70"/>
          <w:sz w:val="28"/>
          <w:szCs w:val="28"/>
        </w:rPr>
        <w:t> </w:t>
      </w:r>
      <w:r>
        <w:rPr>
          <w:rFonts w:ascii="宋体" w:hAnsi="宋体" w:cs="宋体" w:eastAsia="宋体" w:hint="default"/>
          <w:spacing w:val="-7"/>
          <w:sz w:val="28"/>
          <w:szCs w:val="28"/>
        </w:rPr>
        <w:t>元。公司为</w:t>
      </w:r>
    </w:p>
    <w:p>
      <w:pPr>
        <w:spacing w:line="367" w:lineRule="auto" w:before="192"/>
        <w:ind w:left="103" w:right="1572" w:firstLine="0"/>
        <w:jc w:val="left"/>
        <w:rPr>
          <w:rFonts w:ascii="宋体" w:hAnsi="宋体" w:cs="宋体" w:eastAsia="宋体" w:hint="default"/>
          <w:sz w:val="28"/>
          <w:szCs w:val="28"/>
        </w:rPr>
      </w:pPr>
      <w:r>
        <w:rPr>
          <w:rFonts w:ascii="宋体" w:hAnsi="宋体" w:cs="宋体" w:eastAsia="宋体" w:hint="default"/>
          <w:spacing w:val="-3"/>
          <w:sz w:val="28"/>
          <w:szCs w:val="28"/>
        </w:rPr>
        <w:t>股东、实际控制人及其关联方提供担保的金额为</w:t>
      </w:r>
      <w:r>
        <w:rPr>
          <w:rFonts w:ascii="宋体" w:hAnsi="宋体" w:cs="宋体" w:eastAsia="宋体" w:hint="default"/>
          <w:spacing w:val="-55"/>
          <w:sz w:val="28"/>
          <w:szCs w:val="28"/>
        </w:rPr>
        <w:t> </w:t>
      </w:r>
      <w:r>
        <w:rPr>
          <w:rFonts w:ascii="宋体" w:hAnsi="宋体" w:cs="宋体" w:eastAsia="宋体" w:hint="default"/>
          <w:sz w:val="28"/>
          <w:szCs w:val="28"/>
        </w:rPr>
        <w:t>0</w:t>
      </w:r>
      <w:r>
        <w:rPr>
          <w:rFonts w:ascii="宋体" w:hAnsi="宋体" w:cs="宋体" w:eastAsia="宋体" w:hint="default"/>
          <w:spacing w:val="-51"/>
          <w:sz w:val="28"/>
          <w:szCs w:val="28"/>
        </w:rPr>
        <w:t> </w:t>
      </w:r>
      <w:r>
        <w:rPr>
          <w:rFonts w:ascii="宋体" w:hAnsi="宋体" w:cs="宋体" w:eastAsia="宋体" w:hint="default"/>
          <w:spacing w:val="-5"/>
          <w:sz w:val="28"/>
          <w:szCs w:val="28"/>
        </w:rPr>
        <w:t>元。公司直接或间接</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为资产负债率超过</w:t>
      </w:r>
      <w:r>
        <w:rPr>
          <w:rFonts w:ascii="宋体" w:hAnsi="宋体" w:cs="宋体" w:eastAsia="宋体" w:hint="default"/>
          <w:spacing w:val="-72"/>
          <w:sz w:val="28"/>
          <w:szCs w:val="28"/>
        </w:rPr>
        <w:t> </w:t>
      </w:r>
      <w:r>
        <w:rPr>
          <w:rFonts w:ascii="宋体" w:hAnsi="宋体" w:cs="宋体" w:eastAsia="宋体" w:hint="default"/>
          <w:sz w:val="28"/>
          <w:szCs w:val="28"/>
        </w:rPr>
        <w:t>70%的被担保对象提供的债务担保金额为</w:t>
      </w:r>
      <w:r>
        <w:rPr>
          <w:rFonts w:ascii="宋体" w:hAnsi="宋体" w:cs="宋体" w:eastAsia="宋体" w:hint="default"/>
          <w:spacing w:val="-70"/>
          <w:sz w:val="28"/>
          <w:szCs w:val="28"/>
        </w:rPr>
        <w:t> </w:t>
      </w:r>
      <w:r>
        <w:rPr>
          <w:rFonts w:ascii="宋体" w:hAnsi="宋体" w:cs="宋体" w:eastAsia="宋体" w:hint="default"/>
          <w:sz w:val="28"/>
          <w:szCs w:val="28"/>
        </w:rPr>
        <w:t>0</w:t>
      </w:r>
      <w:r>
        <w:rPr>
          <w:rFonts w:ascii="宋体" w:hAnsi="宋体" w:cs="宋体" w:eastAsia="宋体" w:hint="default"/>
          <w:spacing w:val="-68"/>
          <w:sz w:val="28"/>
          <w:szCs w:val="28"/>
        </w:rPr>
        <w:t> </w:t>
      </w:r>
      <w:r>
        <w:rPr>
          <w:rFonts w:ascii="宋体" w:hAnsi="宋体" w:cs="宋体" w:eastAsia="宋体" w:hint="default"/>
          <w:sz w:val="28"/>
          <w:szCs w:val="28"/>
        </w:rPr>
        <w:t>元。公司</w:t>
      </w:r>
    </w:p>
    <w:p>
      <w:pPr>
        <w:spacing w:after="0" w:line="367" w:lineRule="auto"/>
        <w:jc w:val="left"/>
        <w:rPr>
          <w:rFonts w:ascii="宋体" w:hAnsi="宋体" w:cs="宋体" w:eastAsia="宋体" w:hint="default"/>
          <w:sz w:val="28"/>
          <w:szCs w:val="28"/>
        </w:rPr>
        <w:sectPr>
          <w:pgSz w:w="11910" w:h="16840"/>
          <w:pgMar w:header="929" w:footer="837" w:top="1140" w:bottom="1020" w:left="1600" w:right="0"/>
        </w:sectPr>
      </w:pPr>
    </w:p>
    <w:p>
      <w:pPr>
        <w:spacing w:line="240" w:lineRule="auto" w:before="9"/>
        <w:rPr>
          <w:rFonts w:ascii="宋体" w:hAnsi="宋体" w:cs="宋体" w:eastAsia="宋体" w:hint="default"/>
          <w:sz w:val="24"/>
          <w:szCs w:val="24"/>
        </w:rPr>
      </w:pPr>
    </w:p>
    <w:p>
      <w:pPr>
        <w:spacing w:before="14"/>
        <w:ind w:left="103" w:right="1402" w:firstLine="0"/>
        <w:jc w:val="left"/>
        <w:rPr>
          <w:rFonts w:ascii="宋体" w:hAnsi="宋体" w:cs="宋体" w:eastAsia="宋体" w:hint="default"/>
          <w:sz w:val="28"/>
          <w:szCs w:val="28"/>
        </w:rPr>
      </w:pPr>
      <w:r>
        <w:rPr>
          <w:rFonts w:ascii="宋体" w:hAnsi="宋体" w:cs="宋体" w:eastAsia="宋体" w:hint="default"/>
          <w:sz w:val="28"/>
          <w:szCs w:val="28"/>
        </w:rPr>
        <w:t>担保总额超过净资产</w:t>
      </w:r>
      <w:r>
        <w:rPr>
          <w:rFonts w:ascii="宋体" w:hAnsi="宋体" w:cs="宋体" w:eastAsia="宋体" w:hint="default"/>
          <w:spacing w:val="-72"/>
          <w:sz w:val="28"/>
          <w:szCs w:val="28"/>
        </w:rPr>
        <w:t> </w:t>
      </w:r>
      <w:r>
        <w:rPr>
          <w:rFonts w:ascii="宋体" w:hAnsi="宋体" w:cs="宋体" w:eastAsia="宋体" w:hint="default"/>
          <w:sz w:val="28"/>
          <w:szCs w:val="28"/>
        </w:rPr>
        <w:t>50%部分的金额为</w:t>
      </w:r>
      <w:r>
        <w:rPr>
          <w:rFonts w:ascii="宋体" w:hAnsi="宋体" w:cs="宋体" w:eastAsia="宋体" w:hint="default"/>
          <w:spacing w:val="-72"/>
          <w:sz w:val="28"/>
          <w:szCs w:val="28"/>
        </w:rPr>
        <w:t> </w:t>
      </w:r>
      <w:r>
        <w:rPr>
          <w:rFonts w:ascii="宋体" w:hAnsi="宋体" w:cs="宋体" w:eastAsia="宋体" w:hint="default"/>
          <w:sz w:val="28"/>
          <w:szCs w:val="28"/>
        </w:rPr>
        <w:t>0</w:t>
      </w:r>
      <w:r>
        <w:rPr>
          <w:rFonts w:ascii="宋体" w:hAnsi="宋体" w:cs="宋体" w:eastAsia="宋体" w:hint="default"/>
          <w:spacing w:val="-71"/>
          <w:sz w:val="28"/>
          <w:szCs w:val="28"/>
        </w:rPr>
        <w:t> </w:t>
      </w:r>
      <w:r>
        <w:rPr>
          <w:rFonts w:ascii="宋体" w:hAnsi="宋体" w:cs="宋体" w:eastAsia="宋体" w:hint="default"/>
          <w:sz w:val="28"/>
          <w:szCs w:val="28"/>
        </w:rPr>
        <w:t>元。</w:t>
      </w:r>
    </w:p>
    <w:p>
      <w:pPr>
        <w:spacing w:line="367" w:lineRule="auto" w:before="195"/>
        <w:ind w:left="103" w:right="1402" w:firstLine="0"/>
        <w:jc w:val="left"/>
        <w:rPr>
          <w:rFonts w:ascii="宋体" w:hAnsi="宋体" w:cs="宋体" w:eastAsia="宋体" w:hint="default"/>
          <w:sz w:val="28"/>
          <w:szCs w:val="28"/>
        </w:rPr>
      </w:pPr>
      <w:r>
        <w:rPr>
          <w:rFonts w:ascii="宋体" w:hAnsi="宋体" w:cs="宋体" w:eastAsia="宋体" w:hint="default"/>
          <w:spacing w:val="-3"/>
          <w:sz w:val="28"/>
          <w:szCs w:val="28"/>
        </w:rPr>
        <w:t>（八）报告期，公司没有发生或以前期间发生但延续到报告期的重大委</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托理财事项。</w:t>
      </w:r>
    </w:p>
    <w:p>
      <w:pPr>
        <w:spacing w:before="44"/>
        <w:ind w:left="103" w:right="1402" w:firstLine="0"/>
        <w:jc w:val="left"/>
        <w:rPr>
          <w:rFonts w:ascii="宋体" w:hAnsi="宋体" w:cs="宋体" w:eastAsia="宋体" w:hint="default"/>
          <w:sz w:val="28"/>
          <w:szCs w:val="28"/>
        </w:rPr>
      </w:pPr>
      <w:r>
        <w:rPr>
          <w:rFonts w:ascii="宋体" w:hAnsi="宋体" w:cs="宋体" w:eastAsia="宋体" w:hint="default"/>
          <w:sz w:val="28"/>
          <w:szCs w:val="28"/>
        </w:rPr>
        <w:t>（九）报告期，公司无衍生品投资事项。</w:t>
      </w:r>
    </w:p>
    <w:p>
      <w:pPr>
        <w:spacing w:line="367" w:lineRule="auto" w:before="195"/>
        <w:ind w:left="662" w:right="1571" w:hanging="560"/>
        <w:jc w:val="left"/>
        <w:rPr>
          <w:rFonts w:ascii="宋体" w:hAnsi="宋体" w:cs="宋体" w:eastAsia="宋体" w:hint="default"/>
          <w:sz w:val="28"/>
          <w:szCs w:val="28"/>
        </w:rPr>
      </w:pPr>
      <w:r>
        <w:rPr>
          <w:rFonts w:ascii="宋体" w:hAnsi="宋体" w:cs="宋体" w:eastAsia="宋体" w:hint="default"/>
          <w:sz w:val="28"/>
          <w:szCs w:val="28"/>
        </w:rPr>
        <w:t>（十）承诺事项</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7"/>
          <w:w w:val="100"/>
          <w:sz w:val="28"/>
          <w:szCs w:val="28"/>
        </w:rPr>
        <w:t>根据公司掌握和了解的情况，报告期内公司或持有公司股份</w:t>
      </w:r>
      <w:r>
        <w:rPr>
          <w:rFonts w:ascii="宋体" w:hAnsi="宋体" w:cs="宋体" w:eastAsia="宋体" w:hint="default"/>
          <w:spacing w:val="-46"/>
          <w:w w:val="100"/>
          <w:sz w:val="28"/>
          <w:szCs w:val="28"/>
        </w:rPr>
        <w:t> </w:t>
      </w:r>
      <w:r>
        <w:rPr>
          <w:rFonts w:ascii="宋体" w:hAnsi="宋体" w:cs="宋体" w:eastAsia="宋体" w:hint="default"/>
          <w:spacing w:val="-1"/>
          <w:w w:val="100"/>
          <w:sz w:val="28"/>
          <w:szCs w:val="28"/>
        </w:rPr>
        <w:t>5%以上</w:t>
      </w:r>
    </w:p>
    <w:p>
      <w:pPr>
        <w:spacing w:line="367" w:lineRule="auto" w:before="44"/>
        <w:ind w:left="103" w:right="1575" w:firstLine="0"/>
        <w:jc w:val="left"/>
        <w:rPr>
          <w:rFonts w:ascii="宋体" w:hAnsi="宋体" w:cs="宋体" w:eastAsia="宋体" w:hint="default"/>
          <w:sz w:val="28"/>
          <w:szCs w:val="28"/>
        </w:rPr>
      </w:pPr>
      <w:r>
        <w:rPr>
          <w:rFonts w:ascii="宋体" w:hAnsi="宋体" w:cs="宋体" w:eastAsia="宋体" w:hint="default"/>
          <w:w w:val="100"/>
          <w:sz w:val="28"/>
          <w:szCs w:val="28"/>
        </w:rPr>
        <w:t>（含</w:t>
      </w:r>
      <w:r>
        <w:rPr>
          <w:rFonts w:ascii="宋体" w:hAnsi="宋体" w:cs="宋体" w:eastAsia="宋体" w:hint="default"/>
          <w:spacing w:val="-58"/>
          <w:w w:val="100"/>
          <w:sz w:val="28"/>
          <w:szCs w:val="28"/>
        </w:rPr>
        <w:t> </w:t>
      </w:r>
      <w:r>
        <w:rPr>
          <w:rFonts w:ascii="宋体" w:hAnsi="宋体" w:cs="宋体" w:eastAsia="宋体" w:hint="default"/>
          <w:spacing w:val="-6"/>
          <w:w w:val="100"/>
          <w:sz w:val="28"/>
          <w:szCs w:val="28"/>
        </w:rPr>
        <w:t>5%）的股东没有发生或以前期间发生但延续到报告期的对公司经营</w:t>
      </w:r>
      <w:r>
        <w:rPr>
          <w:rFonts w:ascii="宋体" w:hAnsi="宋体" w:cs="宋体" w:eastAsia="宋体" w:hint="default"/>
          <w:spacing w:val="-138"/>
          <w:w w:val="100"/>
          <w:sz w:val="28"/>
          <w:szCs w:val="28"/>
        </w:rPr>
        <w:t> </w:t>
      </w:r>
      <w:r>
        <w:rPr>
          <w:rFonts w:ascii="宋体" w:hAnsi="宋体" w:cs="宋体" w:eastAsia="宋体" w:hint="default"/>
          <w:spacing w:val="-138"/>
          <w:w w:val="100"/>
          <w:sz w:val="28"/>
          <w:szCs w:val="28"/>
        </w:rPr>
      </w:r>
      <w:r>
        <w:rPr>
          <w:rFonts w:ascii="宋体" w:hAnsi="宋体" w:cs="宋体" w:eastAsia="宋体" w:hint="default"/>
          <w:sz w:val="28"/>
          <w:szCs w:val="28"/>
        </w:rPr>
        <w:t>成果、财务状况可能发生重要影响的承诺事项。</w:t>
      </w:r>
    </w:p>
    <w:p>
      <w:pPr>
        <w:spacing w:line="367" w:lineRule="auto" w:before="44"/>
        <w:ind w:left="710" w:right="1402" w:hanging="608"/>
        <w:jc w:val="left"/>
        <w:rPr>
          <w:rFonts w:ascii="宋体" w:hAnsi="宋体" w:cs="宋体" w:eastAsia="宋体" w:hint="default"/>
          <w:sz w:val="28"/>
          <w:szCs w:val="28"/>
        </w:rPr>
      </w:pPr>
      <w:r>
        <w:rPr>
          <w:rFonts w:ascii="宋体" w:hAnsi="宋体" w:cs="宋体" w:eastAsia="宋体" w:hint="default"/>
          <w:sz w:val="28"/>
          <w:szCs w:val="28"/>
        </w:rPr>
        <w:t>（十一）聘任、解聘会计师事务所情况</w:t>
      </w:r>
      <w:r>
        <w:rPr>
          <w:rFonts w:ascii="宋体" w:hAnsi="宋体" w:cs="宋体" w:eastAsia="宋体" w:hint="default"/>
          <w:w w:val="100"/>
          <w:sz w:val="28"/>
          <w:szCs w:val="28"/>
        </w:rPr>
        <w:t> </w:t>
      </w:r>
      <w:r>
        <w:rPr>
          <w:rFonts w:ascii="宋体" w:hAnsi="宋体" w:cs="宋体" w:eastAsia="宋体" w:hint="default"/>
          <w:spacing w:val="15"/>
          <w:sz w:val="28"/>
          <w:szCs w:val="28"/>
        </w:rPr>
        <w:t>报告期公司聘请的会计师事务所仍为广东正中珠江会计师事务</w:t>
      </w:r>
    </w:p>
    <w:p>
      <w:pPr>
        <w:spacing w:before="46"/>
        <w:ind w:left="103" w:right="1402" w:firstLine="0"/>
        <w:jc w:val="left"/>
        <w:rPr>
          <w:rFonts w:ascii="宋体" w:hAnsi="宋体" w:cs="宋体" w:eastAsia="宋体" w:hint="default"/>
          <w:sz w:val="28"/>
          <w:szCs w:val="28"/>
        </w:rPr>
      </w:pPr>
      <w:r>
        <w:rPr>
          <w:rFonts w:ascii="宋体" w:hAnsi="宋体" w:cs="宋体" w:eastAsia="宋体" w:hint="default"/>
          <w:sz w:val="28"/>
          <w:szCs w:val="28"/>
        </w:rPr>
        <w:t>所。公司 2002</w:t>
      </w:r>
      <w:r>
        <w:rPr>
          <w:rFonts w:ascii="宋体" w:hAnsi="宋体" w:cs="宋体" w:eastAsia="宋体" w:hint="default"/>
          <w:spacing w:val="-69"/>
          <w:sz w:val="28"/>
          <w:szCs w:val="28"/>
        </w:rPr>
        <w:t> </w:t>
      </w:r>
      <w:r>
        <w:rPr>
          <w:rFonts w:ascii="宋体" w:hAnsi="宋体" w:cs="宋体" w:eastAsia="宋体" w:hint="default"/>
          <w:sz w:val="28"/>
          <w:szCs w:val="28"/>
        </w:rPr>
        <w:t>年至本年度的审计工作均由广东正中珠江会计师事务所</w:t>
      </w:r>
    </w:p>
    <w:p>
      <w:pPr>
        <w:pStyle w:val="Heading2"/>
        <w:spacing w:line="240" w:lineRule="auto" w:before="192"/>
        <w:ind w:right="1402"/>
        <w:jc w:val="left"/>
      </w:pPr>
      <w:r>
        <w:rPr/>
        <w:pict>
          <v:shape style="position:absolute;margin-left:103.08847pt;margin-top:23.00985pt;width:392.95pt;height:64.3pt;mso-position-horizontal-relative:page;mso-position-vertical-relative:paragraph;z-index:-555136;rotation:315" type="#_x0000_t136" fillcolor="#e0e0e0" stroked="f">
            <o:extrusion v:ext="view" autorotationcenter="t"/>
            <v:textpath style="font-family:&amp;quot;Arial&amp;quot;;font-size:64pt;v-text-kern:t;mso-text-shadow:auto" string="UnRegistered"/>
            <w10:wrap type="none"/>
          </v:shape>
        </w:pict>
      </w:r>
      <w:r>
        <w:rPr/>
        <w:t>承担。该所为公司提供审计服务的连续年限 10</w:t>
      </w:r>
      <w:r>
        <w:rPr>
          <w:spacing w:val="-69"/>
        </w:rPr>
        <w:t> </w:t>
      </w:r>
      <w:r>
        <w:rPr/>
        <w:t>年（首次签订审计业务</w:t>
      </w:r>
    </w:p>
    <w:p>
      <w:pPr>
        <w:spacing w:line="367" w:lineRule="auto" w:before="192"/>
        <w:ind w:left="710" w:right="2618" w:hanging="608"/>
        <w:jc w:val="left"/>
        <w:rPr>
          <w:rFonts w:ascii="宋体" w:hAnsi="宋体" w:cs="宋体" w:eastAsia="宋体" w:hint="default"/>
          <w:sz w:val="28"/>
          <w:szCs w:val="28"/>
        </w:rPr>
      </w:pPr>
      <w:r>
        <w:rPr>
          <w:rFonts w:ascii="宋体" w:hAnsi="宋体" w:cs="宋体" w:eastAsia="宋体" w:hint="default"/>
          <w:spacing w:val="-1"/>
          <w:w w:val="100"/>
          <w:sz w:val="28"/>
          <w:szCs w:val="28"/>
        </w:rPr>
        <w:t>约定书时间为</w:t>
      </w:r>
      <w:r>
        <w:rPr>
          <w:rFonts w:ascii="宋体" w:hAnsi="宋体" w:cs="宋体" w:eastAsia="宋体" w:hint="default"/>
          <w:w w:val="100"/>
          <w:sz w:val="28"/>
          <w:szCs w:val="28"/>
        </w:rPr>
        <w:t>  </w:t>
      </w:r>
      <w:r>
        <w:rPr>
          <w:rFonts w:ascii="宋体" w:hAnsi="宋体" w:cs="宋体" w:eastAsia="宋体" w:hint="default"/>
          <w:spacing w:val="-1"/>
          <w:w w:val="100"/>
          <w:sz w:val="28"/>
          <w:szCs w:val="28"/>
        </w:rPr>
        <w:t>2003</w:t>
      </w:r>
      <w:r>
        <w:rPr>
          <w:rFonts w:ascii="宋体" w:hAnsi="宋体" w:cs="宋体" w:eastAsia="宋体" w:hint="default"/>
          <w:w w:val="100"/>
          <w:sz w:val="28"/>
          <w:szCs w:val="28"/>
        </w:rPr>
        <w:t>  年  1  月  </w:t>
      </w:r>
      <w:r>
        <w:rPr>
          <w:rFonts w:ascii="宋体" w:hAnsi="宋体" w:cs="宋体" w:eastAsia="宋体" w:hint="default"/>
          <w:spacing w:val="-1"/>
          <w:w w:val="100"/>
          <w:sz w:val="28"/>
          <w:szCs w:val="28"/>
        </w:rPr>
        <w:t>16</w:t>
      </w:r>
      <w:r>
        <w:rPr>
          <w:rFonts w:ascii="宋体" w:hAnsi="宋体" w:cs="宋体" w:eastAsia="宋体" w:hint="default"/>
          <w:w w:val="100"/>
          <w:sz w:val="28"/>
          <w:szCs w:val="28"/>
        </w:rPr>
        <w:t>    </w:t>
      </w:r>
      <w:r>
        <w:rPr>
          <w:rFonts w:ascii="宋体" w:hAnsi="宋体" w:cs="宋体" w:eastAsia="宋体" w:hint="default"/>
          <w:spacing w:val="78"/>
          <w:w w:val="100"/>
          <w:sz w:val="28"/>
          <w:szCs w:val="28"/>
        </w:rPr>
        <w:t> </w:t>
      </w:r>
      <w:r>
        <w:rPr>
          <w:rFonts w:ascii="宋体" w:hAnsi="宋体" w:cs="宋体" w:eastAsia="宋体" w:hint="default"/>
          <w:spacing w:val="-48"/>
          <w:w w:val="100"/>
          <w:sz w:val="28"/>
          <w:szCs w:val="28"/>
        </w:rPr>
        <w:t>日）。</w:t>
      </w:r>
      <w:r>
        <w:rPr>
          <w:rFonts w:ascii="宋体" w:hAnsi="宋体" w:cs="宋体" w:eastAsia="宋体" w:hint="default"/>
          <w:w w:val="100"/>
          <w:sz w:val="28"/>
          <w:szCs w:val="28"/>
        </w:rPr>
        <w:t> </w:t>
      </w:r>
      <w:r>
        <w:rPr>
          <w:rFonts w:ascii="宋体" w:hAnsi="宋体" w:cs="宋体" w:eastAsia="宋体" w:hint="default"/>
          <w:w w:val="100"/>
          <w:sz w:val="28"/>
          <w:szCs w:val="28"/>
        </w:rPr>
        <w:t>            </w:t>
      </w:r>
      <w:r>
        <w:rPr>
          <w:rFonts w:ascii="宋体" w:hAnsi="宋体" w:cs="宋体" w:eastAsia="宋体" w:hint="default"/>
          <w:spacing w:val="17"/>
          <w:sz w:val="28"/>
          <w:szCs w:val="28"/>
        </w:rPr>
        <w:t>报告期内，</w:t>
      </w:r>
      <w:r>
        <w:rPr>
          <w:rFonts w:ascii="宋体" w:hAnsi="宋体" w:cs="宋体" w:eastAsia="宋体" w:hint="default"/>
          <w:spacing w:val="-62"/>
          <w:sz w:val="28"/>
          <w:szCs w:val="28"/>
        </w:rPr>
        <w:t> </w:t>
      </w:r>
      <w:r>
        <w:rPr>
          <w:rFonts w:ascii="宋体" w:hAnsi="宋体" w:cs="宋体" w:eastAsia="宋体" w:hint="default"/>
          <w:spacing w:val="19"/>
          <w:sz w:val="28"/>
          <w:szCs w:val="28"/>
        </w:rPr>
        <w:t>公司支付会计师事务所审计报酬40万元。</w:t>
      </w:r>
    </w:p>
    <w:p>
      <w:pPr>
        <w:spacing w:line="367" w:lineRule="auto" w:before="44"/>
        <w:ind w:left="103" w:right="1402" w:firstLine="0"/>
        <w:jc w:val="left"/>
        <w:rPr>
          <w:rFonts w:ascii="宋体" w:hAnsi="宋体" w:cs="宋体" w:eastAsia="宋体" w:hint="default"/>
          <w:sz w:val="28"/>
          <w:szCs w:val="28"/>
        </w:rPr>
      </w:pPr>
      <w:r>
        <w:rPr>
          <w:rFonts w:ascii="宋体" w:hAnsi="宋体" w:cs="宋体" w:eastAsia="宋体" w:hint="default"/>
          <w:sz w:val="28"/>
          <w:szCs w:val="28"/>
        </w:rPr>
        <w:t>（十二）报告期内，公司及其董事、监事、高级管理人员、公司股东、</w:t>
      </w:r>
      <w:r>
        <w:rPr>
          <w:rFonts w:ascii="宋体" w:hAnsi="宋体" w:cs="宋体" w:eastAsia="宋体" w:hint="default"/>
          <w:w w:val="100"/>
          <w:sz w:val="28"/>
          <w:szCs w:val="28"/>
        </w:rPr>
        <w:t> </w:t>
      </w:r>
      <w:r>
        <w:rPr>
          <w:rFonts w:ascii="宋体" w:hAnsi="宋体" w:cs="宋体" w:eastAsia="宋体" w:hint="default"/>
          <w:spacing w:val="-8"/>
          <w:sz w:val="28"/>
          <w:szCs w:val="28"/>
        </w:rPr>
        <w:t>实际控制人、收购人没有受有权机关调查、司法纪检部门采取强制措施、</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pacing w:val="-4"/>
          <w:sz w:val="28"/>
          <w:szCs w:val="28"/>
        </w:rPr>
        <w:t>被移送司法机关或追究刑事责任、中国证监会稽查、中国证监会行政处</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4"/>
          <w:sz w:val="28"/>
          <w:szCs w:val="28"/>
        </w:rPr>
        <w:t>罚、证券市场禁入、认定为不适当人选被其他行政管理部门处罚及证券</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交易所公开谴责的情形。</w:t>
      </w:r>
    </w:p>
    <w:p>
      <w:pPr>
        <w:spacing w:line="332" w:lineRule="exact" w:before="0"/>
        <w:ind w:left="103" w:right="1402" w:firstLine="0"/>
        <w:jc w:val="left"/>
        <w:rPr>
          <w:rFonts w:ascii="宋体" w:hAnsi="宋体" w:cs="宋体" w:eastAsia="宋体" w:hint="default"/>
          <w:sz w:val="28"/>
          <w:szCs w:val="28"/>
        </w:rPr>
      </w:pPr>
      <w:r>
        <w:rPr>
          <w:rFonts w:ascii="宋体" w:hAnsi="宋体" w:cs="宋体" w:eastAsia="宋体" w:hint="default"/>
          <w:sz w:val="28"/>
          <w:szCs w:val="28"/>
        </w:rPr>
        <w:t>（十三）其他重大事件</w:t>
      </w:r>
    </w:p>
    <w:p>
      <w:pPr>
        <w:spacing w:line="367" w:lineRule="auto" w:before="173"/>
        <w:ind w:left="662" w:right="1402" w:firstLine="0"/>
        <w:jc w:val="left"/>
        <w:rPr>
          <w:rFonts w:ascii="宋体" w:hAnsi="宋体" w:cs="宋体" w:eastAsia="宋体" w:hint="default"/>
          <w:sz w:val="28"/>
          <w:szCs w:val="28"/>
        </w:rPr>
      </w:pPr>
      <w:r>
        <w:rPr>
          <w:rFonts w:ascii="宋体" w:hAnsi="宋体" w:cs="宋体" w:eastAsia="宋体" w:hint="default"/>
          <w:sz w:val="28"/>
          <w:szCs w:val="28"/>
        </w:rPr>
        <w:t>公司接待调研及采访等相关情况</w:t>
      </w:r>
      <w:r>
        <w:rPr>
          <w:rFonts w:ascii="宋体" w:hAnsi="宋体" w:cs="宋体" w:eastAsia="宋体" w:hint="default"/>
          <w:w w:val="100"/>
          <w:sz w:val="28"/>
          <w:szCs w:val="28"/>
        </w:rPr>
        <w:t> </w:t>
      </w:r>
      <w:r>
        <w:rPr>
          <w:rFonts w:ascii="宋体" w:hAnsi="宋体" w:cs="宋体" w:eastAsia="宋体" w:hint="default"/>
          <w:spacing w:val="-4"/>
          <w:sz w:val="28"/>
          <w:szCs w:val="28"/>
        </w:rPr>
        <w:t>报告期，公司未有接待调研情况。只有个人投资者通过电话以口头</w:t>
      </w:r>
    </w:p>
    <w:p>
      <w:pPr>
        <w:spacing w:line="367" w:lineRule="auto" w:before="44"/>
        <w:ind w:left="103" w:right="1579" w:firstLine="0"/>
        <w:jc w:val="both"/>
        <w:rPr>
          <w:rFonts w:ascii="宋体" w:hAnsi="宋体" w:cs="宋体" w:eastAsia="宋体" w:hint="default"/>
          <w:sz w:val="28"/>
          <w:szCs w:val="28"/>
        </w:rPr>
      </w:pPr>
      <w:r>
        <w:rPr>
          <w:rFonts w:ascii="宋体" w:hAnsi="宋体" w:cs="宋体" w:eastAsia="宋体" w:hint="default"/>
          <w:spacing w:val="-5"/>
          <w:sz w:val="28"/>
          <w:szCs w:val="28"/>
        </w:rPr>
        <w:t>方式进行沟通，日均</w:t>
      </w:r>
      <w:r>
        <w:rPr>
          <w:rFonts w:ascii="宋体" w:hAnsi="宋体" w:cs="宋体" w:eastAsia="宋体" w:hint="default"/>
          <w:spacing w:val="-55"/>
          <w:sz w:val="28"/>
          <w:szCs w:val="28"/>
        </w:rPr>
        <w:t> </w:t>
      </w:r>
      <w:r>
        <w:rPr>
          <w:rFonts w:ascii="宋体" w:hAnsi="宋体" w:cs="宋体" w:eastAsia="宋体" w:hint="default"/>
          <w:sz w:val="28"/>
          <w:szCs w:val="28"/>
        </w:rPr>
        <w:t>3-5</w:t>
      </w:r>
      <w:r>
        <w:rPr>
          <w:rFonts w:ascii="宋体" w:hAnsi="宋体" w:cs="宋体" w:eastAsia="宋体" w:hint="default"/>
          <w:spacing w:val="-54"/>
          <w:sz w:val="28"/>
          <w:szCs w:val="28"/>
        </w:rPr>
        <w:t> </w:t>
      </w:r>
      <w:r>
        <w:rPr>
          <w:rFonts w:ascii="宋体" w:hAnsi="宋体" w:cs="宋体" w:eastAsia="宋体" w:hint="default"/>
          <w:spacing w:val="-3"/>
          <w:sz w:val="28"/>
          <w:szCs w:val="28"/>
        </w:rPr>
        <w:t>个电话，沟通内容为公司的经营情况和项目进</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3"/>
          <w:sz w:val="28"/>
          <w:szCs w:val="28"/>
        </w:rPr>
        <w:t>展情况，没有要求提供资料。公司从未向任何投资者披露、透露或泄漏</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未公开的重大信息。</w:t>
      </w:r>
    </w:p>
    <w:p>
      <w:pPr>
        <w:spacing w:after="0" w:line="367" w:lineRule="auto"/>
        <w:jc w:val="both"/>
        <w:rPr>
          <w:rFonts w:ascii="宋体" w:hAnsi="宋体" w:cs="宋体" w:eastAsia="宋体" w:hint="default"/>
          <w:sz w:val="28"/>
          <w:szCs w:val="28"/>
        </w:rPr>
        <w:sectPr>
          <w:pgSz w:w="11910" w:h="16840"/>
          <w:pgMar w:header="929" w:footer="837" w:top="1140" w:bottom="1020" w:left="1600" w:right="0"/>
        </w:sectPr>
      </w:pPr>
    </w:p>
    <w:p>
      <w:pPr>
        <w:spacing w:line="240" w:lineRule="auto" w:before="9"/>
        <w:rPr>
          <w:rFonts w:ascii="宋体" w:hAnsi="宋体" w:cs="宋体" w:eastAsia="宋体" w:hint="default"/>
          <w:sz w:val="24"/>
          <w:szCs w:val="24"/>
        </w:rPr>
      </w:pPr>
    </w:p>
    <w:p>
      <w:pPr>
        <w:spacing w:before="14"/>
        <w:ind w:left="1449" w:right="1402" w:firstLine="0"/>
        <w:jc w:val="left"/>
        <w:rPr>
          <w:rFonts w:ascii="宋体" w:hAnsi="宋体" w:cs="宋体" w:eastAsia="宋体" w:hint="default"/>
          <w:sz w:val="28"/>
          <w:szCs w:val="28"/>
        </w:rPr>
      </w:pPr>
      <w:r>
        <w:rPr>
          <w:rFonts w:ascii="宋体" w:hAnsi="宋体" w:cs="宋体" w:eastAsia="宋体" w:hint="default"/>
          <w:sz w:val="28"/>
          <w:szCs w:val="28"/>
        </w:rPr>
        <w:t>报告期内接待调研、沟通、采访等活动备查登记表</w:t>
      </w:r>
    </w:p>
    <w:p>
      <w:pPr>
        <w:spacing w:line="240" w:lineRule="auto" w:before="8"/>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020"/>
        <w:gridCol w:w="1699"/>
        <w:gridCol w:w="852"/>
        <w:gridCol w:w="1577"/>
        <w:gridCol w:w="3780"/>
      </w:tblGrid>
      <w:tr>
        <w:trPr>
          <w:trHeight w:val="569" w:hRule="exact"/>
        </w:trPr>
        <w:tc>
          <w:tcPr>
            <w:tcW w:w="10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6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地点</w:t>
            </w:r>
          </w:p>
        </w:tc>
        <w:tc>
          <w:tcPr>
            <w:tcW w:w="8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方式</w:t>
            </w:r>
          </w:p>
        </w:tc>
        <w:tc>
          <w:tcPr>
            <w:tcW w:w="157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7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谈论的内容及提供的资料</w:t>
            </w:r>
          </w:p>
        </w:tc>
      </w:tr>
      <w:tr>
        <w:trPr>
          <w:trHeight w:val="571"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公司董秘处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口头</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公司经营和项目情况，未要求提供资料</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3405" w:right="1402" w:firstLine="0"/>
        <w:jc w:val="left"/>
        <w:rPr>
          <w:rFonts w:ascii="宋体" w:hAnsi="宋体" w:cs="宋体" w:eastAsia="宋体" w:hint="default"/>
          <w:sz w:val="32"/>
          <w:szCs w:val="32"/>
        </w:rPr>
      </w:pPr>
      <w:r>
        <w:rPr>
          <w:rFonts w:ascii="宋体" w:hAnsi="宋体" w:cs="宋体" w:eastAsia="宋体" w:hint="default"/>
          <w:sz w:val="32"/>
          <w:szCs w:val="32"/>
        </w:rPr>
        <w:t>十一、财务报告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29" w:footer="837" w:top="1140" w:bottom="1020" w:left="1480" w:right="0"/>
        </w:sectPr>
      </w:pPr>
    </w:p>
    <w:p>
      <w:pPr>
        <w:spacing w:before="14"/>
        <w:ind w:left="223" w:right="-14" w:firstLine="0"/>
        <w:jc w:val="left"/>
        <w:rPr>
          <w:rFonts w:ascii="宋体" w:hAnsi="宋体" w:cs="宋体" w:eastAsia="宋体" w:hint="default"/>
          <w:sz w:val="28"/>
          <w:szCs w:val="28"/>
        </w:rPr>
      </w:pPr>
      <w:r>
        <w:rPr>
          <w:rFonts w:ascii="宋体" w:hAnsi="宋体" w:cs="宋体" w:eastAsia="宋体" w:hint="default"/>
          <w:sz w:val="28"/>
          <w:szCs w:val="28"/>
        </w:rPr>
        <w:t>（一）审计报告</w:t>
      </w:r>
    </w:p>
    <w:p>
      <w:pPr>
        <w:spacing w:line="240" w:lineRule="auto" w:before="12"/>
        <w:rPr>
          <w:rFonts w:ascii="宋体" w:hAnsi="宋体" w:cs="宋体" w:eastAsia="宋体" w:hint="default"/>
          <w:sz w:val="36"/>
          <w:szCs w:val="36"/>
        </w:rPr>
      </w:pPr>
      <w:r>
        <w:rPr/>
        <w:br w:type="column"/>
      </w:r>
      <w:r>
        <w:rPr>
          <w:rFonts w:ascii="宋体"/>
          <w:sz w:val="36"/>
        </w:rPr>
      </w:r>
    </w:p>
    <w:p>
      <w:pPr>
        <w:tabs>
          <w:tab w:pos="1327" w:val="left" w:leader="none"/>
          <w:tab w:pos="2431" w:val="left" w:leader="none"/>
          <w:tab w:pos="3535" w:val="left" w:leader="none"/>
        </w:tabs>
        <w:spacing w:before="0"/>
        <w:ind w:left="223" w:right="0" w:firstLine="0"/>
        <w:jc w:val="left"/>
        <w:rPr>
          <w:rFonts w:ascii="宋体" w:hAnsi="宋体" w:cs="宋体" w:eastAsia="宋体" w:hint="default"/>
          <w:sz w:val="44"/>
          <w:szCs w:val="44"/>
        </w:rPr>
      </w:pPr>
      <w:r>
        <w:rPr>
          <w:rFonts w:ascii="宋体" w:hAnsi="宋体" w:cs="宋体" w:eastAsia="宋体" w:hint="default"/>
          <w:w w:val="95"/>
          <w:sz w:val="44"/>
          <w:szCs w:val="44"/>
        </w:rPr>
        <w:t>审</w:t>
        <w:tab/>
        <w:t>计</w:t>
        <w:tab/>
        <w:t>报</w:t>
        <w:tab/>
      </w:r>
      <w:r>
        <w:rPr>
          <w:rFonts w:ascii="宋体" w:hAnsi="宋体" w:cs="宋体" w:eastAsia="宋体" w:hint="default"/>
          <w:sz w:val="44"/>
          <w:szCs w:val="44"/>
        </w:rPr>
        <w:t>告</w:t>
      </w:r>
    </w:p>
    <w:p>
      <w:pPr>
        <w:spacing w:line="240" w:lineRule="auto" w:before="6"/>
        <w:rPr>
          <w:rFonts w:ascii="宋体" w:hAnsi="宋体" w:cs="宋体" w:eastAsia="宋体" w:hint="default"/>
          <w:sz w:val="62"/>
          <w:szCs w:val="62"/>
        </w:rPr>
      </w:pPr>
    </w:p>
    <w:p>
      <w:pPr>
        <w:pStyle w:val="Heading3"/>
        <w:spacing w:line="240" w:lineRule="auto"/>
        <w:ind w:left="2546" w:right="0"/>
        <w:jc w:val="left"/>
      </w:pPr>
      <w:r>
        <w:rPr/>
        <w:t>广会所审字[2012]第</w:t>
      </w:r>
      <w:r>
        <w:rPr>
          <w:spacing w:val="-52"/>
        </w:rPr>
        <w:t> </w:t>
      </w:r>
      <w:r>
        <w:rPr/>
        <w:t>12001160015</w:t>
      </w:r>
      <w:r>
        <w:rPr>
          <w:spacing w:val="-52"/>
        </w:rPr>
        <w:t> </w:t>
      </w:r>
      <w:r>
        <w:rPr/>
        <w:t>号</w:t>
      </w:r>
    </w:p>
    <w:p>
      <w:pPr>
        <w:spacing w:after="0" w:line="240" w:lineRule="auto"/>
        <w:jc w:val="left"/>
        <w:sectPr>
          <w:type w:val="continuous"/>
          <w:pgSz w:w="11910" w:h="16840"/>
          <w:pgMar w:top="1580" w:bottom="1020" w:left="1480" w:right="0"/>
          <w:cols w:num="2" w:equalWidth="0">
            <w:col w:w="2190" w:space="239"/>
            <w:col w:w="8001"/>
          </w:cols>
        </w:sectPr>
      </w:pPr>
    </w:p>
    <w:p>
      <w:pPr>
        <w:spacing w:line="240" w:lineRule="auto" w:before="4"/>
        <w:rPr>
          <w:rFonts w:ascii="宋体" w:hAnsi="宋体" w:cs="宋体" w:eastAsia="宋体" w:hint="default"/>
          <w:sz w:val="20"/>
          <w:szCs w:val="20"/>
        </w:rPr>
      </w:pPr>
    </w:p>
    <w:p>
      <w:pPr>
        <w:spacing w:before="14"/>
        <w:ind w:left="223" w:right="0" w:firstLine="0"/>
        <w:jc w:val="both"/>
        <w:rPr>
          <w:rFonts w:ascii="宋体" w:hAnsi="宋体" w:cs="宋体" w:eastAsia="宋体" w:hint="default"/>
          <w:sz w:val="28"/>
          <w:szCs w:val="28"/>
        </w:rPr>
      </w:pPr>
      <w:r>
        <w:rPr>
          <w:rFonts w:ascii="宋体" w:hAnsi="宋体" w:cs="宋体" w:eastAsia="宋体" w:hint="default"/>
          <w:sz w:val="28"/>
          <w:szCs w:val="28"/>
        </w:rPr>
        <w:t>黑龙江天伦置业股份有限公司全体股东：</w:t>
      </w:r>
    </w:p>
    <w:p>
      <w:pPr>
        <w:spacing w:line="240" w:lineRule="auto" w:before="0"/>
        <w:rPr>
          <w:rFonts w:ascii="宋体" w:hAnsi="宋体" w:cs="宋体" w:eastAsia="宋体" w:hint="default"/>
          <w:sz w:val="28"/>
          <w:szCs w:val="28"/>
        </w:rPr>
      </w:pPr>
    </w:p>
    <w:p>
      <w:pPr>
        <w:pStyle w:val="Heading3"/>
        <w:spacing w:line="240" w:lineRule="auto"/>
        <w:ind w:left="703" w:right="1402"/>
        <w:jc w:val="left"/>
      </w:pPr>
      <w:r>
        <w:rPr/>
        <w:pict>
          <v:shape style="position:absolute;margin-left:103.08847pt;margin-top:7.713897pt;width:392.95pt;height:64.3pt;mso-position-horizontal-relative:page;mso-position-vertical-relative:paragraph;z-index:-555112;rotation:315" type="#_x0000_t136" fillcolor="#e0e0e0" stroked="f">
            <o:extrusion v:ext="view" autorotationcenter="t"/>
            <v:textpath style="font-family:&amp;quot;Arial&amp;quot;;font-size:64pt;v-text-kern:t;mso-text-shadow:auto" string="UnRegistered"/>
            <w10:wrap type="none"/>
          </v:shape>
        </w:pict>
      </w:r>
      <w:r>
        <w:rPr/>
        <w:t>我们审计了后附的黑龙江天伦置业股份有限公司财务报表，包括</w:t>
      </w:r>
      <w:r>
        <w:rPr>
          <w:spacing w:val="-66"/>
        </w:rPr>
        <w:t> </w:t>
      </w:r>
      <w:r>
        <w:rPr/>
        <w:t>2011</w:t>
      </w:r>
      <w:r>
        <w:rPr>
          <w:spacing w:val="-66"/>
        </w:rPr>
        <w:t> </w:t>
      </w:r>
      <w:r>
        <w:rPr/>
        <w:t>年</w:t>
      </w:r>
      <w:r>
        <w:rPr>
          <w:spacing w:val="-66"/>
        </w:rPr>
        <w:t> </w:t>
      </w:r>
      <w:r>
        <w:rPr/>
        <w:t>12</w:t>
      </w:r>
      <w:r>
        <w:rPr>
          <w:spacing w:val="-66"/>
        </w:rPr>
        <w:t> </w:t>
      </w:r>
      <w:r>
        <w:rPr/>
        <w:t>月</w:t>
      </w:r>
    </w:p>
    <w:p>
      <w:pPr>
        <w:spacing w:line="350" w:lineRule="auto" w:before="146"/>
        <w:ind w:left="223" w:right="1579" w:firstLine="0"/>
        <w:jc w:val="both"/>
        <w:rPr>
          <w:rFonts w:ascii="宋体" w:hAnsi="宋体" w:cs="宋体" w:eastAsia="宋体" w:hint="default"/>
          <w:sz w:val="24"/>
          <w:szCs w:val="24"/>
        </w:rPr>
      </w:pPr>
      <w:r>
        <w:rPr>
          <w:rFonts w:ascii="宋体" w:hAnsi="宋体" w:cs="宋体" w:eastAsia="宋体" w:hint="default"/>
          <w:sz w:val="24"/>
          <w:szCs w:val="24"/>
        </w:rPr>
        <w:t>31 日的资产负债表和合并资产负债表，2011</w:t>
      </w:r>
      <w:r>
        <w:rPr>
          <w:rFonts w:ascii="宋体" w:hAnsi="宋体" w:cs="宋体" w:eastAsia="宋体" w:hint="default"/>
          <w:spacing w:val="-24"/>
          <w:sz w:val="24"/>
          <w:szCs w:val="24"/>
        </w:rPr>
        <w:t> </w:t>
      </w:r>
      <w:r>
        <w:rPr>
          <w:rFonts w:ascii="宋体" w:hAnsi="宋体" w:cs="宋体" w:eastAsia="宋体" w:hint="default"/>
          <w:sz w:val="24"/>
          <w:szCs w:val="24"/>
        </w:rPr>
        <w:t>年度的利润表和合并利润表、股东权</w:t>
      </w:r>
      <w:r>
        <w:rPr>
          <w:rFonts w:ascii="宋体" w:hAnsi="宋体" w:cs="宋体" w:eastAsia="宋体" w:hint="default"/>
          <w:sz w:val="24"/>
          <w:szCs w:val="24"/>
        </w:rPr>
        <w:t> </w:t>
      </w:r>
      <w:r>
        <w:rPr>
          <w:rFonts w:ascii="宋体" w:hAnsi="宋体" w:cs="宋体" w:eastAsia="宋体" w:hint="default"/>
          <w:spacing w:val="5"/>
          <w:sz w:val="24"/>
          <w:szCs w:val="24"/>
        </w:rPr>
        <w:t>益变动表和合并股东权益变动表、现金流量表和合并现金流量表以及财务报表附</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注。</w:t>
      </w:r>
    </w:p>
    <w:p>
      <w:pPr>
        <w:spacing w:line="240" w:lineRule="auto" w:before="2"/>
        <w:rPr>
          <w:rFonts w:ascii="宋体" w:hAnsi="宋体" w:cs="宋体" w:eastAsia="宋体" w:hint="default"/>
          <w:sz w:val="21"/>
          <w:szCs w:val="21"/>
        </w:rPr>
      </w:pPr>
    </w:p>
    <w:p>
      <w:pPr>
        <w:spacing w:line="444" w:lineRule="auto" w:before="0"/>
        <w:ind w:left="703" w:right="1576" w:hanging="8"/>
        <w:jc w:val="left"/>
        <w:rPr>
          <w:rFonts w:ascii="宋体" w:hAnsi="宋体" w:cs="宋体" w:eastAsia="宋体" w:hint="default"/>
          <w:sz w:val="24"/>
          <w:szCs w:val="24"/>
        </w:rPr>
      </w:pPr>
      <w:r>
        <w:rPr>
          <w:rFonts w:ascii="宋体" w:hAnsi="宋体" w:cs="宋体" w:eastAsia="宋体" w:hint="default"/>
          <w:sz w:val="24"/>
          <w:szCs w:val="24"/>
        </w:rPr>
        <w:t>一、管理层对财务报表的责任</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1"/>
          <w:sz w:val="24"/>
          <w:szCs w:val="24"/>
        </w:rPr>
        <w:t>编制和公允列报财务报表是黑龙江天伦置业股份有限公司的责任，这种责任包</w:t>
      </w:r>
    </w:p>
    <w:p>
      <w:pPr>
        <w:spacing w:line="254" w:lineRule="exact" w:before="0"/>
        <w:ind w:left="223" w:right="0" w:firstLine="0"/>
        <w:jc w:val="both"/>
        <w:rPr>
          <w:rFonts w:ascii="宋体" w:hAnsi="宋体" w:cs="宋体" w:eastAsia="宋体" w:hint="default"/>
          <w:sz w:val="24"/>
          <w:szCs w:val="24"/>
        </w:rPr>
      </w:pPr>
      <w:r>
        <w:rPr>
          <w:rFonts w:ascii="宋体" w:hAnsi="宋体" w:cs="宋体" w:eastAsia="宋体" w:hint="default"/>
          <w:sz w:val="24"/>
          <w:szCs w:val="24"/>
        </w:rPr>
        <w:t>括</w:t>
      </w:r>
      <w:r>
        <w:rPr>
          <w:rFonts w:ascii="宋体" w:hAnsi="宋体" w:cs="宋体" w:eastAsia="宋体" w:hint="default"/>
          <w:spacing w:val="-149"/>
          <w:sz w:val="24"/>
          <w:szCs w:val="24"/>
        </w:rPr>
        <w:t>：</w:t>
      </w:r>
      <w:r>
        <w:rPr>
          <w:rFonts w:ascii="宋体" w:hAnsi="宋体" w:cs="宋体" w:eastAsia="宋体" w:hint="default"/>
          <w:sz w:val="24"/>
          <w:szCs w:val="24"/>
        </w:rPr>
        <w:t>（1</w:t>
      </w:r>
      <w:r>
        <w:rPr>
          <w:rFonts w:ascii="宋体" w:hAnsi="宋体" w:cs="宋体" w:eastAsia="宋体" w:hint="default"/>
          <w:spacing w:val="-29"/>
          <w:sz w:val="24"/>
          <w:szCs w:val="24"/>
        </w:rPr>
        <w:t>）</w:t>
      </w:r>
      <w:r>
        <w:rPr>
          <w:rFonts w:ascii="宋体" w:hAnsi="宋体" w:cs="宋体" w:eastAsia="宋体" w:hint="default"/>
          <w:sz w:val="24"/>
          <w:szCs w:val="24"/>
        </w:rPr>
        <w:t>按照企业会计准则的规定编制财务报表</w:t>
      </w:r>
      <w:r>
        <w:rPr>
          <w:rFonts w:ascii="宋体" w:hAnsi="宋体" w:cs="宋体" w:eastAsia="宋体" w:hint="default"/>
          <w:spacing w:val="-29"/>
          <w:sz w:val="24"/>
          <w:szCs w:val="24"/>
        </w:rPr>
        <w:t>，</w:t>
      </w:r>
      <w:r>
        <w:rPr>
          <w:rFonts w:ascii="宋体" w:hAnsi="宋体" w:cs="宋体" w:eastAsia="宋体" w:hint="default"/>
          <w:sz w:val="24"/>
          <w:szCs w:val="24"/>
        </w:rPr>
        <w:t>并使其实现公允反映</w:t>
      </w:r>
      <w:r>
        <w:rPr>
          <w:rFonts w:ascii="宋体" w:hAnsi="宋体" w:cs="宋体" w:eastAsia="宋体" w:hint="default"/>
          <w:spacing w:val="-149"/>
          <w:sz w:val="24"/>
          <w:szCs w:val="24"/>
        </w:rPr>
        <w:t>；</w:t>
      </w:r>
      <w:r>
        <w:rPr>
          <w:rFonts w:ascii="宋体" w:hAnsi="宋体" w:cs="宋体" w:eastAsia="宋体" w:hint="default"/>
          <w:spacing w:val="-1"/>
          <w:sz w:val="24"/>
          <w:szCs w:val="24"/>
        </w:rPr>
        <w:t>（</w:t>
      </w:r>
      <w:r>
        <w:rPr>
          <w:rFonts w:ascii="宋体" w:hAnsi="宋体" w:cs="宋体" w:eastAsia="宋体" w:hint="default"/>
          <w:sz w:val="24"/>
          <w:szCs w:val="24"/>
        </w:rPr>
        <w:t>2</w:t>
      </w:r>
      <w:r>
        <w:rPr>
          <w:rFonts w:ascii="宋体" w:hAnsi="宋体" w:cs="宋体" w:eastAsia="宋体" w:hint="default"/>
          <w:spacing w:val="-29"/>
          <w:sz w:val="24"/>
          <w:szCs w:val="24"/>
        </w:rPr>
        <w:t>）</w:t>
      </w:r>
      <w:r>
        <w:rPr>
          <w:rFonts w:ascii="宋体" w:hAnsi="宋体" w:cs="宋体" w:eastAsia="宋体" w:hint="default"/>
          <w:sz w:val="24"/>
          <w:szCs w:val="24"/>
        </w:rPr>
        <w:t>设计、</w:t>
      </w:r>
    </w:p>
    <w:p>
      <w:pPr>
        <w:spacing w:line="352" w:lineRule="auto" w:before="146"/>
        <w:ind w:left="223" w:right="1579" w:firstLine="0"/>
        <w:jc w:val="both"/>
        <w:rPr>
          <w:rFonts w:ascii="宋体" w:hAnsi="宋体" w:cs="宋体" w:eastAsia="宋体" w:hint="default"/>
          <w:sz w:val="24"/>
          <w:szCs w:val="24"/>
        </w:rPr>
      </w:pPr>
      <w:r>
        <w:rPr>
          <w:rFonts w:ascii="宋体" w:hAnsi="宋体" w:cs="宋体" w:eastAsia="宋体" w:hint="default"/>
          <w:spacing w:val="5"/>
          <w:sz w:val="24"/>
          <w:szCs w:val="24"/>
        </w:rPr>
        <w:t>执行和维护必要的内部控制，以使财务报表不存在由于舞弊或错误导致的重大错</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报。</w:t>
      </w:r>
    </w:p>
    <w:p>
      <w:pPr>
        <w:spacing w:line="240" w:lineRule="auto" w:before="10"/>
        <w:rPr>
          <w:rFonts w:ascii="宋体" w:hAnsi="宋体" w:cs="宋体" w:eastAsia="宋体" w:hint="default"/>
          <w:sz w:val="20"/>
          <w:szCs w:val="20"/>
        </w:rPr>
      </w:pPr>
    </w:p>
    <w:p>
      <w:pPr>
        <w:spacing w:line="444" w:lineRule="auto" w:before="0"/>
        <w:ind w:left="703" w:right="1576" w:hanging="8"/>
        <w:jc w:val="left"/>
        <w:rPr>
          <w:rFonts w:ascii="宋体" w:hAnsi="宋体" w:cs="宋体" w:eastAsia="宋体" w:hint="default"/>
          <w:sz w:val="24"/>
          <w:szCs w:val="24"/>
        </w:rPr>
      </w:pPr>
      <w:r>
        <w:rPr>
          <w:rFonts w:ascii="宋体" w:hAnsi="宋体" w:cs="宋体" w:eastAsia="宋体" w:hint="default"/>
          <w:sz w:val="24"/>
          <w:szCs w:val="24"/>
        </w:rPr>
        <w:t>二、注册会计师的责任</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1"/>
          <w:sz w:val="24"/>
          <w:szCs w:val="24"/>
        </w:rPr>
        <w:t>我们的责任是在执行审计工作的基础上对财务报表发表审计意见。我们按照中</w:t>
      </w:r>
    </w:p>
    <w:p>
      <w:pPr>
        <w:spacing w:line="257" w:lineRule="exact" w:before="0"/>
        <w:ind w:left="223" w:right="0" w:firstLine="0"/>
        <w:jc w:val="both"/>
        <w:rPr>
          <w:rFonts w:ascii="宋体" w:hAnsi="宋体" w:cs="宋体" w:eastAsia="宋体" w:hint="default"/>
          <w:sz w:val="24"/>
          <w:szCs w:val="24"/>
        </w:rPr>
      </w:pPr>
      <w:r>
        <w:rPr>
          <w:rFonts w:ascii="宋体" w:hAnsi="宋体" w:cs="宋体" w:eastAsia="宋体" w:hint="default"/>
          <w:sz w:val="24"/>
          <w:szCs w:val="24"/>
        </w:rPr>
        <w:t>国注册会计师审计准则的规定执行了审计工作。中国注册会计师审计准则要求我们</w:t>
      </w:r>
    </w:p>
    <w:p>
      <w:pPr>
        <w:spacing w:line="352" w:lineRule="auto" w:before="144"/>
        <w:ind w:left="223" w:right="1583" w:firstLine="0"/>
        <w:jc w:val="both"/>
        <w:rPr>
          <w:rFonts w:ascii="宋体" w:hAnsi="宋体" w:cs="宋体" w:eastAsia="宋体" w:hint="default"/>
          <w:sz w:val="24"/>
          <w:szCs w:val="24"/>
        </w:rPr>
      </w:pPr>
      <w:r>
        <w:rPr>
          <w:rFonts w:ascii="宋体" w:hAnsi="宋体" w:cs="宋体" w:eastAsia="宋体" w:hint="default"/>
          <w:spacing w:val="-1"/>
          <w:sz w:val="24"/>
          <w:szCs w:val="24"/>
        </w:rPr>
        <w:t>遵守中国注册会计师职业道德守则，计划和执行审计工作以对财务报表是否不存在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重大错报获取合理保证。</w:t>
      </w:r>
    </w:p>
    <w:p>
      <w:pPr>
        <w:spacing w:before="154"/>
        <w:ind w:left="703" w:right="1402" w:firstLine="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w:t>
      </w:r>
    </w:p>
    <w:p>
      <w:pPr>
        <w:spacing w:after="0"/>
        <w:jc w:val="left"/>
        <w:rPr>
          <w:rFonts w:ascii="宋体" w:hAnsi="宋体" w:cs="宋体" w:eastAsia="宋体" w:hint="default"/>
          <w:sz w:val="24"/>
          <w:szCs w:val="24"/>
        </w:rPr>
        <w:sectPr>
          <w:type w:val="continuous"/>
          <w:pgSz w:w="11910" w:h="16840"/>
          <w:pgMar w:top="1580" w:bottom="1020" w:left="1480" w:right="0"/>
        </w:sectPr>
      </w:pPr>
    </w:p>
    <w:p>
      <w:pPr>
        <w:spacing w:line="240" w:lineRule="auto" w:before="2"/>
        <w:rPr>
          <w:rFonts w:ascii="宋体" w:hAnsi="宋体" w:cs="宋体" w:eastAsia="宋体" w:hint="default"/>
          <w:sz w:val="21"/>
          <w:szCs w:val="21"/>
        </w:rPr>
      </w:pPr>
    </w:p>
    <w:p>
      <w:pPr>
        <w:spacing w:line="352" w:lineRule="auto" w:before="26"/>
        <w:ind w:left="103" w:right="1579" w:firstLine="0"/>
        <w:jc w:val="both"/>
        <w:rPr>
          <w:rFonts w:ascii="宋体" w:hAnsi="宋体" w:cs="宋体" w:eastAsia="宋体" w:hint="default"/>
          <w:sz w:val="24"/>
          <w:szCs w:val="24"/>
        </w:rPr>
      </w:pPr>
      <w:r>
        <w:rPr>
          <w:rFonts w:ascii="宋体" w:hAnsi="宋体" w:cs="宋体" w:eastAsia="宋体" w:hint="default"/>
          <w:spacing w:val="-1"/>
          <w:sz w:val="24"/>
          <w:szCs w:val="24"/>
        </w:rPr>
        <w:t>择的审计程序取决于注册会计师的判断，包括对由于舞弊或错误导致的财务报表重</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1"/>
          <w:sz w:val="24"/>
          <w:szCs w:val="24"/>
        </w:rPr>
        <w:t>大错报风险的评估。在进行风险评估时，注册会计师考虑与财务报表编制和公允列</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1"/>
          <w:sz w:val="24"/>
          <w:szCs w:val="24"/>
        </w:rPr>
        <w:t>报相关的内部控制，以设计恰当的审计程序，但目的并非对内部控制的有效性发表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5"/>
          <w:sz w:val="24"/>
          <w:szCs w:val="24"/>
        </w:rPr>
        <w:t>意见。审计工作还包括评价管理层选用会计政策的恰当性和作出会计估计的合理</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性，以及评价财务报表的总体列报。</w:t>
      </w:r>
    </w:p>
    <w:p>
      <w:pPr>
        <w:spacing w:before="154"/>
        <w:ind w:left="583" w:right="1402" w:firstLine="0"/>
        <w:jc w:val="left"/>
        <w:rPr>
          <w:rFonts w:ascii="宋体" w:hAnsi="宋体" w:cs="宋体" w:eastAsia="宋体" w:hint="default"/>
          <w:sz w:val="24"/>
          <w:szCs w:val="24"/>
        </w:rPr>
      </w:pPr>
      <w:r>
        <w:rPr>
          <w:rFonts w:ascii="宋体" w:hAnsi="宋体" w:cs="宋体" w:eastAsia="宋体" w:hint="default"/>
          <w:spacing w:val="-5"/>
          <w:sz w:val="24"/>
          <w:szCs w:val="24"/>
        </w:rPr>
        <w:t>我们相信，我们获取的审计证据是充分、适当的，为发表审计意见提供了基础。</w:t>
      </w:r>
    </w:p>
    <w:p>
      <w:pPr>
        <w:spacing w:line="240" w:lineRule="auto" w:before="5"/>
        <w:rPr>
          <w:rFonts w:ascii="宋体" w:hAnsi="宋体" w:cs="宋体" w:eastAsia="宋体" w:hint="default"/>
          <w:sz w:val="29"/>
          <w:szCs w:val="29"/>
        </w:rPr>
      </w:pPr>
    </w:p>
    <w:p>
      <w:pPr>
        <w:spacing w:line="444" w:lineRule="auto" w:before="0"/>
        <w:ind w:left="583" w:right="1576" w:hanging="8"/>
        <w:jc w:val="left"/>
        <w:rPr>
          <w:rFonts w:ascii="宋体" w:hAnsi="宋体" w:cs="宋体" w:eastAsia="宋体" w:hint="default"/>
          <w:sz w:val="24"/>
          <w:szCs w:val="24"/>
        </w:rPr>
      </w:pPr>
      <w:r>
        <w:rPr>
          <w:rFonts w:ascii="宋体" w:hAnsi="宋体" w:cs="宋体" w:eastAsia="宋体" w:hint="default"/>
          <w:sz w:val="24"/>
          <w:szCs w:val="24"/>
        </w:rPr>
        <w:t>三、审计意见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
          <w:sz w:val="24"/>
          <w:szCs w:val="24"/>
        </w:rPr>
        <w:t>我们认为，黑龙江天伦置业股份有限公司财务报表在所有重大方面按照企业会</w:t>
      </w:r>
    </w:p>
    <w:p>
      <w:pPr>
        <w:spacing w:line="257" w:lineRule="exact" w:before="0"/>
        <w:ind w:left="103" w:right="0" w:firstLine="0"/>
        <w:jc w:val="both"/>
        <w:rPr>
          <w:rFonts w:ascii="宋体" w:hAnsi="宋体" w:cs="宋体" w:eastAsia="宋体" w:hint="default"/>
          <w:sz w:val="24"/>
          <w:szCs w:val="24"/>
        </w:rPr>
      </w:pPr>
      <w:r>
        <w:rPr>
          <w:rFonts w:ascii="宋体" w:hAnsi="宋体" w:cs="宋体" w:eastAsia="宋体" w:hint="default"/>
          <w:sz w:val="24"/>
          <w:szCs w:val="24"/>
        </w:rPr>
        <w:t>计准则的规定编制，公允反映了黑龙江天伦置业股份有限公司</w:t>
      </w:r>
      <w:r>
        <w:rPr>
          <w:rFonts w:ascii="宋体" w:hAnsi="宋体" w:cs="宋体" w:eastAsia="宋体" w:hint="default"/>
          <w:spacing w:val="-44"/>
          <w:sz w:val="24"/>
          <w:szCs w:val="24"/>
        </w:rPr>
        <w:t> </w:t>
      </w:r>
      <w:r>
        <w:rPr>
          <w:rFonts w:ascii="宋体" w:hAnsi="宋体" w:cs="宋体" w:eastAsia="宋体" w:hint="default"/>
          <w:sz w:val="24"/>
          <w:szCs w:val="24"/>
        </w:rPr>
        <w:t>2011</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12</w:t>
      </w:r>
      <w:r>
        <w:rPr>
          <w:rFonts w:ascii="宋体" w:hAnsi="宋体" w:cs="宋体" w:eastAsia="宋体" w:hint="default"/>
          <w:spacing w:val="-44"/>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宋体" w:hAnsi="宋体" w:cs="宋体" w:eastAsia="宋体" w:hint="default"/>
          <w:sz w:val="24"/>
          <w:szCs w:val="24"/>
        </w:rPr>
        <w:t>31</w:t>
      </w:r>
      <w:r>
        <w:rPr>
          <w:rFonts w:ascii="宋体" w:hAnsi="宋体" w:cs="宋体" w:eastAsia="宋体" w:hint="default"/>
          <w:spacing w:val="-44"/>
          <w:sz w:val="24"/>
          <w:szCs w:val="24"/>
        </w:rPr>
        <w:t> </w:t>
      </w:r>
      <w:r>
        <w:rPr>
          <w:rFonts w:ascii="宋体" w:hAnsi="宋体" w:cs="宋体" w:eastAsia="宋体" w:hint="default"/>
          <w:sz w:val="24"/>
          <w:szCs w:val="24"/>
        </w:rPr>
        <w:t>日</w:t>
      </w:r>
    </w:p>
    <w:p>
      <w:pPr>
        <w:spacing w:before="144"/>
        <w:ind w:left="103" w:right="0" w:firstLine="0"/>
        <w:jc w:val="both"/>
        <w:rPr>
          <w:rFonts w:ascii="宋体" w:hAnsi="宋体" w:cs="宋体" w:eastAsia="宋体" w:hint="default"/>
          <w:sz w:val="24"/>
          <w:szCs w:val="24"/>
        </w:rPr>
      </w:pPr>
      <w:r>
        <w:rPr>
          <w:rFonts w:ascii="宋体" w:hAnsi="宋体" w:cs="宋体" w:eastAsia="宋体" w:hint="default"/>
          <w:sz w:val="24"/>
          <w:szCs w:val="24"/>
        </w:rPr>
        <w:t>的财务状况以及</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Heading3"/>
        <w:spacing w:line="240" w:lineRule="auto"/>
        <w:ind w:left="103" w:right="0"/>
        <w:jc w:val="both"/>
      </w:pPr>
      <w:r>
        <w:rPr/>
        <w:pict>
          <v:shape style="position:absolute;margin-left:103.08847pt;margin-top:-30.926086pt;width:392.95pt;height:64.3pt;mso-position-horizontal-relative:page;mso-position-vertical-relative:paragraph;z-index:-555088;rotation:315" type="#_x0000_t136" fillcolor="#e0e0e0" stroked="f">
            <o:extrusion v:ext="view" autorotationcenter="t"/>
            <v:textpath style="font-family:&amp;quot;Arial&amp;quot;;font-size:64pt;v-text-kern:t;mso-text-shadow:auto" string="UnRegistered"/>
            <w10:wrap type="none"/>
          </v:shape>
        </w:pict>
      </w:r>
      <w:r>
        <w:rPr/>
        <w:t>广东正中珠江会计师事务所有限公司        </w:t>
      </w:r>
      <w:r>
        <w:rPr>
          <w:spacing w:val="26"/>
        </w:rPr>
        <w:t> </w:t>
      </w:r>
      <w:r>
        <w:rPr/>
        <w:t>中国注册会计师：吉争雄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spacing w:before="0"/>
        <w:ind w:left="5037" w:right="1402" w:firstLine="0"/>
        <w:jc w:val="left"/>
        <w:rPr>
          <w:rFonts w:ascii="宋体" w:hAnsi="宋体" w:cs="宋体" w:eastAsia="宋体" w:hint="default"/>
          <w:sz w:val="24"/>
          <w:szCs w:val="24"/>
        </w:rPr>
      </w:pPr>
      <w:r>
        <w:rPr>
          <w:rFonts w:ascii="宋体" w:hAnsi="宋体" w:cs="宋体" w:eastAsia="宋体" w:hint="default"/>
          <w:sz w:val="24"/>
          <w:szCs w:val="24"/>
        </w:rPr>
        <w:t>中国注册会计师：何国铨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tabs>
          <w:tab w:pos="2021" w:val="left" w:leader="none"/>
          <w:tab w:pos="5033" w:val="left" w:leader="none"/>
        </w:tabs>
        <w:spacing w:before="0"/>
        <w:ind w:left="1056" w:right="1402" w:firstLine="0"/>
        <w:jc w:val="left"/>
        <w:rPr>
          <w:rFonts w:ascii="宋体" w:hAnsi="宋体" w:cs="宋体" w:eastAsia="宋体" w:hint="default"/>
          <w:sz w:val="24"/>
          <w:szCs w:val="24"/>
        </w:rPr>
      </w:pPr>
      <w:r>
        <w:rPr>
          <w:rFonts w:ascii="宋体" w:hAnsi="宋体" w:cs="宋体" w:eastAsia="宋体" w:hint="default"/>
          <w:sz w:val="24"/>
          <w:szCs w:val="24"/>
        </w:rPr>
        <w:t>中国</w:t>
        <w:tab/>
        <w:t>广州</w:t>
        <w:tab/>
        <w:t>二零一二年四月十九日</w:t>
      </w:r>
    </w:p>
    <w:p>
      <w:pPr>
        <w:spacing w:line="960" w:lineRule="atLeast" w:before="101"/>
        <w:ind w:left="103" w:right="7942" w:firstLine="0"/>
        <w:jc w:val="left"/>
        <w:rPr>
          <w:rFonts w:ascii="宋体" w:hAnsi="宋体" w:cs="宋体" w:eastAsia="宋体" w:hint="default"/>
          <w:sz w:val="28"/>
          <w:szCs w:val="28"/>
        </w:rPr>
      </w:pPr>
      <w:r>
        <w:rPr>
          <w:rFonts w:ascii="宋体" w:hAnsi="宋体" w:cs="宋体" w:eastAsia="宋体" w:hint="default"/>
          <w:sz w:val="28"/>
          <w:szCs w:val="28"/>
        </w:rPr>
        <w:t>(二)会计报表附后</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(三)会计报表附注</w:t>
      </w:r>
    </w:p>
    <w:p>
      <w:pPr>
        <w:spacing w:before="143"/>
        <w:ind w:left="103" w:right="0" w:firstLine="0"/>
        <w:jc w:val="both"/>
        <w:rPr>
          <w:rFonts w:ascii="宋体" w:hAnsi="宋体" w:cs="宋体" w:eastAsia="宋体" w:hint="default"/>
          <w:sz w:val="24"/>
          <w:szCs w:val="24"/>
        </w:rPr>
      </w:pPr>
      <w:r>
        <w:rPr>
          <w:rFonts w:ascii="宋体" w:hAnsi="宋体" w:cs="宋体" w:eastAsia="宋体" w:hint="default"/>
          <w:sz w:val="24"/>
          <w:szCs w:val="24"/>
        </w:rPr>
        <w:t>一、公司基本情况</w:t>
      </w:r>
    </w:p>
    <w:p>
      <w:pPr>
        <w:spacing w:line="240" w:lineRule="auto" w:before="1"/>
        <w:rPr>
          <w:rFonts w:ascii="宋体" w:hAnsi="宋体" w:cs="宋体" w:eastAsia="宋体" w:hint="default"/>
          <w:sz w:val="23"/>
          <w:szCs w:val="23"/>
        </w:rPr>
      </w:pPr>
    </w:p>
    <w:p>
      <w:pPr>
        <w:pStyle w:val="BodyText"/>
        <w:spacing w:line="240" w:lineRule="auto"/>
        <w:ind w:right="0"/>
        <w:jc w:val="both"/>
      </w:pPr>
      <w:r>
        <w:rPr/>
        <w:t>1、公司历史沿革</w:t>
      </w:r>
    </w:p>
    <w:p>
      <w:pPr>
        <w:spacing w:line="240" w:lineRule="auto" w:before="5"/>
        <w:rPr>
          <w:rFonts w:ascii="宋体" w:hAnsi="宋体" w:cs="宋体" w:eastAsia="宋体" w:hint="default"/>
          <w:sz w:val="23"/>
          <w:szCs w:val="23"/>
        </w:rPr>
      </w:pPr>
    </w:p>
    <w:p>
      <w:pPr>
        <w:pStyle w:val="BodyText"/>
        <w:spacing w:line="400" w:lineRule="auto"/>
        <w:ind w:right="1576"/>
        <w:jc w:val="left"/>
      </w:pPr>
      <w:r>
        <w:rPr>
          <w:spacing w:val="-10"/>
          <w:w w:val="100"/>
        </w:rPr>
        <w:t>黑龙江天伦置业股份有限公司（以下简称“本公司”）系</w:t>
      </w:r>
      <w:r>
        <w:rPr>
          <w:spacing w:val="-51"/>
          <w:w w:val="100"/>
        </w:rPr>
        <w:t> </w:t>
      </w:r>
      <w:r>
        <w:rPr>
          <w:spacing w:val="-1"/>
          <w:w w:val="100"/>
        </w:rPr>
        <w:t>1993</w:t>
      </w:r>
      <w:r>
        <w:rPr>
          <w:spacing w:val="-51"/>
          <w:w w:val="100"/>
        </w:rPr>
        <w:t> </w:t>
      </w:r>
      <w:r>
        <w:rPr>
          <w:w w:val="100"/>
        </w:rPr>
        <w:t>年</w:t>
      </w:r>
      <w:r>
        <w:rPr>
          <w:spacing w:val="-53"/>
          <w:w w:val="100"/>
        </w:rPr>
        <w:t> </w:t>
      </w:r>
      <w:r>
        <w:rPr>
          <w:w w:val="100"/>
        </w:rPr>
        <w:t>3</w:t>
      </w:r>
      <w:r>
        <w:rPr>
          <w:spacing w:val="-51"/>
          <w:w w:val="100"/>
        </w:rPr>
        <w:t> </w:t>
      </w:r>
      <w:r>
        <w:rPr>
          <w:w w:val="100"/>
        </w:rPr>
        <w:t>月</w:t>
      </w:r>
      <w:r>
        <w:rPr>
          <w:spacing w:val="-53"/>
          <w:w w:val="100"/>
        </w:rPr>
        <w:t> </w:t>
      </w:r>
      <w:r>
        <w:rPr>
          <w:w w:val="100"/>
        </w:rPr>
        <w:t>31</w:t>
      </w:r>
      <w:r>
        <w:rPr>
          <w:spacing w:val="-53"/>
          <w:w w:val="100"/>
        </w:rPr>
        <w:t> </w:t>
      </w:r>
      <w:r>
        <w:rPr>
          <w:spacing w:val="-2"/>
          <w:w w:val="100"/>
        </w:rPr>
        <w:t>日经黑龙江省经济体制</w:t>
      </w:r>
      <w:r>
        <w:rPr>
          <w:w w:val="100"/>
        </w:rPr>
        <w:t> </w:t>
      </w:r>
      <w:r>
        <w:rPr/>
        <w:t>改革委员会以黑体改复[1993]303</w:t>
      </w:r>
      <w:r>
        <w:rPr>
          <w:spacing w:val="-4"/>
        </w:rPr>
        <w:t> </w:t>
      </w:r>
      <w:r>
        <w:rPr/>
        <w:t>号文批准，由黑龙江省建设开发实业总公司、黑龙江惠扬房</w:t>
      </w:r>
    </w:p>
    <w:p>
      <w:pPr>
        <w:spacing w:after="0" w:line="400" w:lineRule="auto"/>
        <w:jc w:val="left"/>
        <w:sectPr>
          <w:pgSz w:w="11910" w:h="16840"/>
          <w:pgMar w:header="929" w:footer="837" w:top="1140" w:bottom="1020" w:left="1600" w:right="0"/>
        </w:sectPr>
      </w:pPr>
    </w:p>
    <w:p>
      <w:pPr>
        <w:spacing w:line="240" w:lineRule="auto" w:before="1"/>
        <w:rPr>
          <w:rFonts w:ascii="宋体" w:hAnsi="宋体" w:cs="宋体" w:eastAsia="宋体" w:hint="default"/>
          <w:sz w:val="23"/>
          <w:szCs w:val="23"/>
        </w:rPr>
      </w:pPr>
    </w:p>
    <w:p>
      <w:pPr>
        <w:pStyle w:val="BodyText"/>
        <w:spacing w:line="400" w:lineRule="auto" w:before="36"/>
        <w:ind w:right="1579"/>
        <w:jc w:val="both"/>
      </w:pPr>
      <w:r>
        <w:rPr>
          <w:spacing w:val="-2"/>
        </w:rPr>
        <w:t>地产开发有限公司、哈尔滨龙江非标工具公司、黑龙江省城乡建设开发公司、黑河经济合作区</w:t>
      </w:r>
      <w:r>
        <w:rPr>
          <w:spacing w:val="-26"/>
        </w:rPr>
        <w:t> </w:t>
      </w:r>
      <w:r>
        <w:rPr>
          <w:spacing w:val="-26"/>
        </w:rPr>
      </w:r>
      <w:r>
        <w:rPr/>
        <w:t>房地产开发公司作为发起人，以定向募集的方式组建，总股本为</w:t>
      </w:r>
      <w:r>
        <w:rPr>
          <w:spacing w:val="-37"/>
        </w:rPr>
        <w:t> </w:t>
      </w:r>
      <w:r>
        <w:rPr/>
        <w:t>3,600</w:t>
      </w:r>
      <w:r>
        <w:rPr>
          <w:spacing w:val="-34"/>
        </w:rPr>
        <w:t> </w:t>
      </w:r>
      <w:r>
        <w:rPr/>
        <w:t>万元。1997</w:t>
      </w:r>
      <w:r>
        <w:rPr>
          <w:spacing w:val="-37"/>
        </w:rPr>
        <w:t> </w:t>
      </w:r>
      <w:r>
        <w:rPr/>
        <w:t>年</w:t>
      </w:r>
      <w:r>
        <w:rPr>
          <w:spacing w:val="-34"/>
        </w:rPr>
        <w:t> </w:t>
      </w:r>
      <w:r>
        <w:rPr/>
        <w:t>3</w:t>
      </w:r>
      <w:r>
        <w:rPr>
          <w:spacing w:val="-37"/>
        </w:rPr>
        <w:t> </w:t>
      </w:r>
      <w:r>
        <w:rPr/>
        <w:t>月</w:t>
      </w:r>
      <w:r>
        <w:rPr>
          <w:spacing w:val="-34"/>
        </w:rPr>
        <w:t> </w:t>
      </w:r>
      <w:r>
        <w:rPr/>
        <w:t>20</w:t>
      </w:r>
      <w:r>
        <w:rPr>
          <w:w w:val="100"/>
        </w:rPr>
        <w:t> </w:t>
      </w:r>
      <w:r>
        <w:rPr/>
        <w:t>日，经中国证券监督管理委员会以证监发字[1997]95</w:t>
      </w:r>
      <w:r>
        <w:rPr>
          <w:spacing w:val="-53"/>
        </w:rPr>
        <w:t> </w:t>
      </w:r>
      <w:r>
        <w:rPr/>
        <w:t>号、[1997])96</w:t>
      </w:r>
      <w:r>
        <w:rPr>
          <w:spacing w:val="-53"/>
        </w:rPr>
        <w:t> </w:t>
      </w:r>
      <w:r>
        <w:rPr/>
        <w:t>号文批准，公司向社会公</w:t>
      </w:r>
      <w:r>
        <w:rPr>
          <w:w w:val="100"/>
        </w:rPr>
        <w:t> </w:t>
      </w:r>
      <w:r>
        <w:rPr>
          <w:spacing w:val="-2"/>
          <w:w w:val="100"/>
        </w:rPr>
        <w:t>众公开发行</w:t>
      </w:r>
      <w:r>
        <w:rPr>
          <w:spacing w:val="-51"/>
          <w:w w:val="100"/>
        </w:rPr>
        <w:t> </w:t>
      </w:r>
      <w:r>
        <w:rPr>
          <w:spacing w:val="-1"/>
          <w:w w:val="100"/>
        </w:rPr>
        <w:t>1,464</w:t>
      </w:r>
      <w:r>
        <w:rPr>
          <w:spacing w:val="-51"/>
          <w:w w:val="100"/>
        </w:rPr>
        <w:t> </w:t>
      </w:r>
      <w:r>
        <w:rPr>
          <w:spacing w:val="-2"/>
          <w:w w:val="100"/>
        </w:rPr>
        <w:t>万股境内上市内资股</w:t>
      </w:r>
      <w:r>
        <w:rPr>
          <w:spacing w:val="-51"/>
          <w:w w:val="100"/>
        </w:rPr>
        <w:t> </w:t>
      </w:r>
      <w:r>
        <w:rPr>
          <w:w w:val="100"/>
        </w:rPr>
        <w:t>A</w:t>
      </w:r>
      <w:r>
        <w:rPr>
          <w:spacing w:val="-53"/>
          <w:w w:val="100"/>
        </w:rPr>
        <w:t> </w:t>
      </w:r>
      <w:r>
        <w:rPr>
          <w:spacing w:val="-14"/>
          <w:w w:val="100"/>
        </w:rPr>
        <w:t>股股票，并于同年</w:t>
      </w:r>
      <w:r>
        <w:rPr>
          <w:spacing w:val="-51"/>
          <w:w w:val="100"/>
        </w:rPr>
        <w:t> </w:t>
      </w:r>
      <w:r>
        <w:rPr>
          <w:w w:val="100"/>
        </w:rPr>
        <w:t>4</w:t>
      </w:r>
      <w:r>
        <w:rPr>
          <w:spacing w:val="-53"/>
          <w:w w:val="100"/>
        </w:rPr>
        <w:t> </w:t>
      </w:r>
      <w:r>
        <w:rPr>
          <w:w w:val="100"/>
        </w:rPr>
        <w:t>月</w:t>
      </w:r>
      <w:r>
        <w:rPr>
          <w:spacing w:val="-51"/>
          <w:w w:val="100"/>
        </w:rPr>
        <w:t> </w:t>
      </w:r>
      <w:r>
        <w:rPr>
          <w:w w:val="100"/>
        </w:rPr>
        <w:t>11</w:t>
      </w:r>
      <w:r>
        <w:rPr>
          <w:spacing w:val="-53"/>
          <w:w w:val="100"/>
        </w:rPr>
        <w:t> </w:t>
      </w:r>
      <w:r>
        <w:rPr>
          <w:spacing w:val="-2"/>
          <w:w w:val="100"/>
        </w:rPr>
        <w:t>日在深圳证券交易所上市交</w:t>
      </w:r>
    </w:p>
    <w:p>
      <w:pPr>
        <w:pStyle w:val="BodyText"/>
        <w:spacing w:line="240" w:lineRule="auto" w:before="45"/>
        <w:ind w:right="0"/>
        <w:jc w:val="both"/>
      </w:pPr>
      <w:r>
        <w:rPr/>
        <w:t>易，总股本变更为</w:t>
      </w:r>
      <w:r>
        <w:rPr>
          <w:spacing w:val="-31"/>
        </w:rPr>
        <w:t> </w:t>
      </w:r>
      <w:r>
        <w:rPr/>
        <w:t>5,064</w:t>
      </w:r>
      <w:r>
        <w:rPr>
          <w:spacing w:val="-31"/>
        </w:rPr>
        <w:t> </w:t>
      </w:r>
      <w:r>
        <w:rPr/>
        <w:t>万元。2000</w:t>
      </w:r>
      <w:r>
        <w:rPr>
          <w:spacing w:val="-31"/>
        </w:rPr>
        <w:t> </w:t>
      </w:r>
      <w:r>
        <w:rPr/>
        <w:t>年</w:t>
      </w:r>
      <w:r>
        <w:rPr>
          <w:spacing w:val="-29"/>
        </w:rPr>
        <w:t> </w:t>
      </w:r>
      <w:r>
        <w:rPr/>
        <w:t>12</w:t>
      </w:r>
      <w:r>
        <w:rPr>
          <w:spacing w:val="-31"/>
        </w:rPr>
        <w:t> </w:t>
      </w:r>
      <w:r>
        <w:rPr/>
        <w:t>月</w:t>
      </w:r>
      <w:r>
        <w:rPr>
          <w:spacing w:val="-31"/>
        </w:rPr>
        <w:t> </w:t>
      </w:r>
      <w:r>
        <w:rPr/>
        <w:t>22</w:t>
      </w:r>
      <w:r>
        <w:rPr>
          <w:spacing w:val="-31"/>
        </w:rPr>
        <w:t> </w:t>
      </w:r>
      <w:r>
        <w:rPr/>
        <w:t>日由黑龙江省工商行政管理局换发注册号为</w:t>
      </w:r>
    </w:p>
    <w:p>
      <w:pPr>
        <w:spacing w:line="240" w:lineRule="auto" w:before="3"/>
        <w:rPr>
          <w:rFonts w:ascii="宋体" w:hAnsi="宋体" w:cs="宋体" w:eastAsia="宋体" w:hint="default"/>
          <w:sz w:val="14"/>
          <w:szCs w:val="14"/>
        </w:rPr>
      </w:pPr>
    </w:p>
    <w:p>
      <w:pPr>
        <w:pStyle w:val="BodyText"/>
        <w:spacing w:line="240" w:lineRule="auto"/>
        <w:ind w:right="0"/>
        <w:jc w:val="both"/>
      </w:pPr>
      <w:r>
        <w:rPr/>
        <w:t>2300001100930</w:t>
      </w:r>
      <w:r>
        <w:rPr>
          <w:spacing w:val="-54"/>
        </w:rPr>
        <w:t> </w:t>
      </w:r>
      <w:r>
        <w:rPr/>
        <w:t>的企业法人营业执照。</w:t>
      </w:r>
    </w:p>
    <w:p>
      <w:pPr>
        <w:spacing w:line="240" w:lineRule="auto" w:before="3"/>
        <w:rPr>
          <w:rFonts w:ascii="宋体" w:hAnsi="宋体" w:cs="宋体" w:eastAsia="宋体" w:hint="default"/>
          <w:sz w:val="23"/>
          <w:szCs w:val="23"/>
        </w:rPr>
      </w:pPr>
    </w:p>
    <w:p>
      <w:pPr>
        <w:pStyle w:val="BodyText"/>
        <w:spacing w:line="240" w:lineRule="auto"/>
        <w:ind w:right="0"/>
        <w:jc w:val="both"/>
      </w:pPr>
      <w:r>
        <w:rPr/>
        <w:t>经股东大会审议通过，并报经中国证监会批准，本公司先后于</w:t>
      </w:r>
      <w:r>
        <w:rPr>
          <w:spacing w:val="-42"/>
        </w:rPr>
        <w:t> </w:t>
      </w:r>
      <w:r>
        <w:rPr/>
        <w:t>1997</w:t>
      </w:r>
      <w:r>
        <w:rPr>
          <w:spacing w:val="-42"/>
        </w:rPr>
        <w:t> </w:t>
      </w:r>
      <w:r>
        <w:rPr/>
        <w:t>年向全体股东每</w:t>
      </w:r>
      <w:r>
        <w:rPr>
          <w:spacing w:val="-42"/>
        </w:rPr>
        <w:t> </w:t>
      </w:r>
      <w:r>
        <w:rPr/>
        <w:t>10</w:t>
      </w:r>
      <w:r>
        <w:rPr>
          <w:spacing w:val="-44"/>
        </w:rPr>
        <w:t> </w:t>
      </w:r>
      <w:r>
        <w:rPr/>
        <w:t>股送</w:t>
      </w:r>
      <w:r>
        <w:rPr>
          <w:spacing w:val="-44"/>
        </w:rPr>
        <w:t> </w:t>
      </w:r>
      <w:r>
        <w:rPr/>
        <w:t>3</w:t>
      </w:r>
    </w:p>
    <w:p>
      <w:pPr>
        <w:spacing w:line="240" w:lineRule="auto" w:before="3"/>
        <w:rPr>
          <w:rFonts w:ascii="宋体" w:hAnsi="宋体" w:cs="宋体" w:eastAsia="宋体" w:hint="default"/>
          <w:sz w:val="14"/>
          <w:szCs w:val="14"/>
        </w:rPr>
      </w:pPr>
    </w:p>
    <w:p>
      <w:pPr>
        <w:pStyle w:val="BodyText"/>
        <w:spacing w:line="240" w:lineRule="auto"/>
        <w:ind w:right="0"/>
        <w:jc w:val="both"/>
      </w:pPr>
      <w:r>
        <w:rPr/>
        <w:t>股、于</w:t>
      </w:r>
      <w:r>
        <w:rPr>
          <w:spacing w:val="-49"/>
        </w:rPr>
        <w:t> </w:t>
      </w:r>
      <w:r>
        <w:rPr/>
        <w:t>1999</w:t>
      </w:r>
      <w:r>
        <w:rPr>
          <w:spacing w:val="-49"/>
        </w:rPr>
        <w:t> </w:t>
      </w:r>
      <w:r>
        <w:rPr/>
        <w:t>年向全体股东每</w:t>
      </w:r>
      <w:r>
        <w:rPr>
          <w:spacing w:val="-47"/>
        </w:rPr>
        <w:t> </w:t>
      </w:r>
      <w:r>
        <w:rPr/>
        <w:t>10</w:t>
      </w:r>
      <w:r>
        <w:rPr>
          <w:spacing w:val="-47"/>
        </w:rPr>
        <w:t> </w:t>
      </w:r>
      <w:r>
        <w:rPr/>
        <w:t>股送</w:t>
      </w:r>
      <w:r>
        <w:rPr>
          <w:spacing w:val="-47"/>
        </w:rPr>
        <w:t> </w:t>
      </w:r>
      <w:r>
        <w:rPr/>
        <w:t>3</w:t>
      </w:r>
      <w:r>
        <w:rPr>
          <w:spacing w:val="-47"/>
        </w:rPr>
        <w:t> </w:t>
      </w:r>
      <w:r>
        <w:rPr/>
        <w:t>股转增</w:t>
      </w:r>
      <w:r>
        <w:rPr>
          <w:spacing w:val="-47"/>
        </w:rPr>
        <w:t> </w:t>
      </w:r>
      <w:r>
        <w:rPr/>
        <w:t>2</w:t>
      </w:r>
      <w:r>
        <w:rPr>
          <w:spacing w:val="-49"/>
        </w:rPr>
        <w:t> </w:t>
      </w:r>
      <w:r>
        <w:rPr/>
        <w:t>股、于</w:t>
      </w:r>
      <w:r>
        <w:rPr>
          <w:spacing w:val="-47"/>
        </w:rPr>
        <w:t> </w:t>
      </w:r>
      <w:r>
        <w:rPr/>
        <w:t>1999</w:t>
      </w:r>
      <w:r>
        <w:rPr>
          <w:spacing w:val="-49"/>
        </w:rPr>
        <w:t> </w:t>
      </w:r>
      <w:r>
        <w:rPr/>
        <w:t>年向社会公众股股东配售</w:t>
      </w:r>
      <w:r>
        <w:rPr>
          <w:spacing w:val="-49"/>
        </w:rPr>
        <w:t> </w:t>
      </w:r>
      <w:r>
        <w:rPr/>
        <w:t>851.76</w:t>
      </w:r>
    </w:p>
    <w:p>
      <w:pPr>
        <w:spacing w:line="240" w:lineRule="auto" w:before="3"/>
        <w:rPr>
          <w:rFonts w:ascii="宋体" w:hAnsi="宋体" w:cs="宋体" w:eastAsia="宋体" w:hint="default"/>
          <w:sz w:val="14"/>
          <w:szCs w:val="14"/>
        </w:rPr>
      </w:pPr>
    </w:p>
    <w:p>
      <w:pPr>
        <w:pStyle w:val="BodyText"/>
        <w:spacing w:line="504" w:lineRule="auto"/>
        <w:ind w:right="3049"/>
        <w:jc w:val="left"/>
      </w:pPr>
      <w:r>
        <w:rPr/>
        <w:t>万股，现注册资本和总股本为人民币</w:t>
      </w:r>
      <w:r>
        <w:rPr>
          <w:spacing w:val="-56"/>
        </w:rPr>
        <w:t> </w:t>
      </w:r>
      <w:r>
        <w:rPr/>
        <w:t>10,726.56</w:t>
      </w:r>
      <w:r>
        <w:rPr>
          <w:spacing w:val="-56"/>
        </w:rPr>
        <w:t> </w:t>
      </w:r>
      <w:r>
        <w:rPr/>
        <w:t>万元，法定代表人为许环曜。</w:t>
      </w:r>
      <w:r>
        <w:rPr>
          <w:w w:val="100"/>
        </w:rPr>
        <w:t> </w:t>
      </w:r>
      <w:r>
        <w:rPr/>
        <w:t>2、公司所属行业类别</w:t>
      </w:r>
    </w:p>
    <w:p>
      <w:pPr>
        <w:pStyle w:val="BodyText"/>
        <w:spacing w:line="506" w:lineRule="auto" w:before="75"/>
        <w:ind w:right="6555"/>
        <w:jc w:val="left"/>
      </w:pPr>
      <w:r>
        <w:rPr>
          <w:spacing w:val="-2"/>
        </w:rPr>
        <w:t>公司所属行业为社会服务业。</w:t>
      </w:r>
      <w:r>
        <w:rPr>
          <w:spacing w:val="-80"/>
        </w:rPr>
        <w:t> </w:t>
      </w:r>
      <w:r>
        <w:rPr>
          <w:spacing w:val="-80"/>
        </w:rPr>
      </w:r>
      <w:r>
        <w:rPr/>
        <w:t>3、公司经营范围及主要产品</w:t>
      </w:r>
    </w:p>
    <w:p>
      <w:pPr>
        <w:pStyle w:val="BodyText"/>
        <w:spacing w:line="403" w:lineRule="auto" w:before="70"/>
        <w:ind w:right="1581"/>
        <w:jc w:val="both"/>
      </w:pPr>
      <w:r>
        <w:rPr/>
        <w:pict>
          <v:shape style="position:absolute;margin-left:103.08847pt;margin-top:18.941956pt;width:392.95pt;height:64.3pt;mso-position-horizontal-relative:page;mso-position-vertical-relative:paragraph;z-index:-555064;rotation:315" type="#_x0000_t136" fillcolor="#e0e0e0" stroked="f">
            <o:extrusion v:ext="view" autorotationcenter="t"/>
            <v:textpath style="font-family:&amp;quot;Arial&amp;quot;;font-size:64pt;v-text-kern:t;mso-text-shadow:auto" string="UnRegistered"/>
            <w10:wrap type="none"/>
          </v:shape>
        </w:pict>
      </w:r>
      <w:r>
        <w:rPr>
          <w:spacing w:val="-7"/>
          <w:w w:val="100"/>
        </w:rPr>
        <w:t>房地产开发与经营（三级），网络与电子信息技术开发应用，软件开发，对高新技术的投资，旅</w:t>
      </w:r>
      <w:r>
        <w:rPr>
          <w:spacing w:val="-78"/>
          <w:w w:val="100"/>
        </w:rPr>
        <w:t> </w:t>
      </w:r>
      <w:r>
        <w:rPr>
          <w:spacing w:val="-78"/>
          <w:w w:val="100"/>
        </w:rPr>
      </w:r>
      <w:r>
        <w:rPr>
          <w:spacing w:val="-2"/>
        </w:rPr>
        <w:t>游基础设施投资经营管理，物业管理，自有房屋租赁，销售建材，化工原料（不含危险品及监</w:t>
      </w:r>
      <w:r>
        <w:rPr>
          <w:spacing w:val="-27"/>
        </w:rPr>
        <w:t> </w:t>
      </w:r>
      <w:r>
        <w:rPr>
          <w:spacing w:val="-27"/>
        </w:rPr>
      </w:r>
      <w:r>
        <w:rPr>
          <w:spacing w:val="-11"/>
          <w:w w:val="100"/>
        </w:rPr>
        <w:t>控化学品），电子产品。</w:t>
      </w:r>
    </w:p>
    <w:p>
      <w:pPr>
        <w:pStyle w:val="BodyText"/>
        <w:spacing w:line="506" w:lineRule="auto" w:before="160"/>
        <w:ind w:right="6555"/>
        <w:jc w:val="left"/>
      </w:pPr>
      <w:r>
        <w:rPr/>
        <w:t>4、公司法定地址</w:t>
      </w:r>
      <w:r>
        <w:rPr>
          <w:spacing w:val="-96"/>
        </w:rPr>
        <w:t> </w:t>
      </w:r>
      <w:r>
        <w:rPr>
          <w:spacing w:val="-2"/>
        </w:rPr>
        <w:t>黑龙江省哈尔滨市经济技术开发区。</w:t>
      </w:r>
      <w:r>
        <w:rPr>
          <w:spacing w:val="-73"/>
        </w:rPr>
        <w:t> </w:t>
      </w:r>
      <w:r>
        <w:rPr>
          <w:spacing w:val="-73"/>
        </w:rPr>
      </w:r>
      <w:r>
        <w:rPr/>
        <w:t>5、公司的基本组织架构</w:t>
      </w:r>
    </w:p>
    <w:p>
      <w:pPr>
        <w:pStyle w:val="BodyText"/>
        <w:spacing w:line="403" w:lineRule="auto" w:before="70"/>
        <w:ind w:right="1581"/>
        <w:jc w:val="both"/>
      </w:pPr>
      <w:r>
        <w:rPr>
          <w:spacing w:val="-2"/>
        </w:rPr>
        <w:t>公司已根据《公司法》和公司章程的相关规定，设置了股东大会、董事会、监事会、总经理等</w:t>
      </w:r>
      <w:r>
        <w:rPr>
          <w:spacing w:val="-27"/>
        </w:rPr>
        <w:t> </w:t>
      </w:r>
      <w:r>
        <w:rPr>
          <w:spacing w:val="-27"/>
        </w:rPr>
      </w:r>
      <w:r>
        <w:rPr>
          <w:spacing w:val="-2"/>
        </w:rPr>
        <w:t>组织机构。股东大会是公司的最高权力机构；董事会负责执行股东大会决议及公司日常管理经</w:t>
      </w:r>
      <w:r>
        <w:rPr>
          <w:spacing w:val="-25"/>
        </w:rPr>
        <w:t> </w:t>
      </w:r>
      <w:r>
        <w:rPr>
          <w:spacing w:val="-25"/>
        </w:rPr>
      </w:r>
      <w:r>
        <w:rPr/>
        <w:t>营的决策，并向股东大会负责；总经理负责公司的日常经营管理事务。</w:t>
      </w:r>
    </w:p>
    <w:p>
      <w:pPr>
        <w:pStyle w:val="BodyText"/>
        <w:spacing w:line="240" w:lineRule="auto" w:before="160"/>
        <w:ind w:right="0"/>
        <w:jc w:val="both"/>
      </w:pPr>
      <w:r>
        <w:rPr/>
        <w:t>6、财务报告的批准报出</w:t>
      </w:r>
    </w:p>
    <w:p>
      <w:pPr>
        <w:spacing w:line="240" w:lineRule="auto" w:before="5"/>
        <w:rPr>
          <w:rFonts w:ascii="宋体" w:hAnsi="宋体" w:cs="宋体" w:eastAsia="宋体" w:hint="default"/>
          <w:sz w:val="23"/>
          <w:szCs w:val="23"/>
        </w:rPr>
      </w:pPr>
    </w:p>
    <w:p>
      <w:pPr>
        <w:pStyle w:val="BodyText"/>
        <w:spacing w:line="240" w:lineRule="auto"/>
        <w:ind w:right="0"/>
        <w:jc w:val="both"/>
      </w:pPr>
      <w:r>
        <w:rPr/>
        <w:t>本财务报表业经公司董事会于</w:t>
      </w:r>
      <w:r>
        <w:rPr>
          <w:spacing w:val="-53"/>
        </w:rPr>
        <w:t> </w:t>
      </w:r>
      <w:r>
        <w:rPr/>
        <w:t>2012</w:t>
      </w:r>
      <w:r>
        <w:rPr>
          <w:spacing w:val="-55"/>
        </w:rPr>
        <w:t> </w:t>
      </w:r>
      <w:r>
        <w:rPr/>
        <w:t>年</w:t>
      </w:r>
      <w:r>
        <w:rPr>
          <w:spacing w:val="-53"/>
        </w:rPr>
        <w:t> </w:t>
      </w:r>
      <w:r>
        <w:rPr/>
        <w:t>4</w:t>
      </w:r>
      <w:r>
        <w:rPr>
          <w:spacing w:val="-55"/>
        </w:rPr>
        <w:t> </w:t>
      </w:r>
      <w:r>
        <w:rPr/>
        <w:t>月</w:t>
      </w:r>
      <w:r>
        <w:rPr>
          <w:spacing w:val="-53"/>
        </w:rPr>
        <w:t> </w:t>
      </w:r>
      <w:r>
        <w:rPr/>
        <w:t>19</w:t>
      </w:r>
      <w:r>
        <w:rPr>
          <w:spacing w:val="-2"/>
        </w:rPr>
        <w:t> </w:t>
      </w:r>
      <w:r>
        <w:rPr/>
        <w:t>日批准对外报出。</w:t>
      </w:r>
    </w:p>
    <w:p>
      <w:pPr>
        <w:spacing w:line="240" w:lineRule="auto" w:before="11"/>
        <w:rPr>
          <w:rFonts w:ascii="宋体" w:hAnsi="宋体" w:cs="宋体" w:eastAsia="宋体" w:hint="default"/>
          <w:sz w:val="29"/>
          <w:szCs w:val="29"/>
        </w:rPr>
      </w:pPr>
    </w:p>
    <w:p>
      <w:pPr>
        <w:pStyle w:val="Heading3"/>
        <w:spacing w:line="240" w:lineRule="auto"/>
        <w:ind w:left="103" w:right="0"/>
        <w:jc w:val="both"/>
      </w:pPr>
      <w:r>
        <w:rPr/>
        <w:t>二、主要会计政策、会计估计和前期差错</w:t>
      </w:r>
    </w:p>
    <w:p>
      <w:pPr>
        <w:spacing w:line="240" w:lineRule="auto" w:before="1"/>
        <w:rPr>
          <w:rFonts w:ascii="宋体" w:hAnsi="宋体" w:cs="宋体" w:eastAsia="宋体" w:hint="default"/>
          <w:sz w:val="23"/>
          <w:szCs w:val="23"/>
        </w:rPr>
      </w:pPr>
    </w:p>
    <w:p>
      <w:pPr>
        <w:pStyle w:val="BodyText"/>
        <w:spacing w:line="504" w:lineRule="auto"/>
        <w:ind w:right="1402"/>
        <w:jc w:val="left"/>
      </w:pPr>
      <w:r>
        <w:rPr/>
        <w:t>1、财务报表的编制基础</w:t>
      </w:r>
      <w:r>
        <w:rPr>
          <w:spacing w:val="-93"/>
        </w:rPr>
        <w:t> </w:t>
      </w:r>
      <w:r>
        <w:rPr>
          <w:spacing w:val="-2"/>
        </w:rPr>
        <w:t>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w:t>
      </w:r>
    </w:p>
    <w:p>
      <w:pPr>
        <w:spacing w:after="0" w:line="504" w:lineRule="auto"/>
        <w:jc w:val="left"/>
        <w:sectPr>
          <w:pgSz w:w="11910" w:h="16840"/>
          <w:pgMar w:header="929" w:footer="837" w:top="1140" w:bottom="1020" w:left="1600" w:right="0"/>
        </w:sectPr>
      </w:pPr>
    </w:p>
    <w:p>
      <w:pPr>
        <w:spacing w:line="240" w:lineRule="auto" w:before="1"/>
        <w:rPr>
          <w:rFonts w:ascii="宋体" w:hAnsi="宋体" w:cs="宋体" w:eastAsia="宋体" w:hint="default"/>
          <w:sz w:val="23"/>
          <w:szCs w:val="23"/>
        </w:rPr>
      </w:pPr>
    </w:p>
    <w:p>
      <w:pPr>
        <w:pStyle w:val="BodyText"/>
        <w:spacing w:line="240" w:lineRule="auto" w:before="36"/>
        <w:ind w:right="0"/>
        <w:jc w:val="both"/>
      </w:pPr>
      <w:r>
        <w:rPr>
          <w:spacing w:val="-4"/>
        </w:rPr>
        <w:t>他各项具体会计准则、应用指南及准则解释的规定进行确认和计量，在此基础上编制财务报表。</w:t>
      </w:r>
    </w:p>
    <w:p>
      <w:pPr>
        <w:spacing w:line="240" w:lineRule="auto" w:before="7"/>
        <w:rPr>
          <w:rFonts w:ascii="宋体" w:hAnsi="宋体" w:cs="宋体" w:eastAsia="宋体" w:hint="default"/>
          <w:sz w:val="23"/>
          <w:szCs w:val="23"/>
        </w:rPr>
      </w:pPr>
    </w:p>
    <w:p>
      <w:pPr>
        <w:pStyle w:val="BodyText"/>
        <w:spacing w:line="240" w:lineRule="auto"/>
        <w:ind w:right="0"/>
        <w:jc w:val="both"/>
      </w:pPr>
      <w:r>
        <w:rPr/>
        <w:t>2、遵循企业会计准则的声明</w:t>
      </w:r>
    </w:p>
    <w:p>
      <w:pPr>
        <w:spacing w:line="240" w:lineRule="auto" w:before="3"/>
        <w:rPr>
          <w:rFonts w:ascii="宋体" w:hAnsi="宋体" w:cs="宋体" w:eastAsia="宋体" w:hint="default"/>
          <w:sz w:val="23"/>
          <w:szCs w:val="23"/>
        </w:rPr>
      </w:pPr>
    </w:p>
    <w:p>
      <w:pPr>
        <w:pStyle w:val="BodyText"/>
        <w:spacing w:line="400" w:lineRule="auto"/>
        <w:ind w:right="1402"/>
        <w:jc w:val="left"/>
      </w:pPr>
      <w:r>
        <w:rPr>
          <w:spacing w:val="-2"/>
        </w:rPr>
        <w:t>公司编制的财务报表符合《企业会计准则》的要求，真实、完整地反映了公司的财务状况、经</w:t>
      </w:r>
      <w:r>
        <w:rPr>
          <w:spacing w:val="-27"/>
        </w:rPr>
        <w:t> </w:t>
      </w:r>
      <w:r>
        <w:rPr>
          <w:spacing w:val="-27"/>
        </w:rPr>
      </w:r>
      <w:r>
        <w:rPr/>
        <w:t>营成果和现金流量等有关信息。</w:t>
      </w:r>
    </w:p>
    <w:p>
      <w:pPr>
        <w:pStyle w:val="BodyText"/>
        <w:spacing w:line="240" w:lineRule="auto" w:before="167"/>
        <w:ind w:right="0"/>
        <w:jc w:val="both"/>
      </w:pPr>
      <w:r>
        <w:rPr/>
        <w:t>3、会计期间</w:t>
      </w:r>
    </w:p>
    <w:p>
      <w:pPr>
        <w:spacing w:line="240" w:lineRule="auto" w:before="3"/>
        <w:rPr>
          <w:rFonts w:ascii="宋体" w:hAnsi="宋体" w:cs="宋体" w:eastAsia="宋体" w:hint="default"/>
          <w:sz w:val="23"/>
          <w:szCs w:val="23"/>
        </w:rPr>
      </w:pPr>
    </w:p>
    <w:p>
      <w:pPr>
        <w:pStyle w:val="BodyText"/>
        <w:spacing w:line="506" w:lineRule="auto"/>
        <w:ind w:right="4314"/>
        <w:jc w:val="left"/>
      </w:pPr>
      <w:r>
        <w:rPr/>
        <w:t>公司会计年度为公历年度，即每年</w:t>
      </w:r>
      <w:r>
        <w:rPr>
          <w:spacing w:val="-53"/>
        </w:rPr>
        <w:t> </w:t>
      </w:r>
      <w:r>
        <w:rPr/>
        <w:t>1</w:t>
      </w:r>
      <w:r>
        <w:rPr>
          <w:spacing w:val="-55"/>
        </w:rPr>
        <w:t> </w:t>
      </w:r>
      <w:r>
        <w:rPr/>
        <w:t>月</w:t>
      </w:r>
      <w:r>
        <w:rPr>
          <w:spacing w:val="-53"/>
        </w:rPr>
        <w:t> </w:t>
      </w:r>
      <w:r>
        <w:rPr/>
        <w:t>1</w:t>
      </w:r>
      <w:r>
        <w:rPr>
          <w:spacing w:val="-55"/>
        </w:rPr>
        <w:t> </w:t>
      </w:r>
      <w:r>
        <w:rPr/>
        <w:t>日起至</w:t>
      </w:r>
      <w:r>
        <w:rPr>
          <w:spacing w:val="-53"/>
        </w:rPr>
        <w:t> </w:t>
      </w:r>
      <w:r>
        <w:rPr/>
        <w:t>12</w:t>
      </w:r>
      <w:r>
        <w:rPr>
          <w:spacing w:val="-55"/>
        </w:rPr>
        <w:t> </w:t>
      </w:r>
      <w:r>
        <w:rPr/>
        <w:t>月</w:t>
      </w:r>
      <w:r>
        <w:rPr>
          <w:spacing w:val="-53"/>
        </w:rPr>
        <w:t> </w:t>
      </w:r>
      <w:r>
        <w:rPr/>
        <w:t>31</w:t>
      </w:r>
      <w:r>
        <w:rPr>
          <w:spacing w:val="-55"/>
        </w:rPr>
        <w:t> </w:t>
      </w:r>
      <w:r>
        <w:rPr/>
        <w:t>日止。</w:t>
      </w:r>
      <w:r>
        <w:rPr>
          <w:w w:val="100"/>
        </w:rPr>
        <w:t> </w:t>
      </w:r>
      <w:r>
        <w:rPr/>
        <w:t>4、记账本位币</w:t>
      </w:r>
    </w:p>
    <w:p>
      <w:pPr>
        <w:pStyle w:val="BodyText"/>
        <w:spacing w:line="504" w:lineRule="auto" w:before="70"/>
        <w:ind w:right="4314"/>
        <w:jc w:val="left"/>
      </w:pPr>
      <w:r>
        <w:rPr/>
        <w:t>公司以人民币为记账本位币。</w:t>
      </w:r>
      <w:r>
        <w:rPr>
          <w:w w:val="100"/>
        </w:rPr>
        <w:t> </w:t>
      </w:r>
      <w:r>
        <w:rPr>
          <w:spacing w:val="-1"/>
        </w:rPr>
        <w:t>5、同一控制下和非同一控制下企业合并的会计处理方法</w:t>
      </w:r>
    </w:p>
    <w:p>
      <w:pPr>
        <w:pStyle w:val="BodyText"/>
        <w:spacing w:line="240" w:lineRule="auto" w:before="75"/>
        <w:ind w:right="0"/>
        <w:jc w:val="both"/>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同一控制下的企业合并</w:t>
      </w:r>
    </w:p>
    <w:p>
      <w:pPr>
        <w:spacing w:line="240" w:lineRule="auto" w:before="2"/>
        <w:rPr>
          <w:rFonts w:ascii="宋体" w:hAnsi="宋体" w:cs="宋体" w:eastAsia="宋体" w:hint="default"/>
          <w:sz w:val="22"/>
          <w:szCs w:val="22"/>
        </w:rPr>
      </w:pPr>
    </w:p>
    <w:p>
      <w:pPr>
        <w:pStyle w:val="BodyText"/>
        <w:spacing w:line="400" w:lineRule="auto"/>
        <w:ind w:right="1581"/>
        <w:jc w:val="both"/>
      </w:pPr>
      <w:r>
        <w:rPr/>
        <w:pict>
          <v:shape style="position:absolute;margin-left:103.08847pt;margin-top:37.401947pt;width:392.95pt;height:64.3pt;mso-position-horizontal-relative:page;mso-position-vertical-relative:paragraph;z-index:-555040;rotation:315" type="#_x0000_t136" fillcolor="#e0e0e0" stroked="f">
            <o:extrusion v:ext="view" autorotationcenter="t"/>
            <v:textpath style="font-family:&amp;quot;Arial&amp;quot;;font-size:64pt;v-text-kern:t;mso-text-shadow:auto" string="UnRegistered"/>
            <w10:wrap type="none"/>
          </v:shape>
        </w:pict>
      </w:r>
      <w:r>
        <w:rPr>
          <w:spacing w:val="-4"/>
        </w:rPr>
        <w:t>参与合并的企业在合并前后均受同一方或相同的多方最终控制，且该控制并非暂时性的，为同</w:t>
      </w:r>
      <w:r>
        <w:rPr>
          <w:spacing w:val="-42"/>
        </w:rPr>
        <w:t> </w:t>
      </w:r>
      <w:r>
        <w:rPr>
          <w:spacing w:val="-42"/>
        </w:rPr>
      </w:r>
      <w:r>
        <w:rPr>
          <w:spacing w:val="-4"/>
        </w:rPr>
        <w:t>一控制下的企业合并。在合并日取得对其他参与合并企业控制权的一方为合并方，参与合并的</w:t>
      </w:r>
      <w:r>
        <w:rPr>
          <w:spacing w:val="-43"/>
        </w:rPr>
        <w:t> </w:t>
      </w:r>
      <w:r>
        <w:rPr>
          <w:spacing w:val="-43"/>
        </w:rPr>
      </w:r>
      <w:r>
        <w:rPr/>
        <w:t>其他企业为被合并方。</w:t>
      </w:r>
    </w:p>
    <w:p>
      <w:pPr>
        <w:pStyle w:val="BodyText"/>
        <w:spacing w:line="400" w:lineRule="auto" w:before="165"/>
        <w:ind w:right="1581"/>
        <w:jc w:val="both"/>
      </w:pPr>
      <w:r>
        <w:rPr>
          <w:spacing w:val="-2"/>
        </w:rPr>
        <w:t>对于同一控制下的企业合并，合并方在企业合并中取得的资产和负债，按照合并日在被合并方</w:t>
      </w:r>
      <w:r>
        <w:rPr>
          <w:spacing w:val="-26"/>
        </w:rPr>
        <w:t> </w:t>
      </w:r>
      <w:r>
        <w:rPr>
          <w:spacing w:val="-26"/>
        </w:rPr>
      </w:r>
      <w:r>
        <w:rPr>
          <w:spacing w:val="-2"/>
        </w:rPr>
        <w:t>的账面价值计量。合并方取得的净资产账面价值与支付的合并对价账面价值（或发行股份面值</w:t>
      </w:r>
      <w:r>
        <w:rPr>
          <w:spacing w:val="-26"/>
        </w:rPr>
        <w:t> </w:t>
      </w:r>
      <w:r>
        <w:rPr>
          <w:spacing w:val="-26"/>
        </w:rPr>
      </w:r>
      <w:r>
        <w:rPr/>
        <w:t>总额）的差额，调整资本公积；资本公积不足冲减的，调整留存收益。</w:t>
      </w:r>
    </w:p>
    <w:p>
      <w:pPr>
        <w:pStyle w:val="BodyText"/>
        <w:spacing w:line="240" w:lineRule="auto" w:before="165"/>
        <w:ind w:right="0"/>
        <w:jc w:val="both"/>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非同一控制下的企业合并</w:t>
      </w:r>
    </w:p>
    <w:p>
      <w:pPr>
        <w:spacing w:line="240" w:lineRule="auto" w:before="13"/>
        <w:rPr>
          <w:rFonts w:ascii="宋体" w:hAnsi="宋体" w:cs="宋体" w:eastAsia="宋体" w:hint="default"/>
          <w:sz w:val="21"/>
          <w:szCs w:val="21"/>
        </w:rPr>
      </w:pPr>
    </w:p>
    <w:p>
      <w:pPr>
        <w:pStyle w:val="BodyText"/>
        <w:spacing w:line="403" w:lineRule="auto"/>
        <w:ind w:right="1402"/>
        <w:jc w:val="left"/>
      </w:pPr>
      <w:r>
        <w:rPr>
          <w:spacing w:val="-2"/>
        </w:rPr>
        <w:t>参与合并的企业在合并前后不受同一方或相同的多方最终控制，为非同一控制下的企业合并。</w:t>
      </w:r>
      <w:r>
        <w:rPr>
          <w:spacing w:val="-26"/>
        </w:rPr>
        <w:t> </w:t>
      </w:r>
      <w:r>
        <w:rPr>
          <w:spacing w:val="-26"/>
        </w:rPr>
      </w:r>
      <w:r>
        <w:rPr>
          <w:spacing w:val="-2"/>
        </w:rPr>
        <w:t>在合并日取得对其他参与合并企业控制权的一方为合并方，参与合并的其他企业为被合并方。</w:t>
      </w:r>
    </w:p>
    <w:p>
      <w:pPr>
        <w:pStyle w:val="BodyText"/>
        <w:spacing w:line="384" w:lineRule="auto" w:before="148"/>
        <w:ind w:right="1473"/>
        <w:jc w:val="both"/>
      </w:pPr>
      <w:r>
        <w:rPr/>
        <w:t>对于非同一控制下的企业合并，合并成本为购买方在购买日为取得对被购买方的控制权而付出</w:t>
      </w:r>
      <w:r>
        <w:rPr>
          <w:w w:val="100"/>
        </w:rPr>
        <w:t> </w:t>
      </w:r>
      <w:r>
        <w:rPr/>
        <w:t>的资产、发生或承担的负债以及发行的权益性证券的公允价值。通过多次交换交易分步实现的</w:t>
      </w:r>
      <w:r>
        <w:rPr>
          <w:w w:val="100"/>
        </w:rPr>
        <w:t> </w:t>
      </w:r>
      <w:r>
        <w:rPr/>
        <w:t>企业合并，合并成本为每一单项交易成本之和。购买方为进行企业合并发生的各项直接相关费</w:t>
      </w:r>
      <w:r>
        <w:rPr>
          <w:w w:val="100"/>
        </w:rPr>
        <w:t> </w:t>
      </w:r>
      <w:r>
        <w:rPr/>
        <w:t>用计入当期损益。</w:t>
      </w:r>
    </w:p>
    <w:p>
      <w:pPr>
        <w:pStyle w:val="BodyText"/>
        <w:spacing w:line="384" w:lineRule="auto" w:before="158"/>
        <w:ind w:right="1402"/>
        <w:jc w:val="left"/>
      </w:pPr>
      <w:r>
        <w:rPr>
          <w:spacing w:val="-4"/>
          <w:w w:val="100"/>
        </w:rPr>
        <w:t>购买方对合并成本大于合并中取得的被购买方可辨认净资产公允价值份额的差额，确认为商誉。</w:t>
      </w:r>
      <w:r>
        <w:rPr>
          <w:spacing w:val="-94"/>
          <w:w w:val="100"/>
        </w:rPr>
        <w:t> </w:t>
      </w:r>
      <w:r>
        <w:rPr>
          <w:spacing w:val="-94"/>
          <w:w w:val="100"/>
        </w:rPr>
      </w:r>
      <w:r>
        <w:rPr/>
        <w:t>购买方对合并成本小于合并中取得的被购买方可辨认净资产公允价值份额的，经复核后合并成</w:t>
      </w:r>
      <w:r>
        <w:rPr>
          <w:w w:val="100"/>
        </w:rPr>
        <w:t> </w:t>
      </w:r>
      <w:r>
        <w:rPr/>
        <w:t>本仍小于合并中取得的被购买方可辨认净资产公允价值份额的差额，计入当期损益。</w:t>
      </w:r>
    </w:p>
    <w:p>
      <w:pPr>
        <w:spacing w:after="0" w:line="384" w:lineRule="auto"/>
        <w:jc w:val="left"/>
        <w:sectPr>
          <w:pgSz w:w="11910" w:h="16840"/>
          <w:pgMar w:header="929" w:footer="837" w:top="1140" w:bottom="1020" w:left="1600" w:right="0"/>
        </w:sectPr>
      </w:pPr>
    </w:p>
    <w:p>
      <w:pPr>
        <w:spacing w:line="240" w:lineRule="auto" w:before="12"/>
        <w:rPr>
          <w:rFonts w:ascii="宋体" w:hAnsi="宋体" w:cs="宋体" w:eastAsia="宋体" w:hint="default"/>
          <w:sz w:val="21"/>
          <w:szCs w:val="21"/>
        </w:rPr>
      </w:pPr>
    </w:p>
    <w:p>
      <w:pPr>
        <w:pStyle w:val="BodyText"/>
        <w:spacing w:line="240" w:lineRule="auto" w:before="36"/>
        <w:ind w:right="1402"/>
        <w:jc w:val="left"/>
      </w:pPr>
      <w:r>
        <w:rPr/>
        <w:t>6、合并财务报表的编制方法</w:t>
      </w:r>
    </w:p>
    <w:p>
      <w:pPr>
        <w:spacing w:line="240" w:lineRule="auto" w:before="12"/>
        <w:rPr>
          <w:rFonts w:ascii="宋体" w:hAnsi="宋体" w:cs="宋体" w:eastAsia="宋体" w:hint="default"/>
          <w:sz w:val="21"/>
          <w:szCs w:val="21"/>
        </w:rPr>
      </w:pPr>
    </w:p>
    <w:p>
      <w:pPr>
        <w:pStyle w:val="BodyText"/>
        <w:spacing w:line="240" w:lineRule="auto"/>
        <w:ind w:right="1402"/>
        <w:jc w:val="left"/>
      </w:pPr>
      <w:r>
        <w:rPr/>
        <w:t>（1）合并范围的确定原则</w:t>
      </w:r>
    </w:p>
    <w:p>
      <w:pPr>
        <w:spacing w:line="240" w:lineRule="auto" w:before="10"/>
        <w:rPr>
          <w:rFonts w:ascii="宋体" w:hAnsi="宋体" w:cs="宋体" w:eastAsia="宋体" w:hint="default"/>
          <w:sz w:val="21"/>
          <w:szCs w:val="21"/>
        </w:rPr>
      </w:pPr>
    </w:p>
    <w:p>
      <w:pPr>
        <w:pStyle w:val="BodyText"/>
        <w:spacing w:line="384" w:lineRule="auto"/>
        <w:ind w:right="1402"/>
        <w:jc w:val="left"/>
      </w:pPr>
      <w:r>
        <w:rPr>
          <w:spacing w:val="-2"/>
        </w:rPr>
        <w:t>以控制为基础确定合并财务报表的合并范围，母公司控制的特殊目的主体也纳入合并财务报表</w:t>
      </w:r>
      <w:r>
        <w:rPr>
          <w:spacing w:val="-25"/>
        </w:rPr>
        <w:t> </w:t>
      </w:r>
      <w:r>
        <w:rPr>
          <w:spacing w:val="-25"/>
        </w:rPr>
      </w:r>
      <w:r>
        <w:rPr/>
        <w:t>的合并范围。</w:t>
      </w:r>
    </w:p>
    <w:p>
      <w:pPr>
        <w:pStyle w:val="BodyText"/>
        <w:spacing w:line="240" w:lineRule="auto" w:before="160"/>
        <w:ind w:right="1402"/>
        <w:jc w:val="left"/>
      </w:pPr>
      <w:r>
        <w:rPr/>
        <w:t>（2）合并报表采用的会计方法</w:t>
      </w:r>
    </w:p>
    <w:p>
      <w:pPr>
        <w:spacing w:line="240" w:lineRule="auto" w:before="10"/>
        <w:rPr>
          <w:rFonts w:ascii="宋体" w:hAnsi="宋体" w:cs="宋体" w:eastAsia="宋体" w:hint="default"/>
          <w:sz w:val="21"/>
          <w:szCs w:val="21"/>
        </w:rPr>
      </w:pPr>
    </w:p>
    <w:p>
      <w:pPr>
        <w:pStyle w:val="BodyText"/>
        <w:spacing w:line="384" w:lineRule="auto"/>
        <w:ind w:right="1402"/>
        <w:jc w:val="left"/>
      </w:pPr>
      <w:r>
        <w:rPr/>
        <w:t>公司合并会计报表的编制方法为按照《企业会计准则第 33</w:t>
      </w:r>
      <w:r>
        <w:rPr>
          <w:spacing w:val="-3"/>
        </w:rPr>
        <w:t> </w:t>
      </w:r>
      <w:r>
        <w:rPr/>
        <w:t>号－合并财务报表》的要求，以母</w:t>
      </w:r>
      <w:r>
        <w:rPr>
          <w:w w:val="100"/>
        </w:rPr>
        <w:t> </w:t>
      </w:r>
      <w:r>
        <w:rPr>
          <w:spacing w:val="-4"/>
          <w:w w:val="100"/>
        </w:rPr>
        <w:t>公司和纳入合并范围的子公司的个别会计报表及其他相关资料为依据，在抵销母公司与子公司、</w:t>
      </w:r>
      <w:r>
        <w:rPr>
          <w:spacing w:val="-94"/>
          <w:w w:val="100"/>
        </w:rPr>
        <w:t> </w:t>
      </w:r>
      <w:r>
        <w:rPr>
          <w:spacing w:val="-94"/>
          <w:w w:val="100"/>
        </w:rPr>
      </w:r>
      <w:r>
        <w:rPr/>
        <w:t>子公司相互间的债权与债务项目、内部销售收入和未实现的内部销售利润等项目，以及母公司</w:t>
      </w:r>
      <w:r>
        <w:rPr>
          <w:w w:val="100"/>
        </w:rPr>
        <w:t> </w:t>
      </w:r>
      <w:r>
        <w:rPr/>
        <w:t>对子公司权益性资本投资项目的数额与子公司所有者权益中母公司所持有的份额的基础上，合</w:t>
      </w:r>
      <w:r>
        <w:rPr>
          <w:w w:val="100"/>
        </w:rPr>
        <w:t> </w:t>
      </w:r>
      <w:r>
        <w:rPr/>
        <w:t>并各报表项目数额编制。少数股东权益、少数股东损益在合并报表中单独列示。子公司的主要</w:t>
      </w:r>
      <w:r>
        <w:rPr>
          <w:w w:val="100"/>
        </w:rPr>
        <w:t> </w:t>
      </w:r>
      <w:r>
        <w:rPr/>
        <w:t>会计政策按照母公司统一选用的会计政策确定。</w:t>
      </w:r>
    </w:p>
    <w:p>
      <w:pPr>
        <w:pStyle w:val="BodyText"/>
        <w:spacing w:line="240" w:lineRule="auto" w:before="158"/>
        <w:ind w:right="1402"/>
        <w:jc w:val="left"/>
      </w:pPr>
      <w:r>
        <w:rPr/>
        <w:t>（3）少数股东权益和损益的列报</w:t>
      </w:r>
    </w:p>
    <w:p>
      <w:pPr>
        <w:spacing w:line="240" w:lineRule="auto" w:before="10"/>
        <w:rPr>
          <w:rFonts w:ascii="宋体" w:hAnsi="宋体" w:cs="宋体" w:eastAsia="宋体" w:hint="default"/>
          <w:sz w:val="21"/>
          <w:szCs w:val="21"/>
        </w:rPr>
      </w:pPr>
    </w:p>
    <w:p>
      <w:pPr>
        <w:pStyle w:val="BodyText"/>
        <w:spacing w:line="386" w:lineRule="auto"/>
        <w:ind w:right="1402"/>
        <w:jc w:val="left"/>
      </w:pPr>
      <w:r>
        <w:rPr/>
        <w:pict>
          <v:shape style="position:absolute;margin-left:103.08847pt;margin-top:22.161957pt;width:392.95pt;height:64.3pt;mso-position-horizontal-relative:page;mso-position-vertical-relative:paragraph;z-index:-555016;rotation:315" type="#_x0000_t136" fillcolor="#e0e0e0" stroked="f">
            <o:extrusion v:ext="view" autorotationcenter="t"/>
            <v:textpath style="font-family:&amp;quot;Arial&amp;quot;;font-size:64pt;v-text-kern:t;mso-text-shadow:auto" string="UnRegistered"/>
            <w10:wrap type="none"/>
          </v:shape>
        </w:pict>
      </w:r>
      <w:r>
        <w:rPr>
          <w:spacing w:val="-2"/>
        </w:rPr>
        <w:t>子公司当期净损益中属于少数股东权益的份额，在合并利润表中净利润项目下以“少数股东损</w:t>
      </w:r>
      <w:r>
        <w:rPr>
          <w:spacing w:val="-27"/>
        </w:rPr>
        <w:t> </w:t>
      </w:r>
      <w:r>
        <w:rPr>
          <w:spacing w:val="-27"/>
        </w:rPr>
      </w:r>
      <w:r>
        <w:rPr/>
        <w:t>益”项列示。</w:t>
      </w:r>
    </w:p>
    <w:p>
      <w:pPr>
        <w:pStyle w:val="BodyText"/>
        <w:spacing w:line="384" w:lineRule="auto" w:before="156"/>
        <w:ind w:right="1402"/>
        <w:jc w:val="left"/>
      </w:pPr>
      <w:r>
        <w:rPr>
          <w:spacing w:val="-2"/>
        </w:rPr>
        <w:t>子公司所有者权益中属于少数股东权益的份额，在合并资产负债表中所有者权益项目下以“少</w:t>
      </w:r>
      <w:r>
        <w:rPr>
          <w:spacing w:val="-27"/>
        </w:rPr>
        <w:t> </w:t>
      </w:r>
      <w:r>
        <w:rPr>
          <w:spacing w:val="-27"/>
        </w:rPr>
      </w:r>
      <w:r>
        <w:rPr/>
        <w:t>数股东权益”项目列示。</w:t>
      </w:r>
    </w:p>
    <w:p>
      <w:pPr>
        <w:pStyle w:val="BodyText"/>
        <w:spacing w:line="240" w:lineRule="auto" w:before="160"/>
        <w:ind w:right="1402"/>
        <w:jc w:val="left"/>
      </w:pPr>
      <w:r>
        <w:rPr/>
        <w:t>（4）当期增加减少子公司的合并报表处理</w:t>
      </w:r>
    </w:p>
    <w:p>
      <w:pPr>
        <w:spacing w:line="240" w:lineRule="auto" w:before="10"/>
        <w:rPr>
          <w:rFonts w:ascii="宋体" w:hAnsi="宋体" w:cs="宋体" w:eastAsia="宋体" w:hint="default"/>
          <w:sz w:val="21"/>
          <w:szCs w:val="21"/>
        </w:rPr>
      </w:pPr>
    </w:p>
    <w:p>
      <w:pPr>
        <w:pStyle w:val="BodyText"/>
        <w:spacing w:line="384" w:lineRule="auto"/>
        <w:ind w:right="1581"/>
        <w:jc w:val="both"/>
      </w:pPr>
      <w:r>
        <w:rPr>
          <w:spacing w:val="-2"/>
        </w:rPr>
        <w:t>在报告期内，因同一控制下企业合并增加的子公司，将该子公司在合并当期的期初至报告期末</w:t>
      </w:r>
      <w:r>
        <w:rPr>
          <w:spacing w:val="-25"/>
        </w:rPr>
        <w:t> </w:t>
      </w:r>
      <w:r>
        <w:rPr>
          <w:spacing w:val="-25"/>
        </w:rPr>
      </w:r>
      <w:r>
        <w:rPr>
          <w:spacing w:val="-2"/>
        </w:rPr>
        <w:t>的收入、成本、费用、利润纳入合并利润表。因非同一控制下企业合并增加的子公司，将该子</w:t>
      </w:r>
      <w:r>
        <w:rPr>
          <w:spacing w:val="-26"/>
        </w:rPr>
        <w:t> </w:t>
      </w:r>
      <w:r>
        <w:rPr>
          <w:spacing w:val="-26"/>
        </w:rPr>
      </w:r>
      <w:r>
        <w:rPr/>
        <w:t>公司自购买日至报告期末的收入、成本、费用、利润纳入合并利润表。</w:t>
      </w:r>
    </w:p>
    <w:p>
      <w:pPr>
        <w:pStyle w:val="BodyText"/>
        <w:spacing w:line="384" w:lineRule="auto" w:before="158"/>
        <w:ind w:right="1402"/>
        <w:jc w:val="left"/>
      </w:pPr>
      <w:r>
        <w:rPr>
          <w:spacing w:val="-2"/>
        </w:rPr>
        <w:t>在报告期内，处置子公司，将该子公司期初至处置日的收入、成本、费用、利润纳入合并利润</w:t>
      </w:r>
      <w:r>
        <w:rPr>
          <w:spacing w:val="-26"/>
        </w:rPr>
        <w:t> </w:t>
      </w:r>
      <w:r>
        <w:rPr>
          <w:spacing w:val="-26"/>
        </w:rPr>
      </w:r>
      <w:r>
        <w:rPr/>
        <w:t>表。</w:t>
      </w:r>
    </w:p>
    <w:p>
      <w:pPr>
        <w:pStyle w:val="BodyText"/>
        <w:spacing w:line="240" w:lineRule="auto" w:before="160"/>
        <w:ind w:right="1402"/>
        <w:jc w:val="left"/>
      </w:pPr>
      <w:r>
        <w:rPr/>
        <w:t>7、现金等价物的确定标准</w:t>
      </w:r>
    </w:p>
    <w:p>
      <w:pPr>
        <w:spacing w:line="240" w:lineRule="auto" w:before="10"/>
        <w:rPr>
          <w:rFonts w:ascii="宋体" w:hAnsi="宋体" w:cs="宋体" w:eastAsia="宋体" w:hint="default"/>
          <w:sz w:val="21"/>
          <w:szCs w:val="21"/>
        </w:rPr>
      </w:pPr>
    </w:p>
    <w:p>
      <w:pPr>
        <w:pStyle w:val="BodyText"/>
        <w:spacing w:line="384" w:lineRule="auto"/>
        <w:ind w:right="1402"/>
        <w:jc w:val="left"/>
      </w:pPr>
      <w:r>
        <w:rPr>
          <w:spacing w:val="-7"/>
          <w:w w:val="100"/>
        </w:rPr>
        <w:t>现金等价物是指持有的期限短（从购买日起，三个月内到期）、流动性强、易于转换为已知金额</w:t>
      </w:r>
      <w:r>
        <w:rPr>
          <w:spacing w:val="-74"/>
          <w:w w:val="100"/>
        </w:rPr>
        <w:t> </w:t>
      </w:r>
      <w:r>
        <w:rPr>
          <w:spacing w:val="-74"/>
          <w:w w:val="100"/>
        </w:rPr>
      </w:r>
      <w:r>
        <w:rPr/>
        <w:t>现金、价值变动风险很小的投资。</w:t>
      </w:r>
    </w:p>
    <w:p>
      <w:pPr>
        <w:pStyle w:val="BodyText"/>
        <w:spacing w:line="240" w:lineRule="auto" w:before="160"/>
        <w:ind w:right="1402"/>
        <w:jc w:val="left"/>
      </w:pPr>
      <w:r>
        <w:rPr/>
        <w:t>8、外币业务和外币报表折算</w:t>
      </w:r>
    </w:p>
    <w:p>
      <w:pPr>
        <w:spacing w:line="240" w:lineRule="auto" w:before="10"/>
        <w:rPr>
          <w:rFonts w:ascii="宋体" w:hAnsi="宋体" w:cs="宋体" w:eastAsia="宋体" w:hint="default"/>
          <w:sz w:val="21"/>
          <w:szCs w:val="21"/>
        </w:rPr>
      </w:pPr>
    </w:p>
    <w:p>
      <w:pPr>
        <w:pStyle w:val="BodyText"/>
        <w:spacing w:line="384" w:lineRule="auto"/>
        <w:ind w:right="1402"/>
        <w:jc w:val="left"/>
      </w:pPr>
      <w:r>
        <w:rPr>
          <w:spacing w:val="-2"/>
        </w:rPr>
        <w:t>对发生的外币交易按交易发生当日中国人民银行公布的市场汇价的中间价折合为人民币记账；</w:t>
      </w:r>
      <w:r>
        <w:rPr>
          <w:spacing w:val="-26"/>
        </w:rPr>
        <w:t> </w:t>
      </w:r>
      <w:r>
        <w:rPr>
          <w:spacing w:val="-26"/>
        </w:rPr>
      </w:r>
      <w:r>
        <w:rPr>
          <w:spacing w:val="-2"/>
        </w:rPr>
        <w:t>在资产负债表日，分外币货币性项目和非货币性项目进行处理，对于外币货币性项目按资产负</w:t>
      </w:r>
    </w:p>
    <w:p>
      <w:pPr>
        <w:spacing w:after="0" w:line="384" w:lineRule="auto"/>
        <w:jc w:val="left"/>
        <w:sectPr>
          <w:pgSz w:w="11910" w:h="16840"/>
          <w:pgMar w:header="929" w:footer="837" w:top="1140" w:bottom="1020" w:left="1600" w:right="0"/>
        </w:sectPr>
      </w:pPr>
    </w:p>
    <w:p>
      <w:pPr>
        <w:spacing w:line="240" w:lineRule="auto" w:before="12"/>
        <w:rPr>
          <w:rFonts w:ascii="宋体" w:hAnsi="宋体" w:cs="宋体" w:eastAsia="宋体" w:hint="default"/>
          <w:sz w:val="21"/>
          <w:szCs w:val="21"/>
        </w:rPr>
      </w:pPr>
    </w:p>
    <w:p>
      <w:pPr>
        <w:pStyle w:val="BodyText"/>
        <w:spacing w:line="384" w:lineRule="auto" w:before="36"/>
        <w:ind w:right="1473"/>
        <w:jc w:val="both"/>
      </w:pPr>
      <w:r>
        <w:rPr/>
        <w:t>债表日中国人民银行公布的市场汇价的中间价进行调整，并按照资产负债表日汇率折合的记账</w:t>
      </w:r>
      <w:r>
        <w:rPr>
          <w:w w:val="100"/>
        </w:rPr>
        <w:t> </w:t>
      </w:r>
      <w:r>
        <w:rPr/>
        <w:t>本位币金额与初始确认时或者前一资产负债表日汇率折合的记账本位币金额之间的差额计入当</w:t>
      </w:r>
      <w:r>
        <w:rPr>
          <w:w w:val="100"/>
        </w:rPr>
        <w:t> </w:t>
      </w:r>
      <w:r>
        <w:rPr/>
        <w:t>期损益；对于以历史成本计量的外币非货币性项目仍采用交易发生当日的中国人民银行公布的</w:t>
      </w:r>
      <w:r>
        <w:rPr>
          <w:w w:val="100"/>
        </w:rPr>
        <w:t> </w:t>
      </w:r>
      <w:r>
        <w:rPr/>
        <w:t>市场汇价的中间价折算，不改变其记账本位币金额。与购建或生产符合资本化条件的资产相关</w:t>
      </w:r>
      <w:r>
        <w:rPr>
          <w:w w:val="100"/>
        </w:rPr>
        <w:t> </w:t>
      </w:r>
      <w:r>
        <w:rPr/>
        <w:t>的外币借款产生的汇兑差额，按照借款费用资本化的原则进行处理。</w:t>
      </w:r>
    </w:p>
    <w:p>
      <w:pPr>
        <w:pStyle w:val="BodyText"/>
        <w:spacing w:line="384" w:lineRule="auto" w:before="158"/>
        <w:ind w:right="1402"/>
        <w:jc w:val="left"/>
      </w:pPr>
      <w:r>
        <w:rPr>
          <w:spacing w:val="-4"/>
        </w:rPr>
        <w:t>在进行外币报表折算时，资产负债表中的资产和负债项目，采用资产负债表日的即期汇率折算，</w:t>
      </w:r>
      <w:r>
        <w:rPr>
          <w:spacing w:val="-44"/>
        </w:rPr>
        <w:t> </w:t>
      </w:r>
      <w:r>
        <w:rPr>
          <w:spacing w:val="-44"/>
        </w:rPr>
      </w:r>
      <w:r>
        <w:rPr/>
        <w:t>所有者权益项目除“未分配利润”项目外，其他项目采用发生时的即期汇率折算；利润表中的</w:t>
      </w:r>
      <w:r>
        <w:rPr>
          <w:w w:val="100"/>
        </w:rPr>
        <w:t> </w:t>
      </w:r>
      <w:r>
        <w:rPr/>
        <w:t>收入和费用项目，采用交易发生日的即期汇率折算。外币财务报表折算差额，在资产负债表中</w:t>
      </w:r>
      <w:r>
        <w:rPr>
          <w:w w:val="100"/>
        </w:rPr>
        <w:t> </w:t>
      </w:r>
      <w:r>
        <w:rPr/>
        <w:t>所有者权益项目下单独列示。</w:t>
      </w:r>
    </w:p>
    <w:p>
      <w:pPr>
        <w:pStyle w:val="BodyText"/>
        <w:spacing w:line="240" w:lineRule="auto" w:before="158"/>
        <w:ind w:right="0"/>
        <w:jc w:val="both"/>
      </w:pPr>
      <w:r>
        <w:rPr/>
        <w:t>9、金融工具</w:t>
      </w:r>
    </w:p>
    <w:p>
      <w:pPr>
        <w:spacing w:line="240" w:lineRule="auto" w:before="12"/>
        <w:rPr>
          <w:rFonts w:ascii="宋体" w:hAnsi="宋体" w:cs="宋体" w:eastAsia="宋体" w:hint="default"/>
          <w:sz w:val="21"/>
          <w:szCs w:val="21"/>
        </w:rPr>
      </w:pPr>
    </w:p>
    <w:p>
      <w:pPr>
        <w:pStyle w:val="BodyText"/>
        <w:spacing w:line="362" w:lineRule="auto"/>
        <w:ind w:right="1402"/>
        <w:jc w:val="left"/>
      </w:pPr>
      <w:r>
        <w:rPr>
          <w:rFonts w:ascii="宋体" w:hAnsi="宋体" w:cs="宋体" w:eastAsia="宋体" w:hint="default"/>
          <w:spacing w:val="-7"/>
          <w:w w:val="100"/>
        </w:rPr>
        <w:t>（</w:t>
      </w:r>
      <w:r>
        <w:rPr>
          <w:rFonts w:ascii="Times New Roman" w:hAnsi="Times New Roman" w:cs="Times New Roman" w:eastAsia="Times New Roman" w:hint="default"/>
          <w:spacing w:val="-7"/>
          <w:w w:val="100"/>
        </w:rPr>
        <w:t>1</w:t>
      </w:r>
      <w:r>
        <w:rPr>
          <w:rFonts w:ascii="宋体" w:hAnsi="宋体" w:cs="宋体" w:eastAsia="宋体" w:hint="default"/>
          <w:spacing w:val="-7"/>
          <w:w w:val="100"/>
        </w:rPr>
        <w:t>）</w:t>
      </w:r>
      <w:r>
        <w:rPr>
          <w:spacing w:val="-7"/>
          <w:w w:val="100"/>
        </w:rPr>
        <w:t>公司将持有的金融资产分成以下四类：以公允价值计量且其变动计入当期损益的金融资产；</w:t>
      </w:r>
      <w:r>
        <w:rPr>
          <w:spacing w:val="-67"/>
          <w:w w:val="100"/>
        </w:rPr>
        <w:t> </w:t>
      </w:r>
      <w:r>
        <w:rPr>
          <w:spacing w:val="-67"/>
          <w:w w:val="100"/>
        </w:rPr>
      </w:r>
      <w:r>
        <w:rPr/>
        <w:t>持有至到期投资；应收款项；以及可供出售金融资产。</w:t>
      </w:r>
    </w:p>
    <w:p>
      <w:pPr>
        <w:pStyle w:val="BodyText"/>
        <w:spacing w:line="384" w:lineRule="auto" w:before="177"/>
        <w:ind w:right="1402"/>
        <w:jc w:val="left"/>
      </w:pPr>
      <w:r>
        <w:rPr/>
        <w:pict>
          <v:shape style="position:absolute;margin-left:103.08847pt;margin-top:43.011955pt;width:392.95pt;height:64.3pt;mso-position-horizontal-relative:page;mso-position-vertical-relative:paragraph;z-index:-554992;rotation:315" type="#_x0000_t136" fillcolor="#e0e0e0" stroked="f">
            <o:extrusion v:ext="view" autorotationcenter="t"/>
            <v:textpath style="font-family:&amp;quot;Arial&amp;quot;;font-size:64pt;v-text-kern:t;mso-text-shadow:auto" string="UnRegistered"/>
            <w10:wrap type="none"/>
          </v:shape>
        </w:pict>
      </w:r>
      <w:r>
        <w:rPr>
          <w:spacing w:val="-4"/>
          <w:w w:val="100"/>
        </w:rPr>
        <w:t>对于以公允价值计量且其变动计入当期损益的金融资产，取得时以公允价值作为初始确认金额，</w:t>
      </w:r>
      <w:r>
        <w:rPr>
          <w:spacing w:val="-94"/>
          <w:w w:val="100"/>
        </w:rPr>
        <w:t> </w:t>
      </w:r>
      <w:r>
        <w:rPr>
          <w:spacing w:val="-94"/>
          <w:w w:val="100"/>
        </w:rPr>
      </w:r>
      <w:r>
        <w:rPr/>
        <w:t>相关交易费用直接计入当期损益；持有期间将取得的利息或现金股利确认为投资收益，期末将</w:t>
      </w:r>
      <w:r>
        <w:rPr>
          <w:w w:val="100"/>
        </w:rPr>
        <w:t> </w:t>
      </w:r>
      <w:r>
        <w:rPr>
          <w:spacing w:val="-4"/>
        </w:rPr>
        <w:t>公允价值变动计入当期损益。处置时，其公允价值与初始入账金额之间的差额确认为投资收益，</w:t>
      </w:r>
      <w:r>
        <w:rPr>
          <w:spacing w:val="-44"/>
        </w:rPr>
        <w:t> </w:t>
      </w:r>
      <w:r>
        <w:rPr>
          <w:spacing w:val="-44"/>
        </w:rPr>
      </w:r>
      <w:r>
        <w:rPr/>
        <w:t>同时调整公允价值变动损益。</w:t>
      </w:r>
    </w:p>
    <w:p>
      <w:pPr>
        <w:pStyle w:val="BodyText"/>
        <w:spacing w:line="384" w:lineRule="auto" w:before="160"/>
        <w:ind w:right="1581"/>
        <w:jc w:val="both"/>
      </w:pPr>
      <w:r>
        <w:rPr>
          <w:spacing w:val="-2"/>
        </w:rPr>
        <w:t>对于持有至到期投资的金融资产，取得时按公允价值和相关交易费用之和作为初始确认金额；</w:t>
      </w:r>
      <w:r>
        <w:rPr>
          <w:spacing w:val="-26"/>
        </w:rPr>
        <w:t> </w:t>
      </w:r>
      <w:r>
        <w:rPr>
          <w:spacing w:val="-26"/>
        </w:rPr>
      </w:r>
      <w:r>
        <w:rPr>
          <w:spacing w:val="-2"/>
        </w:rPr>
        <w:t>持有至到期投资按照摊余成本和实际利率计算确认利息收入，计入投资收益。当持有至到期投</w:t>
      </w:r>
      <w:r>
        <w:rPr>
          <w:spacing w:val="-26"/>
        </w:rPr>
        <w:t> </w:t>
      </w:r>
      <w:r>
        <w:rPr>
          <w:spacing w:val="-26"/>
        </w:rPr>
      </w:r>
      <w:r>
        <w:rPr/>
        <w:t>资处置时，将所取得价款与投资账面价值之间的差额计入当期损益。</w:t>
      </w:r>
    </w:p>
    <w:p>
      <w:pPr>
        <w:pStyle w:val="BodyText"/>
        <w:spacing w:line="400" w:lineRule="auto" w:before="175"/>
        <w:ind w:right="1581"/>
        <w:jc w:val="both"/>
      </w:pPr>
      <w:r>
        <w:rPr>
          <w:spacing w:val="-2"/>
        </w:rPr>
        <w:t>对于公司通过对外销售商品或提供劳务形成的应收债权，按照从购货方应收的合同或协议价款</w:t>
      </w:r>
      <w:r>
        <w:rPr>
          <w:spacing w:val="-26"/>
        </w:rPr>
        <w:t> </w:t>
      </w:r>
      <w:r>
        <w:rPr>
          <w:spacing w:val="-26"/>
        </w:rPr>
      </w:r>
      <w:r>
        <w:rPr>
          <w:spacing w:val="-2"/>
        </w:rPr>
        <w:t>作为初始确认金额。收回或处置时，将取得的价款与该应收款项账面价值之间的差额计入当期</w:t>
      </w:r>
      <w:r>
        <w:rPr>
          <w:spacing w:val="-26"/>
        </w:rPr>
        <w:t> </w:t>
      </w:r>
      <w:r>
        <w:rPr>
          <w:spacing w:val="-26"/>
        </w:rPr>
      </w:r>
      <w:r>
        <w:rPr/>
        <w:t>损益。</w:t>
      </w:r>
    </w:p>
    <w:p>
      <w:pPr>
        <w:pStyle w:val="BodyText"/>
        <w:spacing w:line="400" w:lineRule="auto" w:before="165"/>
        <w:ind w:right="1581"/>
        <w:jc w:val="both"/>
      </w:pPr>
      <w:r>
        <w:rPr>
          <w:spacing w:val="-2"/>
        </w:rPr>
        <w:t>对于可供出售金融资产，取得时按公允价值和相关交易费用之和作为初始确认金额，持有期间</w:t>
      </w:r>
      <w:r>
        <w:rPr>
          <w:spacing w:val="-25"/>
        </w:rPr>
        <w:t> </w:t>
      </w:r>
      <w:r>
        <w:rPr>
          <w:spacing w:val="-25"/>
        </w:rPr>
      </w:r>
      <w:r>
        <w:rPr>
          <w:spacing w:val="-2"/>
        </w:rPr>
        <w:t>将取得的利息或现金股利确认为投资收益，期末将公允价值变动计入资本公积；处置时，将取</w:t>
      </w:r>
      <w:r>
        <w:rPr>
          <w:spacing w:val="-27"/>
        </w:rPr>
        <w:t> </w:t>
      </w:r>
      <w:r>
        <w:rPr>
          <w:spacing w:val="-27"/>
        </w:rPr>
      </w:r>
      <w:r>
        <w:rPr>
          <w:spacing w:val="-2"/>
        </w:rPr>
        <w:t>得的价款与该金融资产账面价值之间的金额，计入当期损益；同时，将原直接计入所有者权益</w:t>
      </w:r>
      <w:r>
        <w:rPr>
          <w:spacing w:val="-26"/>
        </w:rPr>
        <w:t> </w:t>
      </w:r>
      <w:r>
        <w:rPr>
          <w:spacing w:val="-26"/>
        </w:rPr>
      </w:r>
      <w:r>
        <w:rPr/>
        <w:t>的公允价值变动累计额对应处置部分的金额转出，计入当期损益。</w:t>
      </w:r>
    </w:p>
    <w:p>
      <w:pPr>
        <w:pStyle w:val="BodyText"/>
        <w:spacing w:line="391" w:lineRule="auto" w:before="163"/>
        <w:ind w:right="1581"/>
        <w:jc w:val="both"/>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金融资产转移的确认依据和计量方法：</w:t>
      </w:r>
      <w:r>
        <w:rPr>
          <w:spacing w:val="-3"/>
        </w:rPr>
        <w:t> </w:t>
      </w:r>
      <w:r>
        <w:rPr/>
        <w:t>公司发生金融资产转移时，如已将金融资产所有</w:t>
      </w:r>
      <w:r>
        <w:rPr>
          <w:w w:val="100"/>
        </w:rPr>
        <w:t> </w:t>
      </w:r>
      <w:r>
        <w:rPr>
          <w:spacing w:val="-2"/>
        </w:rPr>
        <w:t>权上几乎所有的风险和报酬转移给转入方，则终止确认该金融资产；如保留了金融资产所有权</w:t>
      </w:r>
      <w:r>
        <w:rPr>
          <w:spacing w:val="-27"/>
        </w:rPr>
        <w:t> </w:t>
      </w:r>
      <w:r>
        <w:rPr>
          <w:spacing w:val="-27"/>
        </w:rPr>
      </w:r>
      <w:r>
        <w:rPr>
          <w:spacing w:val="-2"/>
        </w:rPr>
        <w:t>上几乎所有的风险和报酬的，则不终止确认该金融资产。在判断金融资产转移是否满足会计准</w:t>
      </w:r>
    </w:p>
    <w:p>
      <w:pPr>
        <w:spacing w:after="0" w:line="391" w:lineRule="auto"/>
        <w:jc w:val="both"/>
        <w:sectPr>
          <w:pgSz w:w="11910" w:h="16840"/>
          <w:pgMar w:header="929" w:footer="837" w:top="1140" w:bottom="1020" w:left="1600" w:right="0"/>
        </w:sectPr>
      </w:pPr>
    </w:p>
    <w:p>
      <w:pPr>
        <w:spacing w:line="240" w:lineRule="auto" w:before="1"/>
        <w:rPr>
          <w:rFonts w:ascii="宋体" w:hAnsi="宋体" w:cs="宋体" w:eastAsia="宋体" w:hint="default"/>
          <w:sz w:val="23"/>
          <w:szCs w:val="23"/>
        </w:rPr>
      </w:pPr>
    </w:p>
    <w:p>
      <w:pPr>
        <w:pStyle w:val="BodyText"/>
        <w:spacing w:line="403" w:lineRule="auto" w:before="36"/>
        <w:ind w:right="1581"/>
        <w:jc w:val="both"/>
      </w:pPr>
      <w:r>
        <w:rPr>
          <w:spacing w:val="-2"/>
        </w:rPr>
        <w:t>则规定的金融资产终止确认条件时，采用实质重于形式的原则。公司将金融资产转移区分为金</w:t>
      </w:r>
      <w:r>
        <w:rPr>
          <w:spacing w:val="-26"/>
        </w:rPr>
        <w:t> </w:t>
      </w:r>
      <w:r>
        <w:rPr>
          <w:spacing w:val="-26"/>
        </w:rPr>
      </w:r>
      <w:r>
        <w:rPr/>
        <w:t>融资产整体转移和部分转移。</w:t>
      </w:r>
    </w:p>
    <w:p>
      <w:pPr>
        <w:pStyle w:val="BodyText"/>
        <w:spacing w:line="240" w:lineRule="auto" w:before="163"/>
        <w:ind w:right="0"/>
        <w:jc w:val="both"/>
      </w:pPr>
      <w:r>
        <w:rPr/>
        <w:t>金融资产整体转移满足终止确认条件的，将下列两项金额的差额计入当期损益：</w:t>
      </w:r>
    </w:p>
    <w:p>
      <w:pPr>
        <w:spacing w:line="240" w:lineRule="auto" w:before="3"/>
        <w:rPr>
          <w:rFonts w:ascii="宋体" w:hAnsi="宋体" w:cs="宋体" w:eastAsia="宋体" w:hint="default"/>
          <w:sz w:val="23"/>
          <w:szCs w:val="23"/>
        </w:rPr>
      </w:pPr>
    </w:p>
    <w:p>
      <w:pPr>
        <w:pStyle w:val="BodyText"/>
        <w:spacing w:line="240" w:lineRule="auto"/>
        <w:ind w:right="0"/>
        <w:jc w:val="both"/>
      </w:pPr>
      <w:r>
        <w:rPr/>
        <w:t>①所转移金融资产的账面价值；</w:t>
      </w:r>
    </w:p>
    <w:p>
      <w:pPr>
        <w:spacing w:line="240" w:lineRule="auto" w:before="5"/>
        <w:rPr>
          <w:rFonts w:ascii="宋体" w:hAnsi="宋体" w:cs="宋体" w:eastAsia="宋体" w:hint="default"/>
          <w:sz w:val="23"/>
          <w:szCs w:val="23"/>
        </w:rPr>
      </w:pPr>
    </w:p>
    <w:p>
      <w:pPr>
        <w:pStyle w:val="BodyText"/>
        <w:spacing w:line="403" w:lineRule="auto"/>
        <w:ind w:right="1579"/>
        <w:jc w:val="both"/>
      </w:pPr>
      <w:r>
        <w:rPr>
          <w:spacing w:val="-4"/>
          <w:w w:val="100"/>
        </w:rPr>
        <w:t>②因转移而收到的对价，与原直接计入所有者权益的公允价值变动累计额(涉及转移的金融资产</w:t>
      </w:r>
      <w:r>
        <w:rPr>
          <w:spacing w:val="-94"/>
          <w:w w:val="100"/>
        </w:rPr>
        <w:t> </w:t>
      </w:r>
      <w:r>
        <w:rPr>
          <w:spacing w:val="-94"/>
          <w:w w:val="100"/>
        </w:rPr>
      </w:r>
      <w:r>
        <w:rPr/>
        <w:t>为可供出售金融资产的情形)之和。</w:t>
      </w:r>
    </w:p>
    <w:p>
      <w:pPr>
        <w:pStyle w:val="BodyText"/>
        <w:spacing w:line="403" w:lineRule="auto" w:before="160"/>
        <w:ind w:right="1581"/>
        <w:jc w:val="both"/>
      </w:pPr>
      <w:r>
        <w:rPr>
          <w:spacing w:val="-2"/>
        </w:rPr>
        <w:t>金融资产部分转移满足终止确认条件的，将所转移金融资产整体的账面价值，在终止确认部分</w:t>
      </w:r>
      <w:r>
        <w:rPr>
          <w:spacing w:val="-26"/>
        </w:rPr>
        <w:t> </w:t>
      </w:r>
      <w:r>
        <w:rPr>
          <w:spacing w:val="-26"/>
        </w:rPr>
      </w:r>
      <w:r>
        <w:rPr>
          <w:spacing w:val="-2"/>
        </w:rPr>
        <w:t>和未终止确认部分之间，按照各自的相对公允价值进行分摊，并将下列两项金额的差额计入当</w:t>
      </w:r>
      <w:r>
        <w:rPr>
          <w:spacing w:val="-27"/>
        </w:rPr>
        <w:t> </w:t>
      </w:r>
      <w:r>
        <w:rPr>
          <w:spacing w:val="-27"/>
        </w:rPr>
      </w:r>
      <w:r>
        <w:rPr/>
        <w:t>期损益：</w:t>
      </w:r>
    </w:p>
    <w:p>
      <w:pPr>
        <w:pStyle w:val="BodyText"/>
        <w:spacing w:line="240" w:lineRule="auto" w:before="160"/>
        <w:ind w:right="0"/>
        <w:jc w:val="both"/>
      </w:pPr>
      <w:r>
        <w:rPr/>
        <w:t>①终止确认部分的账面价值；</w:t>
      </w:r>
    </w:p>
    <w:p>
      <w:pPr>
        <w:spacing w:line="240" w:lineRule="auto" w:before="5"/>
        <w:rPr>
          <w:rFonts w:ascii="宋体" w:hAnsi="宋体" w:cs="宋体" w:eastAsia="宋体" w:hint="default"/>
          <w:sz w:val="23"/>
          <w:szCs w:val="23"/>
        </w:rPr>
      </w:pPr>
    </w:p>
    <w:p>
      <w:pPr>
        <w:pStyle w:val="BodyText"/>
        <w:spacing w:line="403" w:lineRule="auto"/>
        <w:ind w:right="1581"/>
        <w:jc w:val="both"/>
      </w:pPr>
      <w:r>
        <w:rPr>
          <w:spacing w:val="-2"/>
        </w:rPr>
        <w:t>②终止确认部分的对价，与原直接计入所有者权益的公允价值变动累计额中对应终止确认部分</w:t>
      </w:r>
      <w:r>
        <w:rPr>
          <w:spacing w:val="-25"/>
        </w:rPr>
        <w:t> </w:t>
      </w:r>
      <w:r>
        <w:rPr>
          <w:spacing w:val="-25"/>
        </w:rPr>
      </w:r>
      <w:r>
        <w:rPr/>
        <w:t>的金额之和。</w:t>
      </w:r>
    </w:p>
    <w:p>
      <w:pPr>
        <w:pStyle w:val="BodyText"/>
        <w:spacing w:line="403" w:lineRule="auto" w:before="160"/>
        <w:ind w:right="1581"/>
        <w:jc w:val="both"/>
      </w:pPr>
      <w:r>
        <w:rPr/>
        <w:pict>
          <v:shape style="position:absolute;margin-left:103.08847pt;margin-top:11.441955pt;width:392.95pt;height:64.3pt;mso-position-horizontal-relative:page;mso-position-vertical-relative:paragraph;z-index:-554968;rotation:315" type="#_x0000_t136" fillcolor="#e0e0e0" stroked="f">
            <o:extrusion v:ext="view" autorotationcenter="t"/>
            <v:textpath style="font-family:&amp;quot;Arial&amp;quot;;font-size:64pt;v-text-kern:t;mso-text-shadow:auto" string="UnRegistered"/>
            <w10:wrap type="none"/>
          </v:shape>
        </w:pict>
      </w:r>
      <w:r>
        <w:rPr>
          <w:spacing w:val="-2"/>
        </w:rPr>
        <w:t>金融资产转移不满足终止确认条件的，继续确认该金融资产，所收到的对价确认为一项金融负</w:t>
      </w:r>
      <w:r>
        <w:rPr>
          <w:spacing w:val="-26"/>
        </w:rPr>
        <w:t> </w:t>
      </w:r>
      <w:r>
        <w:rPr>
          <w:spacing w:val="-26"/>
        </w:rPr>
      </w:r>
      <w:r>
        <w:rPr/>
        <w:t>债。</w:t>
      </w:r>
    </w:p>
    <w:p>
      <w:pPr>
        <w:pStyle w:val="BodyText"/>
        <w:spacing w:line="379" w:lineRule="auto" w:before="163"/>
        <w:ind w:right="1579"/>
        <w:jc w:val="both"/>
      </w:pPr>
      <w:r>
        <w:rPr>
          <w:rFonts w:ascii="宋体" w:hAnsi="宋体" w:cs="宋体" w:eastAsia="宋体" w:hint="default"/>
          <w:spacing w:val="-4"/>
        </w:rPr>
        <w:t>（</w:t>
      </w:r>
      <w:r>
        <w:rPr>
          <w:rFonts w:ascii="Times New Roman" w:hAnsi="Times New Roman" w:cs="Times New Roman" w:eastAsia="Times New Roman" w:hint="default"/>
          <w:spacing w:val="-4"/>
        </w:rPr>
        <w:t>3</w:t>
      </w:r>
      <w:r>
        <w:rPr>
          <w:rFonts w:ascii="宋体" w:hAnsi="宋体" w:cs="宋体" w:eastAsia="宋体" w:hint="default"/>
          <w:spacing w:val="-4"/>
        </w:rPr>
        <w:t>）</w:t>
      </w:r>
      <w:r>
        <w:rPr>
          <w:spacing w:val="-4"/>
        </w:rPr>
        <w:t>金融资产的减值：公司在资产负债表日对金融资产的账面价值进行检查，以判断是否有证</w:t>
      </w:r>
      <w:r>
        <w:rPr>
          <w:spacing w:val="-43"/>
        </w:rPr>
        <w:t> </w:t>
      </w:r>
      <w:r>
        <w:rPr>
          <w:spacing w:val="-43"/>
        </w:rPr>
      </w:r>
      <w:r>
        <w:rPr/>
        <w:t>据表明金融资产已由于一项或多项事件的发生而出现减值。</w:t>
      </w:r>
    </w:p>
    <w:p>
      <w:pPr>
        <w:spacing w:line="240" w:lineRule="auto" w:before="1"/>
        <w:rPr>
          <w:rFonts w:ascii="宋体" w:hAnsi="宋体" w:cs="宋体" w:eastAsia="宋体" w:hint="default"/>
          <w:sz w:val="14"/>
          <w:szCs w:val="14"/>
        </w:rPr>
      </w:pPr>
    </w:p>
    <w:p>
      <w:pPr>
        <w:pStyle w:val="BodyText"/>
        <w:spacing w:line="400" w:lineRule="auto"/>
        <w:ind w:right="1579"/>
        <w:jc w:val="both"/>
      </w:pPr>
      <w:r>
        <w:rPr>
          <w:spacing w:val="-2"/>
        </w:rPr>
        <w:t>对于以摊余成本计量的金融资产，如果有客观证据表明应收款项或以摊余成本计量的持有至到</w:t>
      </w:r>
      <w:r>
        <w:rPr>
          <w:spacing w:val="-25"/>
        </w:rPr>
        <w:t> </w:t>
      </w:r>
      <w:r>
        <w:rPr>
          <w:spacing w:val="-25"/>
        </w:rPr>
      </w:r>
      <w:r>
        <w:rPr>
          <w:spacing w:val="-4"/>
          <w:w w:val="100"/>
        </w:rPr>
        <w:t>期类投资发生减值，则损失的金额以资产的账面金额与预期未来现金流量(不包括尚未发生的未</w:t>
      </w:r>
      <w:r>
        <w:rPr>
          <w:spacing w:val="-94"/>
          <w:w w:val="100"/>
        </w:rPr>
        <w:t> </w:t>
      </w:r>
      <w:r>
        <w:rPr>
          <w:spacing w:val="-94"/>
          <w:w w:val="100"/>
        </w:rPr>
      </w:r>
      <w:r>
        <w:rPr>
          <w:spacing w:val="-4"/>
        </w:rPr>
        <w:t>来信用损失)现值的差额确定。在计算预期未来现金流量现值时，应采用该金融资产原始有效利</w:t>
      </w:r>
      <w:r>
        <w:rPr>
          <w:spacing w:val="-47"/>
        </w:rPr>
        <w:t> </w:t>
      </w:r>
      <w:r>
        <w:rPr>
          <w:spacing w:val="-47"/>
        </w:rPr>
      </w:r>
      <w:r>
        <w:rPr>
          <w:spacing w:val="-2"/>
        </w:rPr>
        <w:t>率作为折现率。资产的账面价值应通过减值准备科目减计至其预计可收回金额，减计金额计入</w:t>
      </w:r>
      <w:r>
        <w:rPr>
          <w:spacing w:val="-27"/>
        </w:rPr>
        <w:t> </w:t>
      </w:r>
      <w:r>
        <w:rPr>
          <w:spacing w:val="-27"/>
        </w:rPr>
      </w:r>
      <w:r>
        <w:rPr>
          <w:spacing w:val="-2"/>
        </w:rPr>
        <w:t>当期损益。对单项金额重大的金融资产采用单项评价，以确定其是否存在减值的客观证据，并</w:t>
      </w:r>
      <w:r>
        <w:rPr>
          <w:spacing w:val="-27"/>
        </w:rPr>
        <w:t> </w:t>
      </w:r>
      <w:r>
        <w:rPr>
          <w:spacing w:val="-27"/>
        </w:rPr>
      </w:r>
      <w:r>
        <w:rPr>
          <w:spacing w:val="-2"/>
        </w:rPr>
        <w:t>对其他单项金额不重大的资产，以单项或组合评价的方式进行检查，以确定是否存在减值的客</w:t>
      </w:r>
      <w:r>
        <w:rPr>
          <w:spacing w:val="-27"/>
        </w:rPr>
        <w:t> </w:t>
      </w:r>
      <w:r>
        <w:rPr>
          <w:spacing w:val="-27"/>
        </w:rPr>
      </w:r>
      <w:r>
        <w:rPr/>
        <w:t>观证据。</w:t>
      </w:r>
    </w:p>
    <w:p>
      <w:pPr>
        <w:pStyle w:val="BodyText"/>
        <w:spacing w:line="400" w:lineRule="auto" w:before="165"/>
        <w:ind w:right="1581"/>
        <w:jc w:val="both"/>
      </w:pPr>
      <w:r>
        <w:rPr>
          <w:spacing w:val="-2"/>
        </w:rPr>
        <w:t>对于以成本计量的金融资产，如有证据表明由于无法可靠地计量其公允价值所以未以公允价值</w:t>
      </w:r>
      <w:r>
        <w:rPr>
          <w:spacing w:val="-26"/>
        </w:rPr>
        <w:t> </w:t>
      </w:r>
      <w:r>
        <w:rPr>
          <w:spacing w:val="-26"/>
        </w:rPr>
      </w:r>
      <w:r>
        <w:rPr>
          <w:spacing w:val="-2"/>
        </w:rPr>
        <w:t>计量的无市价权益性金融工具出现减值，减值损失的金额应按该金融资产的账面金额与以类似</w:t>
      </w:r>
      <w:r>
        <w:rPr>
          <w:spacing w:val="-26"/>
        </w:rPr>
        <w:t> </w:t>
      </w:r>
      <w:r>
        <w:rPr>
          <w:spacing w:val="-26"/>
        </w:rPr>
      </w:r>
      <w:r>
        <w:rPr/>
        <w:t>金融资产当前市场回报率折现计算所得的预计未来现金流量现值之间的差额进行计量。</w:t>
      </w:r>
    </w:p>
    <w:p>
      <w:pPr>
        <w:pStyle w:val="BodyText"/>
        <w:spacing w:line="240" w:lineRule="auto" w:before="165"/>
        <w:ind w:right="0"/>
        <w:jc w:val="both"/>
      </w:pPr>
      <w:r>
        <w:rPr/>
        <w:t>对于可供出售类金融资产，如果可供出售类资产发生减值，原直接计入资本公积的因公允价值</w:t>
      </w:r>
    </w:p>
    <w:p>
      <w:pPr>
        <w:spacing w:after="0" w:line="240" w:lineRule="auto"/>
        <w:jc w:val="both"/>
        <w:sectPr>
          <w:pgSz w:w="11910" w:h="16840"/>
          <w:pgMar w:header="929" w:footer="837" w:top="1140" w:bottom="1020" w:left="1600" w:right="0"/>
        </w:sectPr>
      </w:pPr>
    </w:p>
    <w:p>
      <w:pPr>
        <w:spacing w:line="240" w:lineRule="auto" w:before="1"/>
        <w:rPr>
          <w:rFonts w:ascii="宋体" w:hAnsi="宋体" w:cs="宋体" w:eastAsia="宋体" w:hint="default"/>
          <w:sz w:val="23"/>
          <w:szCs w:val="23"/>
        </w:rPr>
      </w:pPr>
    </w:p>
    <w:p>
      <w:pPr>
        <w:pStyle w:val="BodyText"/>
        <w:spacing w:line="240" w:lineRule="auto" w:before="36"/>
        <w:ind w:left="243" w:right="0"/>
        <w:jc w:val="both"/>
      </w:pPr>
      <w:r>
        <w:rPr/>
        <w:t>下降形成的累计损失，予以转出，计入当期损益。</w:t>
      </w:r>
    </w:p>
    <w:p>
      <w:pPr>
        <w:spacing w:line="240" w:lineRule="auto" w:before="5"/>
        <w:rPr>
          <w:rFonts w:ascii="宋体" w:hAnsi="宋体" w:cs="宋体" w:eastAsia="宋体" w:hint="default"/>
          <w:sz w:val="23"/>
          <w:szCs w:val="23"/>
        </w:rPr>
      </w:pPr>
    </w:p>
    <w:p>
      <w:pPr>
        <w:pStyle w:val="BodyText"/>
        <w:spacing w:line="403" w:lineRule="auto"/>
        <w:ind w:left="243" w:right="1581"/>
        <w:jc w:val="both"/>
      </w:pPr>
      <w:r>
        <w:rPr/>
        <w:t>（4）公司将金融负债分为以公允价值计量且其变动计入当期损益的金融负债以及其他金融负</w:t>
      </w:r>
      <w:r>
        <w:rPr>
          <w:spacing w:val="-3"/>
        </w:rPr>
        <w:t> </w:t>
      </w:r>
      <w:r>
        <w:rPr>
          <w:spacing w:val="-3"/>
        </w:rPr>
      </w:r>
      <w:r>
        <w:rPr/>
        <w:t>债。</w:t>
      </w:r>
    </w:p>
    <w:p>
      <w:pPr>
        <w:pStyle w:val="BodyText"/>
        <w:spacing w:line="403" w:lineRule="auto" w:before="160"/>
        <w:ind w:left="243" w:right="1581" w:firstLine="105"/>
        <w:jc w:val="both"/>
      </w:pPr>
      <w:r>
        <w:rPr/>
        <w:t>以公允价值计量且其变动计入当期损益的金融负债</w:t>
      </w:r>
      <w:r>
        <w:rPr>
          <w:spacing w:val="-3"/>
        </w:rPr>
        <w:t> </w:t>
      </w:r>
      <w:r>
        <w:rPr/>
        <w:t>，取得时以公允价值作为初始确认金额，</w:t>
      </w:r>
      <w:r>
        <w:rPr>
          <w:w w:val="100"/>
        </w:rPr>
        <w:t> </w:t>
      </w:r>
      <w:r>
        <w:rPr/>
        <w:t>将公允价值变动计入当期损益。其他金融负债以摊余成本计量。</w:t>
      </w:r>
    </w:p>
    <w:p>
      <w:pPr>
        <w:pStyle w:val="BodyText"/>
        <w:spacing w:line="400" w:lineRule="auto" w:before="163"/>
        <w:ind w:left="243" w:right="1579"/>
        <w:jc w:val="both"/>
      </w:pPr>
      <w:r>
        <w:rPr>
          <w:spacing w:val="-4"/>
        </w:rPr>
        <w:t>（5）金融资产和金融负债公允价值的确定方法：公司采用公允价值计量的金融资产和金融负债</w:t>
      </w:r>
      <w:r>
        <w:rPr>
          <w:spacing w:val="-43"/>
        </w:rPr>
        <w:t> </w:t>
      </w:r>
      <w:r>
        <w:rPr>
          <w:spacing w:val="-43"/>
        </w:rPr>
      </w:r>
      <w:r>
        <w:rPr/>
        <w:t>全部直接参考活跃市场中的报价。</w:t>
      </w:r>
    </w:p>
    <w:p>
      <w:pPr>
        <w:pStyle w:val="BodyText"/>
        <w:spacing w:line="240" w:lineRule="auto" w:before="165"/>
        <w:ind w:left="243" w:right="0"/>
        <w:jc w:val="both"/>
      </w:pPr>
      <w:r>
        <w:rPr/>
        <w:t>10、应收款项</w:t>
      </w:r>
    </w:p>
    <w:p>
      <w:pPr>
        <w:spacing w:line="240" w:lineRule="auto" w:before="9"/>
        <w:rPr>
          <w:rFonts w:ascii="宋体" w:hAnsi="宋体" w:cs="宋体" w:eastAsia="宋体" w:hint="default"/>
          <w:sz w:val="24"/>
          <w:szCs w:val="24"/>
        </w:rPr>
      </w:pPr>
    </w:p>
    <w:p>
      <w:pPr>
        <w:pStyle w:val="BodyText"/>
        <w:spacing w:line="240" w:lineRule="auto"/>
        <w:ind w:left="265" w:right="0"/>
        <w:jc w:val="both"/>
      </w:pPr>
      <w:r>
        <w:rPr/>
        <w:t>（1）单项金额重大并单项计提坏账准备的应收款项</w:t>
      </w:r>
    </w:p>
    <w:p>
      <w:pPr>
        <w:spacing w:line="240" w:lineRule="auto" w:before="7"/>
        <w:rPr>
          <w:rFonts w:ascii="宋体" w:hAnsi="宋体" w:cs="宋体" w:eastAsia="宋体" w:hint="default"/>
          <w:sz w:val="23"/>
          <w:szCs w:val="23"/>
        </w:rPr>
      </w:pPr>
    </w:p>
    <w:p>
      <w:pPr>
        <w:pStyle w:val="BodyText"/>
        <w:spacing w:line="400" w:lineRule="auto"/>
        <w:ind w:left="243" w:right="1579" w:firstLine="21"/>
        <w:jc w:val="both"/>
      </w:pPr>
      <w:r>
        <w:rPr/>
        <w:t>单项金额重大的应收款项是指单项金额超过100 万的应收账款和单项金额超过50</w:t>
      </w:r>
      <w:r>
        <w:rPr>
          <w:spacing w:val="78"/>
        </w:rPr>
        <w:t> </w:t>
      </w:r>
      <w:r>
        <w:rPr/>
        <w:t>万的其他应</w:t>
      </w:r>
      <w:r>
        <w:rPr>
          <w:w w:val="100"/>
        </w:rPr>
        <w:t> </w:t>
      </w:r>
      <w:r>
        <w:rPr/>
        <w:t>收款。</w:t>
      </w:r>
    </w:p>
    <w:p>
      <w:pPr>
        <w:spacing w:line="240" w:lineRule="auto" w:before="12"/>
        <w:rPr>
          <w:rFonts w:ascii="宋体" w:hAnsi="宋体" w:cs="宋体" w:eastAsia="宋体" w:hint="default"/>
          <w:sz w:val="13"/>
          <w:szCs w:val="13"/>
        </w:rPr>
      </w:pPr>
    </w:p>
    <w:p>
      <w:pPr>
        <w:pStyle w:val="BodyText"/>
        <w:spacing w:line="420" w:lineRule="auto"/>
        <w:ind w:left="243" w:right="1581"/>
        <w:jc w:val="both"/>
      </w:pPr>
      <w:r>
        <w:rPr/>
        <w:pict>
          <v:shape style="position:absolute;margin-left:103.08847pt;margin-top:24.561951pt;width:392.95pt;height:64.3pt;mso-position-horizontal-relative:page;mso-position-vertical-relative:paragraph;z-index:-554944;rotation:315" type="#_x0000_t136" fillcolor="#e0e0e0" stroked="f">
            <o:extrusion v:ext="view" autorotationcenter="t"/>
            <v:textpath style="font-family:&amp;quot;Arial&amp;quot;;font-size:64pt;v-text-kern:t;mso-text-shadow:auto" string="UnRegistered"/>
            <w10:wrap type="none"/>
          </v:shape>
        </w:pict>
      </w:r>
      <w:r>
        <w:rPr>
          <w:spacing w:val="-2"/>
        </w:rPr>
        <w:t>期末对于单项金额重大的应收款项运用个别认定法来评估资产减值损失，单独进行减值测试。</w:t>
      </w:r>
      <w:r>
        <w:rPr>
          <w:spacing w:val="-27"/>
        </w:rPr>
        <w:t> </w:t>
      </w:r>
      <w:r>
        <w:rPr>
          <w:spacing w:val="-27"/>
        </w:rPr>
      </w:r>
      <w:r>
        <w:rPr>
          <w:spacing w:val="-2"/>
        </w:rPr>
        <w:t>如有客观证据表明其发生了减值的，则将其账面价值减记至可收回金额，减记的金额确认为资</w:t>
      </w:r>
      <w:r>
        <w:rPr>
          <w:spacing w:val="-27"/>
        </w:rPr>
        <w:t> </w:t>
      </w:r>
      <w:r>
        <w:rPr>
          <w:spacing w:val="-27"/>
        </w:rPr>
      </w:r>
      <w:r>
        <w:rPr>
          <w:spacing w:val="-2"/>
        </w:rPr>
        <w:t>产减值损失，计入当期损益。可收回金额是通过对其未来现金流量（不包括尚未发生的信用损</w:t>
      </w:r>
      <w:r>
        <w:rPr>
          <w:spacing w:val="-27"/>
        </w:rPr>
        <w:t> </w:t>
      </w:r>
      <w:r>
        <w:rPr>
          <w:spacing w:val="-27"/>
        </w:rPr>
      </w:r>
      <w:r>
        <w:rPr>
          <w:spacing w:val="-5"/>
          <w:w w:val="100"/>
        </w:rPr>
        <w:t>失）按原实际利率折现确定，并考虑相关担保物的价值（扣除预计处置费用等）。</w:t>
      </w:r>
    </w:p>
    <w:p>
      <w:pPr>
        <w:pStyle w:val="BodyText"/>
        <w:spacing w:line="240" w:lineRule="auto" w:before="119"/>
        <w:ind w:left="262" w:right="0"/>
        <w:jc w:val="both"/>
      </w:pPr>
      <w:r>
        <w:rPr/>
        <w:t>（2）按组合计提坏账准备应收款项：</w:t>
      </w:r>
    </w:p>
    <w:p>
      <w:pPr>
        <w:spacing w:line="240" w:lineRule="auto" w:before="3"/>
        <w:rPr>
          <w:rFonts w:ascii="宋体" w:hAnsi="宋体" w:cs="宋体" w:eastAsia="宋体" w:hint="default"/>
          <w:sz w:val="20"/>
          <w:szCs w:val="20"/>
        </w:rPr>
      </w:pPr>
    </w:p>
    <w:p>
      <w:pPr>
        <w:pStyle w:val="BodyText"/>
        <w:spacing w:line="367" w:lineRule="auto"/>
        <w:ind w:left="265" w:right="1579"/>
        <w:jc w:val="both"/>
      </w:pPr>
      <w:r>
        <w:rPr/>
        <w:t>组合的确定依据和计提方法：除单项金额超过100</w:t>
      </w:r>
      <w:r>
        <w:rPr>
          <w:spacing w:val="39"/>
        </w:rPr>
        <w:t> </w:t>
      </w:r>
      <w:r>
        <w:rPr/>
        <w:t>万的应收账款和单项金额超过50</w:t>
      </w:r>
      <w:r>
        <w:rPr>
          <w:spacing w:val="39"/>
        </w:rPr>
        <w:t> </w:t>
      </w:r>
      <w:r>
        <w:rPr/>
        <w:t>万的其他</w:t>
      </w:r>
      <w:r>
        <w:rPr>
          <w:spacing w:val="-99"/>
        </w:rPr>
        <w:t> </w:t>
      </w:r>
      <w:r>
        <w:rPr>
          <w:spacing w:val="-99"/>
        </w:rPr>
      </w:r>
      <w:r>
        <w:rPr>
          <w:spacing w:val="-2"/>
        </w:rPr>
        <w:t>应收款外的单项金额不重大应收款项，以及经单独测试未减值的单项金额重大的应收款项一起</w:t>
      </w:r>
      <w:r>
        <w:rPr>
          <w:spacing w:val="-45"/>
        </w:rPr>
        <w:t> </w:t>
      </w:r>
      <w:r>
        <w:rPr>
          <w:spacing w:val="-45"/>
        </w:rPr>
      </w:r>
      <w:r>
        <w:rPr/>
        <w:t>按帐龄组合计提坏帐准备。</w:t>
      </w:r>
    </w:p>
    <w:p>
      <w:pPr>
        <w:pStyle w:val="BodyText"/>
        <w:spacing w:line="240" w:lineRule="auto" w:before="154"/>
        <w:ind w:left="243" w:right="0"/>
        <w:jc w:val="both"/>
      </w:pPr>
      <w:r>
        <w:rPr/>
        <w:t>（3）组合中，采用账龄分析法计提坏账准备的：</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966"/>
        <w:gridCol w:w="2366"/>
        <w:gridCol w:w="1886"/>
        <w:gridCol w:w="2551"/>
      </w:tblGrid>
      <w:tr>
        <w:trPr>
          <w:trHeight w:val="482" w:hRule="exact"/>
        </w:trPr>
        <w:tc>
          <w:tcPr>
            <w:tcW w:w="19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应收账款账龄</w:t>
            </w:r>
          </w:p>
        </w:tc>
        <w:tc>
          <w:tcPr>
            <w:tcW w:w="2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应收账款坏账计提比例</w:t>
            </w:r>
          </w:p>
        </w:tc>
        <w:tc>
          <w:tcPr>
            <w:tcW w:w="18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其他应收款账龄</w:t>
            </w:r>
          </w:p>
        </w:tc>
        <w:tc>
          <w:tcPr>
            <w:tcW w:w="25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其他应收款坏账计提比例</w:t>
            </w:r>
          </w:p>
        </w:tc>
      </w:tr>
      <w:tr>
        <w:trPr>
          <w:trHeight w:val="47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未到期（信用期内）</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未到期（信用期内）</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5%</w:t>
            </w:r>
          </w:p>
        </w:tc>
      </w:tr>
      <w:tr>
        <w:trPr>
          <w:trHeight w:val="47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5%</w:t>
            </w:r>
          </w:p>
        </w:tc>
      </w:tr>
      <w:tr>
        <w:trPr>
          <w:trHeight w:val="45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10%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10%</w:t>
            </w:r>
          </w:p>
        </w:tc>
      </w:tr>
      <w:tr>
        <w:trPr>
          <w:trHeight w:val="47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30%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30%</w:t>
            </w:r>
          </w:p>
        </w:tc>
      </w:tr>
      <w:tr>
        <w:trPr>
          <w:trHeight w:val="47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50%</w:t>
            </w:r>
          </w:p>
        </w:tc>
      </w:tr>
      <w:tr>
        <w:trPr>
          <w:trHeight w:val="47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80%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80%</w:t>
            </w:r>
          </w:p>
        </w:tc>
      </w:tr>
    </w:tbl>
    <w:p>
      <w:pPr>
        <w:spacing w:after="0" w:line="240" w:lineRule="auto"/>
        <w:jc w:val="center"/>
        <w:rPr>
          <w:rFonts w:ascii="宋体" w:hAnsi="宋体" w:cs="宋体" w:eastAsia="宋体" w:hint="default"/>
          <w:sz w:val="21"/>
          <w:szCs w:val="21"/>
        </w:rPr>
        <w:sectPr>
          <w:footerReference w:type="default" r:id="rId18"/>
          <w:pgSz w:w="11910" w:h="16840"/>
          <w:pgMar w:footer="837" w:header="929" w:top="1140" w:bottom="1020" w:left="1460" w:right="0"/>
          <w:pgNumType w:start="40"/>
        </w:sectPr>
      </w:pPr>
    </w:p>
    <w:p>
      <w:pPr>
        <w:spacing w:line="240" w:lineRule="auto" w:before="7"/>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966"/>
        <w:gridCol w:w="2366"/>
        <w:gridCol w:w="1886"/>
        <w:gridCol w:w="2551"/>
      </w:tblGrid>
      <w:tr>
        <w:trPr>
          <w:trHeight w:val="482"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100%</w:t>
            </w:r>
          </w:p>
        </w:tc>
        <w:tc>
          <w:tcPr>
            <w:tcW w:w="1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100%</w:t>
            </w:r>
          </w:p>
        </w:tc>
      </w:tr>
    </w:tbl>
    <w:p>
      <w:pPr>
        <w:spacing w:line="240" w:lineRule="auto" w:before="4"/>
        <w:rPr>
          <w:rFonts w:ascii="宋体" w:hAnsi="宋体" w:cs="宋体" w:eastAsia="宋体" w:hint="default"/>
          <w:sz w:val="13"/>
          <w:szCs w:val="13"/>
        </w:rPr>
      </w:pPr>
    </w:p>
    <w:p>
      <w:pPr>
        <w:pStyle w:val="BodyText"/>
        <w:spacing w:line="240" w:lineRule="auto" w:before="36"/>
        <w:ind w:left="243" w:right="0"/>
        <w:jc w:val="both"/>
      </w:pPr>
      <w:r>
        <w:rPr/>
        <w:t>（4）合并报表范围内的关联方往来不计提坏账准备。</w:t>
      </w:r>
    </w:p>
    <w:p>
      <w:pPr>
        <w:spacing w:line="240" w:lineRule="auto" w:before="3"/>
        <w:rPr>
          <w:rFonts w:ascii="宋体" w:hAnsi="宋体" w:cs="宋体" w:eastAsia="宋体" w:hint="default"/>
          <w:sz w:val="20"/>
          <w:szCs w:val="20"/>
        </w:rPr>
      </w:pPr>
    </w:p>
    <w:p>
      <w:pPr>
        <w:pStyle w:val="BodyText"/>
        <w:spacing w:line="240" w:lineRule="auto"/>
        <w:ind w:left="243" w:right="0"/>
        <w:jc w:val="both"/>
      </w:pPr>
      <w:r>
        <w:rPr/>
        <w:t>（5）预付款项计提方法如下：</w:t>
      </w:r>
    </w:p>
    <w:p>
      <w:pPr>
        <w:spacing w:line="240" w:lineRule="auto" w:before="3"/>
        <w:rPr>
          <w:rFonts w:ascii="宋体" w:hAnsi="宋体" w:cs="宋体" w:eastAsia="宋体" w:hint="default"/>
          <w:sz w:val="20"/>
          <w:szCs w:val="20"/>
        </w:rPr>
      </w:pPr>
    </w:p>
    <w:p>
      <w:pPr>
        <w:pStyle w:val="BodyText"/>
        <w:spacing w:line="367" w:lineRule="auto"/>
        <w:ind w:left="265" w:right="1579"/>
        <w:jc w:val="both"/>
      </w:pPr>
      <w:r>
        <w:rPr>
          <w:spacing w:val="-2"/>
        </w:rPr>
        <w:t>预付款项按个别计提法，对单项金额重大且账龄超过一年的预付款项运用个别认定法单独进行</w:t>
      </w:r>
      <w:r>
        <w:rPr>
          <w:spacing w:val="-47"/>
        </w:rPr>
        <w:t> </w:t>
      </w:r>
      <w:r>
        <w:rPr>
          <w:spacing w:val="-47"/>
        </w:rPr>
      </w:r>
      <w:r>
        <w:rPr>
          <w:spacing w:val="-2"/>
        </w:rPr>
        <w:t>减值测试，经测试发生了减值的，按其未来现金流量现值低于其账面价值的差额，确定减值损</w:t>
      </w:r>
      <w:r>
        <w:rPr>
          <w:spacing w:val="-46"/>
        </w:rPr>
        <w:t> </w:t>
      </w:r>
      <w:r>
        <w:rPr>
          <w:spacing w:val="-46"/>
        </w:rPr>
      </w:r>
      <w:r>
        <w:rPr/>
        <w:t>失，计提坏账准备。</w:t>
      </w:r>
    </w:p>
    <w:p>
      <w:pPr>
        <w:pStyle w:val="BodyText"/>
        <w:spacing w:line="240" w:lineRule="auto" w:before="154"/>
        <w:ind w:left="243" w:right="0"/>
        <w:jc w:val="both"/>
      </w:pPr>
      <w:r>
        <w:rPr/>
        <w:t>11、存货核算方法</w:t>
      </w:r>
    </w:p>
    <w:p>
      <w:pPr>
        <w:spacing w:line="240" w:lineRule="auto" w:before="3"/>
        <w:rPr>
          <w:rFonts w:ascii="宋体" w:hAnsi="宋体" w:cs="宋体" w:eastAsia="宋体" w:hint="default"/>
          <w:sz w:val="20"/>
          <w:szCs w:val="20"/>
        </w:rPr>
      </w:pPr>
    </w:p>
    <w:p>
      <w:pPr>
        <w:pStyle w:val="BodyText"/>
        <w:spacing w:line="240" w:lineRule="auto"/>
        <w:ind w:left="243" w:right="0"/>
        <w:jc w:val="both"/>
      </w:pPr>
      <w:r>
        <w:rPr/>
        <w:t>（1）存货的分类</w:t>
      </w:r>
    </w:p>
    <w:p>
      <w:pPr>
        <w:spacing w:line="240" w:lineRule="auto" w:before="3"/>
        <w:rPr>
          <w:rFonts w:ascii="宋体" w:hAnsi="宋体" w:cs="宋体" w:eastAsia="宋体" w:hint="default"/>
          <w:sz w:val="20"/>
          <w:szCs w:val="20"/>
        </w:rPr>
      </w:pPr>
    </w:p>
    <w:p>
      <w:pPr>
        <w:pStyle w:val="BodyText"/>
        <w:spacing w:line="367" w:lineRule="auto"/>
        <w:ind w:left="243" w:right="1354"/>
        <w:jc w:val="left"/>
      </w:pPr>
      <w:r>
        <w:rPr/>
        <w:t>存货按房地产开发产品和非房地产开发产品分类。房地产开发产品包括已完工开发产品、在建</w:t>
      </w:r>
      <w:r>
        <w:rPr>
          <w:w w:val="100"/>
        </w:rPr>
        <w:t> </w:t>
      </w:r>
      <w:r>
        <w:rPr>
          <w:spacing w:val="-4"/>
        </w:rPr>
        <w:t>开发产品和拟开发土地，非房地产开发产品分为原材料、半产品、产成品、在产品、库存商品、</w:t>
      </w:r>
      <w:r>
        <w:rPr>
          <w:spacing w:val="-44"/>
        </w:rPr>
        <w:t> </w:t>
      </w:r>
      <w:r>
        <w:rPr>
          <w:spacing w:val="-44"/>
        </w:rPr>
      </w:r>
      <w:r>
        <w:rPr/>
        <w:t>低值易耗品等六大类。</w:t>
      </w:r>
    </w:p>
    <w:p>
      <w:pPr>
        <w:pStyle w:val="BodyText"/>
        <w:spacing w:line="367" w:lineRule="auto" w:before="154"/>
        <w:ind w:left="243" w:right="1581"/>
        <w:jc w:val="both"/>
      </w:pPr>
      <w:r>
        <w:rPr/>
        <w:pict>
          <v:shape style="position:absolute;margin-left:103.08847pt;margin-top:53.621967pt;width:392.95pt;height:64.3pt;mso-position-horizontal-relative:page;mso-position-vertical-relative:paragraph;z-index:-554920;rotation:315" type="#_x0000_t136" fillcolor="#e0e0e0" stroked="f">
            <o:extrusion v:ext="view" autorotationcenter="t"/>
            <v:textpath style="font-family:&amp;quot;Arial&amp;quot;;font-size:64pt;v-text-kern:t;mso-text-shadow:auto" string="UnRegistered"/>
            <w10:wrap type="none"/>
          </v:shape>
        </w:pict>
      </w:r>
      <w:r>
        <w:rPr>
          <w:spacing w:val="-2"/>
        </w:rPr>
        <w:t>已完工开发产品是指已建成、待出售的物业；在建开发产品是指尚未建成、以出售为开发目的</w:t>
      </w:r>
      <w:r>
        <w:rPr>
          <w:spacing w:val="-26"/>
        </w:rPr>
        <w:t> </w:t>
      </w:r>
      <w:r>
        <w:rPr>
          <w:spacing w:val="-26"/>
        </w:rPr>
      </w:r>
      <w:r>
        <w:rPr>
          <w:spacing w:val="-2"/>
        </w:rPr>
        <w:t>的物业；拟开发土地是指所购入的、已决定将之发展为出售物业的土地，项目整体开发时全部</w:t>
      </w:r>
      <w:r>
        <w:rPr>
          <w:spacing w:val="-27"/>
        </w:rPr>
        <w:t> </w:t>
      </w:r>
      <w:r>
        <w:rPr>
          <w:spacing w:val="-27"/>
        </w:rPr>
      </w:r>
      <w:r>
        <w:rPr>
          <w:spacing w:val="-2"/>
        </w:rPr>
        <w:t>转入在建开发产品，项目分期开发时将分期开发用地部分转入在建开发产品，后期未开发土地</w:t>
      </w:r>
      <w:r>
        <w:rPr>
          <w:spacing w:val="-25"/>
        </w:rPr>
        <w:t> </w:t>
      </w:r>
      <w:r>
        <w:rPr>
          <w:spacing w:val="-25"/>
        </w:rPr>
      </w:r>
      <w:r>
        <w:rPr/>
        <w:t>仍保留在本项目。</w:t>
      </w:r>
    </w:p>
    <w:p>
      <w:pPr>
        <w:pStyle w:val="BodyText"/>
        <w:spacing w:line="240" w:lineRule="auto" w:before="170"/>
        <w:ind w:left="243" w:right="0"/>
        <w:jc w:val="both"/>
      </w:pPr>
      <w:r>
        <w:rPr/>
        <w:t>（2）发出存货的计价方法</w:t>
      </w:r>
    </w:p>
    <w:p>
      <w:pPr>
        <w:spacing w:line="240" w:lineRule="auto" w:before="12"/>
        <w:rPr>
          <w:rFonts w:ascii="宋体" w:hAnsi="宋体" w:cs="宋体" w:eastAsia="宋体" w:hint="default"/>
          <w:sz w:val="21"/>
          <w:szCs w:val="21"/>
        </w:rPr>
      </w:pPr>
    </w:p>
    <w:p>
      <w:pPr>
        <w:pStyle w:val="BodyText"/>
        <w:spacing w:line="240" w:lineRule="auto"/>
        <w:ind w:left="243" w:right="0"/>
        <w:jc w:val="both"/>
      </w:pPr>
      <w:r>
        <w:rPr/>
        <w:t>公共配套设施按实际成本计入开发成本，完工时转入可售物业的成本。</w:t>
      </w:r>
    </w:p>
    <w:p>
      <w:pPr>
        <w:spacing w:line="240" w:lineRule="auto" w:before="10"/>
        <w:rPr>
          <w:rFonts w:ascii="宋体" w:hAnsi="宋体" w:cs="宋体" w:eastAsia="宋体" w:hint="default"/>
          <w:sz w:val="21"/>
          <w:szCs w:val="21"/>
        </w:rPr>
      </w:pPr>
    </w:p>
    <w:p>
      <w:pPr>
        <w:pStyle w:val="BodyText"/>
        <w:spacing w:line="384" w:lineRule="auto"/>
        <w:ind w:left="243" w:right="1579"/>
        <w:jc w:val="both"/>
      </w:pPr>
      <w:r>
        <w:rPr>
          <w:spacing w:val="-7"/>
          <w:w w:val="100"/>
        </w:rPr>
        <w:t>质量保证金按施工单位工程款的一定比例预留，列入“其他应付款”，待工程验收合格并在约定</w:t>
      </w:r>
      <w:r>
        <w:rPr>
          <w:spacing w:val="-74"/>
          <w:w w:val="100"/>
        </w:rPr>
        <w:t> </w:t>
      </w:r>
      <w:r>
        <w:rPr>
          <w:spacing w:val="-74"/>
          <w:w w:val="100"/>
        </w:rPr>
      </w:r>
      <w:r>
        <w:rPr/>
        <w:t>的保质期内无质量问题时，支付给施工单位。</w:t>
      </w:r>
    </w:p>
    <w:p>
      <w:pPr>
        <w:pStyle w:val="BodyText"/>
        <w:spacing w:line="384" w:lineRule="auto" w:before="160"/>
        <w:ind w:left="243" w:right="1581"/>
        <w:jc w:val="both"/>
      </w:pPr>
      <w:r>
        <w:rPr>
          <w:spacing w:val="-2"/>
        </w:rPr>
        <w:t>购入原材料按实际成本入账，发出原材料的成本采用加权平均法核算；入库产成品按实际生产</w:t>
      </w:r>
      <w:r>
        <w:rPr>
          <w:spacing w:val="-26"/>
        </w:rPr>
        <w:t> </w:t>
      </w:r>
      <w:r>
        <w:rPr>
          <w:spacing w:val="-26"/>
        </w:rPr>
      </w:r>
      <w:r>
        <w:rPr/>
        <w:t>成本核算，发出产成品采用加权平均法核算，低值易耗品采用一次摊销法核算。</w:t>
      </w:r>
    </w:p>
    <w:p>
      <w:pPr>
        <w:pStyle w:val="BodyText"/>
        <w:spacing w:line="240" w:lineRule="auto" w:before="158"/>
        <w:ind w:left="243" w:right="0"/>
        <w:jc w:val="both"/>
      </w:pPr>
      <w:r>
        <w:rPr/>
        <w:t>（3）存货可变现净值的确定依据及存货跌价准备的计提方法</w:t>
      </w:r>
    </w:p>
    <w:p>
      <w:pPr>
        <w:spacing w:line="240" w:lineRule="auto" w:before="12"/>
        <w:rPr>
          <w:rFonts w:ascii="宋体" w:hAnsi="宋体" w:cs="宋体" w:eastAsia="宋体" w:hint="default"/>
          <w:sz w:val="21"/>
          <w:szCs w:val="21"/>
        </w:rPr>
      </w:pPr>
    </w:p>
    <w:p>
      <w:pPr>
        <w:pStyle w:val="BodyText"/>
        <w:spacing w:line="384" w:lineRule="auto"/>
        <w:ind w:left="243" w:right="1581"/>
        <w:jc w:val="both"/>
      </w:pPr>
      <w:r>
        <w:rPr>
          <w:spacing w:val="-2"/>
        </w:rPr>
        <w:t>期末，在对存货进行全面盘点的基础上，对存货遭受毁损，全部或部分陈旧过时或销售价格低</w:t>
      </w:r>
      <w:r>
        <w:rPr>
          <w:spacing w:val="-26"/>
        </w:rPr>
        <w:t> </w:t>
      </w:r>
      <w:r>
        <w:rPr>
          <w:spacing w:val="-26"/>
        </w:rPr>
      </w:r>
      <w:r>
        <w:rPr>
          <w:spacing w:val="-2"/>
        </w:rPr>
        <w:t>于成本等原因，预计其成本不可收回的部分，提取存货跌价准备，提取时按单个存货项目的成</w:t>
      </w:r>
      <w:r>
        <w:rPr>
          <w:spacing w:val="-27"/>
        </w:rPr>
        <w:t> </w:t>
      </w:r>
      <w:r>
        <w:rPr>
          <w:spacing w:val="-27"/>
        </w:rPr>
      </w:r>
      <w:r>
        <w:rPr>
          <w:spacing w:val="-2"/>
        </w:rPr>
        <w:t>本低于其可变现净值的差额确定。房地产开发产品的可变现净值是指单个开发成本、开发产品</w:t>
      </w:r>
      <w:r>
        <w:rPr>
          <w:spacing w:val="-25"/>
        </w:rPr>
        <w:t> </w:t>
      </w:r>
      <w:r>
        <w:rPr>
          <w:spacing w:val="-25"/>
        </w:rPr>
      </w:r>
      <w:r>
        <w:rPr/>
        <w:t>在资产负债表日以估计售价减去估计完工成本及销售所必需的估计费用后的价值。</w:t>
      </w:r>
    </w:p>
    <w:p>
      <w:pPr>
        <w:pStyle w:val="BodyText"/>
        <w:spacing w:line="240" w:lineRule="auto" w:before="158"/>
        <w:ind w:left="243" w:right="0"/>
        <w:jc w:val="both"/>
      </w:pPr>
      <w:r>
        <w:rPr/>
        <w:t>12、长期股权投资核算方法</w:t>
      </w:r>
    </w:p>
    <w:p>
      <w:pPr>
        <w:spacing w:line="240" w:lineRule="auto" w:before="10"/>
        <w:rPr>
          <w:rFonts w:ascii="宋体" w:hAnsi="宋体" w:cs="宋体" w:eastAsia="宋体" w:hint="default"/>
          <w:sz w:val="21"/>
          <w:szCs w:val="21"/>
        </w:rPr>
      </w:pPr>
    </w:p>
    <w:p>
      <w:pPr>
        <w:pStyle w:val="BodyText"/>
        <w:spacing w:line="240" w:lineRule="auto"/>
        <w:ind w:left="243" w:right="0"/>
        <w:jc w:val="both"/>
      </w:pPr>
      <w:r>
        <w:rPr/>
        <w:t>（1）投资成本的确定</w:t>
      </w:r>
    </w:p>
    <w:p>
      <w:pPr>
        <w:spacing w:after="0" w:line="240" w:lineRule="auto"/>
        <w:jc w:val="both"/>
        <w:sectPr>
          <w:pgSz w:w="11910" w:h="16840"/>
          <w:pgMar w:header="929" w:footer="837" w:top="1140" w:bottom="1020" w:left="1460" w:right="0"/>
        </w:sectPr>
      </w:pPr>
    </w:p>
    <w:p>
      <w:pPr>
        <w:spacing w:line="240" w:lineRule="auto" w:before="12"/>
        <w:rPr>
          <w:rFonts w:ascii="宋体" w:hAnsi="宋体" w:cs="宋体" w:eastAsia="宋体" w:hint="default"/>
          <w:sz w:val="21"/>
          <w:szCs w:val="21"/>
        </w:rPr>
      </w:pPr>
    </w:p>
    <w:p>
      <w:pPr>
        <w:pStyle w:val="BodyText"/>
        <w:spacing w:line="384" w:lineRule="auto" w:before="36"/>
        <w:ind w:right="1581"/>
        <w:jc w:val="both"/>
      </w:pPr>
      <w:r>
        <w:rPr>
          <w:spacing w:val="-2"/>
        </w:rPr>
        <w:t>企业合并形成的长期股权投资，按照下列原则确定其投资成本：同一控制下的企业合并形成的</w:t>
      </w:r>
      <w:r>
        <w:rPr>
          <w:spacing w:val="-27"/>
        </w:rPr>
        <w:t> </w:t>
      </w:r>
      <w:r>
        <w:rPr>
          <w:spacing w:val="-27"/>
        </w:rPr>
      </w:r>
      <w:r>
        <w:rPr>
          <w:spacing w:val="-2"/>
        </w:rPr>
        <w:t>长期股权投资，按照取得被合并方所有者权益账面价值的份额作为长期股权投资的投资成本，</w:t>
      </w:r>
      <w:r>
        <w:rPr>
          <w:spacing w:val="-26"/>
        </w:rPr>
        <w:t> </w:t>
      </w:r>
      <w:r>
        <w:rPr>
          <w:spacing w:val="-26"/>
        </w:rPr>
      </w:r>
      <w:r>
        <w:rPr>
          <w:spacing w:val="-2"/>
        </w:rPr>
        <w:t>为进行企业合并发生的各项直接相关费用于发生时计入当期损益；非同一控制下的企业合并形</w:t>
      </w:r>
      <w:r>
        <w:rPr>
          <w:spacing w:val="-26"/>
        </w:rPr>
        <w:t> </w:t>
      </w:r>
      <w:r>
        <w:rPr>
          <w:spacing w:val="-26"/>
        </w:rPr>
      </w:r>
      <w:r>
        <w:rPr>
          <w:spacing w:val="-2"/>
        </w:rPr>
        <w:t>成的长期股权投资，以为取得对被购买方的控制权而付出的资产、发生或承担的负债以及发行</w:t>
      </w:r>
      <w:r>
        <w:rPr>
          <w:spacing w:val="-26"/>
        </w:rPr>
        <w:t> </w:t>
      </w:r>
      <w:r>
        <w:rPr>
          <w:spacing w:val="-26"/>
        </w:rPr>
      </w:r>
      <w:r>
        <w:rPr>
          <w:spacing w:val="-2"/>
        </w:rPr>
        <w:t>的权益性证券的公允价值作为长期股权投资的投资成本，为进行企业合并发生的各项直接相关</w:t>
      </w:r>
      <w:r>
        <w:rPr>
          <w:spacing w:val="-27"/>
        </w:rPr>
        <w:t> </w:t>
      </w:r>
      <w:r>
        <w:rPr>
          <w:spacing w:val="-27"/>
        </w:rPr>
      </w:r>
      <w:r>
        <w:rPr/>
        <w:t>费用计入当期损益。</w:t>
      </w:r>
    </w:p>
    <w:p>
      <w:pPr>
        <w:pStyle w:val="BodyText"/>
        <w:spacing w:line="384" w:lineRule="auto" w:before="158"/>
        <w:ind w:right="1581"/>
        <w:jc w:val="both"/>
      </w:pPr>
      <w:r>
        <w:rPr>
          <w:spacing w:val="-2"/>
        </w:rPr>
        <w:t>以支付现金取得的长期股权投资，按照实际支付的购买价款作为投资成本。投资成本包括与取</w:t>
      </w:r>
      <w:r>
        <w:rPr>
          <w:spacing w:val="-26"/>
        </w:rPr>
        <w:t> </w:t>
      </w:r>
      <w:r>
        <w:rPr>
          <w:spacing w:val="-26"/>
        </w:rPr>
      </w:r>
      <w:r>
        <w:rPr>
          <w:spacing w:val="-2"/>
        </w:rPr>
        <w:t>得长期股权投资直接相关的费用、税金及其他必要的支出，但实际支付的价款中包含已宣告但</w:t>
      </w:r>
      <w:r>
        <w:rPr>
          <w:spacing w:val="-25"/>
        </w:rPr>
        <w:t> </w:t>
      </w:r>
      <w:r>
        <w:rPr>
          <w:spacing w:val="-25"/>
        </w:rPr>
      </w:r>
      <w:r>
        <w:rPr/>
        <w:t>尚未领取的现金股利，作为应收项目单独核算。</w:t>
      </w:r>
    </w:p>
    <w:p>
      <w:pPr>
        <w:pStyle w:val="BodyText"/>
        <w:spacing w:line="240" w:lineRule="auto" w:before="158"/>
        <w:ind w:right="0"/>
        <w:jc w:val="both"/>
      </w:pPr>
      <w:r>
        <w:rPr/>
        <w:t>以发行权益性证券取得的长期股权投资，应当按照发行权益性证券的公允价值作为投资成本。</w:t>
      </w:r>
    </w:p>
    <w:p>
      <w:pPr>
        <w:spacing w:line="240" w:lineRule="auto" w:before="12"/>
        <w:rPr>
          <w:rFonts w:ascii="宋体" w:hAnsi="宋体" w:cs="宋体" w:eastAsia="宋体" w:hint="default"/>
          <w:sz w:val="21"/>
          <w:szCs w:val="21"/>
        </w:rPr>
      </w:pPr>
    </w:p>
    <w:p>
      <w:pPr>
        <w:pStyle w:val="BodyText"/>
        <w:spacing w:line="384" w:lineRule="auto"/>
        <w:ind w:right="1581"/>
        <w:jc w:val="both"/>
      </w:pPr>
      <w:r>
        <w:rPr>
          <w:spacing w:val="-2"/>
        </w:rPr>
        <w:t>投资人投入的长期股权投资，投资合同或协议约定的价值作为投资成本，但合同或协议约定价</w:t>
      </w:r>
      <w:r>
        <w:rPr>
          <w:spacing w:val="-27"/>
        </w:rPr>
        <w:t> </w:t>
      </w:r>
      <w:r>
        <w:rPr>
          <w:spacing w:val="-27"/>
        </w:rPr>
      </w:r>
      <w:r>
        <w:rPr/>
        <w:t>值不公允的除外。</w:t>
      </w:r>
    </w:p>
    <w:p>
      <w:pPr>
        <w:pStyle w:val="BodyText"/>
        <w:spacing w:line="400" w:lineRule="auto" w:before="172"/>
        <w:ind w:right="1581"/>
        <w:jc w:val="both"/>
      </w:pPr>
      <w:r>
        <w:rPr/>
        <w:pict>
          <v:shape style="position:absolute;margin-left:103.08847pt;margin-top:42.041954pt;width:392.95pt;height:64.3pt;mso-position-horizontal-relative:page;mso-position-vertical-relative:paragraph;z-index:-554896;rotation:315" type="#_x0000_t136" fillcolor="#e0e0e0" stroked="f">
            <o:extrusion v:ext="view" autorotationcenter="t"/>
            <v:textpath style="font-family:&amp;quot;Arial&amp;quot;;font-size:64pt;v-text-kern:t;mso-text-shadow:auto" string="UnRegistered"/>
            <w10:wrap type="none"/>
          </v:shape>
        </w:pict>
      </w:r>
      <w:r>
        <w:rPr>
          <w:spacing w:val="-2"/>
        </w:rPr>
        <w:t>以非货币性资产交换取得的长期股权投资，如果该项交换具有商业实质且换入资产或换出资产</w:t>
      </w:r>
      <w:r>
        <w:rPr>
          <w:spacing w:val="-26"/>
        </w:rPr>
        <w:t> </w:t>
      </w:r>
      <w:r>
        <w:rPr>
          <w:spacing w:val="-26"/>
        </w:rPr>
      </w:r>
      <w:r>
        <w:rPr>
          <w:spacing w:val="-2"/>
        </w:rPr>
        <w:t>的公允价值能可靠计量，则以换出资产的公允价值和相关税费作为投资成本，换出资产的公允</w:t>
      </w:r>
      <w:r>
        <w:rPr>
          <w:spacing w:val="-26"/>
        </w:rPr>
        <w:t> </w:t>
      </w:r>
      <w:r>
        <w:rPr>
          <w:spacing w:val="-26"/>
        </w:rPr>
      </w:r>
      <w:r>
        <w:rPr>
          <w:spacing w:val="-2"/>
        </w:rPr>
        <w:t>价值与账面价值之间的差额计入当期损益；若非货币资产交换不同时具备上述两条件，则按换</w:t>
      </w:r>
      <w:r>
        <w:rPr>
          <w:spacing w:val="-27"/>
        </w:rPr>
        <w:t> </w:t>
      </w:r>
      <w:r>
        <w:rPr>
          <w:spacing w:val="-27"/>
        </w:rPr>
      </w:r>
      <w:r>
        <w:rPr/>
        <w:t>出资产的账面价值和相关税费作为投资成本。</w:t>
      </w:r>
    </w:p>
    <w:p>
      <w:pPr>
        <w:pStyle w:val="BodyText"/>
        <w:spacing w:line="403" w:lineRule="auto" w:before="165"/>
        <w:ind w:right="1581"/>
        <w:jc w:val="both"/>
      </w:pPr>
      <w:r>
        <w:rPr>
          <w:spacing w:val="-2"/>
        </w:rPr>
        <w:t>以债务重组方式取得的长期股权投资，按取得的股权的公允价值作为投资成本，投资成本与债</w:t>
      </w:r>
      <w:r>
        <w:rPr>
          <w:spacing w:val="-27"/>
        </w:rPr>
        <w:t> </w:t>
      </w:r>
      <w:r>
        <w:rPr>
          <w:spacing w:val="-27"/>
        </w:rPr>
      </w:r>
      <w:r>
        <w:rPr/>
        <w:t>权账面价值之间的差额计入当期损益。</w:t>
      </w:r>
    </w:p>
    <w:p>
      <w:pPr>
        <w:pStyle w:val="BodyText"/>
        <w:spacing w:line="240" w:lineRule="auto" w:before="160"/>
        <w:ind w:right="0"/>
        <w:jc w:val="both"/>
      </w:pPr>
      <w:r>
        <w:rPr/>
        <w:t>（2）后续计量及损益确认方法</w:t>
      </w:r>
    </w:p>
    <w:p>
      <w:pPr>
        <w:spacing w:line="240" w:lineRule="auto" w:before="5"/>
        <w:rPr>
          <w:rFonts w:ascii="宋体" w:hAnsi="宋体" w:cs="宋体" w:eastAsia="宋体" w:hint="default"/>
          <w:sz w:val="23"/>
          <w:szCs w:val="23"/>
        </w:rPr>
      </w:pPr>
    </w:p>
    <w:p>
      <w:pPr>
        <w:pStyle w:val="BodyText"/>
        <w:spacing w:line="400" w:lineRule="auto"/>
        <w:ind w:right="1581"/>
        <w:jc w:val="both"/>
      </w:pPr>
      <w:r>
        <w:rPr>
          <w:spacing w:val="-2"/>
        </w:rPr>
        <w:t>后续计量：公司对子公司长期股权投资和其他股权投资采用成本法核算。在编制合并报表时按</w:t>
      </w:r>
      <w:r>
        <w:rPr>
          <w:spacing w:val="-26"/>
        </w:rPr>
        <w:t> </w:t>
      </w:r>
      <w:r>
        <w:rPr>
          <w:spacing w:val="-26"/>
        </w:rPr>
      </w:r>
      <w:r>
        <w:rPr>
          <w:spacing w:val="-2"/>
        </w:rPr>
        <w:t>照权益法对子公司长期股权投资进行调整。对合营企业长期股权投资、对联营企业长期股权投</w:t>
      </w:r>
      <w:r>
        <w:rPr>
          <w:spacing w:val="-26"/>
        </w:rPr>
        <w:t> </w:t>
      </w:r>
      <w:r>
        <w:rPr>
          <w:spacing w:val="-26"/>
        </w:rPr>
      </w:r>
      <w:r>
        <w:rPr/>
        <w:t>资采用权益法核算。</w:t>
      </w:r>
    </w:p>
    <w:p>
      <w:pPr>
        <w:pStyle w:val="BodyText"/>
        <w:spacing w:line="403" w:lineRule="auto" w:before="165"/>
        <w:ind w:right="1581"/>
        <w:jc w:val="both"/>
      </w:pPr>
      <w:r>
        <w:rPr>
          <w:spacing w:val="-2"/>
        </w:rPr>
        <w:t>损益确认方法：采用成本法核算的长期股权投资按照投资成本计价。追加或收回投资调整长期</w:t>
      </w:r>
      <w:r>
        <w:rPr>
          <w:spacing w:val="-27"/>
        </w:rPr>
        <w:t> </w:t>
      </w:r>
      <w:r>
        <w:rPr>
          <w:spacing w:val="-27"/>
        </w:rPr>
      </w:r>
      <w:r>
        <w:rPr/>
        <w:t>股权投资的成本。被投资单位宣告分派的现金股利或利润，确认为当期投资收益。</w:t>
      </w:r>
    </w:p>
    <w:p>
      <w:pPr>
        <w:pStyle w:val="BodyText"/>
        <w:spacing w:line="400" w:lineRule="auto" w:before="160"/>
        <w:ind w:right="1402"/>
        <w:jc w:val="left"/>
      </w:pPr>
      <w:r>
        <w:rPr/>
        <w:t>采用权益法核算的长期股权投资，按照应享有被投资单位实现净损益的份额，确认投资收益并</w:t>
      </w:r>
      <w:r>
        <w:rPr>
          <w:w w:val="100"/>
        </w:rPr>
        <w:t> </w:t>
      </w:r>
      <w:r>
        <w:rPr>
          <w:spacing w:val="-4"/>
          <w:w w:val="100"/>
        </w:rPr>
        <w:t>调整长期股权投资的账面价值。按照被投资单位宣告分派的利润或现金股利计算应分得的部分，</w:t>
      </w:r>
      <w:r>
        <w:rPr>
          <w:spacing w:val="-94"/>
          <w:w w:val="100"/>
        </w:rPr>
        <w:t> </w:t>
      </w:r>
      <w:r>
        <w:rPr>
          <w:spacing w:val="-94"/>
          <w:w w:val="100"/>
        </w:rPr>
      </w:r>
      <w:r>
        <w:rPr/>
        <w:t>相应减少长期股权投资的账面价值。对于被投资单位除净损益以外所有者权益的其他变动，调</w:t>
      </w:r>
      <w:r>
        <w:rPr>
          <w:w w:val="100"/>
        </w:rPr>
        <w:t> </w:t>
      </w:r>
      <w:r>
        <w:rPr/>
        <w:t>整长期股权投资的账面价值并计入所有者权益。</w:t>
      </w:r>
    </w:p>
    <w:p>
      <w:pPr>
        <w:spacing w:after="0" w:line="400" w:lineRule="auto"/>
        <w:jc w:val="left"/>
        <w:sectPr>
          <w:pgSz w:w="11910" w:h="16840"/>
          <w:pgMar w:header="929" w:footer="837" w:top="1140" w:bottom="1020" w:left="1600" w:right="0"/>
        </w:sectPr>
      </w:pPr>
    </w:p>
    <w:p>
      <w:pPr>
        <w:spacing w:line="240" w:lineRule="auto" w:before="1"/>
        <w:rPr>
          <w:rFonts w:ascii="宋体" w:hAnsi="宋体" w:cs="宋体" w:eastAsia="宋体" w:hint="default"/>
          <w:sz w:val="23"/>
          <w:szCs w:val="23"/>
        </w:rPr>
      </w:pPr>
    </w:p>
    <w:p>
      <w:pPr>
        <w:pStyle w:val="BodyText"/>
        <w:spacing w:line="403" w:lineRule="auto" w:before="36"/>
        <w:ind w:right="1581"/>
        <w:jc w:val="both"/>
      </w:pPr>
      <w:r>
        <w:rPr>
          <w:spacing w:val="-2"/>
        </w:rPr>
        <w:t>处置长期股权投资，其账面价值与实际取得价款的差额，计入当期损益。采用权益法核算的长</w:t>
      </w:r>
      <w:r>
        <w:rPr>
          <w:spacing w:val="-27"/>
        </w:rPr>
        <w:t> </w:t>
      </w:r>
      <w:r>
        <w:rPr>
          <w:spacing w:val="-27"/>
        </w:rPr>
      </w:r>
      <w:r>
        <w:rPr>
          <w:spacing w:val="-2"/>
        </w:rPr>
        <w:t>期股权投资，因被投资单位除净损益以外所有者权益的其他变动而计入所有者权益的，处置该</w:t>
      </w:r>
      <w:r>
        <w:rPr>
          <w:spacing w:val="-26"/>
        </w:rPr>
        <w:t> </w:t>
      </w:r>
      <w:r>
        <w:rPr>
          <w:spacing w:val="-26"/>
        </w:rPr>
      </w:r>
      <w:r>
        <w:rPr/>
        <w:t>项投资时将原计入所有者权益的部分按相应比例转入当期损益。</w:t>
      </w:r>
    </w:p>
    <w:p>
      <w:pPr>
        <w:pStyle w:val="BodyText"/>
        <w:spacing w:line="240" w:lineRule="auto" w:before="160"/>
        <w:ind w:right="0"/>
        <w:jc w:val="both"/>
      </w:pPr>
      <w:r>
        <w:rPr/>
        <w:t>（3）减值测试方法及减值准备计提方法</w:t>
      </w:r>
    </w:p>
    <w:p>
      <w:pPr>
        <w:spacing w:line="240" w:lineRule="auto" w:before="5"/>
        <w:rPr>
          <w:rFonts w:ascii="宋体" w:hAnsi="宋体" w:cs="宋体" w:eastAsia="宋体" w:hint="default"/>
          <w:sz w:val="23"/>
          <w:szCs w:val="23"/>
        </w:rPr>
      </w:pPr>
    </w:p>
    <w:p>
      <w:pPr>
        <w:pStyle w:val="BodyText"/>
        <w:spacing w:line="400" w:lineRule="auto"/>
        <w:ind w:right="1581"/>
        <w:jc w:val="both"/>
      </w:pPr>
      <w:r>
        <w:rPr>
          <w:spacing w:val="-2"/>
        </w:rPr>
        <w:t>资产负债表日，若对子公司长期股权投资、对合营企业长期股权投资、对联营企业长期股权投</w:t>
      </w:r>
      <w:r>
        <w:rPr>
          <w:spacing w:val="-27"/>
        </w:rPr>
        <w:t> </w:t>
      </w:r>
      <w:r>
        <w:rPr>
          <w:spacing w:val="-27"/>
        </w:rPr>
      </w:r>
      <w:r>
        <w:rPr>
          <w:spacing w:val="-2"/>
        </w:rPr>
        <w:t>资存在减值迹象，估计其可收回金额，可收回金额低于账面价值的，确认减值损失，计入当期</w:t>
      </w:r>
      <w:r>
        <w:rPr>
          <w:spacing w:val="-27"/>
        </w:rPr>
        <w:t> </w:t>
      </w:r>
      <w:r>
        <w:rPr>
          <w:spacing w:val="-27"/>
        </w:rPr>
      </w:r>
      <w:r>
        <w:rPr>
          <w:spacing w:val="-2"/>
        </w:rPr>
        <w:t>损益，同时计提长期股权投资减值准备。活跃市场中没有报价且其公允价值不能可靠计量的其</w:t>
      </w:r>
      <w:r>
        <w:rPr>
          <w:spacing w:val="-27"/>
        </w:rPr>
        <w:t> </w:t>
      </w:r>
      <w:r>
        <w:rPr>
          <w:spacing w:val="-27"/>
        </w:rPr>
      </w:r>
      <w:r>
        <w:rPr>
          <w:spacing w:val="-2"/>
        </w:rPr>
        <w:t>他股权投资发生减值时，按类似的金融资产的市场收益率对未来现金流量确定的现值与投资的</w:t>
      </w:r>
      <w:r>
        <w:rPr>
          <w:spacing w:val="-25"/>
        </w:rPr>
        <w:t> </w:t>
      </w:r>
      <w:r>
        <w:rPr>
          <w:spacing w:val="-25"/>
        </w:rPr>
      </w:r>
      <w:r>
        <w:rPr>
          <w:spacing w:val="-2"/>
        </w:rPr>
        <w:t>账面价值之间的差额确认为减值损失，计入当期损益。同时计提长期股权投资减值准备。上述</w:t>
      </w:r>
      <w:r>
        <w:rPr>
          <w:spacing w:val="-26"/>
        </w:rPr>
        <w:t> </w:t>
      </w:r>
      <w:r>
        <w:rPr>
          <w:spacing w:val="-26"/>
        </w:rPr>
      </w:r>
      <w:r>
        <w:rPr/>
        <w:t>长期股权投资减值准备在以后期间均不予转回。</w:t>
      </w:r>
    </w:p>
    <w:p>
      <w:pPr>
        <w:spacing w:line="240" w:lineRule="auto" w:before="3"/>
        <w:rPr>
          <w:rFonts w:ascii="宋体" w:hAnsi="宋体" w:cs="宋体" w:eastAsia="宋体" w:hint="default"/>
          <w:sz w:val="15"/>
          <w:szCs w:val="15"/>
        </w:rPr>
      </w:pPr>
    </w:p>
    <w:p>
      <w:pPr>
        <w:pStyle w:val="BodyText"/>
        <w:spacing w:line="240" w:lineRule="auto"/>
        <w:ind w:right="0"/>
        <w:jc w:val="both"/>
      </w:pPr>
      <w:r>
        <w:rPr/>
        <w:t>13、投资性房地产</w:t>
      </w:r>
    </w:p>
    <w:p>
      <w:pPr>
        <w:spacing w:line="240" w:lineRule="auto" w:before="4"/>
        <w:rPr>
          <w:rFonts w:ascii="宋体" w:hAnsi="宋体" w:cs="宋体" w:eastAsia="宋体" w:hint="default"/>
          <w:sz w:val="26"/>
          <w:szCs w:val="26"/>
        </w:rPr>
      </w:pPr>
    </w:p>
    <w:p>
      <w:pPr>
        <w:pStyle w:val="BodyText"/>
        <w:spacing w:line="439" w:lineRule="auto"/>
        <w:ind w:right="1581"/>
        <w:jc w:val="both"/>
      </w:pPr>
      <w:r>
        <w:rPr/>
        <w:pict>
          <v:shape style="position:absolute;margin-left:103.08847pt;margin-top:40.761963pt;width:392.95pt;height:64.3pt;mso-position-horizontal-relative:page;mso-position-vertical-relative:paragraph;z-index:-554872;rotation:315" type="#_x0000_t136" fillcolor="#e0e0e0" stroked="f">
            <o:extrusion v:ext="view" autorotationcenter="t"/>
            <v:textpath style="font-family:&amp;quot;Arial&amp;quot;;font-size:64pt;v-text-kern:t;mso-text-shadow:auto" string="UnRegistered"/>
            <w10:wrap type="none"/>
          </v:shape>
        </w:pict>
      </w:r>
      <w:r>
        <w:rPr>
          <w:spacing w:val="-2"/>
        </w:rPr>
        <w:t>投资性房地产是指为赚取租金或资本增值，或两者兼有而持有的房地产，包括已出租的土地使</w:t>
      </w:r>
      <w:r>
        <w:rPr>
          <w:spacing w:val="-27"/>
        </w:rPr>
        <w:t> </w:t>
      </w:r>
      <w:r>
        <w:rPr>
          <w:spacing w:val="-27"/>
        </w:rPr>
      </w:r>
      <w:r>
        <w:rPr/>
        <w:t>用权、持有并准备增值后转让的土地使用权、已出租的建筑物。</w:t>
      </w:r>
    </w:p>
    <w:p>
      <w:pPr>
        <w:pStyle w:val="BodyText"/>
        <w:spacing w:line="436" w:lineRule="auto" w:before="170"/>
        <w:ind w:right="1581"/>
        <w:jc w:val="both"/>
      </w:pPr>
      <w:r>
        <w:rPr>
          <w:spacing w:val="-2"/>
        </w:rPr>
        <w:t>公司对投资性房地产采用成本模式计量。对按成本模式计量的投资性房地产、出租用资产采用</w:t>
      </w:r>
      <w:r>
        <w:rPr>
          <w:spacing w:val="-26"/>
        </w:rPr>
        <w:t> </w:t>
      </w:r>
      <w:r>
        <w:rPr>
          <w:spacing w:val="-26"/>
        </w:rPr>
      </w:r>
      <w:r>
        <w:rPr>
          <w:spacing w:val="-2"/>
        </w:rPr>
        <w:t>与本公司固定资产相同的折旧政策，出租用土地使用权与无形资产相同的摊销政策；对存在减</w:t>
      </w:r>
      <w:r>
        <w:rPr>
          <w:spacing w:val="-26"/>
        </w:rPr>
        <w:t> </w:t>
      </w:r>
      <w:r>
        <w:rPr>
          <w:spacing w:val="-26"/>
        </w:rPr>
      </w:r>
      <w:r>
        <w:rPr/>
        <w:t>值迹象的，估计其可收回金额，可收回金额低于账面价值的，确认相应的减值损失。</w:t>
      </w:r>
    </w:p>
    <w:p>
      <w:pPr>
        <w:pStyle w:val="BodyText"/>
        <w:spacing w:line="240" w:lineRule="auto" w:before="172"/>
        <w:ind w:right="0"/>
        <w:jc w:val="both"/>
      </w:pPr>
      <w:r>
        <w:rPr/>
        <w:t>14、固定资产</w:t>
      </w:r>
    </w:p>
    <w:p>
      <w:pPr>
        <w:spacing w:line="240" w:lineRule="auto" w:before="4"/>
        <w:rPr>
          <w:rFonts w:ascii="宋体" w:hAnsi="宋体" w:cs="宋体" w:eastAsia="宋体" w:hint="default"/>
          <w:sz w:val="26"/>
          <w:szCs w:val="26"/>
        </w:rPr>
      </w:pPr>
    </w:p>
    <w:p>
      <w:pPr>
        <w:pStyle w:val="BodyText"/>
        <w:spacing w:line="240" w:lineRule="auto"/>
        <w:ind w:right="0"/>
        <w:jc w:val="both"/>
      </w:pPr>
      <w:r>
        <w:rPr/>
        <w:t>（1）固定资产的确认条件</w:t>
      </w:r>
    </w:p>
    <w:p>
      <w:pPr>
        <w:spacing w:line="240" w:lineRule="auto" w:before="7"/>
        <w:rPr>
          <w:rFonts w:ascii="宋体" w:hAnsi="宋体" w:cs="宋体" w:eastAsia="宋体" w:hint="default"/>
          <w:sz w:val="26"/>
          <w:szCs w:val="26"/>
        </w:rPr>
      </w:pPr>
    </w:p>
    <w:p>
      <w:pPr>
        <w:pStyle w:val="BodyText"/>
        <w:spacing w:line="436" w:lineRule="auto"/>
        <w:ind w:right="1579"/>
        <w:jc w:val="both"/>
      </w:pPr>
      <w:r>
        <w:rPr>
          <w:spacing w:val="-2"/>
        </w:rPr>
        <w:t>固定资产是指使用寿命超过一个会计年度的为生产商品、提供劳务、出租或经营管理而持有的</w:t>
      </w:r>
      <w:r>
        <w:rPr>
          <w:spacing w:val="-26"/>
        </w:rPr>
        <w:t> </w:t>
      </w:r>
      <w:r>
        <w:rPr>
          <w:spacing w:val="-26"/>
        </w:rPr>
      </w:r>
      <w:r>
        <w:rPr>
          <w:spacing w:val="-4"/>
        </w:rPr>
        <w:t>有形资产。固定资产的确认条件</w:t>
      </w:r>
      <w:r>
        <w:rPr>
          <w:spacing w:val="50"/>
        </w:rPr>
        <w:t> </w:t>
      </w:r>
      <w:r>
        <w:rPr>
          <w:spacing w:val="-4"/>
        </w:rPr>
        <w:t>：①该固定资产包含的经济利益很可能流入企业；②该固定资</w:t>
      </w:r>
      <w:r>
        <w:rPr>
          <w:spacing w:val="-97"/>
        </w:rPr>
        <w:t> </w:t>
      </w:r>
      <w:r>
        <w:rPr>
          <w:spacing w:val="-97"/>
        </w:rPr>
      </w:r>
      <w:r>
        <w:rPr/>
        <w:t>产的成本能够可靠计量。</w:t>
      </w:r>
    </w:p>
    <w:p>
      <w:pPr>
        <w:pStyle w:val="BodyText"/>
        <w:spacing w:line="436" w:lineRule="auto" w:before="174"/>
        <w:ind w:right="1581"/>
        <w:jc w:val="both"/>
      </w:pPr>
      <w:r>
        <w:rPr>
          <w:spacing w:val="-2"/>
        </w:rPr>
        <w:t>固定资产通常按照实际成本作为初始计量。购买固定资产的价款超过正常信用条件延期支付，</w:t>
      </w:r>
      <w:r>
        <w:rPr>
          <w:spacing w:val="-27"/>
        </w:rPr>
        <w:t> </w:t>
      </w:r>
      <w:r>
        <w:rPr>
          <w:spacing w:val="-27"/>
        </w:rPr>
      </w:r>
      <w:r>
        <w:rPr>
          <w:spacing w:val="-2"/>
        </w:rPr>
        <w:t>实质上具有融资性质的，固定资产的成本以购买价款的现值为基础确定。债务重组取得债务人</w:t>
      </w:r>
      <w:r>
        <w:rPr>
          <w:spacing w:val="-26"/>
        </w:rPr>
        <w:t> </w:t>
      </w:r>
      <w:r>
        <w:rPr>
          <w:spacing w:val="-26"/>
        </w:rPr>
      </w:r>
      <w:r>
        <w:rPr>
          <w:spacing w:val="-2"/>
        </w:rPr>
        <w:t>用以抵债的固定资产，以该固定资产的公允价值为基础确定其入账价值，并将重组债务的账面</w:t>
      </w:r>
      <w:r>
        <w:rPr>
          <w:spacing w:val="-27"/>
        </w:rPr>
        <w:t> </w:t>
      </w:r>
      <w:r>
        <w:rPr>
          <w:spacing w:val="-27"/>
        </w:rPr>
      </w:r>
      <w:r>
        <w:rPr>
          <w:spacing w:val="-2"/>
        </w:rPr>
        <w:t>价值与该用以抵债的固定资产公允价值之间的差额，计入当期损益；在非货币性资产交换具备</w:t>
      </w:r>
      <w:r>
        <w:rPr>
          <w:spacing w:val="-26"/>
        </w:rPr>
        <w:t> </w:t>
      </w:r>
      <w:r>
        <w:rPr>
          <w:spacing w:val="-26"/>
        </w:rPr>
      </w:r>
      <w:r>
        <w:rPr>
          <w:spacing w:val="-2"/>
        </w:rPr>
        <w:t>商业实质和换入资产或换出资产的公允价值能够可靠计量的前提下，非货币性资产交换换入的</w:t>
      </w:r>
    </w:p>
    <w:p>
      <w:pPr>
        <w:spacing w:after="0" w:line="436" w:lineRule="auto"/>
        <w:jc w:val="both"/>
        <w:sectPr>
          <w:pgSz w:w="11910" w:h="16840"/>
          <w:pgMar w:header="929" w:footer="837" w:top="1140" w:bottom="1020" w:left="1600" w:right="0"/>
        </w:sectPr>
      </w:pPr>
    </w:p>
    <w:p>
      <w:pPr>
        <w:spacing w:line="240" w:lineRule="auto" w:before="8"/>
        <w:rPr>
          <w:rFonts w:ascii="宋体" w:hAnsi="宋体" w:cs="宋体" w:eastAsia="宋体" w:hint="default"/>
          <w:sz w:val="25"/>
          <w:szCs w:val="25"/>
        </w:rPr>
      </w:pPr>
    </w:p>
    <w:p>
      <w:pPr>
        <w:pStyle w:val="BodyText"/>
        <w:spacing w:line="436" w:lineRule="auto" w:before="36"/>
        <w:ind w:left="243" w:right="1581"/>
        <w:jc w:val="both"/>
      </w:pPr>
      <w:r>
        <w:rPr>
          <w:spacing w:val="-2"/>
        </w:rPr>
        <w:t>固定资产通常以换出资产的公允价值为基础确定其入账价值，除非有确凿证据表明换入资产的</w:t>
      </w:r>
      <w:r>
        <w:rPr>
          <w:spacing w:val="-26"/>
        </w:rPr>
        <w:t> </w:t>
      </w:r>
      <w:r>
        <w:rPr>
          <w:spacing w:val="-26"/>
        </w:rPr>
      </w:r>
      <w:r>
        <w:rPr>
          <w:spacing w:val="-2"/>
        </w:rPr>
        <w:t>公允价值更加可靠；不满足上述前提的非货币性资产交换，以换出资产的账面价值和应支付的</w:t>
      </w:r>
      <w:r>
        <w:rPr>
          <w:spacing w:val="-25"/>
        </w:rPr>
        <w:t> </w:t>
      </w:r>
      <w:r>
        <w:rPr>
          <w:spacing w:val="-25"/>
        </w:rPr>
      </w:r>
      <w:r>
        <w:rPr/>
        <w:t>相关税费作为换入固定资产的成本，不确认损益。</w:t>
      </w:r>
    </w:p>
    <w:p>
      <w:pPr>
        <w:pStyle w:val="BodyText"/>
        <w:spacing w:line="240" w:lineRule="auto" w:before="172"/>
        <w:ind w:left="243" w:right="0"/>
        <w:jc w:val="both"/>
      </w:pPr>
      <w:r>
        <w:rPr/>
        <w:t>（2）各类固定资产的折旧方法</w:t>
      </w:r>
    </w:p>
    <w:p>
      <w:pPr>
        <w:spacing w:line="240" w:lineRule="auto" w:before="7"/>
        <w:rPr>
          <w:rFonts w:ascii="宋体" w:hAnsi="宋体" w:cs="宋体" w:eastAsia="宋体" w:hint="default"/>
          <w:sz w:val="26"/>
          <w:szCs w:val="26"/>
        </w:rPr>
      </w:pPr>
    </w:p>
    <w:p>
      <w:pPr>
        <w:pStyle w:val="BodyText"/>
        <w:spacing w:line="436" w:lineRule="auto"/>
        <w:ind w:left="243" w:right="1581"/>
        <w:jc w:val="both"/>
      </w:pPr>
      <w:r>
        <w:rPr>
          <w:spacing w:val="-2"/>
        </w:rPr>
        <w:t>固定资产的分类：公司的固定资产分为房屋建筑物、机器设备、运输工具、办公设备和其他设</w:t>
      </w:r>
      <w:r>
        <w:rPr>
          <w:spacing w:val="-26"/>
        </w:rPr>
        <w:t> </w:t>
      </w:r>
      <w:r>
        <w:rPr>
          <w:spacing w:val="-26"/>
        </w:rPr>
      </w:r>
      <w:r>
        <w:rPr/>
        <w:t>备。</w:t>
      </w:r>
    </w:p>
    <w:p>
      <w:pPr>
        <w:pStyle w:val="BodyText"/>
        <w:spacing w:line="439" w:lineRule="auto" w:before="172"/>
        <w:ind w:left="243" w:right="1581"/>
        <w:jc w:val="both"/>
      </w:pPr>
      <w:r>
        <w:rPr/>
        <w:pict>
          <v:shape style="position:absolute;margin-left:78.338257pt;margin-top:50.863678pt;width:444.5pt;height:109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2"/>
                    <w:gridCol w:w="2311"/>
                    <w:gridCol w:w="2184"/>
                    <w:gridCol w:w="2129"/>
                  </w:tblGrid>
                  <w:tr>
                    <w:trPr>
                      <w:trHeight w:val="437" w:hRule="exact"/>
                    </w:trPr>
                    <w:tc>
                      <w:tcPr>
                        <w:tcW w:w="2222" w:type="dxa"/>
                        <w:tcBorders>
                          <w:top w:val="single" w:sz="12" w:space="0" w:color="000000"/>
                          <w:left w:val="nil" w:sz="6" w:space="0" w:color="auto"/>
                          <w:bottom w:val="single" w:sz="2" w:space="0" w:color="000000"/>
                          <w:right w:val="single" w:sz="2" w:space="0" w:color="000000"/>
                        </w:tcBorders>
                      </w:tcPr>
                      <w:p>
                        <w:pPr>
                          <w:pStyle w:val="TableParagraph"/>
                          <w:tabs>
                            <w:tab w:pos="1067" w:val="left" w:leader="none"/>
                          </w:tabs>
                          <w:spacing w:line="240" w:lineRule="auto" w:before="93"/>
                          <w:ind w:left="43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3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估计使用年限</w:t>
                        </w:r>
                      </w:p>
                    </w:tc>
                    <w:tc>
                      <w:tcPr>
                        <w:tcW w:w="2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c>
                      <w:tcPr>
                        <w:tcW w:w="21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净残值率</w:t>
                        </w:r>
                      </w:p>
                    </w:tc>
                  </w:tr>
                  <w:tr>
                    <w:trPr>
                      <w:trHeight w:val="425" w:hRule="exact"/>
                    </w:trPr>
                    <w:tc>
                      <w:tcPr>
                        <w:tcW w:w="2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30-40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2.375-3.16</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5%</w:t>
                        </w:r>
                      </w:p>
                    </w:tc>
                  </w:tr>
                  <w:tr>
                    <w:trPr>
                      <w:trHeight w:val="427" w:hRule="exact"/>
                    </w:trPr>
                    <w:tc>
                      <w:tcPr>
                        <w:tcW w:w="2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8-20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4.75-11.875</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5%</w:t>
                        </w:r>
                      </w:p>
                    </w:tc>
                  </w:tr>
                  <w:tr>
                    <w:trPr>
                      <w:trHeight w:val="425" w:hRule="exact"/>
                    </w:trPr>
                    <w:tc>
                      <w:tcPr>
                        <w:tcW w:w="2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(3)运输设备</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5-10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9.5-19</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5%</w:t>
                        </w:r>
                      </w:p>
                    </w:tc>
                  </w:tr>
                  <w:tr>
                    <w:trPr>
                      <w:trHeight w:val="437" w:hRule="exact"/>
                    </w:trPr>
                    <w:tc>
                      <w:tcPr>
                        <w:tcW w:w="22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23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5-10</w:t>
                        </w:r>
                      </w:p>
                    </w:tc>
                    <w:tc>
                      <w:tcPr>
                        <w:tcW w:w="2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9.5-19</w:t>
                        </w:r>
                      </w:p>
                    </w:tc>
                    <w:tc>
                      <w:tcPr>
                        <w:tcW w:w="21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5%</w:t>
                        </w:r>
                      </w:p>
                    </w:tc>
                  </w:tr>
                </w:tbl>
                <w:p>
                  <w:pPr/>
                </w:p>
              </w:txbxContent>
            </v:textbox>
            <w10:wrap type="none"/>
          </v:shape>
        </w:pict>
      </w:r>
      <w:r>
        <w:rPr>
          <w:spacing w:val="-2"/>
        </w:rPr>
        <w:t>固定资产折旧采用直线法平均计算，并按固定资产类别的原价、估计经济使用年限及预计残值</w:t>
      </w:r>
      <w:r>
        <w:rPr>
          <w:spacing w:val="-26"/>
        </w:rPr>
        <w:t> </w:t>
      </w:r>
      <w:r>
        <w:rPr>
          <w:spacing w:val="-26"/>
        </w:rPr>
      </w:r>
      <w:r>
        <w:rPr/>
        <w:t>(原价的</w:t>
      </w:r>
      <w:r>
        <w:rPr>
          <w:spacing w:val="-59"/>
        </w:rPr>
        <w:t> </w:t>
      </w:r>
      <w:r>
        <w:rPr/>
        <w:t>5%)确定其折旧率。固定资产折旧政策如下：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243" w:right="0"/>
        <w:jc w:val="both"/>
      </w:pPr>
      <w:r>
        <w:rPr/>
        <w:pict>
          <v:shape style="position:absolute;margin-left:103.08847pt;margin-top:-9.758045pt;width:392.95pt;height:64.3pt;mso-position-horizontal-relative:page;mso-position-vertical-relative:paragraph;z-index:-554848;rotation:315" type="#_x0000_t136" fillcolor="#e0e0e0" stroked="f">
            <o:extrusion v:ext="view" autorotationcenter="t"/>
            <v:textpath style="font-family:&amp;quot;Arial&amp;quot;;font-size:64pt;v-text-kern:t;mso-text-shadow:auto" string="UnRegistered"/>
            <w10:wrap type="none"/>
          </v:shape>
        </w:pict>
      </w:r>
      <w:r>
        <w:rPr/>
        <w:t>（3）固定资产的减值测试方法、减值准备的计提方法</w:t>
      </w:r>
    </w:p>
    <w:p>
      <w:pPr>
        <w:spacing w:line="240" w:lineRule="auto" w:before="5"/>
        <w:rPr>
          <w:rFonts w:ascii="宋体" w:hAnsi="宋体" w:cs="宋体" w:eastAsia="宋体" w:hint="default"/>
          <w:sz w:val="23"/>
          <w:szCs w:val="23"/>
        </w:rPr>
      </w:pPr>
    </w:p>
    <w:p>
      <w:pPr>
        <w:pStyle w:val="BodyText"/>
        <w:spacing w:line="400" w:lineRule="auto"/>
        <w:ind w:left="243" w:right="1581"/>
        <w:jc w:val="both"/>
      </w:pPr>
      <w:r>
        <w:rPr>
          <w:spacing w:val="-2"/>
        </w:rPr>
        <w:t>资产负债表日对固定资产逐项进行检查，如果由于市价持续下跌，或技术陈旧、损坏、长期闲</w:t>
      </w:r>
      <w:r>
        <w:rPr>
          <w:spacing w:val="-28"/>
        </w:rPr>
        <w:t> </w:t>
      </w:r>
      <w:r>
        <w:rPr>
          <w:spacing w:val="-28"/>
        </w:rPr>
      </w:r>
      <w:r>
        <w:rPr>
          <w:spacing w:val="-2"/>
        </w:rPr>
        <w:t>置等原因存在减值迹象，应当估计其可收回金额。可收回金额按资产的公允价值减去处置费用</w:t>
      </w:r>
      <w:r>
        <w:rPr>
          <w:spacing w:val="-25"/>
        </w:rPr>
        <w:t> </w:t>
      </w:r>
      <w:r>
        <w:rPr>
          <w:spacing w:val="-25"/>
        </w:rPr>
      </w:r>
      <w:r>
        <w:rPr>
          <w:spacing w:val="-2"/>
        </w:rPr>
        <w:t>后的净额与资产未来现金流量的现值之间的高者确定。估计可收回金额，以单项资产为基础，</w:t>
      </w:r>
      <w:r>
        <w:rPr>
          <w:spacing w:val="-28"/>
        </w:rPr>
        <w:t> </w:t>
      </w:r>
      <w:r>
        <w:rPr>
          <w:spacing w:val="-28"/>
        </w:rPr>
      </w:r>
      <w:r>
        <w:rPr>
          <w:spacing w:val="-2"/>
        </w:rPr>
        <w:t>若难以对单项资产的可收回金额进行估计的，应以该项资产所属的资产组为基础确定资产组的</w:t>
      </w:r>
      <w:r>
        <w:rPr>
          <w:spacing w:val="-25"/>
        </w:rPr>
        <w:t> </w:t>
      </w:r>
      <w:r>
        <w:rPr>
          <w:spacing w:val="-25"/>
        </w:rPr>
      </w:r>
      <w:r>
        <w:rPr/>
        <w:t>可收回金额。减值准备一旦计提，不得转回。</w:t>
      </w:r>
    </w:p>
    <w:p>
      <w:pPr>
        <w:pStyle w:val="BodyText"/>
        <w:spacing w:line="506" w:lineRule="auto" w:before="163"/>
        <w:ind w:left="243" w:right="1581"/>
        <w:jc w:val="both"/>
      </w:pPr>
      <w:r>
        <w:rPr/>
        <w:t>（4）融资租入固定资产的认定依据、计价方法</w:t>
      </w:r>
      <w:r>
        <w:rPr>
          <w:w w:val="100"/>
        </w:rPr>
        <w:t> </w:t>
      </w:r>
      <w:r>
        <w:rPr/>
        <w:t>融资租赁是指实质上转移了与资产所有权有关的全部风险和报酬的租赁。</w:t>
      </w:r>
    </w:p>
    <w:p>
      <w:pPr>
        <w:pStyle w:val="BodyText"/>
        <w:spacing w:line="400" w:lineRule="auto" w:before="73"/>
        <w:ind w:left="243" w:right="1581"/>
        <w:jc w:val="both"/>
      </w:pPr>
      <w:r>
        <w:rPr>
          <w:spacing w:val="-2"/>
        </w:rPr>
        <w:t>满足以下一项或数项标准的租赁，应当认定为融资租赁：①在租赁期届满时，租赁资产的所有</w:t>
      </w:r>
      <w:r>
        <w:rPr>
          <w:spacing w:val="-26"/>
        </w:rPr>
        <w:t> </w:t>
      </w:r>
      <w:r>
        <w:rPr>
          <w:spacing w:val="-26"/>
        </w:rPr>
      </w:r>
      <w:r>
        <w:rPr>
          <w:spacing w:val="-2"/>
        </w:rPr>
        <w:t>权转移给承租人；②承租人有购买租赁资产的选择权，所订立的购买价款预计将远低于行使选</w:t>
      </w:r>
      <w:r>
        <w:rPr>
          <w:spacing w:val="-27"/>
        </w:rPr>
        <w:t> </w:t>
      </w:r>
      <w:r>
        <w:rPr>
          <w:spacing w:val="-27"/>
        </w:rPr>
      </w:r>
      <w:r>
        <w:rPr>
          <w:spacing w:val="-2"/>
        </w:rPr>
        <w:t>择权时租赁资产的公允价值，因而在租赁开始日就可以合理确定承租人将会行使这种选择权。</w:t>
      </w:r>
    </w:p>
    <w:p>
      <w:pPr>
        <w:pStyle w:val="BodyText"/>
        <w:spacing w:line="400" w:lineRule="auto" w:before="45"/>
        <w:ind w:left="243" w:right="1579"/>
        <w:jc w:val="both"/>
      </w:pPr>
      <w:r>
        <w:rPr>
          <w:spacing w:val="-2"/>
        </w:rPr>
        <w:t>③即使资产的所有权不转移，但租赁期占租赁资产使用寿命的大部分，通常是租赁期大于、等</w:t>
      </w:r>
      <w:r>
        <w:rPr>
          <w:spacing w:val="-27"/>
        </w:rPr>
        <w:t> </w:t>
      </w:r>
      <w:r>
        <w:rPr>
          <w:spacing w:val="-27"/>
        </w:rPr>
      </w:r>
      <w:r>
        <w:rPr/>
        <w:t>于资产使用年限的</w:t>
      </w:r>
      <w:r>
        <w:rPr>
          <w:spacing w:val="-53"/>
        </w:rPr>
        <w:t> </w:t>
      </w:r>
      <w:r>
        <w:rPr/>
        <w:t>75％，但若标的物系在租赁开始日已使用期限达到可使用期限</w:t>
      </w:r>
      <w:r>
        <w:rPr>
          <w:spacing w:val="-53"/>
        </w:rPr>
        <w:t> </w:t>
      </w:r>
      <w:r>
        <w:rPr/>
        <w:t>75%以上的旧</w:t>
      </w:r>
      <w:r>
        <w:rPr>
          <w:w w:val="100"/>
        </w:rPr>
        <w:t> </w:t>
      </w:r>
      <w:r>
        <w:rPr>
          <w:spacing w:val="-2"/>
        </w:rPr>
        <w:t>资产则不适用此标准；④承租人在租赁开始日的最低租赁付款额现值，几乎相当于租赁开始日</w:t>
      </w:r>
      <w:r>
        <w:rPr>
          <w:spacing w:val="-27"/>
        </w:rPr>
        <w:t> </w:t>
      </w:r>
      <w:r>
        <w:rPr>
          <w:spacing w:val="-27"/>
        </w:rPr>
      </w:r>
      <w:r>
        <w:rPr>
          <w:spacing w:val="-2"/>
        </w:rPr>
        <w:t>租赁资产公允价值；出租人在租赁开始日的最低租赁收款额现值，几乎相当于租赁开始日租赁</w:t>
      </w:r>
    </w:p>
    <w:p>
      <w:pPr>
        <w:spacing w:after="0" w:line="400" w:lineRule="auto"/>
        <w:jc w:val="both"/>
        <w:sectPr>
          <w:pgSz w:w="11910" w:h="16840"/>
          <w:pgMar w:header="929" w:footer="837" w:top="1140" w:bottom="1020" w:left="1460" w:right="0"/>
        </w:sectPr>
      </w:pPr>
    </w:p>
    <w:p>
      <w:pPr>
        <w:spacing w:line="240" w:lineRule="auto" w:before="1"/>
        <w:rPr>
          <w:rFonts w:ascii="宋体" w:hAnsi="宋体" w:cs="宋体" w:eastAsia="宋体" w:hint="default"/>
          <w:sz w:val="23"/>
          <w:szCs w:val="23"/>
        </w:rPr>
      </w:pPr>
    </w:p>
    <w:p>
      <w:pPr>
        <w:pStyle w:val="BodyText"/>
        <w:spacing w:line="403" w:lineRule="auto" w:before="36"/>
        <w:ind w:right="1579"/>
        <w:jc w:val="both"/>
      </w:pPr>
      <w:r>
        <w:rPr>
          <w:spacing w:val="-3"/>
        </w:rPr>
        <w:t>资产公允价值。通常是租赁最低付款额的现值大于、等于资产公允价值的 90％；⑤租赁资产性</w:t>
      </w:r>
      <w:r>
        <w:rPr>
          <w:spacing w:val="-83"/>
        </w:rPr>
        <w:t> </w:t>
      </w:r>
      <w:r>
        <w:rPr>
          <w:spacing w:val="-83"/>
        </w:rPr>
      </w:r>
      <w:r>
        <w:rPr/>
        <w:t>质特殊，如果不作较大改造，只有承租人才能使用。</w:t>
      </w:r>
    </w:p>
    <w:p>
      <w:pPr>
        <w:pStyle w:val="BodyText"/>
        <w:spacing w:line="400" w:lineRule="auto" w:before="163"/>
        <w:ind w:right="1581"/>
        <w:jc w:val="both"/>
      </w:pPr>
      <w:r>
        <w:rPr>
          <w:spacing w:val="-2"/>
        </w:rPr>
        <w:t>融资租入固定资产的计价方法：按照实质重于法律形式的要求，企业应将融资租入资产作为一</w:t>
      </w:r>
      <w:r>
        <w:rPr>
          <w:spacing w:val="-26"/>
        </w:rPr>
        <w:t> </w:t>
      </w:r>
      <w:r>
        <w:rPr>
          <w:spacing w:val="-26"/>
        </w:rPr>
      </w:r>
      <w:r>
        <w:rPr>
          <w:spacing w:val="-2"/>
        </w:rPr>
        <w:t>项固定资产计价入账，同时确认相应的负债，并计提固定资产的折旧。在租赁期开始日，承租</w:t>
      </w:r>
      <w:r>
        <w:rPr>
          <w:spacing w:val="-26"/>
        </w:rPr>
        <w:t> </w:t>
      </w:r>
      <w:r>
        <w:rPr>
          <w:spacing w:val="-26"/>
        </w:rPr>
      </w:r>
      <w:r>
        <w:rPr>
          <w:spacing w:val="-2"/>
        </w:rPr>
        <w:t>人应当将租赁开始日租赁资产公允价值与最低租赁付款额现值两者中较低者作为租入资产的入</w:t>
      </w:r>
      <w:r>
        <w:rPr>
          <w:spacing w:val="-25"/>
        </w:rPr>
        <w:t> </w:t>
      </w:r>
      <w:r>
        <w:rPr>
          <w:spacing w:val="-25"/>
        </w:rPr>
      </w:r>
      <w:r>
        <w:rPr>
          <w:spacing w:val="-2"/>
        </w:rPr>
        <w:t>账价值；承租人在租赁谈判和签订租赁合同过程中发生的，可归属于租赁项目的手续费、律师</w:t>
      </w:r>
      <w:r>
        <w:rPr>
          <w:spacing w:val="-25"/>
        </w:rPr>
        <w:t> </w:t>
      </w:r>
      <w:r>
        <w:rPr>
          <w:spacing w:val="-25"/>
        </w:rPr>
      </w:r>
      <w:r>
        <w:rPr/>
        <w:t>费、差旅费、印花税等初始直接费用也计入资产的价值。</w:t>
      </w:r>
    </w:p>
    <w:p>
      <w:pPr>
        <w:pStyle w:val="BodyText"/>
        <w:spacing w:line="240" w:lineRule="auto" w:before="165"/>
        <w:ind w:right="0"/>
        <w:jc w:val="both"/>
      </w:pPr>
      <w:r>
        <w:rPr/>
        <w:t>15、在建工程</w:t>
      </w:r>
    </w:p>
    <w:p>
      <w:pPr>
        <w:spacing w:line="240" w:lineRule="auto" w:before="5"/>
        <w:rPr>
          <w:rFonts w:ascii="宋体" w:hAnsi="宋体" w:cs="宋体" w:eastAsia="宋体" w:hint="default"/>
          <w:sz w:val="23"/>
          <w:szCs w:val="23"/>
        </w:rPr>
      </w:pPr>
    </w:p>
    <w:p>
      <w:pPr>
        <w:pStyle w:val="BodyText"/>
        <w:spacing w:line="240" w:lineRule="auto"/>
        <w:ind w:right="0"/>
        <w:jc w:val="both"/>
      </w:pPr>
      <w:r>
        <w:rPr/>
        <w:t>（1）在建工程的分类：在建工程以立项项目分类核算</w:t>
      </w:r>
    </w:p>
    <w:p>
      <w:pPr>
        <w:spacing w:line="240" w:lineRule="auto" w:before="3"/>
        <w:rPr>
          <w:rFonts w:ascii="宋体" w:hAnsi="宋体" w:cs="宋体" w:eastAsia="宋体" w:hint="default"/>
          <w:sz w:val="23"/>
          <w:szCs w:val="23"/>
        </w:rPr>
      </w:pPr>
    </w:p>
    <w:p>
      <w:pPr>
        <w:pStyle w:val="BodyText"/>
        <w:spacing w:line="400" w:lineRule="auto"/>
        <w:ind w:right="1579"/>
        <w:jc w:val="both"/>
      </w:pPr>
      <w:r>
        <w:rPr/>
        <w:pict>
          <v:shape style="position:absolute;margin-left:103.08847pt;margin-top:90.441956pt;width:392.95pt;height:64.3pt;mso-position-horizontal-relative:page;mso-position-vertical-relative:paragraph;z-index:-554800;rotation:315" type="#_x0000_t136" fillcolor="#e0e0e0" stroked="f">
            <o:extrusion v:ext="view" autorotationcenter="t"/>
            <v:textpath style="font-family:&amp;quot;Arial&amp;quot;;font-size:64pt;v-text-kern:t;mso-text-shadow:auto" string="UnRegistered"/>
            <w10:wrap type="none"/>
          </v:shape>
        </w:pict>
      </w:r>
      <w:r>
        <w:rPr>
          <w:spacing w:val="-4"/>
        </w:rPr>
        <w:t>（2）在建工程结转为固定资产的时点：在建工程按各项工程所发生的实际支出核算，在达到预</w:t>
      </w:r>
      <w:r>
        <w:rPr>
          <w:spacing w:val="-43"/>
        </w:rPr>
        <w:t> </w:t>
      </w:r>
      <w:r>
        <w:rPr>
          <w:spacing w:val="-43"/>
        </w:rPr>
      </w:r>
      <w:r>
        <w:rPr>
          <w:spacing w:val="-2"/>
        </w:rPr>
        <w:t>定可使用状态时转作固定资产。所建造的固定资产已达到预定可使用状态，但尚未办理竣工决</w:t>
      </w:r>
      <w:r>
        <w:rPr>
          <w:spacing w:val="-26"/>
        </w:rPr>
        <w:t> </w:t>
      </w:r>
      <w:r>
        <w:rPr>
          <w:spacing w:val="-26"/>
        </w:rPr>
      </w:r>
      <w:r>
        <w:rPr>
          <w:spacing w:val="-2"/>
        </w:rPr>
        <w:t>算手续的，自达到预定可使用状态之日起，根据工程预算、造价或者工程实际成本等，按估计</w:t>
      </w:r>
      <w:r>
        <w:rPr>
          <w:spacing w:val="-27"/>
        </w:rPr>
        <w:t> </w:t>
      </w:r>
      <w:r>
        <w:rPr>
          <w:spacing w:val="-27"/>
        </w:rPr>
      </w:r>
      <w:r>
        <w:rPr>
          <w:spacing w:val="-2"/>
        </w:rPr>
        <w:t>的价值转入固定资产，并计提固定资产的折旧，待办理了竣工决算手续后再对原估计值进行调</w:t>
      </w:r>
      <w:r>
        <w:rPr>
          <w:spacing w:val="-27"/>
        </w:rPr>
        <w:t> </w:t>
      </w:r>
      <w:r>
        <w:rPr>
          <w:spacing w:val="-27"/>
        </w:rPr>
      </w:r>
      <w:r>
        <w:rPr/>
        <w:t>整。</w:t>
      </w:r>
    </w:p>
    <w:p>
      <w:pPr>
        <w:pStyle w:val="BodyText"/>
        <w:spacing w:line="400" w:lineRule="auto" w:before="165"/>
        <w:ind w:right="1579"/>
        <w:jc w:val="both"/>
      </w:pPr>
      <w:r>
        <w:rPr>
          <w:spacing w:val="-4"/>
        </w:rPr>
        <w:t>（3）在建工程减值准备的确认标准、计提方法：资产负债表日对在建工程逐项进行检查，对长</w:t>
      </w:r>
      <w:r>
        <w:rPr>
          <w:spacing w:val="-45"/>
        </w:rPr>
        <w:t> </w:t>
      </w:r>
      <w:r>
        <w:rPr>
          <w:spacing w:val="-45"/>
        </w:rPr>
      </w:r>
      <w:r>
        <w:rPr/>
        <w:t>期停建并且预计在未来</w:t>
      </w:r>
      <w:r>
        <w:rPr>
          <w:spacing w:val="-51"/>
        </w:rPr>
        <w:t> </w:t>
      </w:r>
      <w:r>
        <w:rPr/>
        <w:t>3</w:t>
      </w:r>
      <w:r>
        <w:rPr>
          <w:spacing w:val="-54"/>
        </w:rPr>
        <w:t> </w:t>
      </w:r>
      <w:r>
        <w:rPr/>
        <w:t>年内不会重新开工的或所建项目无论在性能上，还是在技术上已经落</w:t>
      </w:r>
      <w:r>
        <w:rPr>
          <w:w w:val="100"/>
        </w:rPr>
        <w:t> </w:t>
      </w:r>
      <w:r>
        <w:rPr>
          <w:spacing w:val="-2"/>
        </w:rPr>
        <w:t>后并且给公司带来的经济利益具有很大的不确定性以及其他足以证明在建工程已经发生减值情</w:t>
      </w:r>
      <w:r>
        <w:rPr>
          <w:spacing w:val="-25"/>
        </w:rPr>
        <w:t> </w:t>
      </w:r>
      <w:r>
        <w:rPr>
          <w:spacing w:val="-25"/>
        </w:rPr>
      </w:r>
      <w:r>
        <w:rPr>
          <w:spacing w:val="-2"/>
        </w:rPr>
        <w:t>形的，按单项在建工程可收回金额低于其账面价值的差额计提在建工程减值准备。减值损失一</w:t>
      </w:r>
      <w:r>
        <w:rPr>
          <w:spacing w:val="-26"/>
        </w:rPr>
        <w:t> </w:t>
      </w:r>
      <w:r>
        <w:rPr>
          <w:spacing w:val="-26"/>
        </w:rPr>
      </w:r>
      <w:r>
        <w:rPr/>
        <w:t>经确认，不得转回。</w:t>
      </w:r>
    </w:p>
    <w:p>
      <w:pPr>
        <w:pStyle w:val="BodyText"/>
        <w:spacing w:line="240" w:lineRule="auto" w:before="165"/>
        <w:ind w:right="0"/>
        <w:jc w:val="both"/>
      </w:pPr>
      <w:r>
        <w:rPr/>
        <w:t>16、借款费用</w:t>
      </w:r>
    </w:p>
    <w:p>
      <w:pPr>
        <w:spacing w:line="240" w:lineRule="auto" w:before="5"/>
        <w:rPr>
          <w:rFonts w:ascii="宋体" w:hAnsi="宋体" w:cs="宋体" w:eastAsia="宋体" w:hint="default"/>
          <w:sz w:val="23"/>
          <w:szCs w:val="23"/>
        </w:rPr>
      </w:pPr>
    </w:p>
    <w:p>
      <w:pPr>
        <w:pStyle w:val="BodyText"/>
        <w:spacing w:line="400" w:lineRule="auto"/>
        <w:ind w:right="1581"/>
        <w:jc w:val="both"/>
      </w:pPr>
      <w:r>
        <w:rPr>
          <w:spacing w:val="-2"/>
        </w:rPr>
        <w:t>公司发生的借款费用，可直接归属于符合资本化条件的资产的购建或者生产的，予以资本化，</w:t>
      </w:r>
      <w:r>
        <w:rPr>
          <w:spacing w:val="-28"/>
        </w:rPr>
        <w:t> </w:t>
      </w:r>
      <w:r>
        <w:rPr>
          <w:spacing w:val="-28"/>
        </w:rPr>
      </w:r>
      <w:r>
        <w:rPr/>
        <w:t>计入相关资产成本；其他借款费用，在发生时根据其发生额确认为费用，计入当期损益。</w:t>
      </w:r>
    </w:p>
    <w:p>
      <w:pPr>
        <w:pStyle w:val="BodyText"/>
        <w:spacing w:line="403" w:lineRule="auto" w:before="165"/>
        <w:ind w:right="1468"/>
        <w:jc w:val="left"/>
      </w:pPr>
      <w:r>
        <w:rPr>
          <w:w w:val="100"/>
        </w:rPr>
        <w:t>借款</w:t>
      </w:r>
      <w:r>
        <w:rPr>
          <w:spacing w:val="-3"/>
          <w:w w:val="100"/>
        </w:rPr>
        <w:t>费</w:t>
      </w:r>
      <w:r>
        <w:rPr>
          <w:w w:val="100"/>
        </w:rPr>
        <w:t>用</w:t>
      </w:r>
      <w:r>
        <w:rPr>
          <w:spacing w:val="-3"/>
          <w:w w:val="100"/>
        </w:rPr>
        <w:t>同</w:t>
      </w:r>
      <w:r>
        <w:rPr>
          <w:w w:val="100"/>
        </w:rPr>
        <w:t>时满</w:t>
      </w:r>
      <w:r>
        <w:rPr>
          <w:spacing w:val="-3"/>
          <w:w w:val="100"/>
        </w:rPr>
        <w:t>足</w:t>
      </w:r>
      <w:r>
        <w:rPr>
          <w:w w:val="100"/>
        </w:rPr>
        <w:t>以</w:t>
      </w:r>
      <w:r>
        <w:rPr>
          <w:spacing w:val="-3"/>
          <w:w w:val="100"/>
        </w:rPr>
        <w:t>下条</w:t>
      </w:r>
      <w:r>
        <w:rPr>
          <w:w w:val="100"/>
        </w:rPr>
        <w:t>件时</w:t>
      </w:r>
      <w:r>
        <w:rPr>
          <w:spacing w:val="-3"/>
          <w:w w:val="100"/>
        </w:rPr>
        <w:t>予</w:t>
      </w:r>
      <w:r>
        <w:rPr>
          <w:w w:val="100"/>
        </w:rPr>
        <w:t>以</w:t>
      </w:r>
      <w:r>
        <w:rPr>
          <w:spacing w:val="-3"/>
          <w:w w:val="100"/>
        </w:rPr>
        <w:t>资</w:t>
      </w:r>
      <w:r>
        <w:rPr>
          <w:w w:val="100"/>
        </w:rPr>
        <w:t>本</w:t>
      </w:r>
      <w:r>
        <w:rPr>
          <w:spacing w:val="-1"/>
          <w:w w:val="100"/>
        </w:rPr>
        <w:t>化</w:t>
      </w:r>
      <w:r>
        <w:rPr>
          <w:spacing w:val="-108"/>
          <w:w w:val="100"/>
        </w:rPr>
        <w:t>：</w:t>
      </w:r>
      <w:r>
        <w:rPr>
          <w:w w:val="100"/>
        </w:rPr>
        <w:t>（1</w:t>
      </w:r>
      <w:r>
        <w:rPr>
          <w:spacing w:val="-3"/>
          <w:w w:val="100"/>
        </w:rPr>
        <w:t>）资</w:t>
      </w:r>
      <w:r>
        <w:rPr>
          <w:w w:val="100"/>
        </w:rPr>
        <w:t>产支</w:t>
      </w:r>
      <w:r>
        <w:rPr>
          <w:spacing w:val="-3"/>
          <w:w w:val="100"/>
        </w:rPr>
        <w:t>出</w:t>
      </w:r>
      <w:r>
        <w:rPr>
          <w:w w:val="100"/>
        </w:rPr>
        <w:t>已</w:t>
      </w:r>
      <w:r>
        <w:rPr>
          <w:spacing w:val="-3"/>
          <w:w w:val="100"/>
        </w:rPr>
        <w:t>经</w:t>
      </w:r>
      <w:r>
        <w:rPr>
          <w:w w:val="100"/>
        </w:rPr>
        <w:t>发</w:t>
      </w:r>
      <w:r>
        <w:rPr>
          <w:spacing w:val="-1"/>
          <w:w w:val="100"/>
        </w:rPr>
        <w:t>生</w:t>
      </w:r>
      <w:r>
        <w:rPr>
          <w:spacing w:val="-3"/>
          <w:w w:val="100"/>
        </w:rPr>
        <w:t>，</w:t>
      </w:r>
      <w:r>
        <w:rPr>
          <w:w w:val="100"/>
        </w:rPr>
        <w:t>资</w:t>
      </w:r>
      <w:r>
        <w:rPr>
          <w:spacing w:val="-3"/>
          <w:w w:val="100"/>
        </w:rPr>
        <w:t>产支</w:t>
      </w:r>
      <w:r>
        <w:rPr>
          <w:w w:val="100"/>
        </w:rPr>
        <w:t>出包</w:t>
      </w:r>
      <w:r>
        <w:rPr>
          <w:spacing w:val="-3"/>
          <w:w w:val="100"/>
        </w:rPr>
        <w:t>括</w:t>
      </w:r>
      <w:r>
        <w:rPr>
          <w:w w:val="100"/>
        </w:rPr>
        <w:t>为</w:t>
      </w:r>
      <w:r>
        <w:rPr>
          <w:spacing w:val="-3"/>
          <w:w w:val="100"/>
        </w:rPr>
        <w:t>购</w:t>
      </w:r>
      <w:r>
        <w:rPr>
          <w:w w:val="100"/>
        </w:rPr>
        <w:t>建或者</w:t>
      </w:r>
      <w:r>
        <w:rPr>
          <w:w w:val="100"/>
        </w:rPr>
        <w:t> 生产</w:t>
      </w:r>
      <w:r>
        <w:rPr>
          <w:spacing w:val="-3"/>
          <w:w w:val="100"/>
        </w:rPr>
        <w:t>符</w:t>
      </w:r>
      <w:r>
        <w:rPr>
          <w:w w:val="100"/>
        </w:rPr>
        <w:t>合</w:t>
      </w:r>
      <w:r>
        <w:rPr>
          <w:spacing w:val="-3"/>
          <w:w w:val="100"/>
        </w:rPr>
        <w:t>资</w:t>
      </w:r>
      <w:r>
        <w:rPr>
          <w:w w:val="100"/>
        </w:rPr>
        <w:t>本</w:t>
      </w:r>
      <w:r>
        <w:rPr>
          <w:spacing w:val="-3"/>
          <w:w w:val="100"/>
        </w:rPr>
        <w:t>化</w:t>
      </w:r>
      <w:r>
        <w:rPr>
          <w:w w:val="100"/>
        </w:rPr>
        <w:t>条</w:t>
      </w:r>
      <w:r>
        <w:rPr>
          <w:spacing w:val="-3"/>
          <w:w w:val="100"/>
        </w:rPr>
        <w:t>件</w:t>
      </w:r>
      <w:r>
        <w:rPr>
          <w:w w:val="100"/>
        </w:rPr>
        <w:t>的</w:t>
      </w:r>
      <w:r>
        <w:rPr>
          <w:spacing w:val="-3"/>
          <w:w w:val="100"/>
        </w:rPr>
        <w:t>资</w:t>
      </w:r>
      <w:r>
        <w:rPr>
          <w:w w:val="100"/>
        </w:rPr>
        <w:t>产而</w:t>
      </w:r>
      <w:r>
        <w:rPr>
          <w:spacing w:val="-3"/>
          <w:w w:val="100"/>
        </w:rPr>
        <w:t>以</w:t>
      </w:r>
      <w:r>
        <w:rPr>
          <w:w w:val="100"/>
        </w:rPr>
        <w:t>支</w:t>
      </w:r>
      <w:r>
        <w:rPr>
          <w:spacing w:val="-3"/>
          <w:w w:val="100"/>
        </w:rPr>
        <w:t>付</w:t>
      </w:r>
      <w:r>
        <w:rPr>
          <w:w w:val="100"/>
        </w:rPr>
        <w:t>现</w:t>
      </w:r>
      <w:r>
        <w:rPr>
          <w:spacing w:val="-3"/>
          <w:w w:val="100"/>
        </w:rPr>
        <w:t>金</w:t>
      </w:r>
      <w:r>
        <w:rPr>
          <w:spacing w:val="-99"/>
          <w:w w:val="100"/>
        </w:rPr>
        <w:t>、</w:t>
      </w:r>
      <w:r>
        <w:rPr>
          <w:spacing w:val="-3"/>
          <w:w w:val="100"/>
        </w:rPr>
        <w:t>转</w:t>
      </w:r>
      <w:r>
        <w:rPr>
          <w:w w:val="100"/>
        </w:rPr>
        <w:t>移</w:t>
      </w:r>
      <w:r>
        <w:rPr>
          <w:spacing w:val="-3"/>
          <w:w w:val="100"/>
        </w:rPr>
        <w:t>非现</w:t>
      </w:r>
      <w:r>
        <w:rPr>
          <w:w w:val="100"/>
        </w:rPr>
        <w:t>金资</w:t>
      </w:r>
      <w:r>
        <w:rPr>
          <w:spacing w:val="-3"/>
          <w:w w:val="100"/>
        </w:rPr>
        <w:t>产</w:t>
      </w:r>
      <w:r>
        <w:rPr>
          <w:w w:val="100"/>
        </w:rPr>
        <w:t>或</w:t>
      </w:r>
      <w:r>
        <w:rPr>
          <w:spacing w:val="-3"/>
          <w:w w:val="100"/>
        </w:rPr>
        <w:t>者</w:t>
      </w:r>
      <w:r>
        <w:rPr>
          <w:w w:val="100"/>
        </w:rPr>
        <w:t>承</w:t>
      </w:r>
      <w:r>
        <w:rPr>
          <w:spacing w:val="-3"/>
          <w:w w:val="100"/>
        </w:rPr>
        <w:t>担</w:t>
      </w:r>
      <w:r>
        <w:rPr>
          <w:w w:val="100"/>
        </w:rPr>
        <w:t>带</w:t>
      </w:r>
      <w:r>
        <w:rPr>
          <w:spacing w:val="-3"/>
          <w:w w:val="100"/>
        </w:rPr>
        <w:t>息</w:t>
      </w:r>
      <w:r>
        <w:rPr>
          <w:w w:val="100"/>
        </w:rPr>
        <w:t>债</w:t>
      </w:r>
      <w:r>
        <w:rPr>
          <w:spacing w:val="-3"/>
          <w:w w:val="100"/>
        </w:rPr>
        <w:t>务</w:t>
      </w:r>
      <w:r>
        <w:rPr>
          <w:w w:val="100"/>
        </w:rPr>
        <w:t>形式</w:t>
      </w:r>
      <w:r>
        <w:rPr>
          <w:spacing w:val="-3"/>
          <w:w w:val="100"/>
        </w:rPr>
        <w:t>发</w:t>
      </w:r>
      <w:r>
        <w:rPr>
          <w:w w:val="100"/>
        </w:rPr>
        <w:t>生</w:t>
      </w:r>
      <w:r>
        <w:rPr>
          <w:spacing w:val="-3"/>
          <w:w w:val="100"/>
        </w:rPr>
        <w:t>的</w:t>
      </w:r>
      <w:r>
        <w:rPr>
          <w:w w:val="100"/>
        </w:rPr>
        <w:t>支</w:t>
      </w:r>
      <w:r>
        <w:rPr>
          <w:spacing w:val="-3"/>
          <w:w w:val="100"/>
        </w:rPr>
        <w:t>出</w:t>
      </w:r>
      <w:r>
        <w:rPr>
          <w:w w:val="100"/>
        </w:rPr>
        <w:t>；</w:t>
      </w:r>
    </w:p>
    <w:p>
      <w:pPr>
        <w:pStyle w:val="BodyText"/>
        <w:spacing w:line="403" w:lineRule="auto" w:before="40"/>
        <w:ind w:right="1402"/>
        <w:jc w:val="left"/>
      </w:pPr>
      <w:r>
        <w:rPr>
          <w:spacing w:val="-7"/>
          <w:w w:val="100"/>
        </w:rPr>
        <w:t>（2）借款费用已经发生；（3）为使资产达到预定可使用或者可销售状态所必要的购建或者生产</w:t>
      </w:r>
      <w:r>
        <w:rPr>
          <w:spacing w:val="-68"/>
          <w:w w:val="100"/>
        </w:rPr>
        <w:t> </w:t>
      </w:r>
      <w:r>
        <w:rPr>
          <w:spacing w:val="-68"/>
          <w:w w:val="100"/>
        </w:rPr>
      </w:r>
      <w:r>
        <w:rPr/>
        <w:t>活动已经开始。</w:t>
      </w:r>
    </w:p>
    <w:p>
      <w:pPr>
        <w:pStyle w:val="BodyText"/>
        <w:spacing w:line="400" w:lineRule="auto" w:before="163"/>
        <w:ind w:right="1402"/>
        <w:jc w:val="left"/>
      </w:pPr>
      <w:r>
        <w:rPr>
          <w:spacing w:val="-5"/>
          <w:w w:val="100"/>
        </w:rPr>
        <w:t>符合资本化条件的资产在购建或者生产过程中发生非正常中断、且中断时间连续超过</w:t>
      </w:r>
      <w:r>
        <w:rPr>
          <w:spacing w:val="-39"/>
          <w:w w:val="100"/>
        </w:rPr>
        <w:t> </w:t>
      </w:r>
      <w:r>
        <w:rPr>
          <w:w w:val="100"/>
        </w:rPr>
        <w:t>3</w:t>
      </w:r>
      <w:r>
        <w:rPr>
          <w:spacing w:val="-39"/>
          <w:w w:val="100"/>
        </w:rPr>
        <w:t> </w:t>
      </w:r>
      <w:r>
        <w:rPr>
          <w:spacing w:val="-2"/>
          <w:w w:val="100"/>
        </w:rPr>
        <w:t>个月的，</w:t>
      </w:r>
      <w:r>
        <w:rPr>
          <w:spacing w:val="-100"/>
          <w:w w:val="100"/>
        </w:rPr>
        <w:t> </w:t>
      </w:r>
      <w:r>
        <w:rPr>
          <w:spacing w:val="-100"/>
          <w:w w:val="100"/>
        </w:rPr>
      </w:r>
      <w:r>
        <w:rPr/>
        <w:t>应当暂停借款费用的资本化。在中断期间发生的借款费用应当确认为费用，计入当期损益，直</w:t>
      </w:r>
    </w:p>
    <w:p>
      <w:pPr>
        <w:spacing w:after="0" w:line="400" w:lineRule="auto"/>
        <w:jc w:val="left"/>
        <w:sectPr>
          <w:pgSz w:w="11910" w:h="16840"/>
          <w:pgMar w:header="929" w:footer="837" w:top="1140" w:bottom="1020" w:left="1600" w:right="0"/>
        </w:sectPr>
      </w:pPr>
    </w:p>
    <w:p>
      <w:pPr>
        <w:spacing w:line="240" w:lineRule="auto" w:before="1"/>
        <w:rPr>
          <w:rFonts w:ascii="宋体" w:hAnsi="宋体" w:cs="宋体" w:eastAsia="宋体" w:hint="default"/>
          <w:sz w:val="23"/>
          <w:szCs w:val="23"/>
        </w:rPr>
      </w:pPr>
    </w:p>
    <w:p>
      <w:pPr>
        <w:pStyle w:val="BodyText"/>
        <w:spacing w:line="403" w:lineRule="auto" w:before="36"/>
        <w:ind w:right="1581"/>
        <w:jc w:val="both"/>
      </w:pPr>
      <w:r>
        <w:rPr>
          <w:spacing w:val="-2"/>
        </w:rPr>
        <w:t>至资产的购建或者生产活动重新开始。如果中断是所购建或者生产的符合资本化条件的资产达</w:t>
      </w:r>
      <w:r>
        <w:rPr>
          <w:spacing w:val="-26"/>
        </w:rPr>
        <w:t> </w:t>
      </w:r>
      <w:r>
        <w:rPr>
          <w:spacing w:val="-26"/>
        </w:rPr>
      </w:r>
      <w:r>
        <w:rPr/>
        <w:t>到预定可使用或者可销售状态必要的程序，借款费用的资本化应当继续进行。</w:t>
      </w:r>
    </w:p>
    <w:p>
      <w:pPr>
        <w:pStyle w:val="BodyText"/>
        <w:spacing w:line="400" w:lineRule="auto" w:before="163"/>
        <w:ind w:right="1581"/>
        <w:jc w:val="both"/>
      </w:pPr>
      <w:r>
        <w:rPr>
          <w:spacing w:val="-2"/>
        </w:rPr>
        <w:t>购建或者生产符合资本化条件的资产达到预定可使用或者可销售状态时，借款费用应当停止资</w:t>
      </w:r>
      <w:r>
        <w:rPr>
          <w:spacing w:val="-26"/>
        </w:rPr>
        <w:t> </w:t>
      </w:r>
      <w:r>
        <w:rPr>
          <w:spacing w:val="-26"/>
        </w:rPr>
      </w:r>
      <w:r>
        <w:rPr>
          <w:spacing w:val="-2"/>
        </w:rPr>
        <w:t>本化。在符合资本化条件的资产达到预定可使用或者可销售状态之后所发生的借款费用，应当</w:t>
      </w:r>
      <w:r>
        <w:rPr>
          <w:spacing w:val="-25"/>
        </w:rPr>
        <w:t> </w:t>
      </w:r>
      <w:r>
        <w:rPr>
          <w:spacing w:val="-25"/>
        </w:rPr>
      </w:r>
      <w:r>
        <w:rPr/>
        <w:t>在发生时根据其发生额确认为费用，计入当期损益。</w:t>
      </w:r>
    </w:p>
    <w:p>
      <w:pPr>
        <w:pStyle w:val="BodyText"/>
        <w:spacing w:line="400" w:lineRule="auto" w:before="165"/>
        <w:ind w:right="1581"/>
        <w:jc w:val="both"/>
      </w:pPr>
      <w:r>
        <w:rPr>
          <w:spacing w:val="-2"/>
        </w:rPr>
        <w:t>为购建或者生产符合资本化条件的资产而借入专门借款的，应当以专门借款当期实际发生的利</w:t>
      </w:r>
      <w:r>
        <w:rPr>
          <w:spacing w:val="-25"/>
        </w:rPr>
        <w:t> </w:t>
      </w:r>
      <w:r>
        <w:rPr>
          <w:spacing w:val="-25"/>
        </w:rPr>
      </w:r>
      <w:r>
        <w:rPr>
          <w:spacing w:val="-2"/>
        </w:rPr>
        <w:t>息费用，减去将尚未动用的借款资金存入银行取得的利息收入或者进行暂时性投资取得的投资</w:t>
      </w:r>
      <w:r>
        <w:rPr>
          <w:spacing w:val="-25"/>
        </w:rPr>
        <w:t> </w:t>
      </w:r>
      <w:r>
        <w:rPr>
          <w:spacing w:val="-25"/>
        </w:rPr>
      </w:r>
      <w:r>
        <w:rPr>
          <w:spacing w:val="-2"/>
        </w:rPr>
        <w:t>收益后的金额，确定为专门借款利息费用的资本化金额，并应当在资本化期间内，将其计入符</w:t>
      </w:r>
      <w:r>
        <w:rPr>
          <w:spacing w:val="-27"/>
        </w:rPr>
        <w:t> </w:t>
      </w:r>
      <w:r>
        <w:rPr>
          <w:spacing w:val="-27"/>
        </w:rPr>
      </w:r>
      <w:r>
        <w:rPr/>
        <w:t>合资本化条件的资产成本。</w:t>
      </w:r>
    </w:p>
    <w:p>
      <w:pPr>
        <w:pStyle w:val="BodyText"/>
        <w:spacing w:line="403" w:lineRule="auto" w:before="163"/>
        <w:ind w:right="1581"/>
        <w:jc w:val="both"/>
      </w:pPr>
      <w:r>
        <w:rPr>
          <w:spacing w:val="-2"/>
        </w:rPr>
        <w:t>为购建或者生产符合资本化条件的资产占用了一般借款的，一般借款应予资本化的利息金额应</w:t>
      </w:r>
      <w:r>
        <w:rPr>
          <w:spacing w:val="-25"/>
        </w:rPr>
        <w:t> </w:t>
      </w:r>
      <w:r>
        <w:rPr>
          <w:spacing w:val="-25"/>
        </w:rPr>
      </w:r>
      <w:r>
        <w:rPr/>
        <w:t>当按照下列公式计算：</w:t>
      </w:r>
    </w:p>
    <w:p>
      <w:pPr>
        <w:pStyle w:val="BodyText"/>
        <w:spacing w:line="240" w:lineRule="auto" w:before="163"/>
        <w:ind w:left="523" w:right="1402"/>
        <w:jc w:val="left"/>
      </w:pPr>
      <w:r>
        <w:rPr/>
        <w:t>一般借款利息费用资本化金额＝累计资产支出超过专门借款部分的资产支出加权平均数×</w:t>
      </w:r>
    </w:p>
    <w:p>
      <w:pPr>
        <w:spacing w:line="240" w:lineRule="auto" w:before="0"/>
        <w:rPr>
          <w:rFonts w:ascii="宋体" w:hAnsi="宋体" w:cs="宋体" w:eastAsia="宋体" w:hint="default"/>
          <w:sz w:val="14"/>
          <w:szCs w:val="14"/>
        </w:rPr>
      </w:pPr>
    </w:p>
    <w:p>
      <w:pPr>
        <w:pStyle w:val="BodyText"/>
        <w:spacing w:line="240" w:lineRule="auto"/>
        <w:ind w:left="3569" w:right="1402"/>
        <w:jc w:val="left"/>
      </w:pPr>
      <w:r>
        <w:rPr/>
        <w:t>所占用一般借款的资本化率</w:t>
      </w:r>
    </w:p>
    <w:p>
      <w:pPr>
        <w:spacing w:line="240" w:lineRule="auto" w:before="5"/>
        <w:rPr>
          <w:rFonts w:ascii="宋体" w:hAnsi="宋体" w:cs="宋体" w:eastAsia="宋体" w:hint="default"/>
          <w:sz w:val="23"/>
          <w:szCs w:val="23"/>
        </w:rPr>
      </w:pPr>
    </w:p>
    <w:p>
      <w:pPr>
        <w:pStyle w:val="BodyText"/>
        <w:spacing w:line="240" w:lineRule="auto"/>
        <w:ind w:left="523" w:right="1402"/>
        <w:jc w:val="left"/>
      </w:pPr>
      <w:r>
        <w:rPr/>
        <w:pict>
          <v:shape style="position:absolute;margin-left:103.08847pt;margin-top:-7.598053pt;width:392.95pt;height:64.3pt;mso-position-horizontal-relative:page;mso-position-vertical-relative:paragraph;z-index:-554776;rotation:315" type="#_x0000_t136" fillcolor="#e0e0e0" stroked="f">
            <o:extrusion v:ext="view" autorotationcenter="t"/>
            <v:textpath style="font-family:&amp;quot;Arial&amp;quot;;font-size:64pt;v-text-kern:t;mso-text-shadow:auto" string="UnRegistered"/>
            <w10:wrap type="none"/>
          </v:shape>
        </w:pict>
      </w:r>
      <w:r>
        <w:rPr/>
        <w:t>所占用一般借款的资本化率＝所占用一般借款加权平均利率</w:t>
      </w:r>
    </w:p>
    <w:p>
      <w:pPr>
        <w:spacing w:line="240" w:lineRule="auto" w:before="3"/>
        <w:rPr>
          <w:rFonts w:ascii="宋体" w:hAnsi="宋体" w:cs="宋体" w:eastAsia="宋体" w:hint="default"/>
          <w:sz w:val="14"/>
          <w:szCs w:val="14"/>
        </w:rPr>
      </w:pPr>
    </w:p>
    <w:p>
      <w:pPr>
        <w:pStyle w:val="BodyText"/>
        <w:spacing w:line="400" w:lineRule="auto"/>
        <w:ind w:left="3254" w:right="1402" w:hanging="212"/>
        <w:jc w:val="left"/>
      </w:pPr>
      <w:r>
        <w:rPr>
          <w:spacing w:val="-2"/>
        </w:rPr>
        <w:t>＝所占用一般借款当期实际发生的利息之和÷所占用一般借款</w:t>
      </w:r>
      <w:r>
        <w:rPr>
          <w:spacing w:val="-53"/>
        </w:rPr>
        <w:t> </w:t>
      </w:r>
      <w:r>
        <w:rPr>
          <w:spacing w:val="-53"/>
        </w:rPr>
      </w:r>
      <w:r>
        <w:rPr/>
        <w:t>本金加权平均数</w:t>
      </w:r>
    </w:p>
    <w:p>
      <w:pPr>
        <w:pStyle w:val="BodyText"/>
        <w:spacing w:line="240" w:lineRule="auto" w:before="165"/>
        <w:ind w:left="523" w:right="1402"/>
        <w:jc w:val="left"/>
      </w:pPr>
      <w:r>
        <w:rPr/>
        <w:t>所占用一般借款本金加权平均数＝Σ（所占用每笔一般借款本金×每笔一般借款在当期所</w:t>
      </w:r>
    </w:p>
    <w:p>
      <w:pPr>
        <w:spacing w:line="240" w:lineRule="auto" w:before="3"/>
        <w:rPr>
          <w:rFonts w:ascii="宋体" w:hAnsi="宋体" w:cs="宋体" w:eastAsia="宋体" w:hint="default"/>
          <w:sz w:val="14"/>
          <w:szCs w:val="14"/>
        </w:rPr>
      </w:pPr>
    </w:p>
    <w:p>
      <w:pPr>
        <w:pStyle w:val="BodyText"/>
        <w:spacing w:line="240" w:lineRule="auto"/>
        <w:ind w:left="266" w:right="1013"/>
        <w:jc w:val="center"/>
      </w:pPr>
      <w:r>
        <w:rPr/>
        <w:t>占用的天数/当期天数）</w:t>
      </w:r>
    </w:p>
    <w:p>
      <w:pPr>
        <w:spacing w:line="240" w:lineRule="auto" w:before="3"/>
        <w:rPr>
          <w:rFonts w:ascii="宋体" w:hAnsi="宋体" w:cs="宋体" w:eastAsia="宋体" w:hint="default"/>
          <w:sz w:val="23"/>
          <w:szCs w:val="23"/>
        </w:rPr>
      </w:pPr>
    </w:p>
    <w:p>
      <w:pPr>
        <w:pStyle w:val="BodyText"/>
        <w:spacing w:line="240" w:lineRule="auto"/>
        <w:ind w:right="0"/>
        <w:jc w:val="both"/>
      </w:pPr>
      <w:r>
        <w:rPr/>
        <w:t>17、无形资产核算方法</w:t>
      </w:r>
    </w:p>
    <w:p>
      <w:pPr>
        <w:spacing w:line="240" w:lineRule="auto" w:before="5"/>
        <w:rPr>
          <w:rFonts w:ascii="宋体" w:hAnsi="宋体" w:cs="宋体" w:eastAsia="宋体" w:hint="default"/>
          <w:sz w:val="23"/>
          <w:szCs w:val="23"/>
        </w:rPr>
      </w:pPr>
    </w:p>
    <w:p>
      <w:pPr>
        <w:pStyle w:val="BodyText"/>
        <w:spacing w:line="403" w:lineRule="auto"/>
        <w:ind w:right="1581"/>
        <w:jc w:val="both"/>
      </w:pPr>
      <w:r>
        <w:rPr>
          <w:spacing w:val="-4"/>
        </w:rPr>
        <w:t>（1）无形资产的确认标准：无形资产同时满足下列条件的，予以确认：①与该无形资产有关的</w:t>
      </w:r>
      <w:r>
        <w:rPr>
          <w:spacing w:val="-46"/>
        </w:rPr>
        <w:t> </w:t>
      </w:r>
      <w:r>
        <w:rPr>
          <w:spacing w:val="-46"/>
        </w:rPr>
      </w:r>
      <w:r>
        <w:rPr/>
        <w:t>经济利益很可能流入企业；②该无形资产的成本能够可靠地计量。</w:t>
      </w:r>
    </w:p>
    <w:p>
      <w:pPr>
        <w:pStyle w:val="BodyText"/>
        <w:spacing w:line="240" w:lineRule="auto" w:before="160"/>
        <w:ind w:right="0"/>
        <w:jc w:val="both"/>
      </w:pPr>
      <w:r>
        <w:rPr/>
        <w:t>（2）无形资产的计价：</w:t>
      </w:r>
    </w:p>
    <w:p>
      <w:pPr>
        <w:spacing w:line="240" w:lineRule="auto" w:before="5"/>
        <w:rPr>
          <w:rFonts w:ascii="宋体" w:hAnsi="宋体" w:cs="宋体" w:eastAsia="宋体" w:hint="default"/>
          <w:sz w:val="23"/>
          <w:szCs w:val="23"/>
        </w:rPr>
      </w:pPr>
    </w:p>
    <w:p>
      <w:pPr>
        <w:pStyle w:val="BodyText"/>
        <w:spacing w:line="240" w:lineRule="auto"/>
        <w:ind w:right="0"/>
        <w:jc w:val="both"/>
      </w:pPr>
      <w:r>
        <w:rPr/>
        <w:t>①外购无形资产的成本，按使该项资产达到预定用途所发生的实际支出计价。</w:t>
      </w:r>
    </w:p>
    <w:p>
      <w:pPr>
        <w:spacing w:line="240" w:lineRule="auto" w:before="5"/>
        <w:rPr>
          <w:rFonts w:ascii="宋体" w:hAnsi="宋体" w:cs="宋体" w:eastAsia="宋体" w:hint="default"/>
          <w:sz w:val="23"/>
          <w:szCs w:val="23"/>
        </w:rPr>
      </w:pPr>
    </w:p>
    <w:p>
      <w:pPr>
        <w:pStyle w:val="BodyText"/>
        <w:spacing w:line="400" w:lineRule="auto"/>
        <w:ind w:right="1402"/>
        <w:jc w:val="left"/>
      </w:pPr>
      <w:r>
        <w:rPr>
          <w:spacing w:val="-4"/>
        </w:rPr>
        <w:t>②内部研究开发项目研究阶段的支出，于发生时计入当期损益，开发阶段的支出，能够符合资</w:t>
      </w:r>
      <w:r>
        <w:rPr>
          <w:spacing w:val="-46"/>
        </w:rPr>
        <w:t> </w:t>
      </w:r>
      <w:r>
        <w:rPr>
          <w:spacing w:val="-46"/>
        </w:rPr>
      </w:r>
      <w:r>
        <w:rPr/>
        <w:t>本化条件的，确认为无形资产成本。</w:t>
      </w:r>
    </w:p>
    <w:p>
      <w:pPr>
        <w:pStyle w:val="BodyText"/>
        <w:spacing w:line="403" w:lineRule="auto" w:before="165"/>
        <w:ind w:right="1679"/>
        <w:jc w:val="both"/>
      </w:pPr>
      <w:r>
        <w:rPr>
          <w:spacing w:val="-4"/>
        </w:rPr>
        <w:t>③投资者投入的无形资产，按照投资合同或协议约定的价值作为成本，但合同或协议约定价值</w:t>
      </w:r>
      <w:r>
        <w:rPr>
          <w:spacing w:val="-43"/>
        </w:rPr>
        <w:t> </w:t>
      </w:r>
      <w:r>
        <w:rPr>
          <w:spacing w:val="-43"/>
        </w:rPr>
      </w:r>
      <w:r>
        <w:rPr/>
        <w:t>不公允的除外。</w:t>
      </w:r>
    </w:p>
    <w:p>
      <w:pPr>
        <w:spacing w:after="0" w:line="403" w:lineRule="auto"/>
        <w:jc w:val="both"/>
        <w:sectPr>
          <w:pgSz w:w="11910" w:h="16840"/>
          <w:pgMar w:header="929" w:footer="837" w:top="1140" w:bottom="1020" w:left="1600" w:right="0"/>
        </w:sectPr>
      </w:pPr>
    </w:p>
    <w:p>
      <w:pPr>
        <w:spacing w:line="240" w:lineRule="auto" w:before="1"/>
        <w:rPr>
          <w:rFonts w:ascii="宋体" w:hAnsi="宋体" w:cs="宋体" w:eastAsia="宋体" w:hint="default"/>
          <w:sz w:val="23"/>
          <w:szCs w:val="23"/>
        </w:rPr>
      </w:pPr>
    </w:p>
    <w:p>
      <w:pPr>
        <w:pStyle w:val="BodyText"/>
        <w:spacing w:line="403" w:lineRule="auto" w:before="36"/>
        <w:ind w:right="1679"/>
        <w:jc w:val="both"/>
      </w:pPr>
      <w:r>
        <w:rPr>
          <w:spacing w:val="-4"/>
        </w:rPr>
        <w:t>④接受债务人以非现金资产抵偿债务方式取得的无形资产，或以应收债权换入无形资产的，按</w:t>
      </w:r>
      <w:r>
        <w:rPr>
          <w:spacing w:val="-44"/>
        </w:rPr>
        <w:t> </w:t>
      </w:r>
      <w:r>
        <w:rPr>
          <w:spacing w:val="-44"/>
        </w:rPr>
      </w:r>
      <w:r>
        <w:rPr/>
        <w:t>换入无形资产的公允价值入账。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403" w:lineRule="auto"/>
        <w:ind w:right="1679"/>
        <w:jc w:val="both"/>
      </w:pPr>
      <w:r>
        <w:rPr>
          <w:spacing w:val="-4"/>
          <w:w w:val="100"/>
        </w:rPr>
        <w:t>⑤非货币性交易投入的无形资产，以该项无形资产的公允价值和应支付的相关税费作为入账成</w:t>
      </w:r>
      <w:r>
        <w:rPr>
          <w:spacing w:val="-92"/>
          <w:w w:val="100"/>
        </w:rPr>
        <w:t> </w:t>
      </w:r>
      <w:r>
        <w:rPr>
          <w:spacing w:val="-92"/>
          <w:w w:val="100"/>
        </w:rPr>
      </w:r>
      <w:r>
        <w:rPr/>
        <w:t>本。</w:t>
      </w:r>
    </w:p>
    <w:p>
      <w:pPr>
        <w:pStyle w:val="BodyText"/>
        <w:spacing w:line="400" w:lineRule="auto" w:before="163"/>
        <w:ind w:right="1402"/>
        <w:jc w:val="left"/>
      </w:pPr>
      <w:r>
        <w:rPr>
          <w:spacing w:val="-4"/>
        </w:rPr>
        <w:t>⑥接受捐赠的无形资产，捐赠方提供了有关凭据的，按凭据上标明的金额加上应支付的相关税</w:t>
      </w:r>
      <w:r>
        <w:rPr>
          <w:spacing w:val="-43"/>
        </w:rPr>
        <w:t> </w:t>
      </w:r>
      <w:r>
        <w:rPr>
          <w:spacing w:val="-43"/>
        </w:rPr>
      </w:r>
      <w:r>
        <w:rPr>
          <w:spacing w:val="-4"/>
        </w:rPr>
        <w:t>费计价；捐赠方没有提供有关凭据的，如果同类或类似无形资产存在活跃市场的，按同类或类</w:t>
      </w:r>
      <w:r>
        <w:rPr>
          <w:spacing w:val="-46"/>
        </w:rPr>
        <w:t> </w:t>
      </w:r>
      <w:r>
        <w:rPr>
          <w:spacing w:val="-46"/>
        </w:rPr>
      </w:r>
      <w:r>
        <w:rPr>
          <w:spacing w:val="-4"/>
        </w:rPr>
        <w:t>似无形资产的市场价格估计的金额，加上应支付的相关税费，作为实际成本；如果同类或类似</w:t>
      </w:r>
      <w:r>
        <w:rPr>
          <w:spacing w:val="-48"/>
        </w:rPr>
        <w:t> </w:t>
      </w:r>
      <w:r>
        <w:rPr>
          <w:spacing w:val="-48"/>
        </w:rPr>
      </w:r>
      <w:r>
        <w:rPr>
          <w:spacing w:val="-7"/>
          <w:w w:val="100"/>
        </w:rPr>
        <w:t>无形资产不存在活跃市场的，按接受捐赠的无形资产的预计未来现金流量现值，作为实际成本；</w:t>
      </w:r>
      <w:r>
        <w:rPr>
          <w:spacing w:val="-73"/>
          <w:w w:val="100"/>
        </w:rPr>
        <w:t> </w:t>
      </w:r>
      <w:r>
        <w:rPr>
          <w:spacing w:val="-73"/>
          <w:w w:val="100"/>
        </w:rPr>
      </w:r>
      <w:r>
        <w:rPr>
          <w:spacing w:val="-7"/>
          <w:w w:val="100"/>
        </w:rPr>
        <w:t>自行开发并按法律程序申请取得的无形资产，按依法取得时发生的注册费，聘请律师费等费用，</w:t>
      </w:r>
      <w:r>
        <w:rPr>
          <w:spacing w:val="-74"/>
          <w:w w:val="100"/>
        </w:rPr>
        <w:t> </w:t>
      </w:r>
      <w:r>
        <w:rPr>
          <w:spacing w:val="-74"/>
          <w:w w:val="100"/>
        </w:rPr>
      </w:r>
      <w:r>
        <w:rPr/>
        <w:t>作为实际成本。</w:t>
      </w:r>
    </w:p>
    <w:p>
      <w:pPr>
        <w:pStyle w:val="BodyText"/>
        <w:spacing w:line="240" w:lineRule="auto" w:before="165"/>
        <w:ind w:right="0"/>
        <w:jc w:val="both"/>
      </w:pPr>
      <w:r>
        <w:rPr/>
        <w:t>（3）无形资产的摊销方法</w:t>
      </w:r>
    </w:p>
    <w:p>
      <w:pPr>
        <w:spacing w:line="240" w:lineRule="auto" w:before="3"/>
        <w:rPr>
          <w:rFonts w:ascii="宋体" w:hAnsi="宋体" w:cs="宋体" w:eastAsia="宋体" w:hint="default"/>
          <w:sz w:val="23"/>
          <w:szCs w:val="23"/>
        </w:rPr>
      </w:pPr>
    </w:p>
    <w:p>
      <w:pPr>
        <w:pStyle w:val="BodyText"/>
        <w:spacing w:line="400" w:lineRule="auto"/>
        <w:ind w:right="1581"/>
        <w:jc w:val="both"/>
      </w:pPr>
      <w:r>
        <w:rPr/>
        <w:pict>
          <v:shape style="position:absolute;margin-left:103.08847pt;margin-top:15.441955pt;width:392.95pt;height:64.3pt;mso-position-horizontal-relative:page;mso-position-vertical-relative:paragraph;z-index:-554752;rotation:315" type="#_x0000_t136" fillcolor="#e0e0e0" stroked="f">
            <o:extrusion v:ext="view" autorotationcenter="t"/>
            <v:textpath style="font-family:&amp;quot;Arial&amp;quot;;font-size:64pt;v-text-kern:t;mso-text-shadow:auto" string="UnRegistered"/>
            <w10:wrap type="none"/>
          </v:shape>
        </w:pict>
      </w:r>
      <w:r>
        <w:rPr>
          <w:spacing w:val="-2"/>
        </w:rPr>
        <w:t>使用寿命有限的无形资产，其应摊销金额在使用寿命内按直线法摊销，来源于合同性权利或其</w:t>
      </w:r>
      <w:r>
        <w:rPr>
          <w:spacing w:val="-25"/>
        </w:rPr>
        <w:t> </w:t>
      </w:r>
      <w:r>
        <w:rPr>
          <w:spacing w:val="-25"/>
        </w:rPr>
      </w:r>
      <w:r>
        <w:rPr>
          <w:spacing w:val="-2"/>
        </w:rPr>
        <w:t>他法定权利的无形资产，其使用寿命不应超过合同性权利或其他法定权利的期限；合同性权利</w:t>
      </w:r>
      <w:r>
        <w:rPr>
          <w:spacing w:val="-26"/>
        </w:rPr>
        <w:t> </w:t>
      </w:r>
      <w:r>
        <w:rPr>
          <w:spacing w:val="-26"/>
        </w:rPr>
      </w:r>
      <w:r>
        <w:rPr>
          <w:spacing w:val="-2"/>
        </w:rPr>
        <w:t>或其他法定权利在到期时因续约等延续、且有证据表明企业续约不需要付出大额成本的，续约</w:t>
      </w:r>
      <w:r>
        <w:rPr>
          <w:spacing w:val="-26"/>
        </w:rPr>
        <w:t> </w:t>
      </w:r>
      <w:r>
        <w:rPr>
          <w:spacing w:val="-26"/>
        </w:rPr>
      </w:r>
      <w:r>
        <w:rPr>
          <w:spacing w:val="-2"/>
        </w:rPr>
        <w:t>期应当计入使用寿命。合同或法律没有规定使用寿命的，企业应当综合各方面因素判断，以确</w:t>
      </w:r>
      <w:r>
        <w:rPr>
          <w:spacing w:val="-27"/>
        </w:rPr>
        <w:t> </w:t>
      </w:r>
      <w:r>
        <w:rPr>
          <w:spacing w:val="-27"/>
        </w:rPr>
      </w:r>
      <w:r>
        <w:rPr>
          <w:spacing w:val="-2"/>
        </w:rPr>
        <w:t>定无形资产能为企业带来经济利益的期限。按照上述方法仍无法合理确定无形资产为企业带来</w:t>
      </w:r>
      <w:r>
        <w:rPr>
          <w:spacing w:val="-26"/>
        </w:rPr>
        <w:t> </w:t>
      </w:r>
      <w:r>
        <w:rPr>
          <w:spacing w:val="-26"/>
        </w:rPr>
      </w:r>
      <w:r>
        <w:rPr>
          <w:spacing w:val="-2"/>
        </w:rPr>
        <w:t>经济利益期限的，该项无形资产应作为使用寿命不确定的无形资产，不作摊销，并于每会计年</w:t>
      </w:r>
      <w:r>
        <w:rPr>
          <w:spacing w:val="-29"/>
        </w:rPr>
        <w:t> </w:t>
      </w:r>
      <w:r>
        <w:rPr>
          <w:spacing w:val="-29"/>
        </w:rPr>
      </w:r>
      <w:r>
        <w:rPr>
          <w:spacing w:val="-2"/>
        </w:rPr>
        <w:t>度内对使用寿命不确定的无形资产的使用寿命进行复核，如有证据表明无形资产的使用寿命是</w:t>
      </w:r>
      <w:r>
        <w:rPr>
          <w:spacing w:val="-26"/>
        </w:rPr>
        <w:t> </w:t>
      </w:r>
      <w:r>
        <w:rPr>
          <w:spacing w:val="-26"/>
        </w:rPr>
      </w:r>
      <w:r>
        <w:rPr/>
        <w:t>有限的，应当估计其使用寿命，并按使用寿命有限的无形资产核算方法进行处理。</w:t>
      </w:r>
    </w:p>
    <w:p>
      <w:pPr>
        <w:pStyle w:val="BodyText"/>
        <w:spacing w:line="400" w:lineRule="auto" w:before="165"/>
        <w:ind w:right="1581"/>
        <w:jc w:val="both"/>
      </w:pPr>
      <w:r>
        <w:rPr>
          <w:spacing w:val="-2"/>
        </w:rPr>
        <w:t>无形资产的应摊销金额为其成本扣除预计残值后的金额。已计提减值准备的无形资产，还需扣</w:t>
      </w:r>
      <w:r>
        <w:rPr>
          <w:spacing w:val="-27"/>
        </w:rPr>
        <w:t> </w:t>
      </w:r>
      <w:r>
        <w:rPr>
          <w:spacing w:val="-27"/>
        </w:rPr>
      </w:r>
      <w:r>
        <w:rPr>
          <w:spacing w:val="-2"/>
        </w:rPr>
        <w:t>除已计提的无形资产减值准备累计金额。使用寿命有限的无形资产，其残值视为零，但以下情</w:t>
      </w:r>
      <w:r>
        <w:rPr>
          <w:spacing w:val="-27"/>
        </w:rPr>
        <w:t> </w:t>
      </w:r>
      <w:r>
        <w:rPr>
          <w:spacing w:val="-27"/>
        </w:rPr>
      </w:r>
      <w:r>
        <w:rPr>
          <w:spacing w:val="-2"/>
        </w:rPr>
        <w:t>况除外：①有第三方承诺在无形资产使用寿命结束时购买该无形资产；②可以根据活跃市场得</w:t>
      </w:r>
      <w:r>
        <w:rPr>
          <w:spacing w:val="-25"/>
        </w:rPr>
        <w:t> </w:t>
      </w:r>
      <w:r>
        <w:rPr>
          <w:spacing w:val="-25"/>
        </w:rPr>
      </w:r>
      <w:r>
        <w:rPr/>
        <w:t>到预计残值信息，并且该市场在无形资产使用寿命结束时很可能存在。</w:t>
      </w:r>
    </w:p>
    <w:p>
      <w:pPr>
        <w:pStyle w:val="BodyText"/>
        <w:spacing w:line="240" w:lineRule="auto" w:before="163"/>
        <w:ind w:right="0"/>
        <w:jc w:val="both"/>
      </w:pPr>
      <w:r>
        <w:rPr/>
        <w:t>（4）划分研究开发项目研究阶段支出和开发阶段的支出的具体标准</w:t>
      </w:r>
    </w:p>
    <w:p>
      <w:pPr>
        <w:spacing w:line="240" w:lineRule="auto" w:before="5"/>
        <w:rPr>
          <w:rFonts w:ascii="宋体" w:hAnsi="宋体" w:cs="宋体" w:eastAsia="宋体" w:hint="default"/>
          <w:sz w:val="23"/>
          <w:szCs w:val="23"/>
        </w:rPr>
      </w:pPr>
    </w:p>
    <w:p>
      <w:pPr>
        <w:pStyle w:val="BodyText"/>
        <w:spacing w:line="400" w:lineRule="auto"/>
        <w:ind w:right="1679"/>
        <w:jc w:val="both"/>
      </w:pPr>
      <w:r>
        <w:rPr>
          <w:spacing w:val="-4"/>
          <w:w w:val="100"/>
        </w:rPr>
        <w:t>公司将内部研究开发项目区分为研究阶段和开发阶段：研究阶段是指为获取并理解新的科学或</w:t>
      </w:r>
      <w:r>
        <w:rPr>
          <w:spacing w:val="-93"/>
          <w:w w:val="100"/>
        </w:rPr>
        <w:t> </w:t>
      </w:r>
      <w:r>
        <w:rPr>
          <w:spacing w:val="-93"/>
          <w:w w:val="100"/>
        </w:rPr>
      </w:r>
      <w:r>
        <w:rPr>
          <w:spacing w:val="-4"/>
        </w:rPr>
        <w:t>技术知识而进行的独创性的有计划调查阶段。开发阶段是指已完成研究阶段，在进行商业性生</w:t>
      </w:r>
      <w:r>
        <w:rPr>
          <w:spacing w:val="-43"/>
        </w:rPr>
        <w:t> </w:t>
      </w:r>
      <w:r>
        <w:rPr>
          <w:spacing w:val="-43"/>
        </w:rPr>
      </w:r>
      <w:r>
        <w:rPr>
          <w:spacing w:val="-4"/>
        </w:rPr>
        <w:t>产或使用前，将研究成果或其他知识应用于某项计划或设计，以生产出新的或具有实质性改进</w:t>
      </w:r>
    </w:p>
    <w:p>
      <w:pPr>
        <w:spacing w:after="0" w:line="400" w:lineRule="auto"/>
        <w:jc w:val="both"/>
        <w:sectPr>
          <w:pgSz w:w="11910" w:h="16840"/>
          <w:pgMar w:header="929" w:footer="837" w:top="1140" w:bottom="1020" w:left="1600" w:right="0"/>
        </w:sectPr>
      </w:pPr>
    </w:p>
    <w:p>
      <w:pPr>
        <w:spacing w:line="240" w:lineRule="auto" w:before="1"/>
        <w:rPr>
          <w:rFonts w:ascii="宋体" w:hAnsi="宋体" w:cs="宋体" w:eastAsia="宋体" w:hint="default"/>
          <w:sz w:val="23"/>
          <w:szCs w:val="23"/>
        </w:rPr>
      </w:pPr>
    </w:p>
    <w:p>
      <w:pPr>
        <w:pStyle w:val="BodyText"/>
        <w:spacing w:line="240" w:lineRule="auto" w:before="36"/>
        <w:ind w:right="0"/>
        <w:jc w:val="both"/>
      </w:pPr>
      <w:r>
        <w:rPr/>
        <w:t>的材料、装置、产品等阶段。</w:t>
      </w:r>
    </w:p>
    <w:p>
      <w:pPr>
        <w:spacing w:line="240" w:lineRule="auto" w:before="4"/>
        <w:rPr>
          <w:rFonts w:ascii="宋体" w:hAnsi="宋体" w:cs="宋体" w:eastAsia="宋体" w:hint="default"/>
          <w:sz w:val="22"/>
          <w:szCs w:val="22"/>
        </w:rPr>
      </w:pPr>
    </w:p>
    <w:p>
      <w:pPr>
        <w:pStyle w:val="BodyText"/>
        <w:spacing w:line="384" w:lineRule="auto"/>
        <w:ind w:right="1402"/>
        <w:jc w:val="left"/>
      </w:pPr>
      <w:r>
        <w:rPr>
          <w:spacing w:val="-4"/>
        </w:rPr>
        <w:t>公司根据上述划分研究阶段、开发阶段的标准，归集相应阶段的支出。研究阶段发生的支出应</w:t>
      </w:r>
      <w:r>
        <w:rPr>
          <w:spacing w:val="-48"/>
        </w:rPr>
        <w:t> </w:t>
      </w:r>
      <w:r>
        <w:rPr>
          <w:spacing w:val="-48"/>
        </w:rPr>
      </w:r>
      <w:r>
        <w:rPr/>
        <w:t>当于发生时计入当期损益；开发阶段的支出，在同时满足下列条件时，确认为无形资产：</w:t>
      </w:r>
    </w:p>
    <w:p>
      <w:pPr>
        <w:pStyle w:val="BodyText"/>
        <w:spacing w:line="240" w:lineRule="auto" w:before="160"/>
        <w:ind w:right="0"/>
        <w:jc w:val="both"/>
      </w:pPr>
      <w:r>
        <w:rPr/>
        <w:t>①完成该无形资产以使其能够使用或出售在技术上具有可行性。</w:t>
      </w:r>
    </w:p>
    <w:p>
      <w:pPr>
        <w:spacing w:line="240" w:lineRule="auto" w:before="10"/>
        <w:rPr>
          <w:rFonts w:ascii="宋体" w:hAnsi="宋体" w:cs="宋体" w:eastAsia="宋体" w:hint="default"/>
          <w:sz w:val="21"/>
          <w:szCs w:val="21"/>
        </w:rPr>
      </w:pPr>
    </w:p>
    <w:p>
      <w:pPr>
        <w:pStyle w:val="BodyText"/>
        <w:spacing w:line="240" w:lineRule="auto"/>
        <w:ind w:right="0"/>
        <w:jc w:val="both"/>
      </w:pPr>
      <w:r>
        <w:rPr/>
        <w:t>②具有完成该无形资产并使用或出售的意图。</w:t>
      </w:r>
    </w:p>
    <w:p>
      <w:pPr>
        <w:spacing w:line="240" w:lineRule="auto" w:before="10"/>
        <w:rPr>
          <w:rFonts w:ascii="宋体" w:hAnsi="宋体" w:cs="宋体" w:eastAsia="宋体" w:hint="default"/>
          <w:sz w:val="21"/>
          <w:szCs w:val="21"/>
        </w:rPr>
      </w:pPr>
    </w:p>
    <w:p>
      <w:pPr>
        <w:pStyle w:val="BodyText"/>
        <w:spacing w:line="386" w:lineRule="auto"/>
        <w:ind w:right="1679"/>
        <w:jc w:val="both"/>
      </w:pPr>
      <w:r>
        <w:rPr>
          <w:spacing w:val="-4"/>
          <w:w w:val="100"/>
        </w:rPr>
        <w:t>③无形资产产生未来经济利益的方式，包括能够证明运用该无形资产生产的产品存在市场或无</w:t>
      </w:r>
      <w:r>
        <w:rPr>
          <w:spacing w:val="-92"/>
          <w:w w:val="100"/>
        </w:rPr>
        <w:t> </w:t>
      </w:r>
      <w:r>
        <w:rPr>
          <w:spacing w:val="-92"/>
          <w:w w:val="100"/>
        </w:rPr>
      </w:r>
      <w:r>
        <w:rPr/>
        <w:t>形资产自身存在市场；无形资产将在内部使用时，证明其有用性。</w:t>
      </w:r>
    </w:p>
    <w:p>
      <w:pPr>
        <w:pStyle w:val="BodyText"/>
        <w:spacing w:line="384" w:lineRule="auto" w:before="156"/>
        <w:ind w:right="1402"/>
        <w:jc w:val="left"/>
      </w:pPr>
      <w:r>
        <w:rPr>
          <w:spacing w:val="-4"/>
        </w:rPr>
        <w:t>④有足够的技术、财务资源和其他资源支持，以完成该无形资产的开发，并有能力使用或出售</w:t>
      </w:r>
      <w:r>
        <w:rPr>
          <w:spacing w:val="-49"/>
        </w:rPr>
        <w:t> </w:t>
      </w:r>
      <w:r>
        <w:rPr>
          <w:spacing w:val="-49"/>
        </w:rPr>
      </w:r>
      <w:r>
        <w:rPr/>
        <w:t>该无形资产。</w:t>
      </w:r>
    </w:p>
    <w:p>
      <w:pPr>
        <w:pStyle w:val="BodyText"/>
        <w:spacing w:line="487" w:lineRule="auto" w:before="160"/>
        <w:ind w:right="1402"/>
        <w:jc w:val="left"/>
      </w:pPr>
      <w:r>
        <w:rPr/>
        <w:t>⑤归属于该无形资产开发阶段的支出能够可靠计量。</w:t>
      </w:r>
      <w:r>
        <w:rPr>
          <w:w w:val="100"/>
        </w:rPr>
        <w:t> </w:t>
      </w:r>
      <w:r>
        <w:rPr>
          <w:spacing w:val="-4"/>
          <w:w w:val="100"/>
        </w:rPr>
        <w:t>公司购入或以支付土地出让金方式取得的土地使用权，作为无形资产核算并按法定受益期摊销。</w:t>
      </w:r>
      <w:r>
        <w:rPr>
          <w:spacing w:val="-97"/>
          <w:w w:val="100"/>
        </w:rPr>
        <w:t> </w:t>
      </w:r>
      <w:r>
        <w:rPr>
          <w:spacing w:val="-97"/>
          <w:w w:val="100"/>
        </w:rPr>
      </w:r>
      <w:r>
        <w:rPr/>
        <w:t>18、长期待摊费用</w:t>
      </w:r>
    </w:p>
    <w:p>
      <w:pPr>
        <w:pStyle w:val="BodyText"/>
        <w:spacing w:line="384" w:lineRule="auto" w:before="70"/>
        <w:ind w:right="1581"/>
        <w:jc w:val="both"/>
      </w:pPr>
      <w:r>
        <w:rPr/>
        <w:pict>
          <v:shape style="position:absolute;margin-left:103.08847pt;margin-top:6.58197pt;width:392.95pt;height:64.3pt;mso-position-horizontal-relative:page;mso-position-vertical-relative:paragraph;z-index:-554728;rotation:315" type="#_x0000_t136" fillcolor="#e0e0e0" stroked="f">
            <o:extrusion v:ext="view" autorotationcenter="t"/>
            <v:textpath style="font-family:&amp;quot;Arial&amp;quot;;font-size:64pt;v-text-kern:t;mso-text-shadow:auto" string="UnRegistered"/>
            <w10:wrap type="none"/>
          </v:shape>
        </w:pict>
      </w:r>
      <w:r>
        <w:rPr>
          <w:spacing w:val="-2"/>
        </w:rPr>
        <w:t>长期待摊费用是公司已经发生但应由本期和以后各期分担的分摊期限在一年以上的各项费用，</w:t>
      </w:r>
      <w:r>
        <w:rPr>
          <w:spacing w:val="-27"/>
        </w:rPr>
        <w:t> </w:t>
      </w:r>
      <w:r>
        <w:rPr>
          <w:spacing w:val="-27"/>
        </w:rPr>
      </w:r>
      <w:r>
        <w:rPr>
          <w:spacing w:val="-2"/>
        </w:rPr>
        <w:t>以实际发生的支出入账并在其预计受益期内按直线法平均法进行摊销。如果长期待摊费用项目</w:t>
      </w:r>
      <w:r>
        <w:rPr>
          <w:spacing w:val="-25"/>
        </w:rPr>
        <w:t> </w:t>
      </w:r>
      <w:r>
        <w:rPr>
          <w:spacing w:val="-25"/>
        </w:rPr>
      </w:r>
      <w:r>
        <w:rPr/>
        <w:t>不能使以后会计期间受益的，则将尚未摊销的该项目的摊余价值全部转入当期损益。</w:t>
      </w:r>
    </w:p>
    <w:p>
      <w:pPr>
        <w:pStyle w:val="BodyText"/>
        <w:spacing w:line="240" w:lineRule="auto" w:before="160"/>
        <w:ind w:right="0"/>
        <w:jc w:val="both"/>
      </w:pPr>
      <w:r>
        <w:rPr/>
        <w:t>19、预计负债</w:t>
      </w:r>
    </w:p>
    <w:p>
      <w:pPr>
        <w:spacing w:line="240" w:lineRule="auto" w:before="10"/>
        <w:rPr>
          <w:rFonts w:ascii="宋体" w:hAnsi="宋体" w:cs="宋体" w:eastAsia="宋体" w:hint="default"/>
          <w:sz w:val="21"/>
          <w:szCs w:val="21"/>
        </w:rPr>
      </w:pPr>
    </w:p>
    <w:p>
      <w:pPr>
        <w:pStyle w:val="BodyText"/>
        <w:spacing w:line="240" w:lineRule="auto"/>
        <w:ind w:right="0"/>
        <w:jc w:val="both"/>
      </w:pPr>
      <w:r>
        <w:rPr/>
        <w:t>（1）预计负债的确认标准</w:t>
      </w:r>
    </w:p>
    <w:p>
      <w:pPr>
        <w:spacing w:line="240" w:lineRule="auto" w:before="10"/>
        <w:rPr>
          <w:rFonts w:ascii="宋体" w:hAnsi="宋体" w:cs="宋体" w:eastAsia="宋体" w:hint="default"/>
          <w:sz w:val="21"/>
          <w:szCs w:val="21"/>
        </w:rPr>
      </w:pPr>
    </w:p>
    <w:p>
      <w:pPr>
        <w:pStyle w:val="BodyText"/>
        <w:spacing w:line="384" w:lineRule="auto"/>
        <w:ind w:right="1581"/>
        <w:jc w:val="both"/>
      </w:pPr>
      <w:r>
        <w:rPr>
          <w:spacing w:val="-2"/>
        </w:rPr>
        <w:t>当与对外担保、未决诉讼或仲裁、产品质量保证、裁员计划、亏损合同、重组义务、固定资产</w:t>
      </w:r>
      <w:r>
        <w:rPr>
          <w:spacing w:val="-26"/>
        </w:rPr>
        <w:t> </w:t>
      </w:r>
      <w:r>
        <w:rPr>
          <w:spacing w:val="-26"/>
        </w:rPr>
      </w:r>
      <w:r>
        <w:rPr>
          <w:spacing w:val="-2"/>
        </w:rPr>
        <w:t>弃置义务等或有事项相关的业务同时符合以下条件时，确认为负债：①该义务是公司承担的现</w:t>
      </w:r>
      <w:r>
        <w:rPr>
          <w:spacing w:val="-27"/>
        </w:rPr>
        <w:t> </w:t>
      </w:r>
      <w:r>
        <w:rPr>
          <w:spacing w:val="-27"/>
        </w:rPr>
      </w:r>
      <w:r>
        <w:rPr/>
        <w:t>时义务；②该义务的履行很可能导致经济利益流出企业；③该义务的金额能够可靠地计量。</w:t>
      </w:r>
    </w:p>
    <w:p>
      <w:pPr>
        <w:pStyle w:val="BodyText"/>
        <w:spacing w:line="240" w:lineRule="auto" w:before="158"/>
        <w:ind w:right="0"/>
        <w:jc w:val="both"/>
      </w:pPr>
      <w:r>
        <w:rPr/>
        <w:t>（2）预计负债的计量方法</w:t>
      </w:r>
    </w:p>
    <w:p>
      <w:pPr>
        <w:spacing w:line="240" w:lineRule="auto" w:before="12"/>
        <w:rPr>
          <w:rFonts w:ascii="宋体" w:hAnsi="宋体" w:cs="宋体" w:eastAsia="宋体" w:hint="default"/>
          <w:sz w:val="21"/>
          <w:szCs w:val="21"/>
        </w:rPr>
      </w:pPr>
    </w:p>
    <w:p>
      <w:pPr>
        <w:pStyle w:val="BodyText"/>
        <w:spacing w:line="384" w:lineRule="auto"/>
        <w:ind w:right="1473"/>
        <w:jc w:val="both"/>
      </w:pPr>
      <w:r>
        <w:rPr/>
        <w:t>预计负债按照履行现时义务所需支出的最佳估计数进行精算并初始计量。所需支出存在一个连</w:t>
      </w:r>
      <w:r>
        <w:rPr>
          <w:w w:val="100"/>
        </w:rPr>
        <w:t> </w:t>
      </w:r>
      <w:r>
        <w:rPr/>
        <w:t>续范围，且该范围内各种结果发生的可能性相同的最佳估计数按该范围的中间值确定；在其他</w:t>
      </w:r>
      <w:r>
        <w:rPr>
          <w:w w:val="100"/>
        </w:rPr>
        <w:t> </w:t>
      </w:r>
      <w:r>
        <w:rPr/>
        <w:t>情况下，最佳估计数按如下方法确定：①或有事项涉及单个项目时，最佳估计数按最可能发生</w:t>
      </w:r>
      <w:r>
        <w:rPr>
          <w:w w:val="100"/>
        </w:rPr>
        <w:t> </w:t>
      </w:r>
      <w:r>
        <w:rPr>
          <w:spacing w:val="-4"/>
        </w:rPr>
        <w:t>金额确定；②或有事项涉及多个项目时，最佳估计数按各种可能发生额及其发生概率计算确定；</w:t>
      </w:r>
    </w:p>
    <w:p>
      <w:pPr>
        <w:pStyle w:val="BodyText"/>
        <w:spacing w:line="384" w:lineRule="auto" w:before="38"/>
        <w:ind w:right="1402"/>
        <w:jc w:val="left"/>
      </w:pPr>
      <w:r>
        <w:rPr>
          <w:spacing w:val="-2"/>
        </w:rPr>
        <w:t>③公司清偿预计负债所需支出全部或部分预期由第三方或其他方补偿的，则补偿金额在基本确</w:t>
      </w:r>
      <w:r>
        <w:rPr>
          <w:spacing w:val="-26"/>
        </w:rPr>
        <w:t> </w:t>
      </w:r>
      <w:r>
        <w:rPr>
          <w:spacing w:val="-26"/>
        </w:rPr>
      </w:r>
      <w:r>
        <w:rPr/>
        <w:t>定能收到时，作为资产单独确认。确认的补偿金额不超过所确认预计负债的账面价值。</w:t>
      </w:r>
    </w:p>
    <w:p>
      <w:pPr>
        <w:spacing w:after="0" w:line="384" w:lineRule="auto"/>
        <w:jc w:val="left"/>
        <w:sectPr>
          <w:pgSz w:w="11910" w:h="16840"/>
          <w:pgMar w:header="929" w:footer="837" w:top="1140" w:bottom="1020" w:left="1600" w:right="0"/>
        </w:sectPr>
      </w:pPr>
    </w:p>
    <w:p>
      <w:pPr>
        <w:spacing w:line="240" w:lineRule="auto" w:before="12"/>
        <w:rPr>
          <w:rFonts w:ascii="宋体" w:hAnsi="宋体" w:cs="宋体" w:eastAsia="宋体" w:hint="default"/>
          <w:sz w:val="21"/>
          <w:szCs w:val="21"/>
        </w:rPr>
      </w:pPr>
    </w:p>
    <w:p>
      <w:pPr>
        <w:pStyle w:val="BodyText"/>
        <w:spacing w:line="240" w:lineRule="auto" w:before="36"/>
        <w:ind w:right="0"/>
        <w:jc w:val="both"/>
      </w:pPr>
      <w:r>
        <w:rPr/>
        <w:t>20、收入</w:t>
      </w:r>
    </w:p>
    <w:p>
      <w:pPr>
        <w:spacing w:line="240" w:lineRule="auto" w:before="12"/>
        <w:rPr>
          <w:rFonts w:ascii="宋体" w:hAnsi="宋体" w:cs="宋体" w:eastAsia="宋体" w:hint="default"/>
          <w:sz w:val="21"/>
          <w:szCs w:val="21"/>
        </w:rPr>
      </w:pPr>
    </w:p>
    <w:p>
      <w:pPr>
        <w:pStyle w:val="BodyText"/>
        <w:spacing w:line="384" w:lineRule="auto"/>
        <w:ind w:right="1581"/>
        <w:jc w:val="both"/>
      </w:pPr>
      <w:r>
        <w:rPr>
          <w:spacing w:val="-2"/>
        </w:rPr>
        <w:t>（1）销售商品的收入,在下列条件均能满足时予以确认：①已将商品所有权上的主要风险和报</w:t>
      </w:r>
      <w:r>
        <w:rPr>
          <w:spacing w:val="-25"/>
        </w:rPr>
        <w:t> </w:t>
      </w:r>
      <w:r>
        <w:rPr>
          <w:spacing w:val="-25"/>
        </w:rPr>
      </w:r>
      <w:r>
        <w:rPr>
          <w:spacing w:val="-2"/>
        </w:rPr>
        <w:t>酬转移给购货方；②既没有保留通常与所有权相联系的继续管理权，也没有对已售出的商品实</w:t>
      </w:r>
      <w:r>
        <w:rPr>
          <w:spacing w:val="-27"/>
        </w:rPr>
        <w:t> </w:t>
      </w:r>
      <w:r>
        <w:rPr>
          <w:spacing w:val="-27"/>
        </w:rPr>
      </w:r>
      <w:r>
        <w:rPr>
          <w:spacing w:val="-2"/>
        </w:rPr>
        <w:t>施控制；③与交易相关的经济利益很可能流入公司；④相关的收入和已发生或将发生的成本能</w:t>
      </w:r>
      <w:r>
        <w:rPr>
          <w:spacing w:val="-25"/>
        </w:rPr>
        <w:t> </w:t>
      </w:r>
      <w:r>
        <w:rPr>
          <w:spacing w:val="-25"/>
        </w:rPr>
      </w:r>
      <w:r>
        <w:rPr/>
        <w:t>够可靠地计量。</w:t>
      </w:r>
    </w:p>
    <w:p>
      <w:pPr>
        <w:pStyle w:val="BodyText"/>
        <w:spacing w:line="384" w:lineRule="auto" w:before="158"/>
        <w:ind w:right="1581"/>
        <w:jc w:val="both"/>
      </w:pPr>
      <w:r>
        <w:rPr>
          <w:spacing w:val="-2"/>
        </w:rPr>
        <w:t>（2）提供劳务的确认：①不跨年度劳务收入按完成合同法,即在劳务完成时确认收入；②跨年</w:t>
      </w:r>
      <w:r>
        <w:rPr>
          <w:spacing w:val="-25"/>
        </w:rPr>
        <w:t> </w:t>
      </w:r>
      <w:r>
        <w:rPr>
          <w:spacing w:val="-25"/>
        </w:rPr>
      </w:r>
      <w:r>
        <w:rPr>
          <w:spacing w:val="-2"/>
        </w:rPr>
        <w:t>度劳务收入在资产负债表日,如果提供劳务的结果能够可靠地计量,则采用完工百分比法确认劳</w:t>
      </w:r>
      <w:r>
        <w:rPr>
          <w:spacing w:val="-25"/>
        </w:rPr>
        <w:t> </w:t>
      </w:r>
      <w:r>
        <w:rPr>
          <w:spacing w:val="-25"/>
        </w:rPr>
      </w:r>
      <w:r>
        <w:rPr/>
        <w:t>务收入。</w:t>
      </w:r>
    </w:p>
    <w:p>
      <w:pPr>
        <w:pStyle w:val="BodyText"/>
        <w:spacing w:line="384" w:lineRule="auto" w:before="158"/>
        <w:ind w:right="1579"/>
        <w:jc w:val="both"/>
      </w:pPr>
      <w:r>
        <w:rPr>
          <w:spacing w:val="-4"/>
        </w:rPr>
        <w:t>（3）让渡资产使用权取得收入的确认：①与交易相关的经济利益很可能流入企业；②收入的金</w:t>
      </w:r>
      <w:r>
        <w:rPr>
          <w:spacing w:val="-43"/>
        </w:rPr>
        <w:t> </w:t>
      </w:r>
      <w:r>
        <w:rPr>
          <w:spacing w:val="-43"/>
        </w:rPr>
      </w:r>
      <w:r>
        <w:rPr/>
        <w:t>额能够可靠地计量。</w:t>
      </w:r>
    </w:p>
    <w:p>
      <w:pPr>
        <w:pStyle w:val="BodyText"/>
        <w:spacing w:line="240" w:lineRule="auto" w:before="160"/>
        <w:ind w:right="0"/>
        <w:jc w:val="both"/>
      </w:pPr>
      <w:r>
        <w:rPr/>
        <w:t>21、政府补助</w:t>
      </w:r>
    </w:p>
    <w:p>
      <w:pPr>
        <w:spacing w:line="240" w:lineRule="auto" w:before="10"/>
        <w:rPr>
          <w:rFonts w:ascii="宋体" w:hAnsi="宋体" w:cs="宋体" w:eastAsia="宋体" w:hint="default"/>
          <w:sz w:val="21"/>
          <w:szCs w:val="21"/>
        </w:rPr>
      </w:pPr>
    </w:p>
    <w:p>
      <w:pPr>
        <w:pStyle w:val="BodyText"/>
        <w:spacing w:line="240" w:lineRule="auto"/>
        <w:ind w:right="0"/>
        <w:jc w:val="both"/>
      </w:pPr>
      <w:r>
        <w:rPr/>
        <w:t>公司在能够满足政府补助所附条件且能够收到政府补助时确认政府补助。其中：</w:t>
      </w:r>
    </w:p>
    <w:p>
      <w:pPr>
        <w:spacing w:line="240" w:lineRule="auto" w:before="10"/>
        <w:rPr>
          <w:rFonts w:ascii="宋体" w:hAnsi="宋体" w:cs="宋体" w:eastAsia="宋体" w:hint="default"/>
          <w:sz w:val="21"/>
          <w:szCs w:val="21"/>
        </w:rPr>
      </w:pPr>
    </w:p>
    <w:p>
      <w:pPr>
        <w:pStyle w:val="BodyText"/>
        <w:spacing w:line="386" w:lineRule="auto"/>
        <w:ind w:right="1581"/>
        <w:jc w:val="both"/>
      </w:pPr>
      <w:r>
        <w:rPr/>
        <w:pict>
          <v:shape style="position:absolute;margin-left:103.08847pt;margin-top:22.161957pt;width:392.95pt;height:64.3pt;mso-position-horizontal-relative:page;mso-position-vertical-relative:paragraph;z-index:-554704;rotation:315" type="#_x0000_t136" fillcolor="#e0e0e0" stroked="f">
            <o:extrusion v:ext="view" autorotationcenter="t"/>
            <v:textpath style="font-family:&amp;quot;Arial&amp;quot;;font-size:64pt;v-text-kern:t;mso-text-shadow:auto" string="UnRegistered"/>
            <w10:wrap type="none"/>
          </v:shape>
        </w:pict>
      </w:r>
      <w:r>
        <w:rPr>
          <w:spacing w:val="-2"/>
        </w:rPr>
        <w:t>政府补助为货币性资产的，按收到或应收的金额计量，政府补助为非货币性资产的，按公允价</w:t>
      </w:r>
      <w:r>
        <w:rPr>
          <w:spacing w:val="-26"/>
        </w:rPr>
        <w:t> </w:t>
      </w:r>
      <w:r>
        <w:rPr>
          <w:spacing w:val="-26"/>
        </w:rPr>
      </w:r>
      <w:r>
        <w:rPr/>
        <w:t>值计量，如公允价值不能可靠取得，则按名义金额计量。</w:t>
      </w:r>
    </w:p>
    <w:p>
      <w:pPr>
        <w:pStyle w:val="BodyText"/>
        <w:spacing w:line="384" w:lineRule="auto" w:before="156"/>
        <w:ind w:right="1581"/>
        <w:jc w:val="both"/>
      </w:pPr>
      <w:r>
        <w:rPr>
          <w:spacing w:val="-2"/>
        </w:rPr>
        <w:t>与资产相关的政府补助，应确认为递延收益，并在相关资产使用寿命内平均分配，计入当期损</w:t>
      </w:r>
      <w:r>
        <w:rPr>
          <w:spacing w:val="-26"/>
        </w:rPr>
        <w:t> </w:t>
      </w:r>
      <w:r>
        <w:rPr>
          <w:spacing w:val="-26"/>
        </w:rPr>
      </w:r>
      <w:r>
        <w:rPr>
          <w:spacing w:val="-2"/>
        </w:rPr>
        <w:t>益，其中，按名义金额计量的政府补助直接计入当期损益。与收益相关的政府补助，用于补偿</w:t>
      </w:r>
      <w:r>
        <w:rPr>
          <w:spacing w:val="-25"/>
        </w:rPr>
        <w:t> </w:t>
      </w:r>
      <w:r>
        <w:rPr>
          <w:spacing w:val="-25"/>
        </w:rPr>
      </w:r>
      <w:r>
        <w:rPr>
          <w:spacing w:val="-2"/>
        </w:rPr>
        <w:t>以后期间的相关费用或损失的，应确认为递延收益，并在确认相关费用的期间计入当期损益，</w:t>
      </w:r>
      <w:r>
        <w:rPr>
          <w:spacing w:val="-27"/>
        </w:rPr>
        <w:t> </w:t>
      </w:r>
      <w:r>
        <w:rPr>
          <w:spacing w:val="-27"/>
        </w:rPr>
      </w:r>
      <w:r>
        <w:rPr/>
        <w:t>用于补偿已发生的相关费用或损失的，直接计入当期损益。</w:t>
      </w:r>
    </w:p>
    <w:p>
      <w:pPr>
        <w:pStyle w:val="BodyText"/>
        <w:spacing w:line="240" w:lineRule="auto" w:before="158"/>
        <w:ind w:right="0"/>
        <w:jc w:val="both"/>
      </w:pPr>
      <w:r>
        <w:rPr/>
        <w:t>22、递延所得税资产/递延所得税负债</w:t>
      </w:r>
    </w:p>
    <w:p>
      <w:pPr>
        <w:spacing w:line="240" w:lineRule="auto" w:before="12"/>
        <w:rPr>
          <w:rFonts w:ascii="宋体" w:hAnsi="宋体" w:cs="宋体" w:eastAsia="宋体" w:hint="default"/>
          <w:sz w:val="21"/>
          <w:szCs w:val="21"/>
        </w:rPr>
      </w:pPr>
    </w:p>
    <w:p>
      <w:pPr>
        <w:pStyle w:val="BodyText"/>
        <w:spacing w:line="384" w:lineRule="auto"/>
        <w:ind w:right="1475"/>
        <w:jc w:val="both"/>
      </w:pPr>
      <w:r>
        <w:rPr/>
        <w:t>所得税费用的会计处理采用资产负债表债务法核算。资产负债表日，公司按照可抵扣暂时性差</w:t>
      </w:r>
      <w:r>
        <w:rPr>
          <w:w w:val="100"/>
        </w:rPr>
        <w:t> </w:t>
      </w:r>
      <w:r>
        <w:rPr/>
        <w:t>异与适用所得税税率计算的结果，确认递延所得税资产及相应的递延所得税收益；按照应纳税</w:t>
      </w:r>
      <w:r>
        <w:rPr>
          <w:w w:val="100"/>
        </w:rPr>
        <w:t> </w:t>
      </w:r>
      <w:r>
        <w:rPr>
          <w:spacing w:val="-4"/>
          <w:w w:val="100"/>
        </w:rPr>
        <w:t>暂时性差异与适用企业所得税税率计算的结果，确认递延所得税负债及相应的递延所得税费用。</w:t>
      </w:r>
    </w:p>
    <w:p>
      <w:pPr>
        <w:pStyle w:val="BodyText"/>
        <w:spacing w:line="240" w:lineRule="auto" w:before="160"/>
        <w:ind w:right="0"/>
        <w:jc w:val="both"/>
      </w:pPr>
      <w:r>
        <w:rPr/>
        <w:t>（1）递延所得税资产的确认</w:t>
      </w:r>
    </w:p>
    <w:p>
      <w:pPr>
        <w:spacing w:line="240" w:lineRule="auto" w:before="10"/>
        <w:rPr>
          <w:rFonts w:ascii="宋体" w:hAnsi="宋体" w:cs="宋体" w:eastAsia="宋体" w:hint="default"/>
          <w:sz w:val="21"/>
          <w:szCs w:val="21"/>
        </w:rPr>
      </w:pPr>
    </w:p>
    <w:p>
      <w:pPr>
        <w:pStyle w:val="BodyText"/>
        <w:spacing w:line="384" w:lineRule="auto"/>
        <w:ind w:right="1581"/>
        <w:jc w:val="both"/>
      </w:pPr>
      <w:r>
        <w:rPr>
          <w:spacing w:val="-2"/>
        </w:rPr>
        <w:t>公司以很可能取得用来抵扣可抵扣暂时性差异的应纳税所得额为限，确认由可抵扣暂时性差异</w:t>
      </w:r>
      <w:r>
        <w:rPr>
          <w:spacing w:val="-26"/>
        </w:rPr>
        <w:t> </w:t>
      </w:r>
      <w:r>
        <w:rPr>
          <w:spacing w:val="-26"/>
        </w:rPr>
      </w:r>
      <w:r>
        <w:rPr>
          <w:spacing w:val="-2"/>
        </w:rPr>
        <w:t>产生的递延所得税资产。但是同时具有下列特征的交易中因资产或负债的初始确认所产生的递</w:t>
      </w:r>
      <w:r>
        <w:rPr>
          <w:spacing w:val="-25"/>
        </w:rPr>
        <w:t> </w:t>
      </w:r>
      <w:r>
        <w:rPr>
          <w:spacing w:val="-25"/>
        </w:rPr>
      </w:r>
      <w:r>
        <w:rPr>
          <w:spacing w:val="-2"/>
        </w:rPr>
        <w:t>延所得税资产不予确认：A：该项交易不是企业合并；B：交易发生时既不影响会计利润也不影</w:t>
      </w:r>
      <w:r>
        <w:rPr>
          <w:spacing w:val="-23"/>
        </w:rPr>
        <w:t> </w:t>
      </w:r>
      <w:r>
        <w:rPr>
          <w:spacing w:val="-23"/>
        </w:rPr>
      </w:r>
      <w:r>
        <w:rPr/>
        <w:t>响应纳税所得额（或可抵扣亏损）。</w:t>
      </w:r>
    </w:p>
    <w:p>
      <w:pPr>
        <w:pStyle w:val="BodyText"/>
        <w:spacing w:line="240" w:lineRule="auto" w:before="151"/>
        <w:ind w:right="0"/>
        <w:jc w:val="both"/>
      </w:pPr>
      <w:r>
        <w:rPr/>
        <w:t>公司对与子公司、联营公司及合营企业投资相关的可抵扣暂时性差异，同时满足下列条件的，</w:t>
      </w:r>
    </w:p>
    <w:p>
      <w:pPr>
        <w:spacing w:after="0" w:line="240" w:lineRule="auto"/>
        <w:jc w:val="both"/>
        <w:sectPr>
          <w:pgSz w:w="11910" w:h="16840"/>
          <w:pgMar w:header="929" w:footer="837" w:top="1140" w:bottom="1020" w:left="1600" w:right="0"/>
        </w:sectPr>
      </w:pPr>
    </w:p>
    <w:p>
      <w:pPr>
        <w:spacing w:line="240" w:lineRule="auto" w:before="5"/>
        <w:rPr>
          <w:rFonts w:ascii="宋体" w:hAnsi="宋体" w:cs="宋体" w:eastAsia="宋体" w:hint="default"/>
          <w:sz w:val="21"/>
          <w:szCs w:val="21"/>
        </w:rPr>
      </w:pPr>
    </w:p>
    <w:p>
      <w:pPr>
        <w:pStyle w:val="BodyText"/>
        <w:spacing w:line="374" w:lineRule="auto" w:before="36"/>
        <w:ind w:right="1581"/>
        <w:jc w:val="both"/>
      </w:pPr>
      <w:r>
        <w:rPr>
          <w:spacing w:val="-2"/>
        </w:rPr>
        <w:t>确认相应的递延所得税资产：暂时性差异在可预见的未来很可能转回；未来很可能获得用来抵</w:t>
      </w:r>
      <w:r>
        <w:rPr>
          <w:spacing w:val="-26"/>
        </w:rPr>
        <w:t> </w:t>
      </w:r>
      <w:r>
        <w:rPr>
          <w:spacing w:val="-26"/>
        </w:rPr>
      </w:r>
      <w:r>
        <w:rPr/>
        <w:t>扣暂时性差异的应纳税所得额。</w:t>
      </w:r>
    </w:p>
    <w:p>
      <w:pPr>
        <w:pStyle w:val="BodyText"/>
        <w:spacing w:line="374" w:lineRule="auto" w:before="159"/>
        <w:ind w:right="1581"/>
        <w:jc w:val="both"/>
      </w:pPr>
      <w:r>
        <w:rPr>
          <w:spacing w:val="-2"/>
        </w:rPr>
        <w:t>公司对于能够结转以后年度的可抵扣亏损和税款抵减，以很可能获得用来抵扣可抵扣亏损和税</w:t>
      </w:r>
      <w:r>
        <w:rPr>
          <w:spacing w:val="-26"/>
        </w:rPr>
        <w:t> </w:t>
      </w:r>
      <w:r>
        <w:rPr>
          <w:spacing w:val="-26"/>
        </w:rPr>
      </w:r>
      <w:r>
        <w:rPr/>
        <w:t>款抵减的未来应纳税所得额为限，确认相应的递延所得税资产。</w:t>
      </w:r>
    </w:p>
    <w:p>
      <w:pPr>
        <w:pStyle w:val="BodyText"/>
        <w:spacing w:line="240" w:lineRule="auto" w:before="157"/>
        <w:ind w:right="0"/>
        <w:jc w:val="both"/>
      </w:pPr>
      <w:r>
        <w:rPr/>
        <w:t>（2）递延所得税负债的确认</w:t>
      </w:r>
    </w:p>
    <w:p>
      <w:pPr>
        <w:spacing w:line="240" w:lineRule="auto" w:before="13"/>
        <w:rPr>
          <w:rFonts w:ascii="宋体" w:hAnsi="宋体" w:cs="宋体" w:eastAsia="宋体" w:hint="default"/>
          <w:sz w:val="20"/>
          <w:szCs w:val="20"/>
        </w:rPr>
      </w:pPr>
    </w:p>
    <w:p>
      <w:pPr>
        <w:pStyle w:val="BodyText"/>
        <w:spacing w:line="374" w:lineRule="auto"/>
        <w:ind w:right="1581"/>
        <w:jc w:val="both"/>
      </w:pPr>
      <w:r>
        <w:rPr>
          <w:spacing w:val="-2"/>
        </w:rPr>
        <w:t>除下列情况产生的递延所得税负债以外，公司确认所有应纳税暂时性差异产生的递延所得税负</w:t>
      </w:r>
      <w:r>
        <w:rPr>
          <w:spacing w:val="-26"/>
        </w:rPr>
        <w:t> </w:t>
      </w:r>
      <w:r>
        <w:rPr>
          <w:spacing w:val="-26"/>
        </w:rPr>
      </w:r>
      <w:r>
        <w:rPr>
          <w:spacing w:val="-2"/>
        </w:rPr>
        <w:t>债：A：商誉的初始确认；B：同时满足具有下列特征的交易中产生的资产或负债的初始确认：</w:t>
      </w:r>
    </w:p>
    <w:p>
      <w:pPr>
        <w:pStyle w:val="BodyText"/>
        <w:spacing w:line="376" w:lineRule="auto" w:before="37"/>
        <w:ind w:right="1579"/>
        <w:jc w:val="both"/>
      </w:pPr>
      <w:r>
        <w:rPr>
          <w:spacing w:val="-2"/>
        </w:rPr>
        <w:t>①该项交易不是企业合并；②交易发生时既不影响会计利润也不影响应纳税所得额（或可抵扣</w:t>
      </w:r>
      <w:r>
        <w:rPr>
          <w:spacing w:val="-25"/>
        </w:rPr>
        <w:t> </w:t>
      </w:r>
      <w:r>
        <w:rPr>
          <w:spacing w:val="-25"/>
        </w:rPr>
      </w:r>
      <w:r>
        <w:rPr>
          <w:spacing w:val="-4"/>
        </w:rPr>
        <w:t>亏损）；C：公司对与子公司、联营公司及合营企业投资产生相关的应纳税暂时性差异，同时满</w:t>
      </w:r>
      <w:r>
        <w:rPr>
          <w:spacing w:val="-45"/>
        </w:rPr>
        <w:t> </w:t>
      </w:r>
      <w:r>
        <w:rPr>
          <w:spacing w:val="-45"/>
        </w:rPr>
      </w:r>
      <w:r>
        <w:rPr>
          <w:spacing w:val="-2"/>
        </w:rPr>
        <w:t>足下列条件的：①投资企业能够控制暂时性差异的转回的时间；②该暂时性差异在可预见的未</w:t>
      </w:r>
      <w:r>
        <w:rPr>
          <w:spacing w:val="-26"/>
        </w:rPr>
        <w:t> </w:t>
      </w:r>
      <w:r>
        <w:rPr>
          <w:spacing w:val="-26"/>
        </w:rPr>
      </w:r>
      <w:r>
        <w:rPr/>
        <w:t>来很可能不会转回。</w:t>
      </w:r>
    </w:p>
    <w:p>
      <w:pPr>
        <w:pStyle w:val="BodyText"/>
        <w:spacing w:line="240" w:lineRule="auto" w:before="155"/>
        <w:ind w:right="0"/>
        <w:jc w:val="both"/>
      </w:pPr>
      <w:r>
        <w:rPr/>
        <w:t>（3）所得税费用计量</w:t>
      </w:r>
    </w:p>
    <w:p>
      <w:pPr>
        <w:spacing w:line="240" w:lineRule="auto" w:before="13"/>
        <w:rPr>
          <w:rFonts w:ascii="宋体" w:hAnsi="宋体" w:cs="宋体" w:eastAsia="宋体" w:hint="default"/>
          <w:sz w:val="20"/>
          <w:szCs w:val="20"/>
        </w:rPr>
      </w:pPr>
    </w:p>
    <w:p>
      <w:pPr>
        <w:pStyle w:val="BodyText"/>
        <w:spacing w:line="374" w:lineRule="auto"/>
        <w:ind w:right="1581"/>
        <w:jc w:val="both"/>
      </w:pPr>
      <w:r>
        <w:rPr/>
        <w:pict>
          <v:shape style="position:absolute;margin-left:103.08847pt;margin-top:34.521942pt;width:392.95pt;height:64.3pt;mso-position-horizontal-relative:page;mso-position-vertical-relative:paragraph;z-index:-554680;rotation:315" type="#_x0000_t136" fillcolor="#e0e0e0" stroked="f">
            <o:extrusion v:ext="view" autorotationcenter="t"/>
            <v:textpath style="font-family:&amp;quot;Arial&amp;quot;;font-size:64pt;v-text-kern:t;mso-text-shadow:auto" string="UnRegistered"/>
            <w10:wrap type="none"/>
          </v:shape>
        </w:pict>
      </w:r>
      <w:r>
        <w:rPr>
          <w:spacing w:val="-2"/>
        </w:rPr>
        <w:t>公司将当期所得税和递延所得税作为所得税费用或收益计入当期损益，但不包括下列情况产生</w:t>
      </w:r>
      <w:r>
        <w:rPr>
          <w:spacing w:val="-25"/>
        </w:rPr>
        <w:t> </w:t>
      </w:r>
      <w:r>
        <w:rPr>
          <w:spacing w:val="-25"/>
        </w:rPr>
      </w:r>
      <w:r>
        <w:rPr/>
        <w:t>的所得税：A：企业合并；B：直接在所有者权益中确认的交易或事项。</w:t>
      </w:r>
    </w:p>
    <w:p>
      <w:pPr>
        <w:pStyle w:val="BodyText"/>
        <w:spacing w:line="240" w:lineRule="auto" w:before="159"/>
        <w:ind w:right="0"/>
        <w:jc w:val="both"/>
      </w:pPr>
      <w:r>
        <w:rPr/>
        <w:t>23、经营租赁、融资租赁</w:t>
      </w:r>
    </w:p>
    <w:p>
      <w:pPr>
        <w:spacing w:line="240" w:lineRule="auto" w:before="13"/>
        <w:rPr>
          <w:rFonts w:ascii="宋体" w:hAnsi="宋体" w:cs="宋体" w:eastAsia="宋体" w:hint="default"/>
          <w:sz w:val="20"/>
          <w:szCs w:val="20"/>
        </w:rPr>
      </w:pPr>
    </w:p>
    <w:p>
      <w:pPr>
        <w:pStyle w:val="BodyText"/>
        <w:spacing w:line="240" w:lineRule="auto"/>
        <w:ind w:right="0"/>
        <w:jc w:val="both"/>
      </w:pPr>
      <w:r>
        <w:rPr/>
        <w:t>（1）融资租赁的主要会计处理</w:t>
      </w:r>
    </w:p>
    <w:p>
      <w:pPr>
        <w:spacing w:line="240" w:lineRule="auto" w:before="13"/>
        <w:rPr>
          <w:rFonts w:ascii="宋体" w:hAnsi="宋体" w:cs="宋体" w:eastAsia="宋体" w:hint="default"/>
          <w:sz w:val="20"/>
          <w:szCs w:val="20"/>
        </w:rPr>
      </w:pPr>
    </w:p>
    <w:p>
      <w:pPr>
        <w:pStyle w:val="BodyText"/>
        <w:spacing w:line="376" w:lineRule="auto"/>
        <w:ind w:right="1402"/>
        <w:jc w:val="left"/>
      </w:pPr>
      <w:r>
        <w:rPr/>
        <w:t>承租人的会计处理：在租赁期开始日，将租赁开始日租赁资产公允价值与最低租赁付款额现值</w:t>
      </w:r>
      <w:r>
        <w:rPr>
          <w:w w:val="100"/>
        </w:rPr>
        <w:t> </w:t>
      </w:r>
      <w:r>
        <w:rPr/>
        <w:t>两者中较低者作为租入资产的入账价值，将最低租赁付款额作为长期应付款的入账价值，其差</w:t>
      </w:r>
      <w:r>
        <w:rPr>
          <w:w w:val="100"/>
        </w:rPr>
        <w:t> </w:t>
      </w:r>
      <w:r>
        <w:rPr/>
        <w:t>额作为未确认融资费用。在租赁谈判和签订租赁合同过程中发生的，可归属于租赁项目的手续</w:t>
      </w:r>
      <w:r>
        <w:rPr>
          <w:w w:val="100"/>
        </w:rPr>
        <w:t> </w:t>
      </w:r>
      <w:r>
        <w:rPr>
          <w:spacing w:val="-7"/>
          <w:w w:val="100"/>
        </w:rPr>
        <w:t>费、律师费、差旅费、印花税等初始直接费用（下同），计入租入资产价值。在计算最低租赁付</w:t>
      </w:r>
      <w:r>
        <w:rPr>
          <w:spacing w:val="-75"/>
          <w:w w:val="100"/>
        </w:rPr>
        <w:t> </w:t>
      </w:r>
      <w:r>
        <w:rPr>
          <w:spacing w:val="-75"/>
          <w:w w:val="100"/>
        </w:rPr>
      </w:r>
      <w:r>
        <w:rPr/>
        <w:t>款额的现值时，能够取得出租人租赁内含利率的，采用租赁内含利率作为折现率；否则，采用</w:t>
      </w:r>
      <w:r>
        <w:rPr>
          <w:w w:val="100"/>
        </w:rPr>
        <w:t> </w:t>
      </w:r>
      <w:r>
        <w:rPr>
          <w:spacing w:val="-4"/>
          <w:w w:val="100"/>
        </w:rPr>
        <w:t>租赁合同规定的利率作为折现率。无法取得出租人的租赁内含利率且租赁合同没有规定利率的，</w:t>
      </w:r>
      <w:r>
        <w:rPr>
          <w:spacing w:val="-94"/>
          <w:w w:val="100"/>
        </w:rPr>
        <w:t> </w:t>
      </w:r>
      <w:r>
        <w:rPr>
          <w:spacing w:val="-94"/>
          <w:w w:val="100"/>
        </w:rPr>
      </w:r>
      <w:r>
        <w:rPr/>
        <w:t>采用同期银行贷款利率作为折现率。未确认融资费用在租赁期内按照实际利率法计算确认当期</w:t>
      </w:r>
      <w:r>
        <w:rPr>
          <w:w w:val="100"/>
        </w:rPr>
        <w:t> </w:t>
      </w:r>
      <w:r>
        <w:rPr/>
        <w:t>的融资费用。公司采用与自有固定资产相一致的折旧政策计提租赁资产折旧。能够合理确定租</w:t>
      </w:r>
      <w:r>
        <w:rPr>
          <w:w w:val="100"/>
        </w:rPr>
        <w:t> </w:t>
      </w:r>
      <w:r>
        <w:rPr/>
        <w:t>赁期届满时取得租赁资产所有权的，在租赁资产使用寿命内计提折旧。无法合理确定租赁期届</w:t>
      </w:r>
      <w:r>
        <w:rPr>
          <w:w w:val="100"/>
        </w:rPr>
        <w:t> </w:t>
      </w:r>
      <w:r>
        <w:rPr>
          <w:spacing w:val="-4"/>
          <w:w w:val="100"/>
        </w:rPr>
        <w:t>满时能够取得租赁资产所有权的，在租赁期与租赁资产使用寿命两者中较短的期间内计提折旧。</w:t>
      </w:r>
      <w:r>
        <w:rPr>
          <w:spacing w:val="-94"/>
          <w:w w:val="100"/>
        </w:rPr>
        <w:t> </w:t>
      </w:r>
      <w:r>
        <w:rPr>
          <w:spacing w:val="-94"/>
          <w:w w:val="100"/>
        </w:rPr>
      </w:r>
      <w:r>
        <w:rPr/>
        <w:t>或有租金在实际发生时计入当期损益。</w:t>
      </w:r>
    </w:p>
    <w:p>
      <w:pPr>
        <w:pStyle w:val="BodyText"/>
        <w:spacing w:line="384" w:lineRule="auto" w:before="162"/>
        <w:ind w:right="1581"/>
        <w:jc w:val="both"/>
      </w:pPr>
      <w:r>
        <w:rPr>
          <w:spacing w:val="-2"/>
        </w:rPr>
        <w:t>出租人的会计处理：在租赁期开始日，出租人将租赁开始日最低租赁收款额与初始直接费用之</w:t>
      </w:r>
      <w:r>
        <w:rPr>
          <w:spacing w:val="-26"/>
        </w:rPr>
        <w:t> </w:t>
      </w:r>
      <w:r>
        <w:rPr>
          <w:spacing w:val="-26"/>
        </w:rPr>
      </w:r>
      <w:r>
        <w:rPr>
          <w:spacing w:val="-2"/>
        </w:rPr>
        <w:t>和作为应收融资租赁款的入账价值，同时记录未担保余值；将最低租赁收款额、初始直接费用</w:t>
      </w:r>
      <w:r>
        <w:rPr>
          <w:spacing w:val="-27"/>
        </w:rPr>
        <w:t> </w:t>
      </w:r>
      <w:r>
        <w:rPr>
          <w:spacing w:val="-27"/>
        </w:rPr>
      </w:r>
      <w:r>
        <w:rPr>
          <w:spacing w:val="-2"/>
        </w:rPr>
        <w:t>及未担保余值之和与其现值之和的差额确认为未实现融资收益。未实现融资收益在租赁期内按</w:t>
      </w:r>
    </w:p>
    <w:p>
      <w:pPr>
        <w:spacing w:after="0" w:line="384" w:lineRule="auto"/>
        <w:jc w:val="both"/>
        <w:sectPr>
          <w:footerReference w:type="default" r:id="rId19"/>
          <w:pgSz w:w="11910" w:h="16840"/>
          <w:pgMar w:footer="837" w:header="929" w:top="1140" w:bottom="1020" w:left="1600" w:right="0"/>
          <w:pgNumType w:start="50"/>
        </w:sectPr>
      </w:pPr>
    </w:p>
    <w:p>
      <w:pPr>
        <w:spacing w:line="240" w:lineRule="auto" w:before="12"/>
        <w:rPr>
          <w:rFonts w:ascii="宋体" w:hAnsi="宋体" w:cs="宋体" w:eastAsia="宋体" w:hint="default"/>
          <w:sz w:val="21"/>
          <w:szCs w:val="21"/>
        </w:rPr>
      </w:pPr>
    </w:p>
    <w:p>
      <w:pPr>
        <w:pStyle w:val="BodyText"/>
        <w:spacing w:line="240" w:lineRule="auto" w:before="36"/>
        <w:ind w:left="203" w:right="1549"/>
        <w:jc w:val="left"/>
      </w:pPr>
      <w:r>
        <w:rPr/>
        <w:t>照实际利率法计算确认当期的融资收入。或有租金在实际发生时计入当期损益。</w:t>
      </w:r>
    </w:p>
    <w:p>
      <w:pPr>
        <w:spacing w:line="240" w:lineRule="auto" w:before="12"/>
        <w:rPr>
          <w:rFonts w:ascii="宋体" w:hAnsi="宋体" w:cs="宋体" w:eastAsia="宋体" w:hint="default"/>
          <w:sz w:val="21"/>
          <w:szCs w:val="21"/>
        </w:rPr>
      </w:pPr>
    </w:p>
    <w:p>
      <w:pPr>
        <w:pStyle w:val="BodyText"/>
        <w:spacing w:line="240" w:lineRule="auto"/>
        <w:ind w:left="203" w:right="1549"/>
        <w:jc w:val="left"/>
      </w:pPr>
      <w:r>
        <w:rPr/>
        <w:t>（2）经营租赁的主要会计处理</w:t>
      </w:r>
    </w:p>
    <w:p>
      <w:pPr>
        <w:spacing w:line="240" w:lineRule="auto" w:before="10"/>
        <w:rPr>
          <w:rFonts w:ascii="宋体" w:hAnsi="宋体" w:cs="宋体" w:eastAsia="宋体" w:hint="default"/>
          <w:sz w:val="21"/>
          <w:szCs w:val="21"/>
        </w:rPr>
      </w:pPr>
    </w:p>
    <w:p>
      <w:pPr>
        <w:pStyle w:val="BodyText"/>
        <w:spacing w:line="384" w:lineRule="auto"/>
        <w:ind w:left="203" w:right="1549"/>
        <w:jc w:val="left"/>
      </w:pPr>
      <w:r>
        <w:rPr>
          <w:spacing w:val="-2"/>
        </w:rPr>
        <w:t>对于经营租赁的租金，出租人、承租人在租赁期内各个期间按照直线法确认为当期损益。出租</w:t>
      </w:r>
      <w:r>
        <w:rPr>
          <w:spacing w:val="-26"/>
        </w:rPr>
        <w:t> </w:t>
      </w:r>
      <w:r>
        <w:rPr>
          <w:spacing w:val="-26"/>
        </w:rPr>
      </w:r>
      <w:r>
        <w:rPr/>
        <w:t>人、承租人发生的初始直接费用，计入当期损益。或有租金在实际发生时计入当期损益。</w:t>
      </w:r>
    </w:p>
    <w:p>
      <w:pPr>
        <w:pStyle w:val="BodyText"/>
        <w:spacing w:line="487" w:lineRule="auto" w:before="160"/>
        <w:ind w:left="203" w:right="5214"/>
        <w:jc w:val="left"/>
      </w:pPr>
      <w:r>
        <w:rPr/>
        <w:t>24、利润分配政策</w:t>
      </w:r>
      <w:r>
        <w:rPr>
          <w:spacing w:val="-96"/>
        </w:rPr>
        <w:t> </w:t>
      </w:r>
      <w:r>
        <w:rPr>
          <w:spacing w:val="-2"/>
        </w:rPr>
        <w:t>公司税后利润按以下顺序进行分配：</w:t>
      </w:r>
    </w:p>
    <w:p>
      <w:pPr>
        <w:pStyle w:val="BodyText"/>
        <w:spacing w:line="240" w:lineRule="auto" w:before="68"/>
        <w:ind w:left="203" w:right="1549"/>
        <w:jc w:val="left"/>
      </w:pPr>
      <w:r>
        <w:rPr/>
        <w:t>（1）弥补以前年度亏损。</w:t>
      </w:r>
    </w:p>
    <w:p>
      <w:pPr>
        <w:spacing w:line="240" w:lineRule="auto" w:before="12"/>
        <w:rPr>
          <w:rFonts w:ascii="宋体" w:hAnsi="宋体" w:cs="宋体" w:eastAsia="宋体" w:hint="default"/>
          <w:sz w:val="21"/>
          <w:szCs w:val="21"/>
        </w:rPr>
      </w:pPr>
    </w:p>
    <w:p>
      <w:pPr>
        <w:pStyle w:val="BodyText"/>
        <w:spacing w:line="240" w:lineRule="auto"/>
        <w:ind w:left="203" w:right="1549"/>
        <w:jc w:val="left"/>
      </w:pPr>
      <w:r>
        <w:rPr/>
        <w:t>（2）按净利润的</w:t>
      </w:r>
      <w:r>
        <w:rPr>
          <w:spacing w:val="-57"/>
        </w:rPr>
        <w:t> </w:t>
      </w:r>
      <w:r>
        <w:rPr/>
        <w:t>10%提取法定公积金。</w:t>
      </w:r>
    </w:p>
    <w:p>
      <w:pPr>
        <w:spacing w:line="240" w:lineRule="auto" w:before="10"/>
        <w:rPr>
          <w:rFonts w:ascii="宋体" w:hAnsi="宋体" w:cs="宋体" w:eastAsia="宋体" w:hint="default"/>
          <w:sz w:val="21"/>
          <w:szCs w:val="21"/>
        </w:rPr>
      </w:pPr>
    </w:p>
    <w:p>
      <w:pPr>
        <w:pStyle w:val="BodyText"/>
        <w:spacing w:line="240" w:lineRule="auto"/>
        <w:ind w:left="203" w:right="1549"/>
        <w:jc w:val="left"/>
      </w:pPr>
      <w:r>
        <w:rPr/>
        <w:t>（3）经股东大会决议，可提取任意公积金。</w:t>
      </w:r>
    </w:p>
    <w:p>
      <w:pPr>
        <w:spacing w:line="240" w:lineRule="auto" w:before="7"/>
        <w:rPr>
          <w:rFonts w:ascii="宋体" w:hAnsi="宋体" w:cs="宋体" w:eastAsia="宋体" w:hint="default"/>
          <w:sz w:val="26"/>
          <w:szCs w:val="26"/>
        </w:rPr>
      </w:pPr>
    </w:p>
    <w:p>
      <w:pPr>
        <w:pStyle w:val="BodyText"/>
        <w:spacing w:line="559" w:lineRule="auto"/>
        <w:ind w:left="203" w:right="4342"/>
        <w:jc w:val="left"/>
      </w:pPr>
      <w:r>
        <w:rPr/>
        <w:pict>
          <v:shape style="position:absolute;margin-left:103.08847pt;margin-top:73.041962pt;width:392.95pt;height:64.3pt;mso-position-horizontal-relative:page;mso-position-vertical-relative:paragraph;z-index:-554656;rotation:315" type="#_x0000_t136" fillcolor="#e0e0e0" stroked="f">
            <o:extrusion v:ext="view" autorotationcenter="t"/>
            <v:textpath style="font-family:&amp;quot;Arial&amp;quot;;font-size:64pt;v-text-kern:t;mso-text-shadow:auto" string="UnRegistered"/>
            <w10:wrap type="none"/>
          </v:shape>
        </w:pict>
      </w:r>
      <w:r>
        <w:rPr/>
        <w:t>（4）剩余利润根据股东大会决议进行分配。</w:t>
      </w:r>
      <w:r>
        <w:rPr>
          <w:w w:val="100"/>
        </w:rPr>
        <w:t> </w:t>
      </w:r>
      <w:r>
        <w:rPr/>
        <w:t>25、会计政策及会计估计变更</w:t>
      </w:r>
      <w:r>
        <w:rPr>
          <w:spacing w:val="-93"/>
        </w:rPr>
        <w:t> </w:t>
      </w:r>
      <w:r>
        <w:rPr>
          <w:spacing w:val="-93"/>
        </w:rPr>
      </w:r>
      <w:r>
        <w:rPr>
          <w:spacing w:val="-2"/>
        </w:rPr>
        <w:t>公司报告期内不存在主要的会计政策及会计估计变更。</w:t>
      </w:r>
      <w:r>
        <w:rPr>
          <w:spacing w:val="-60"/>
        </w:rPr>
        <w:t> </w:t>
      </w:r>
      <w:r>
        <w:rPr>
          <w:spacing w:val="-60"/>
        </w:rPr>
      </w:r>
      <w:r>
        <w:rPr/>
        <w:t>26、前期会计差错更正</w:t>
      </w:r>
      <w:r>
        <w:rPr>
          <w:spacing w:val="-93"/>
        </w:rPr>
        <w:t> </w:t>
      </w:r>
      <w:r>
        <w:rPr/>
        <w:t>公司报告期内不存在前期会计差错更正。</w:t>
      </w:r>
    </w:p>
    <w:p>
      <w:pPr>
        <w:pStyle w:val="Heading3"/>
        <w:spacing w:line="240" w:lineRule="auto" w:before="171"/>
        <w:ind w:left="203" w:right="1549"/>
        <w:jc w:val="left"/>
      </w:pPr>
      <w:r>
        <w:rPr/>
        <w:t>三、税项</w:t>
      </w:r>
    </w:p>
    <w:p>
      <w:pPr>
        <w:spacing w:line="240" w:lineRule="auto" w:before="8"/>
        <w:rPr>
          <w:rFonts w:ascii="宋体" w:hAnsi="宋体" w:cs="宋体" w:eastAsia="宋体" w:hint="default"/>
          <w:sz w:val="30"/>
          <w:szCs w:val="30"/>
        </w:rPr>
      </w:pPr>
    </w:p>
    <w:p>
      <w:pPr>
        <w:pStyle w:val="BodyText"/>
        <w:spacing w:line="240" w:lineRule="auto"/>
        <w:ind w:left="203" w:right="1549"/>
        <w:jc w:val="left"/>
      </w:pPr>
      <w:r>
        <w:rPr/>
        <w:t>1、主要税种及税率：</w:t>
      </w:r>
    </w:p>
    <w:p>
      <w:pPr>
        <w:spacing w:line="240" w:lineRule="auto" w:before="3"/>
        <w:rPr>
          <w:rFonts w:ascii="宋体" w:hAnsi="宋体" w:cs="宋体" w:eastAsia="宋体" w:hint="default"/>
          <w:sz w:val="20"/>
          <w:szCs w:val="20"/>
        </w:rPr>
      </w:pPr>
    </w:p>
    <w:p>
      <w:pPr>
        <w:pStyle w:val="BodyText"/>
        <w:spacing w:line="240" w:lineRule="auto"/>
        <w:ind w:left="203" w:right="1549"/>
        <w:jc w:val="left"/>
      </w:pPr>
      <w:r>
        <w:rPr/>
        <w:t>（1）流转税及附加税费</w:t>
      </w:r>
    </w:p>
    <w:p>
      <w:pPr>
        <w:spacing w:line="240" w:lineRule="auto" w:before="4"/>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862"/>
        <w:gridCol w:w="2398"/>
        <w:gridCol w:w="1745"/>
        <w:gridCol w:w="2750"/>
      </w:tblGrid>
      <w:tr>
        <w:trPr>
          <w:trHeight w:val="444" w:hRule="exact"/>
        </w:trPr>
        <w:tc>
          <w:tcPr>
            <w:tcW w:w="1862" w:type="dxa"/>
            <w:tcBorders>
              <w:top w:val="single" w:sz="12" w:space="0" w:color="000000"/>
              <w:left w:val="nil" w:sz="6" w:space="0" w:color="auto"/>
              <w:bottom w:val="single" w:sz="6" w:space="0" w:color="000000"/>
              <w:right w:val="single" w:sz="6" w:space="0" w:color="000000"/>
            </w:tcBorders>
          </w:tcPr>
          <w:p>
            <w:pPr>
              <w:pStyle w:val="TableParagraph"/>
              <w:tabs>
                <w:tab w:pos="597" w:val="left" w:leader="none"/>
              </w:tabs>
              <w:spacing w:line="240" w:lineRule="auto" w:before="93"/>
              <w:ind w:left="71" w:right="0"/>
              <w:jc w:val="left"/>
              <w:rPr>
                <w:rFonts w:ascii="宋体" w:hAnsi="宋体" w:cs="宋体" w:eastAsia="宋体" w:hint="default"/>
                <w:sz w:val="21"/>
                <w:szCs w:val="21"/>
              </w:rPr>
            </w:pPr>
            <w:r>
              <w:rPr>
                <w:rFonts w:ascii="宋体" w:hAnsi="宋体" w:cs="宋体" w:eastAsia="宋体" w:hint="default"/>
                <w:sz w:val="21"/>
                <w:szCs w:val="21"/>
              </w:rPr>
              <w:t>税</w:t>
              <w:tab/>
              <w:t>目</w:t>
            </w:r>
          </w:p>
        </w:tc>
        <w:tc>
          <w:tcPr>
            <w:tcW w:w="23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5"/>
              <w:jc w:val="center"/>
              <w:rPr>
                <w:rFonts w:ascii="宋体" w:hAnsi="宋体" w:cs="宋体" w:eastAsia="宋体" w:hint="default"/>
                <w:sz w:val="21"/>
                <w:szCs w:val="21"/>
              </w:rPr>
            </w:pPr>
            <w:r>
              <w:rPr>
                <w:rFonts w:ascii="宋体" w:hAnsi="宋体" w:cs="宋体" w:eastAsia="宋体" w:hint="default"/>
                <w:sz w:val="21"/>
                <w:szCs w:val="21"/>
              </w:rPr>
              <w:t>纳税（费）基础</w:t>
            </w:r>
          </w:p>
        </w:tc>
        <w:tc>
          <w:tcPr>
            <w:tcW w:w="17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750" w:type="dxa"/>
            <w:tcBorders>
              <w:top w:val="single" w:sz="12" w:space="0" w:color="000000"/>
              <w:left w:val="single" w:sz="6" w:space="0" w:color="000000"/>
              <w:bottom w:val="single" w:sz="6" w:space="0" w:color="000000"/>
              <w:right w:val="nil" w:sz="6" w:space="0" w:color="auto"/>
            </w:tcBorders>
          </w:tcPr>
          <w:p>
            <w:pPr>
              <w:pStyle w:val="TableParagraph"/>
              <w:tabs>
                <w:tab w:pos="1996" w:val="left" w:leader="none"/>
              </w:tabs>
              <w:spacing w:line="240" w:lineRule="auto" w:before="93"/>
              <w:ind w:left="525"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34"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7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3%、5%</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434"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7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17%、3%</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434"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7%、1%</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437"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7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3%</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434"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7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2%、1%</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434"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71"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0.1%</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444" w:hRule="exact"/>
        </w:trPr>
        <w:tc>
          <w:tcPr>
            <w:tcW w:w="18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0"/>
              <w:ind w:left="7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98" w:type="dxa"/>
            <w:tcBorders>
              <w:top w:val="single" w:sz="6" w:space="0" w:color="000000"/>
              <w:left w:val="single" w:sz="6" w:space="0" w:color="000000"/>
              <w:bottom w:val="single" w:sz="12" w:space="0" w:color="000000"/>
              <w:right w:val="single" w:sz="6" w:space="0" w:color="000000"/>
            </w:tcBorders>
          </w:tcPr>
          <w:p>
            <w:pP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1.2%、12%</w:t>
            </w:r>
          </w:p>
        </w:tc>
        <w:tc>
          <w:tcPr>
            <w:tcW w:w="275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29" w:footer="837" w:top="1140" w:bottom="1020" w:left="1500" w:right="0"/>
        </w:sectPr>
      </w:pPr>
    </w:p>
    <w:p>
      <w:pPr>
        <w:spacing w:line="240" w:lineRule="auto" w:before="7"/>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1862"/>
        <w:gridCol w:w="2398"/>
        <w:gridCol w:w="1745"/>
        <w:gridCol w:w="2750"/>
      </w:tblGrid>
      <w:tr>
        <w:trPr>
          <w:trHeight w:val="444" w:hRule="exact"/>
        </w:trPr>
        <w:tc>
          <w:tcPr>
            <w:tcW w:w="1862" w:type="dxa"/>
            <w:tcBorders>
              <w:top w:val="single" w:sz="12" w:space="0" w:color="000000"/>
              <w:left w:val="nil" w:sz="6" w:space="0" w:color="auto"/>
              <w:bottom w:val="single" w:sz="6" w:space="0" w:color="000000"/>
              <w:right w:val="single" w:sz="6" w:space="0" w:color="000000"/>
            </w:tcBorders>
          </w:tcPr>
          <w:p>
            <w:pPr>
              <w:pStyle w:val="TableParagraph"/>
              <w:tabs>
                <w:tab w:pos="597" w:val="left" w:leader="none"/>
              </w:tabs>
              <w:spacing w:line="240" w:lineRule="auto" w:before="93"/>
              <w:ind w:left="71" w:right="0"/>
              <w:jc w:val="left"/>
              <w:rPr>
                <w:rFonts w:ascii="宋体" w:hAnsi="宋体" w:cs="宋体" w:eastAsia="宋体" w:hint="default"/>
                <w:sz w:val="21"/>
                <w:szCs w:val="21"/>
              </w:rPr>
            </w:pPr>
            <w:r>
              <w:rPr>
                <w:rFonts w:ascii="宋体" w:hAnsi="宋体" w:cs="宋体" w:eastAsia="宋体" w:hint="default"/>
                <w:sz w:val="21"/>
                <w:szCs w:val="21"/>
              </w:rPr>
              <w:t>税</w:t>
              <w:tab/>
              <w:t>目</w:t>
            </w:r>
          </w:p>
        </w:tc>
        <w:tc>
          <w:tcPr>
            <w:tcW w:w="23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5"/>
              <w:jc w:val="center"/>
              <w:rPr>
                <w:rFonts w:ascii="宋体" w:hAnsi="宋体" w:cs="宋体" w:eastAsia="宋体" w:hint="default"/>
                <w:sz w:val="21"/>
                <w:szCs w:val="21"/>
              </w:rPr>
            </w:pPr>
            <w:r>
              <w:rPr>
                <w:rFonts w:ascii="宋体" w:hAnsi="宋体" w:cs="宋体" w:eastAsia="宋体" w:hint="default"/>
                <w:sz w:val="21"/>
                <w:szCs w:val="21"/>
              </w:rPr>
              <w:t>纳税（费）基础</w:t>
            </w:r>
          </w:p>
        </w:tc>
        <w:tc>
          <w:tcPr>
            <w:tcW w:w="17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750" w:type="dxa"/>
            <w:tcBorders>
              <w:top w:val="single" w:sz="12" w:space="0" w:color="000000"/>
              <w:left w:val="single" w:sz="6" w:space="0" w:color="000000"/>
              <w:bottom w:val="single" w:sz="6" w:space="0" w:color="000000"/>
              <w:right w:val="nil" w:sz="6" w:space="0" w:color="auto"/>
            </w:tcBorders>
          </w:tcPr>
          <w:p>
            <w:pPr>
              <w:pStyle w:val="TableParagraph"/>
              <w:tabs>
                <w:tab w:pos="1996" w:val="left" w:leader="none"/>
              </w:tabs>
              <w:spacing w:line="240" w:lineRule="auto" w:before="93"/>
              <w:ind w:left="525"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34"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7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3%、5%</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864" w:hRule="exact"/>
        </w:trPr>
        <w:tc>
          <w:tcPr>
            <w:tcW w:w="18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98" w:type="dxa"/>
            <w:tcBorders>
              <w:top w:val="single" w:sz="6" w:space="0" w:color="000000"/>
              <w:left w:val="single" w:sz="6" w:space="0" w:color="000000"/>
              <w:bottom w:val="single" w:sz="12" w:space="0" w:color="000000"/>
              <w:right w:val="single" w:sz="6" w:space="0" w:color="000000"/>
            </w:tcBorders>
          </w:tcPr>
          <w:p>
            <w:pP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w:t>
            </w:r>
          </w:p>
        </w:tc>
        <w:tc>
          <w:tcPr>
            <w:tcW w:w="2750" w:type="dxa"/>
            <w:tcBorders>
              <w:top w:val="single" w:sz="6" w:space="0" w:color="000000"/>
              <w:left w:val="single" w:sz="6" w:space="0" w:color="000000"/>
              <w:bottom w:val="single" w:sz="12" w:space="0" w:color="000000"/>
              <w:right w:val="nil" w:sz="6" w:space="0" w:color="auto"/>
            </w:tcBorders>
          </w:tcPr>
          <w:p>
            <w:pPr>
              <w:pStyle w:val="TableParagraph"/>
              <w:spacing w:line="420" w:lineRule="exact"/>
              <w:ind w:left="631" w:right="24" w:hanging="610"/>
              <w:jc w:val="left"/>
              <w:rPr>
                <w:rFonts w:ascii="宋体" w:hAnsi="宋体" w:cs="宋体" w:eastAsia="宋体" w:hint="default"/>
                <w:sz w:val="21"/>
                <w:szCs w:val="21"/>
              </w:rPr>
            </w:pPr>
            <w:r>
              <w:rPr>
                <w:rFonts w:ascii="宋体" w:hAnsi="宋体" w:cs="宋体" w:eastAsia="宋体" w:hint="default"/>
                <w:sz w:val="21"/>
                <w:szCs w:val="21"/>
              </w:rPr>
              <w:t>预征率</w:t>
            </w:r>
            <w:r>
              <w:rPr>
                <w:rFonts w:ascii="宋体" w:hAnsi="宋体" w:cs="宋体" w:eastAsia="宋体" w:hint="default"/>
                <w:spacing w:val="-49"/>
                <w:sz w:val="21"/>
                <w:szCs w:val="21"/>
              </w:rPr>
              <w:t> </w:t>
            </w:r>
            <w:r>
              <w:rPr>
                <w:rFonts w:ascii="宋体" w:hAnsi="宋体" w:cs="宋体" w:eastAsia="宋体" w:hint="default"/>
                <w:spacing w:val="-7"/>
                <w:sz w:val="21"/>
                <w:szCs w:val="21"/>
              </w:rPr>
              <w:t>1%，清算时按</w:t>
            </w:r>
            <w:r>
              <w:rPr>
                <w:rFonts w:ascii="宋体" w:hAnsi="宋体" w:cs="宋体" w:eastAsia="宋体" w:hint="default"/>
                <w:spacing w:val="-49"/>
                <w:sz w:val="21"/>
                <w:szCs w:val="21"/>
              </w:rPr>
              <w:t> </w:t>
            </w:r>
            <w:r>
              <w:rPr>
                <w:rFonts w:ascii="宋体" w:hAnsi="宋体" w:cs="宋体" w:eastAsia="宋体" w:hint="default"/>
                <w:sz w:val="21"/>
                <w:szCs w:val="21"/>
              </w:rPr>
              <w:t>30%-60%</w:t>
            </w:r>
            <w:r>
              <w:rPr>
                <w:rFonts w:ascii="宋体" w:hAnsi="宋体" w:cs="宋体" w:eastAsia="宋体" w:hint="default"/>
                <w:w w:val="100"/>
                <w:sz w:val="21"/>
                <w:szCs w:val="21"/>
              </w:rPr>
              <w:t> </w:t>
            </w:r>
            <w:r>
              <w:rPr>
                <w:rFonts w:ascii="宋体" w:hAnsi="宋体" w:cs="宋体" w:eastAsia="宋体" w:hint="default"/>
                <w:sz w:val="21"/>
                <w:szCs w:val="21"/>
              </w:rPr>
              <w:t>的超率累进税率</w:t>
            </w:r>
          </w:p>
        </w:tc>
      </w:tr>
    </w:tbl>
    <w:p>
      <w:pPr>
        <w:spacing w:line="240" w:lineRule="auto" w:before="9"/>
        <w:rPr>
          <w:rFonts w:ascii="宋体" w:hAnsi="宋体" w:cs="宋体" w:eastAsia="宋体" w:hint="default"/>
          <w:sz w:val="13"/>
          <w:szCs w:val="13"/>
        </w:rPr>
      </w:pPr>
    </w:p>
    <w:p>
      <w:pPr>
        <w:pStyle w:val="BodyText"/>
        <w:spacing w:line="240" w:lineRule="auto" w:before="36"/>
        <w:ind w:left="203" w:right="1549"/>
        <w:jc w:val="left"/>
      </w:pPr>
      <w:r>
        <w:rPr/>
        <w:t>（2）企业所得税</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584"/>
        <w:gridCol w:w="1990"/>
        <w:gridCol w:w="2114"/>
      </w:tblGrid>
      <w:tr>
        <w:trPr>
          <w:trHeight w:val="523" w:hRule="exact"/>
        </w:trPr>
        <w:tc>
          <w:tcPr>
            <w:tcW w:w="4584" w:type="dxa"/>
            <w:tcBorders>
              <w:top w:val="single" w:sz="12" w:space="0" w:color="000000"/>
              <w:left w:val="nil" w:sz="6" w:space="0" w:color="auto"/>
              <w:bottom w:val="single" w:sz="6" w:space="0" w:color="000000"/>
              <w:right w:val="single" w:sz="6" w:space="0" w:color="000000"/>
            </w:tcBorders>
          </w:tcPr>
          <w:p>
            <w:pPr>
              <w:pStyle w:val="TableParagraph"/>
              <w:tabs>
                <w:tab w:pos="1053" w:val="left" w:leader="none"/>
                <w:tab w:pos="1579" w:val="left" w:leader="none"/>
                <w:tab w:pos="2104" w:val="left" w:leader="none"/>
              </w:tabs>
              <w:spacing w:line="240" w:lineRule="auto" w:before="158"/>
              <w:ind w:left="528" w:right="0"/>
              <w:jc w:val="left"/>
              <w:rPr>
                <w:rFonts w:ascii="宋体" w:hAnsi="宋体" w:cs="宋体" w:eastAsia="宋体" w:hint="default"/>
                <w:sz w:val="21"/>
                <w:szCs w:val="21"/>
              </w:rPr>
            </w:pPr>
            <w:r>
              <w:rPr>
                <w:rFonts w:ascii="宋体" w:hAnsi="宋体" w:cs="宋体" w:eastAsia="宋体" w:hint="default"/>
                <w:sz w:val="21"/>
                <w:szCs w:val="21"/>
              </w:rPr>
              <w:t>公</w:t>
              <w:tab/>
              <w:t>司</w:t>
              <w:tab/>
              <w:t>名</w:t>
              <w:tab/>
              <w:t>称</w:t>
            </w:r>
          </w:p>
        </w:tc>
        <w:tc>
          <w:tcPr>
            <w:tcW w:w="19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c>
          <w:tcPr>
            <w:tcW w:w="21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right="7"/>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14" w:hRule="exact"/>
        </w:trPr>
        <w:tc>
          <w:tcPr>
            <w:tcW w:w="4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广州为众物业管理有限公司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广州润龙房地产有限公司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14" w:hRule="exact"/>
        </w:trPr>
        <w:tc>
          <w:tcPr>
            <w:tcW w:w="4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广州天利达实业有限公司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贵州六盘水吉源煤矿有限公司</w:t>
            </w:r>
          </w:p>
        </w:tc>
        <w:tc>
          <w:tcPr>
            <w:tcW w:w="199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7"/>
              <w:jc w:val="center"/>
              <w:rPr>
                <w:rFonts w:ascii="宋体" w:hAnsi="宋体" w:cs="宋体" w:eastAsia="宋体" w:hint="default"/>
                <w:sz w:val="21"/>
                <w:szCs w:val="21"/>
              </w:rPr>
            </w:pPr>
            <w:r>
              <w:rPr>
                <w:rFonts w:ascii="宋体"/>
                <w:sz w:val="21"/>
              </w:rPr>
              <w:t>*1</w:t>
            </w:r>
          </w:p>
        </w:tc>
      </w:tr>
      <w:tr>
        <w:trPr>
          <w:trHeight w:val="514" w:hRule="exact"/>
        </w:trPr>
        <w:tc>
          <w:tcPr>
            <w:tcW w:w="4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广西田阳天伦矿业有限公司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广西凤山天伦矿业有限公司</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23" w:hRule="exact"/>
        </w:trPr>
        <w:tc>
          <w:tcPr>
            <w:tcW w:w="458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天和创展（北京）投资有限公司</w:t>
            </w:r>
          </w:p>
        </w:tc>
        <w:tc>
          <w:tcPr>
            <w:tcW w:w="1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19"/>
          <w:szCs w:val="19"/>
        </w:rPr>
      </w:pPr>
    </w:p>
    <w:p>
      <w:pPr>
        <w:pStyle w:val="BodyText"/>
        <w:spacing w:line="240" w:lineRule="auto" w:before="36"/>
        <w:ind w:left="623" w:right="1549"/>
        <w:jc w:val="left"/>
      </w:pPr>
      <w:r>
        <w:rPr/>
        <w:pict>
          <v:shape style="position:absolute;margin-left:103.08847pt;margin-top:-38.678059pt;width:392.95pt;height:64.3pt;mso-position-horizontal-relative:page;mso-position-vertical-relative:paragraph;z-index:-554632;rotation:315" type="#_x0000_t136" fillcolor="#e0e0e0" stroked="f">
            <o:extrusion v:ext="view" autorotationcenter="t"/>
            <v:textpath style="font-family:&amp;quot;Arial&amp;quot;;font-size:64pt;v-text-kern:t;mso-text-shadow:auto" string="UnRegistered"/>
            <w10:wrap type="none"/>
          </v:shape>
        </w:pict>
      </w:r>
      <w:r>
        <w:rPr/>
        <w:t>*1</w:t>
      </w:r>
      <w:r>
        <w:rPr>
          <w:spacing w:val="-47"/>
        </w:rPr>
        <w:t> </w:t>
      </w:r>
      <w:r>
        <w:rPr/>
        <w:t>根据</w:t>
      </w:r>
      <w:r>
        <w:rPr>
          <w:spacing w:val="-47"/>
        </w:rPr>
        <w:t> </w:t>
      </w:r>
      <w:r>
        <w:rPr/>
        <w:t>2010</w:t>
      </w:r>
      <w:r>
        <w:rPr>
          <w:spacing w:val="-47"/>
        </w:rPr>
        <w:t> </w:t>
      </w:r>
      <w:r>
        <w:rPr/>
        <w:t>年</w:t>
      </w:r>
      <w:r>
        <w:rPr>
          <w:spacing w:val="-50"/>
        </w:rPr>
        <w:t> </w:t>
      </w:r>
      <w:r>
        <w:rPr/>
        <w:t>1</w:t>
      </w:r>
      <w:r>
        <w:rPr>
          <w:spacing w:val="-47"/>
        </w:rPr>
        <w:t> </w:t>
      </w:r>
      <w:r>
        <w:rPr/>
        <w:t>月</w:t>
      </w:r>
      <w:r>
        <w:rPr>
          <w:spacing w:val="-50"/>
        </w:rPr>
        <w:t> </w:t>
      </w:r>
      <w:r>
        <w:rPr/>
        <w:t>22</w:t>
      </w:r>
      <w:r>
        <w:rPr>
          <w:spacing w:val="-50"/>
        </w:rPr>
        <w:t> </w:t>
      </w:r>
      <w:r>
        <w:rPr>
          <w:spacing w:val="-3"/>
        </w:rPr>
        <w:t>日水城县国家税务局《关于贵州六盘水吉源煤业有限公司企业所得</w:t>
      </w:r>
    </w:p>
    <w:p>
      <w:pPr>
        <w:spacing w:line="240" w:lineRule="auto" w:before="10"/>
        <w:rPr>
          <w:rFonts w:ascii="宋体" w:hAnsi="宋体" w:cs="宋体" w:eastAsia="宋体" w:hint="default"/>
          <w:sz w:val="18"/>
          <w:szCs w:val="18"/>
        </w:rPr>
      </w:pPr>
    </w:p>
    <w:p>
      <w:pPr>
        <w:pStyle w:val="BodyText"/>
        <w:spacing w:line="453" w:lineRule="auto"/>
        <w:ind w:left="203" w:right="1579"/>
        <w:jc w:val="both"/>
      </w:pPr>
      <w:r>
        <w:rPr>
          <w:spacing w:val="-5"/>
          <w:w w:val="100"/>
        </w:rPr>
        <w:t>税征管情况说明》，本公司子公司贵州六盘水吉源煤业有限公司自</w:t>
      </w:r>
      <w:r>
        <w:rPr>
          <w:spacing w:val="-47"/>
          <w:w w:val="100"/>
        </w:rPr>
        <w:t> </w:t>
      </w:r>
      <w:r>
        <w:rPr>
          <w:w w:val="100"/>
        </w:rPr>
        <w:t>2008</w:t>
      </w:r>
      <w:r>
        <w:rPr>
          <w:spacing w:val="-51"/>
          <w:w w:val="100"/>
        </w:rPr>
        <w:t> </w:t>
      </w:r>
      <w:r>
        <w:rPr>
          <w:spacing w:val="-2"/>
          <w:w w:val="100"/>
        </w:rPr>
        <w:t>年度起企业所得税划归</w:t>
      </w:r>
      <w:r>
        <w:rPr>
          <w:w w:val="100"/>
        </w:rPr>
        <w:t> </w:t>
      </w:r>
      <w:r>
        <w:rPr>
          <w:spacing w:val="-2"/>
        </w:rPr>
        <w:t>地税征管；根据水城县地方税务局的规定，所得税的征收采用核定应税所得率征收方式，该地</w:t>
      </w:r>
      <w:r>
        <w:rPr>
          <w:spacing w:val="-28"/>
        </w:rPr>
        <w:t> </w:t>
      </w:r>
      <w:r>
        <w:rPr>
          <w:spacing w:val="-28"/>
        </w:rPr>
      </w:r>
      <w:r>
        <w:rPr>
          <w:spacing w:val="-2"/>
          <w:w w:val="100"/>
        </w:rPr>
        <w:t>区煤炭产品应纳税所得额为计税基价*30%（2011</w:t>
      </w:r>
      <w:r>
        <w:rPr>
          <w:spacing w:val="-46"/>
          <w:w w:val="100"/>
        </w:rPr>
        <w:t> </w:t>
      </w:r>
      <w:r>
        <w:rPr>
          <w:spacing w:val="-2"/>
          <w:w w:val="100"/>
        </w:rPr>
        <w:t>年度计税基价为</w:t>
      </w:r>
      <w:r>
        <w:rPr>
          <w:spacing w:val="-43"/>
          <w:w w:val="100"/>
        </w:rPr>
        <w:t> </w:t>
      </w:r>
      <w:r>
        <w:rPr>
          <w:spacing w:val="-1"/>
          <w:w w:val="100"/>
        </w:rPr>
        <w:t>550</w:t>
      </w:r>
      <w:r>
        <w:rPr>
          <w:spacing w:val="-43"/>
          <w:w w:val="100"/>
        </w:rPr>
        <w:t> </w:t>
      </w:r>
      <w:r>
        <w:rPr>
          <w:spacing w:val="-23"/>
          <w:w w:val="100"/>
        </w:rPr>
        <w:t>元/吨）。</w:t>
      </w:r>
    </w:p>
    <w:p>
      <w:pPr>
        <w:spacing w:line="240" w:lineRule="auto" w:before="2"/>
        <w:rPr>
          <w:rFonts w:ascii="宋体" w:hAnsi="宋体" w:cs="宋体" w:eastAsia="宋体" w:hint="default"/>
          <w:sz w:val="20"/>
          <w:szCs w:val="20"/>
        </w:rPr>
      </w:pPr>
    </w:p>
    <w:p>
      <w:pPr>
        <w:pStyle w:val="Heading3"/>
        <w:spacing w:line="240" w:lineRule="auto"/>
        <w:ind w:left="203" w:right="0"/>
        <w:jc w:val="both"/>
      </w:pPr>
      <w:r>
        <w:rPr/>
        <w:t>四、企业合并和合并财务报表</w:t>
      </w:r>
    </w:p>
    <w:p>
      <w:pPr>
        <w:spacing w:line="240" w:lineRule="auto" w:before="6"/>
        <w:rPr>
          <w:rFonts w:ascii="宋体" w:hAnsi="宋体" w:cs="宋体" w:eastAsia="宋体" w:hint="default"/>
          <w:sz w:val="27"/>
          <w:szCs w:val="27"/>
        </w:rPr>
      </w:pPr>
    </w:p>
    <w:p>
      <w:pPr>
        <w:pStyle w:val="BodyText"/>
        <w:spacing w:line="240" w:lineRule="auto"/>
        <w:ind w:left="203" w:right="0"/>
        <w:jc w:val="both"/>
      </w:pPr>
      <w:r>
        <w:rPr/>
        <w:t>1、子公司情况</w:t>
      </w:r>
    </w:p>
    <w:p>
      <w:pPr>
        <w:spacing w:line="240" w:lineRule="auto" w:before="13"/>
        <w:rPr>
          <w:rFonts w:ascii="宋体" w:hAnsi="宋体" w:cs="宋体" w:eastAsia="宋体" w:hint="default"/>
          <w:sz w:val="27"/>
          <w:szCs w:val="27"/>
        </w:rPr>
      </w:pPr>
    </w:p>
    <w:p>
      <w:pPr>
        <w:pStyle w:val="BodyText"/>
        <w:spacing w:line="559" w:lineRule="auto"/>
        <w:ind w:left="623" w:right="1549" w:hanging="420"/>
        <w:jc w:val="left"/>
      </w:pPr>
      <w:r>
        <w:rPr/>
        <w:t>（1）通过同一控制下的企业合并取得的子公司</w:t>
      </w:r>
      <w:r>
        <w:rPr>
          <w:spacing w:val="-87"/>
        </w:rPr>
        <w:t> </w:t>
      </w:r>
      <w:r>
        <w:rPr>
          <w:spacing w:val="-87"/>
        </w:rPr>
      </w:r>
      <w:r>
        <w:rPr>
          <w:spacing w:val="-2"/>
        </w:rPr>
        <w:t>公司无通过同一控制下的企业合并取得的子公司</w:t>
      </w:r>
    </w:p>
    <w:p>
      <w:pPr>
        <w:spacing w:after="0" w:line="559" w:lineRule="auto"/>
        <w:jc w:val="left"/>
        <w:sectPr>
          <w:pgSz w:w="11910" w:h="16840"/>
          <w:pgMar w:header="929" w:footer="837" w:top="1140" w:bottom="1020" w:left="15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44"/>
        <w:ind w:left="241" w:right="0" w:firstLine="0"/>
        <w:jc w:val="left"/>
        <w:rPr>
          <w:rFonts w:ascii="宋体" w:hAnsi="宋体" w:cs="宋体" w:eastAsia="宋体" w:hint="default"/>
          <w:sz w:val="18"/>
          <w:szCs w:val="18"/>
        </w:rPr>
      </w:pPr>
      <w:r>
        <w:rPr>
          <w:rFonts w:ascii="宋体" w:hAnsi="宋体" w:cs="宋体" w:eastAsia="宋体" w:hint="default"/>
          <w:sz w:val="18"/>
          <w:szCs w:val="18"/>
        </w:rPr>
        <w:t>（2）通过非同一控制下的企业合并取得的子公司</w:t>
      </w:r>
    </w:p>
    <w:p>
      <w:pPr>
        <w:spacing w:line="240" w:lineRule="auto" w:before="1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486"/>
        <w:gridCol w:w="814"/>
        <w:gridCol w:w="816"/>
        <w:gridCol w:w="814"/>
        <w:gridCol w:w="809"/>
        <w:gridCol w:w="1118"/>
        <w:gridCol w:w="914"/>
        <w:gridCol w:w="917"/>
        <w:gridCol w:w="612"/>
        <w:gridCol w:w="802"/>
        <w:gridCol w:w="660"/>
        <w:gridCol w:w="1070"/>
        <w:gridCol w:w="1154"/>
        <w:gridCol w:w="1994"/>
      </w:tblGrid>
      <w:tr>
        <w:trPr>
          <w:trHeight w:val="1726" w:hRule="exact"/>
        </w:trPr>
        <w:tc>
          <w:tcPr>
            <w:tcW w:w="1486"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2" w:lineRule="auto"/>
              <w:ind w:left="172" w:right="173"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218" w:right="21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215" w:right="216"/>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2" w:lineRule="auto"/>
              <w:ind w:left="180" w:right="179"/>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4" w:lineRule="auto"/>
              <w:ind w:left="35" w:right="144"/>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6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62" w:right="17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158" w:right="179" w:hanging="92"/>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5" w:lineRule="auto" w:before="159"/>
              <w:ind w:left="86" w:right="197"/>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203" w:right="31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1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4" w:lineRule="auto"/>
              <w:ind w:left="127" w:right="110"/>
              <w:jc w:val="both"/>
              <w:rPr>
                <w:rFonts w:ascii="宋体" w:hAnsi="宋体" w:cs="宋体" w:eastAsia="宋体" w:hint="default"/>
                <w:sz w:val="18"/>
                <w:szCs w:val="18"/>
              </w:rPr>
            </w:pPr>
            <w:r>
              <w:rPr>
                <w:rFonts w:ascii="宋体" w:hAnsi="宋体" w:cs="宋体" w:eastAsia="宋体" w:hint="default"/>
                <w:sz w:val="18"/>
                <w:szCs w:val="18"/>
              </w:rPr>
              <w:t>少数股东权 益用于冲减 少数股东损 益的金额</w:t>
            </w:r>
          </w:p>
        </w:tc>
        <w:tc>
          <w:tcPr>
            <w:tcW w:w="1994"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87"/>
              <w:ind w:left="187" w:right="179"/>
              <w:jc w:val="both"/>
              <w:rPr>
                <w:rFonts w:ascii="宋体" w:hAnsi="宋体" w:cs="宋体" w:eastAsia="宋体" w:hint="default"/>
                <w:sz w:val="18"/>
                <w:szCs w:val="18"/>
              </w:rPr>
            </w:pPr>
            <w:r>
              <w:rPr>
                <w:rFonts w:ascii="宋体" w:hAnsi="宋体" w:cs="宋体" w:eastAsia="宋体" w:hint="default"/>
                <w:sz w:val="18"/>
                <w:szCs w:val="18"/>
              </w:rPr>
              <w:t>从母公司所有者权益 冲减子公司少数股东 分担的本期亏损超过 少数股东在该子公司 期初所有者权益中所 享有份额后的余额</w:t>
            </w:r>
          </w:p>
        </w:tc>
      </w:tr>
      <w:tr>
        <w:trPr>
          <w:trHeight w:val="864" w:hRule="exact"/>
        </w:trPr>
        <w:tc>
          <w:tcPr>
            <w:tcW w:w="1486"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37"/>
              <w:ind w:left="122" w:right="95"/>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113"/>
              <w:ind w:left="172" w:right="26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113"/>
              <w:ind w:left="175" w:right="264"/>
              <w:jc w:val="left"/>
              <w:rPr>
                <w:rFonts w:ascii="宋体" w:hAnsi="宋体" w:cs="宋体" w:eastAsia="宋体" w:hint="default"/>
                <w:sz w:val="18"/>
                <w:szCs w:val="18"/>
              </w:rPr>
            </w:pPr>
            <w:r>
              <w:rPr>
                <w:rFonts w:ascii="宋体" w:hAnsi="宋体" w:cs="宋体" w:eastAsia="宋体" w:hint="default"/>
                <w:sz w:val="18"/>
                <w:szCs w:val="18"/>
              </w:rPr>
              <w:t>广西 田阳</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113"/>
              <w:ind w:left="218" w:right="131" w:hanging="92"/>
              <w:jc w:val="left"/>
              <w:rPr>
                <w:rFonts w:ascii="宋体" w:hAnsi="宋体" w:cs="宋体" w:eastAsia="宋体" w:hint="default"/>
                <w:sz w:val="18"/>
                <w:szCs w:val="18"/>
              </w:rPr>
            </w:pPr>
            <w:r>
              <w:rPr>
                <w:rFonts w:ascii="宋体" w:hAnsi="宋体" w:cs="宋体" w:eastAsia="宋体" w:hint="default"/>
                <w:sz w:val="18"/>
                <w:szCs w:val="18"/>
              </w:rPr>
              <w:t>矿产品 生产</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37"/>
              <w:ind w:left="100" w:right="101"/>
              <w:jc w:val="left"/>
              <w:rPr>
                <w:rFonts w:ascii="宋体" w:hAnsi="宋体" w:cs="宋体" w:eastAsia="宋体" w:hint="default"/>
                <w:sz w:val="18"/>
                <w:szCs w:val="18"/>
              </w:rPr>
            </w:pPr>
            <w:r>
              <w:rPr>
                <w:rFonts w:ascii="宋体" w:hAnsi="宋体" w:cs="宋体" w:eastAsia="宋体" w:hint="default"/>
                <w:sz w:val="18"/>
                <w:szCs w:val="18"/>
              </w:rPr>
              <w:t>矿山勘探、 矿产品购销</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sz w:val="18"/>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56"/>
              <w:jc w:val="right"/>
              <w:rPr>
                <w:rFonts w:ascii="宋体" w:hAnsi="宋体" w:cs="宋体" w:eastAsia="宋体" w:hint="default"/>
                <w:sz w:val="18"/>
                <w:szCs w:val="18"/>
              </w:rPr>
            </w:pPr>
            <w:r>
              <w:rPr>
                <w:rFonts w:ascii="宋体"/>
                <w:sz w:val="18"/>
              </w:rPr>
              <w:t>55%</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-324.83</w:t>
            </w:r>
            <w:r>
              <w:rPr>
                <w:rFonts w:ascii="宋体" w:hAnsi="宋体" w:cs="宋体" w:eastAsia="宋体" w:hint="default"/>
                <w:spacing w:val="-49"/>
                <w:sz w:val="18"/>
                <w:szCs w:val="18"/>
              </w:rPr>
              <w:t> </w:t>
            </w:r>
            <w:r>
              <w:rPr>
                <w:rFonts w:ascii="宋体" w:hAnsi="宋体" w:cs="宋体" w:eastAsia="宋体" w:hint="default"/>
                <w:sz w:val="18"/>
                <w:szCs w:val="18"/>
              </w:rPr>
              <w:t>万</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55.55</w:t>
            </w:r>
            <w:r>
              <w:rPr>
                <w:rFonts w:ascii="宋体" w:hAnsi="宋体" w:cs="宋体" w:eastAsia="宋体" w:hint="default"/>
                <w:spacing w:val="-48"/>
                <w:sz w:val="18"/>
                <w:szCs w:val="18"/>
              </w:rPr>
              <w:t> </w:t>
            </w:r>
            <w:r>
              <w:rPr>
                <w:rFonts w:ascii="宋体" w:hAnsi="宋体" w:cs="宋体" w:eastAsia="宋体" w:hint="default"/>
                <w:sz w:val="18"/>
                <w:szCs w:val="18"/>
              </w:rPr>
              <w:t>万</w:t>
            </w:r>
          </w:p>
        </w:tc>
        <w:tc>
          <w:tcPr>
            <w:tcW w:w="1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r>
      <w:tr>
        <w:trPr>
          <w:trHeight w:val="811" w:hRule="exact"/>
        </w:trPr>
        <w:tc>
          <w:tcPr>
            <w:tcW w:w="1486" w:type="dxa"/>
            <w:tcBorders>
              <w:top w:val="single" w:sz="6" w:space="0" w:color="000000"/>
              <w:left w:val="nil" w:sz="6" w:space="0" w:color="auto"/>
              <w:bottom w:val="single" w:sz="12" w:space="0" w:color="000000"/>
              <w:right w:val="single" w:sz="6" w:space="0" w:color="000000"/>
            </w:tcBorders>
          </w:tcPr>
          <w:p>
            <w:pPr>
              <w:pStyle w:val="TableParagraph"/>
              <w:spacing w:line="264" w:lineRule="auto" w:before="106"/>
              <w:ind w:left="122" w:right="95"/>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814" w:type="dxa"/>
            <w:tcBorders>
              <w:top w:val="single" w:sz="6" w:space="0" w:color="000000"/>
              <w:left w:val="single" w:sz="6" w:space="0" w:color="000000"/>
              <w:bottom w:val="single" w:sz="12" w:space="0" w:color="000000"/>
              <w:right w:val="single" w:sz="6" w:space="0" w:color="000000"/>
            </w:tcBorders>
          </w:tcPr>
          <w:p>
            <w:pPr>
              <w:pStyle w:val="TableParagraph"/>
              <w:spacing w:line="295" w:lineRule="auto" w:before="82"/>
              <w:ind w:left="172" w:right="26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814" w:type="dxa"/>
            <w:tcBorders>
              <w:top w:val="single" w:sz="6" w:space="0" w:color="000000"/>
              <w:left w:val="single" w:sz="6" w:space="0" w:color="000000"/>
              <w:bottom w:val="single" w:sz="12" w:space="0" w:color="000000"/>
              <w:right w:val="single" w:sz="6" w:space="0" w:color="000000"/>
            </w:tcBorders>
          </w:tcPr>
          <w:p>
            <w:pPr>
              <w:pStyle w:val="TableParagraph"/>
              <w:spacing w:line="242" w:lineRule="auto" w:before="111"/>
              <w:ind w:left="127" w:right="127" w:firstLine="2"/>
              <w:jc w:val="left"/>
              <w:rPr>
                <w:rFonts w:ascii="宋体" w:hAnsi="宋体" w:cs="宋体" w:eastAsia="宋体" w:hint="default"/>
                <w:sz w:val="18"/>
                <w:szCs w:val="18"/>
              </w:rPr>
            </w:pPr>
            <w:r>
              <w:rPr>
                <w:rFonts w:ascii="宋体" w:hAnsi="宋体" w:cs="宋体" w:eastAsia="宋体" w:hint="default"/>
                <w:sz w:val="18"/>
                <w:szCs w:val="18"/>
              </w:rPr>
              <w:t>煤矿开 采销售</w:t>
            </w:r>
          </w:p>
        </w:tc>
        <w:tc>
          <w:tcPr>
            <w:tcW w:w="8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2" w:lineRule="auto" w:before="111"/>
              <w:ind w:left="278" w:right="101" w:hanging="178"/>
              <w:jc w:val="left"/>
              <w:rPr>
                <w:rFonts w:ascii="宋体" w:hAnsi="宋体" w:cs="宋体" w:eastAsia="宋体" w:hint="default"/>
                <w:sz w:val="18"/>
                <w:szCs w:val="18"/>
              </w:rPr>
            </w:pPr>
            <w:r>
              <w:rPr>
                <w:rFonts w:ascii="宋体" w:hAnsi="宋体" w:cs="宋体" w:eastAsia="宋体" w:hint="default"/>
                <w:sz w:val="18"/>
                <w:szCs w:val="18"/>
              </w:rPr>
              <w:t>煤矿的开采 和销售</w:t>
            </w:r>
          </w:p>
        </w:tc>
        <w:tc>
          <w:tcPr>
            <w:tcW w:w="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05" w:right="0"/>
              <w:jc w:val="left"/>
              <w:rPr>
                <w:rFonts w:ascii="宋体" w:hAnsi="宋体" w:cs="宋体" w:eastAsia="宋体" w:hint="default"/>
                <w:sz w:val="18"/>
                <w:szCs w:val="18"/>
              </w:rPr>
            </w:pPr>
            <w:r>
              <w:rPr>
                <w:rFonts w:ascii="宋体"/>
                <w:sz w:val="18"/>
              </w:rPr>
              <w:t>-</w:t>
            </w:r>
          </w:p>
        </w:tc>
        <w:tc>
          <w:tcPr>
            <w:tcW w:w="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60%</w:t>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56"/>
              <w:jc w:val="right"/>
              <w:rPr>
                <w:rFonts w:ascii="宋体" w:hAnsi="宋体" w:cs="宋体" w:eastAsia="宋体" w:hint="default"/>
                <w:sz w:val="18"/>
                <w:szCs w:val="18"/>
              </w:rPr>
            </w:pPr>
            <w:r>
              <w:rPr>
                <w:rFonts w:ascii="宋体"/>
                <w:sz w:val="18"/>
              </w:rPr>
              <w:t>60%</w:t>
            </w:r>
          </w:p>
        </w:tc>
        <w:tc>
          <w:tcPr>
            <w:tcW w:w="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-303.68</w:t>
            </w:r>
            <w:r>
              <w:rPr>
                <w:rFonts w:ascii="宋体" w:hAnsi="宋体" w:cs="宋体" w:eastAsia="宋体" w:hint="default"/>
                <w:spacing w:val="-49"/>
                <w:sz w:val="18"/>
                <w:szCs w:val="18"/>
              </w:rPr>
              <w:t> </w:t>
            </w:r>
            <w:r>
              <w:rPr>
                <w:rFonts w:ascii="宋体" w:hAnsi="宋体" w:cs="宋体" w:eastAsia="宋体" w:hint="default"/>
                <w:sz w:val="18"/>
                <w:szCs w:val="18"/>
              </w:rPr>
              <w:t>万</w:t>
            </w:r>
          </w:p>
        </w:tc>
        <w:tc>
          <w:tcPr>
            <w:tcW w:w="1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137.65</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9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15"/>
          <w:szCs w:val="15"/>
        </w:rPr>
      </w:pPr>
    </w:p>
    <w:p>
      <w:pPr>
        <w:pStyle w:val="BodyText"/>
        <w:spacing w:line="240" w:lineRule="auto" w:before="36"/>
        <w:ind w:left="241" w:right="0"/>
        <w:jc w:val="left"/>
      </w:pPr>
      <w:r>
        <w:rPr/>
        <w:pict>
          <v:shape style="position:absolute;margin-left:226.395554pt;margin-top:-28.785112pt;width:392.95pt;height:64.3pt;mso-position-horizontal-relative:page;mso-position-vertical-relative:paragraph;z-index:-554608;rotation:315" type="#_x0000_t136" fillcolor="#e0e0e0" stroked="f">
            <o:extrusion v:ext="view" autorotationcenter="t"/>
            <v:textpath style="font-family:&amp;quot;Arial&amp;quot;;font-size:64pt;v-text-kern:t;mso-text-shadow:auto" string="UnRegistered"/>
            <w10:wrap type="none"/>
          </v:shape>
        </w:pict>
      </w:r>
      <w:r>
        <w:rPr/>
        <w:t>其中：非同一控制下企业合并中商誉的金额和确定方法</w:t>
      </w:r>
    </w:p>
    <w:p>
      <w:pPr>
        <w:spacing w:line="240" w:lineRule="auto" w:before="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55"/>
        <w:gridCol w:w="420"/>
        <w:gridCol w:w="420"/>
        <w:gridCol w:w="473"/>
        <w:gridCol w:w="6894"/>
        <w:gridCol w:w="4645"/>
        <w:gridCol w:w="582"/>
      </w:tblGrid>
      <w:tr>
        <w:trPr>
          <w:trHeight w:val="528" w:hRule="exact"/>
        </w:trPr>
        <w:tc>
          <w:tcPr>
            <w:tcW w:w="755"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439" w:right="0"/>
              <w:jc w:val="left"/>
              <w:rPr>
                <w:rFonts w:ascii="宋体" w:hAnsi="宋体" w:cs="宋体" w:eastAsia="宋体" w:hint="default"/>
                <w:sz w:val="21"/>
                <w:szCs w:val="21"/>
              </w:rPr>
            </w:pPr>
            <w:r>
              <w:rPr>
                <w:rFonts w:ascii="宋体" w:hAnsi="宋体" w:cs="宋体" w:eastAsia="宋体" w:hint="default"/>
                <w:w w:val="100"/>
                <w:sz w:val="21"/>
                <w:szCs w:val="21"/>
              </w:rPr>
              <w:t>子</w:t>
            </w:r>
          </w:p>
        </w:tc>
        <w:tc>
          <w:tcPr>
            <w:tcW w:w="42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公</w:t>
            </w:r>
          </w:p>
        </w:tc>
        <w:tc>
          <w:tcPr>
            <w:tcW w:w="42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473"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名</w:t>
            </w:r>
          </w:p>
        </w:tc>
        <w:tc>
          <w:tcPr>
            <w:tcW w:w="68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4"/>
              <w:ind w:left="157" w:right="0"/>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46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260"/>
              <w:jc w:val="right"/>
              <w:rPr>
                <w:rFonts w:ascii="宋体" w:hAnsi="宋体" w:cs="宋体" w:eastAsia="宋体" w:hint="default"/>
                <w:sz w:val="21"/>
                <w:szCs w:val="21"/>
              </w:rPr>
            </w:pPr>
            <w:r>
              <w:rPr>
                <w:rFonts w:ascii="宋体" w:hAnsi="宋体" w:cs="宋体" w:eastAsia="宋体" w:hint="default"/>
                <w:w w:val="100"/>
                <w:sz w:val="21"/>
                <w:szCs w:val="21"/>
              </w:rPr>
              <w:t>商</w:t>
            </w:r>
          </w:p>
        </w:tc>
        <w:tc>
          <w:tcPr>
            <w:tcW w:w="582" w:type="dxa"/>
            <w:tcBorders>
              <w:top w:val="single" w:sz="12" w:space="0" w:color="000000"/>
              <w:left w:val="nil" w:sz="6" w:space="0" w:color="auto"/>
              <w:bottom w:val="single" w:sz="2" w:space="0" w:color="000000"/>
              <w:right w:val="nil" w:sz="6" w:space="0" w:color="auto"/>
            </w:tcBorders>
          </w:tcPr>
          <w:p>
            <w:pPr>
              <w:pStyle w:val="TableParagraph"/>
              <w:spacing w:line="240" w:lineRule="auto" w:before="124"/>
              <w:ind w:left="262" w:right="0"/>
              <w:jc w:val="left"/>
              <w:rPr>
                <w:rFonts w:ascii="宋体" w:hAnsi="宋体" w:cs="宋体" w:eastAsia="宋体" w:hint="default"/>
                <w:sz w:val="21"/>
                <w:szCs w:val="21"/>
              </w:rPr>
            </w:pPr>
            <w:r>
              <w:rPr>
                <w:rFonts w:ascii="宋体" w:hAnsi="宋体" w:cs="宋体" w:eastAsia="宋体" w:hint="default"/>
                <w:w w:val="100"/>
                <w:sz w:val="21"/>
                <w:szCs w:val="21"/>
              </w:rPr>
              <w:t>誉</w:t>
            </w:r>
          </w:p>
        </w:tc>
      </w:tr>
      <w:tr>
        <w:trPr>
          <w:trHeight w:val="514" w:hRule="exact"/>
        </w:trPr>
        <w:tc>
          <w:tcPr>
            <w:tcW w:w="8962" w:type="dxa"/>
            <w:gridSpan w:val="5"/>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广西田阳天伦矿业有限公司</w:t>
            </w:r>
          </w:p>
        </w:tc>
        <w:tc>
          <w:tcPr>
            <w:tcW w:w="5227"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37,145,823.98</w:t>
            </w:r>
          </w:p>
        </w:tc>
      </w:tr>
      <w:tr>
        <w:trPr>
          <w:trHeight w:val="528" w:hRule="exact"/>
        </w:trPr>
        <w:tc>
          <w:tcPr>
            <w:tcW w:w="8962" w:type="dxa"/>
            <w:gridSpan w:val="5"/>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贵州六盘水吉源煤业有限公司</w:t>
            </w:r>
          </w:p>
        </w:tc>
        <w:tc>
          <w:tcPr>
            <w:tcW w:w="5227" w:type="dxa"/>
            <w:gridSpan w:val="2"/>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1,108,525.41</w:t>
            </w:r>
          </w:p>
        </w:tc>
      </w:tr>
    </w:tbl>
    <w:p>
      <w:pPr>
        <w:spacing w:line="240" w:lineRule="auto" w:before="9"/>
        <w:rPr>
          <w:rFonts w:ascii="宋体" w:hAnsi="宋体" w:cs="宋体" w:eastAsia="宋体" w:hint="default"/>
          <w:sz w:val="15"/>
          <w:szCs w:val="15"/>
        </w:rPr>
      </w:pPr>
    </w:p>
    <w:p>
      <w:pPr>
        <w:pStyle w:val="BodyText"/>
        <w:spacing w:line="240" w:lineRule="auto" w:before="36"/>
        <w:ind w:left="241" w:right="0"/>
        <w:jc w:val="left"/>
      </w:pPr>
      <w:r>
        <w:rPr/>
        <w:t>*商誉的确定方法：收购日，投资成本超过公司应占有的可辨认净资产公允价值份额的部分。</w:t>
      </w:r>
    </w:p>
    <w:p>
      <w:pPr>
        <w:spacing w:line="240" w:lineRule="auto" w:before="5"/>
        <w:rPr>
          <w:rFonts w:ascii="宋体" w:hAnsi="宋体" w:cs="宋体" w:eastAsia="宋体" w:hint="default"/>
          <w:sz w:val="23"/>
          <w:szCs w:val="23"/>
        </w:rPr>
      </w:pPr>
    </w:p>
    <w:p>
      <w:pPr>
        <w:pStyle w:val="BodyText"/>
        <w:spacing w:line="403" w:lineRule="auto"/>
        <w:ind w:left="241" w:right="0"/>
        <w:jc w:val="left"/>
      </w:pPr>
      <w:r>
        <w:rPr/>
        <w:t>**：2011</w:t>
      </w:r>
      <w:r>
        <w:rPr>
          <w:spacing w:val="-31"/>
        </w:rPr>
        <w:t> </w:t>
      </w:r>
      <w:r>
        <w:rPr/>
        <w:t>年</w:t>
      </w:r>
      <w:r>
        <w:rPr>
          <w:spacing w:val="-31"/>
        </w:rPr>
        <w:t> </w:t>
      </w:r>
      <w:r>
        <w:rPr/>
        <w:t>3</w:t>
      </w:r>
      <w:r>
        <w:rPr>
          <w:spacing w:val="-33"/>
        </w:rPr>
        <w:t> </w:t>
      </w:r>
      <w:r>
        <w:rPr/>
        <w:t>月，子公司广州润龙房地产有限公司将持有的河南新景致房地产有限公司</w:t>
      </w:r>
      <w:r>
        <w:rPr>
          <w:spacing w:val="-33"/>
        </w:rPr>
        <w:t> </w:t>
      </w:r>
      <w:r>
        <w:rPr/>
        <w:t>70%的股权转让予河南飞航投资有限公司和郑州是益源成商贸有</w:t>
      </w:r>
      <w:r>
        <w:rPr>
          <w:w w:val="100"/>
        </w:rPr>
        <w:t> </w:t>
      </w:r>
      <w:r>
        <w:rPr/>
        <w:t>限公司。河南新景致房地产有限公司自</w:t>
      </w:r>
      <w:r>
        <w:rPr>
          <w:spacing w:val="-55"/>
        </w:rPr>
        <w:t> </w:t>
      </w:r>
      <w:r>
        <w:rPr/>
        <w:t>2011</w:t>
      </w:r>
      <w:r>
        <w:rPr>
          <w:spacing w:val="-57"/>
        </w:rPr>
        <w:t> </w:t>
      </w:r>
      <w:r>
        <w:rPr/>
        <w:t>年</w:t>
      </w:r>
      <w:r>
        <w:rPr>
          <w:spacing w:val="-55"/>
        </w:rPr>
        <w:t> </w:t>
      </w:r>
      <w:r>
        <w:rPr/>
        <w:t>7</w:t>
      </w:r>
      <w:r>
        <w:rPr>
          <w:spacing w:val="-57"/>
        </w:rPr>
        <w:t> </w:t>
      </w:r>
      <w:r>
        <w:rPr/>
        <w:t>月起不再纳入合并范围。详见附注四、2、②新纳入合并范围的公司说明。</w:t>
      </w:r>
    </w:p>
    <w:p>
      <w:pPr>
        <w:pStyle w:val="BodyText"/>
        <w:spacing w:line="240" w:lineRule="auto" w:before="160"/>
        <w:ind w:left="241" w:right="0"/>
        <w:jc w:val="left"/>
      </w:pPr>
      <w:r>
        <w:rPr>
          <w:w w:val="100"/>
        </w:rPr>
        <w:t>（3</w:t>
      </w:r>
      <w:r>
        <w:rPr>
          <w:spacing w:val="-106"/>
          <w:w w:val="100"/>
        </w:rPr>
        <w:t>）</w:t>
      </w:r>
      <w:r>
        <w:rPr>
          <w:w w:val="100"/>
        </w:rPr>
        <w:t>、通过设立或投资</w:t>
      </w:r>
      <w:r>
        <w:rPr>
          <w:spacing w:val="-3"/>
          <w:w w:val="100"/>
        </w:rPr>
        <w:t>方</w:t>
      </w:r>
      <w:r>
        <w:rPr>
          <w:w w:val="100"/>
        </w:rPr>
        <w:t>式取得的子公司</w:t>
      </w:r>
    </w:p>
    <w:p>
      <w:pPr>
        <w:spacing w:after="0" w:line="240" w:lineRule="auto"/>
        <w:jc w:val="left"/>
        <w:sectPr>
          <w:headerReference w:type="default" r:id="rId20"/>
          <w:footerReference w:type="default" r:id="rId21"/>
          <w:pgSz w:w="16840" w:h="11910" w:orient="landscape"/>
          <w:pgMar w:header="929" w:footer="840" w:top="1140" w:bottom="1020" w:left="1200" w:right="1200"/>
          <w:pgNumType w:start="53"/>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554584;rotation:315" type="#_x0000_t136" fillcolor="#e0e0e0" stroked="f">
            <o:extrusion v:ext="view" autorotationcenter="t"/>
            <v:textpath style="font-family:&amp;quot;Arial&amp;quot;;font-size:64pt;v-text-kern:t;mso-text-shadow:auto" string="UnRegistered"/>
            <w10:wrap type="none"/>
          </v:shape>
        </w:pict>
      </w:r>
    </w:p>
    <w:p>
      <w:pPr>
        <w:spacing w:line="240" w:lineRule="auto" w:before="11"/>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416"/>
        <w:gridCol w:w="626"/>
        <w:gridCol w:w="624"/>
        <w:gridCol w:w="835"/>
        <w:gridCol w:w="835"/>
        <w:gridCol w:w="2189"/>
        <w:gridCol w:w="1042"/>
        <w:gridCol w:w="1070"/>
        <w:gridCol w:w="773"/>
        <w:gridCol w:w="780"/>
        <w:gridCol w:w="504"/>
        <w:gridCol w:w="972"/>
        <w:gridCol w:w="984"/>
        <w:gridCol w:w="1538"/>
      </w:tblGrid>
      <w:tr>
        <w:trPr>
          <w:trHeight w:val="298" w:hRule="exact"/>
        </w:trPr>
        <w:tc>
          <w:tcPr>
            <w:tcW w:w="1416" w:type="dxa"/>
            <w:tcBorders>
              <w:top w:val="single" w:sz="12" w:space="0" w:color="000000"/>
              <w:left w:val="nil" w:sz="6" w:space="0" w:color="auto"/>
              <w:bottom w:val="nil" w:sz="6" w:space="0" w:color="auto"/>
              <w:right w:val="single" w:sz="6" w:space="0" w:color="000000"/>
            </w:tcBorders>
          </w:tcPr>
          <w:p>
            <w:pPr/>
          </w:p>
        </w:tc>
        <w:tc>
          <w:tcPr>
            <w:tcW w:w="626" w:type="dxa"/>
            <w:tcBorders>
              <w:top w:val="single" w:sz="12" w:space="0" w:color="000000"/>
              <w:left w:val="single" w:sz="6" w:space="0" w:color="000000"/>
              <w:bottom w:val="nil" w:sz="6" w:space="0" w:color="auto"/>
              <w:right w:val="single" w:sz="6" w:space="0" w:color="000000"/>
            </w:tcBorders>
          </w:tcPr>
          <w:p>
            <w:pPr/>
          </w:p>
        </w:tc>
        <w:tc>
          <w:tcPr>
            <w:tcW w:w="624" w:type="dxa"/>
            <w:tcBorders>
              <w:top w:val="single" w:sz="12" w:space="0" w:color="000000"/>
              <w:left w:val="single" w:sz="6" w:space="0" w:color="000000"/>
              <w:bottom w:val="nil" w:sz="6" w:space="0" w:color="auto"/>
              <w:right w:val="single" w:sz="6" w:space="0" w:color="000000"/>
            </w:tcBorders>
          </w:tcPr>
          <w:p>
            <w:pPr/>
          </w:p>
        </w:tc>
        <w:tc>
          <w:tcPr>
            <w:tcW w:w="835" w:type="dxa"/>
            <w:tcBorders>
              <w:top w:val="single" w:sz="12" w:space="0" w:color="000000"/>
              <w:left w:val="single" w:sz="6" w:space="0" w:color="000000"/>
              <w:bottom w:val="nil" w:sz="6" w:space="0" w:color="auto"/>
              <w:right w:val="single" w:sz="6" w:space="0" w:color="000000"/>
            </w:tcBorders>
          </w:tcPr>
          <w:p>
            <w:pPr/>
          </w:p>
        </w:tc>
        <w:tc>
          <w:tcPr>
            <w:tcW w:w="835" w:type="dxa"/>
            <w:tcBorders>
              <w:top w:val="single" w:sz="12" w:space="0" w:color="000000"/>
              <w:left w:val="single" w:sz="6" w:space="0" w:color="000000"/>
              <w:bottom w:val="nil" w:sz="6" w:space="0" w:color="auto"/>
              <w:right w:val="single" w:sz="6" w:space="0" w:color="000000"/>
            </w:tcBorders>
          </w:tcPr>
          <w:p>
            <w:pPr/>
          </w:p>
        </w:tc>
        <w:tc>
          <w:tcPr>
            <w:tcW w:w="2189" w:type="dxa"/>
            <w:tcBorders>
              <w:top w:val="single" w:sz="12" w:space="0" w:color="000000"/>
              <w:left w:val="single" w:sz="6" w:space="0" w:color="000000"/>
              <w:bottom w:val="nil" w:sz="6" w:space="0" w:color="auto"/>
              <w:right w:val="single" w:sz="6" w:space="0" w:color="000000"/>
            </w:tcBorders>
          </w:tcPr>
          <w:p>
            <w:pPr/>
          </w:p>
        </w:tc>
        <w:tc>
          <w:tcPr>
            <w:tcW w:w="1042" w:type="dxa"/>
            <w:tcBorders>
              <w:top w:val="single" w:sz="12" w:space="0" w:color="000000"/>
              <w:left w:val="single" w:sz="6" w:space="0" w:color="000000"/>
              <w:bottom w:val="nil" w:sz="6" w:space="0" w:color="auto"/>
              <w:right w:val="single" w:sz="6" w:space="0" w:color="000000"/>
            </w:tcBorders>
          </w:tcPr>
          <w:p>
            <w:pPr/>
          </w:p>
        </w:tc>
        <w:tc>
          <w:tcPr>
            <w:tcW w:w="1070" w:type="dxa"/>
            <w:tcBorders>
              <w:top w:val="single" w:sz="12" w:space="0" w:color="000000"/>
              <w:left w:val="single" w:sz="6" w:space="0" w:color="000000"/>
              <w:bottom w:val="nil" w:sz="6" w:space="0" w:color="auto"/>
              <w:right w:val="single" w:sz="6" w:space="0" w:color="000000"/>
            </w:tcBorders>
          </w:tcPr>
          <w:p>
            <w:pPr/>
          </w:p>
        </w:tc>
        <w:tc>
          <w:tcPr>
            <w:tcW w:w="773" w:type="dxa"/>
            <w:tcBorders>
              <w:top w:val="single" w:sz="12" w:space="0" w:color="000000"/>
              <w:left w:val="single" w:sz="6" w:space="0" w:color="000000"/>
              <w:bottom w:val="nil" w:sz="6" w:space="0" w:color="auto"/>
              <w:right w:val="single" w:sz="6" w:space="0" w:color="000000"/>
            </w:tcBorders>
          </w:tcPr>
          <w:p>
            <w:pPr/>
          </w:p>
        </w:tc>
        <w:tc>
          <w:tcPr>
            <w:tcW w:w="780" w:type="dxa"/>
            <w:tcBorders>
              <w:top w:val="single" w:sz="12" w:space="0" w:color="000000"/>
              <w:left w:val="single" w:sz="6" w:space="0" w:color="000000"/>
              <w:bottom w:val="nil" w:sz="6" w:space="0" w:color="auto"/>
              <w:right w:val="single" w:sz="6" w:space="0" w:color="000000"/>
            </w:tcBorders>
          </w:tcPr>
          <w:p>
            <w:pPr/>
          </w:p>
        </w:tc>
        <w:tc>
          <w:tcPr>
            <w:tcW w:w="504" w:type="dxa"/>
            <w:tcBorders>
              <w:top w:val="single" w:sz="12" w:space="0" w:color="000000"/>
              <w:left w:val="single" w:sz="6" w:space="0" w:color="000000"/>
              <w:bottom w:val="nil" w:sz="6" w:space="0" w:color="auto"/>
              <w:right w:val="single" w:sz="6" w:space="0" w:color="000000"/>
            </w:tcBorders>
          </w:tcPr>
          <w:p>
            <w:pPr/>
          </w:p>
        </w:tc>
        <w:tc>
          <w:tcPr>
            <w:tcW w:w="972" w:type="dxa"/>
            <w:tcBorders>
              <w:top w:val="single" w:sz="12" w:space="0" w:color="000000"/>
              <w:left w:val="single" w:sz="6" w:space="0" w:color="000000"/>
              <w:bottom w:val="nil" w:sz="6" w:space="0" w:color="auto"/>
              <w:right w:val="single" w:sz="6" w:space="0" w:color="000000"/>
            </w:tcBorders>
          </w:tcPr>
          <w:p>
            <w:pPr/>
          </w:p>
        </w:tc>
        <w:tc>
          <w:tcPr>
            <w:tcW w:w="984" w:type="dxa"/>
            <w:tcBorders>
              <w:top w:val="single" w:sz="12" w:space="0" w:color="000000"/>
              <w:left w:val="single" w:sz="6" w:space="0" w:color="000000"/>
              <w:bottom w:val="nil" w:sz="6" w:space="0" w:color="auto"/>
              <w:right w:val="single" w:sz="6" w:space="0" w:color="000000"/>
            </w:tcBorders>
          </w:tcPr>
          <w:p>
            <w:pPr/>
          </w:p>
        </w:tc>
        <w:tc>
          <w:tcPr>
            <w:tcW w:w="1538" w:type="dxa"/>
            <w:tcBorders>
              <w:top w:val="single" w:sz="12" w:space="0" w:color="000000"/>
              <w:left w:val="single" w:sz="6" w:space="0" w:color="000000"/>
              <w:bottom w:val="nil" w:sz="6" w:space="0" w:color="auto"/>
              <w:right w:val="nil" w:sz="6" w:space="0" w:color="auto"/>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从母公司所有者</w:t>
            </w:r>
          </w:p>
        </w:tc>
      </w:tr>
      <w:tr>
        <w:trPr>
          <w:trHeight w:val="1439" w:hRule="exact"/>
        </w:trPr>
        <w:tc>
          <w:tcPr>
            <w:tcW w:w="1416" w:type="dxa"/>
            <w:tcBorders>
              <w:top w:val="nil" w:sz="6" w:space="0" w:color="auto"/>
              <w:left w:val="nil" w:sz="6" w:space="0" w:color="auto"/>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1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auto" w:before="127"/>
              <w:ind w:left="81" w:right="168"/>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2" w:lineRule="auto"/>
              <w:ind w:left="170" w:right="167"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95" w:lineRule="auto"/>
              <w:ind w:left="227" w:right="23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95" w:lineRule="auto"/>
              <w:ind w:left="227" w:right="230"/>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18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815" w:val="left" w:leader="none"/>
                <w:tab w:pos="1624" w:val="left" w:leader="none"/>
              </w:tabs>
              <w:spacing w:line="240" w:lineRule="auto" w:before="158"/>
              <w:ind w:left="364" w:right="0"/>
              <w:jc w:val="left"/>
              <w:rPr>
                <w:rFonts w:ascii="宋体" w:hAnsi="宋体" w:cs="宋体" w:eastAsia="宋体" w:hint="default"/>
                <w:sz w:val="18"/>
                <w:szCs w:val="18"/>
              </w:rPr>
            </w:pPr>
            <w:r>
              <w:rPr>
                <w:rFonts w:ascii="宋体" w:hAnsi="宋体" w:cs="宋体" w:eastAsia="宋体" w:hint="default"/>
                <w:sz w:val="18"/>
                <w:szCs w:val="18"/>
              </w:rPr>
              <w:t>经</w:t>
              <w:tab/>
              <w:t>营</w:t>
            </w:r>
            <w:r>
              <w:rPr>
                <w:rFonts w:ascii="宋体" w:hAnsi="宋体" w:cs="宋体" w:eastAsia="宋体" w:hint="default"/>
                <w:spacing w:val="90"/>
                <w:sz w:val="18"/>
                <w:szCs w:val="18"/>
              </w:rPr>
              <w:t> </w:t>
            </w:r>
            <w:r>
              <w:rPr>
                <w:rFonts w:ascii="宋体" w:hAnsi="宋体" w:cs="宋体" w:eastAsia="宋体" w:hint="default"/>
                <w:sz w:val="18"/>
                <w:szCs w:val="18"/>
              </w:rPr>
              <w:t>范</w:t>
              <w:tab/>
              <w:t>围</w:t>
            </w:r>
          </w:p>
        </w:tc>
        <w:tc>
          <w:tcPr>
            <w:tcW w:w="10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2" w:lineRule="auto"/>
              <w:ind w:left="242" w:right="151" w:hanging="89"/>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107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4" w:lineRule="auto"/>
              <w:ind w:left="21" w:right="132"/>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773"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95" w:lineRule="auto"/>
              <w:ind w:left="143" w:right="25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95" w:lineRule="auto"/>
              <w:ind w:left="146" w:right="167"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50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95" w:lineRule="auto"/>
              <w:ind w:left="9" w:right="119"/>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97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95" w:lineRule="auto"/>
              <w:ind w:left="151" w:right="26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44" w:lineRule="auto" w:before="94"/>
              <w:ind w:left="131" w:right="115"/>
              <w:jc w:val="both"/>
              <w:rPr>
                <w:rFonts w:ascii="宋体" w:hAnsi="宋体" w:cs="宋体" w:eastAsia="宋体" w:hint="default"/>
                <w:sz w:val="18"/>
                <w:szCs w:val="18"/>
              </w:rPr>
            </w:pPr>
            <w:r>
              <w:rPr>
                <w:rFonts w:ascii="宋体" w:hAnsi="宋体" w:cs="宋体" w:eastAsia="宋体" w:hint="default"/>
                <w:sz w:val="18"/>
                <w:szCs w:val="18"/>
              </w:rPr>
              <w:t>少数股东 权益用于 冲减少数 股东损益 的金额</w:t>
            </w:r>
          </w:p>
        </w:tc>
        <w:tc>
          <w:tcPr>
            <w:tcW w:w="1538" w:type="dxa"/>
            <w:tcBorders>
              <w:top w:val="nil" w:sz="6" w:space="0" w:color="auto"/>
              <w:left w:val="single" w:sz="6" w:space="0" w:color="000000"/>
              <w:bottom w:val="nil" w:sz="6" w:space="0" w:color="auto"/>
              <w:right w:val="nil" w:sz="6" w:space="0" w:color="auto"/>
            </w:tcBorders>
          </w:tcPr>
          <w:p>
            <w:pPr>
              <w:pStyle w:val="TableParagraph"/>
              <w:spacing w:line="210" w:lineRule="exact"/>
              <w:ind w:left="139" w:right="0"/>
              <w:jc w:val="both"/>
              <w:rPr>
                <w:rFonts w:ascii="宋体" w:hAnsi="宋体" w:cs="宋体" w:eastAsia="宋体" w:hint="default"/>
                <w:sz w:val="18"/>
                <w:szCs w:val="18"/>
              </w:rPr>
            </w:pPr>
            <w:r>
              <w:rPr>
                <w:rFonts w:ascii="宋体" w:hAnsi="宋体" w:cs="宋体" w:eastAsia="宋体" w:hint="default"/>
                <w:sz w:val="18"/>
                <w:szCs w:val="18"/>
              </w:rPr>
              <w:t>权益冲减子公司</w:t>
            </w:r>
          </w:p>
          <w:p>
            <w:pPr>
              <w:pStyle w:val="TableParagraph"/>
              <w:spacing w:line="244" w:lineRule="auto" w:before="4"/>
              <w:ind w:left="139" w:right="131"/>
              <w:jc w:val="both"/>
              <w:rPr>
                <w:rFonts w:ascii="宋体" w:hAnsi="宋体" w:cs="宋体" w:eastAsia="宋体" w:hint="default"/>
                <w:sz w:val="18"/>
                <w:szCs w:val="18"/>
              </w:rPr>
            </w:pPr>
            <w:r>
              <w:rPr>
                <w:rFonts w:ascii="宋体" w:hAnsi="宋体" w:cs="宋体" w:eastAsia="宋体" w:hint="default"/>
                <w:sz w:val="18"/>
                <w:szCs w:val="18"/>
              </w:rPr>
              <w:t>少数股东分担的 本期亏损超过少 数股东在该子公 司期初所有者权 益中所享有份额</w:t>
            </w:r>
          </w:p>
        </w:tc>
      </w:tr>
      <w:tr>
        <w:trPr>
          <w:trHeight w:val="327" w:hRule="exact"/>
        </w:trPr>
        <w:tc>
          <w:tcPr>
            <w:tcW w:w="1416" w:type="dxa"/>
            <w:tcBorders>
              <w:top w:val="nil" w:sz="6" w:space="0" w:color="auto"/>
              <w:left w:val="nil" w:sz="6" w:space="0" w:color="auto"/>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4"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2189" w:type="dxa"/>
            <w:tcBorders>
              <w:top w:val="nil" w:sz="6" w:space="0" w:color="auto"/>
              <w:left w:val="single" w:sz="6" w:space="0" w:color="000000"/>
              <w:bottom w:val="single" w:sz="6" w:space="0" w:color="000000"/>
              <w:right w:val="single" w:sz="6" w:space="0" w:color="000000"/>
            </w:tcBorders>
          </w:tcPr>
          <w:p>
            <w:pPr/>
          </w:p>
        </w:tc>
        <w:tc>
          <w:tcPr>
            <w:tcW w:w="1042" w:type="dxa"/>
            <w:tcBorders>
              <w:top w:val="nil" w:sz="6" w:space="0" w:color="auto"/>
              <w:left w:val="single" w:sz="6" w:space="0" w:color="000000"/>
              <w:bottom w:val="single" w:sz="6" w:space="0" w:color="000000"/>
              <w:right w:val="single" w:sz="6" w:space="0" w:color="000000"/>
            </w:tcBorders>
          </w:tcPr>
          <w:p>
            <w:pPr/>
          </w:p>
        </w:tc>
        <w:tc>
          <w:tcPr>
            <w:tcW w:w="1070" w:type="dxa"/>
            <w:tcBorders>
              <w:top w:val="nil" w:sz="6" w:space="0" w:color="auto"/>
              <w:left w:val="single" w:sz="6" w:space="0" w:color="000000"/>
              <w:bottom w:val="single" w:sz="6" w:space="0" w:color="000000"/>
              <w:right w:val="single" w:sz="6" w:space="0" w:color="000000"/>
            </w:tcBorders>
          </w:tcPr>
          <w:p>
            <w:pPr/>
          </w:p>
        </w:tc>
        <w:tc>
          <w:tcPr>
            <w:tcW w:w="773"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504" w:type="dxa"/>
            <w:tcBorders>
              <w:top w:val="nil" w:sz="6" w:space="0" w:color="auto"/>
              <w:left w:val="single" w:sz="6" w:space="0" w:color="000000"/>
              <w:bottom w:val="single" w:sz="6" w:space="0" w:color="000000"/>
              <w:right w:val="single" w:sz="6" w:space="0" w:color="000000"/>
            </w:tcBorders>
          </w:tcPr>
          <w:p>
            <w:pPr/>
          </w:p>
        </w:tc>
        <w:tc>
          <w:tcPr>
            <w:tcW w:w="972" w:type="dxa"/>
            <w:tcBorders>
              <w:top w:val="nil" w:sz="6" w:space="0" w:color="auto"/>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1538" w:type="dxa"/>
            <w:tcBorders>
              <w:top w:val="nil" w:sz="6" w:space="0" w:color="auto"/>
              <w:left w:val="single" w:sz="6" w:space="0" w:color="000000"/>
              <w:bottom w:val="single" w:sz="6" w:space="0" w:color="000000"/>
              <w:right w:val="nil" w:sz="6" w:space="0" w:color="auto"/>
            </w:tcBorders>
          </w:tcPr>
          <w:p>
            <w:pPr>
              <w:pStyle w:val="TableParagraph"/>
              <w:spacing w:line="209" w:lineRule="exact"/>
              <w:ind w:left="4" w:right="0"/>
              <w:jc w:val="center"/>
              <w:rPr>
                <w:rFonts w:ascii="宋体" w:hAnsi="宋体" w:cs="宋体" w:eastAsia="宋体" w:hint="default"/>
                <w:sz w:val="18"/>
                <w:szCs w:val="18"/>
              </w:rPr>
            </w:pPr>
            <w:r>
              <w:rPr>
                <w:rFonts w:ascii="宋体" w:hAnsi="宋体" w:cs="宋体" w:eastAsia="宋体" w:hint="default"/>
                <w:sz w:val="18"/>
                <w:szCs w:val="18"/>
              </w:rPr>
              <w:t>后的余额</w:t>
            </w:r>
          </w:p>
        </w:tc>
      </w:tr>
      <w:tr>
        <w:trPr>
          <w:trHeight w:val="377" w:hRule="exact"/>
        </w:trPr>
        <w:tc>
          <w:tcPr>
            <w:tcW w:w="1416" w:type="dxa"/>
            <w:tcBorders>
              <w:top w:val="single" w:sz="6" w:space="0" w:color="000000"/>
              <w:left w:val="nil" w:sz="6" w:space="0" w:color="auto"/>
              <w:bottom w:val="nil" w:sz="6" w:space="0" w:color="auto"/>
              <w:right w:val="single" w:sz="6" w:space="0" w:color="000000"/>
            </w:tcBorders>
          </w:tcPr>
          <w:p>
            <w:pPr/>
          </w:p>
        </w:tc>
        <w:tc>
          <w:tcPr>
            <w:tcW w:w="626" w:type="dxa"/>
            <w:tcBorders>
              <w:top w:val="single" w:sz="6" w:space="0" w:color="000000"/>
              <w:left w:val="single" w:sz="6" w:space="0" w:color="000000"/>
              <w:bottom w:val="nil" w:sz="6" w:space="0" w:color="auto"/>
              <w:right w:val="single" w:sz="6" w:space="0" w:color="000000"/>
            </w:tcBorders>
          </w:tcPr>
          <w:p>
            <w:pPr/>
          </w:p>
        </w:tc>
        <w:tc>
          <w:tcPr>
            <w:tcW w:w="624"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
        </w:tc>
        <w:tc>
          <w:tcPr>
            <w:tcW w:w="21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利用自有资金投资。加</w:t>
            </w:r>
          </w:p>
        </w:tc>
        <w:tc>
          <w:tcPr>
            <w:tcW w:w="1042" w:type="dxa"/>
            <w:tcBorders>
              <w:top w:val="single" w:sz="6" w:space="0" w:color="000000"/>
              <w:left w:val="single" w:sz="6" w:space="0" w:color="000000"/>
              <w:bottom w:val="nil" w:sz="6" w:space="0" w:color="auto"/>
              <w:right w:val="single" w:sz="6" w:space="0" w:color="000000"/>
            </w:tcBorders>
          </w:tcPr>
          <w:p>
            <w:pPr/>
          </w:p>
        </w:tc>
        <w:tc>
          <w:tcPr>
            <w:tcW w:w="1070" w:type="dxa"/>
            <w:tcBorders>
              <w:top w:val="single" w:sz="6" w:space="0" w:color="000000"/>
              <w:left w:val="single" w:sz="6" w:space="0" w:color="000000"/>
              <w:bottom w:val="nil" w:sz="6" w:space="0" w:color="auto"/>
              <w:right w:val="single" w:sz="6" w:space="0" w:color="000000"/>
            </w:tcBorders>
          </w:tcPr>
          <w:p>
            <w:pPr/>
          </w:p>
        </w:tc>
        <w:tc>
          <w:tcPr>
            <w:tcW w:w="773" w:type="dxa"/>
            <w:tcBorders>
              <w:top w:val="single" w:sz="6" w:space="0" w:color="000000"/>
              <w:left w:val="single" w:sz="6" w:space="0" w:color="000000"/>
              <w:bottom w:val="nil" w:sz="6" w:space="0" w:color="auto"/>
              <w:right w:val="single" w:sz="6" w:space="0" w:color="000000"/>
            </w:tcBorders>
          </w:tcPr>
          <w:p>
            <w:pPr/>
          </w:p>
        </w:tc>
        <w:tc>
          <w:tcPr>
            <w:tcW w:w="780" w:type="dxa"/>
            <w:tcBorders>
              <w:top w:val="single" w:sz="6" w:space="0" w:color="000000"/>
              <w:left w:val="single" w:sz="6" w:space="0" w:color="000000"/>
              <w:bottom w:val="nil" w:sz="6" w:space="0" w:color="auto"/>
              <w:right w:val="single" w:sz="6" w:space="0" w:color="000000"/>
            </w:tcBorders>
          </w:tcPr>
          <w:p>
            <w:pPr/>
          </w:p>
        </w:tc>
        <w:tc>
          <w:tcPr>
            <w:tcW w:w="504" w:type="dxa"/>
            <w:tcBorders>
              <w:top w:val="single" w:sz="6" w:space="0" w:color="000000"/>
              <w:left w:val="single" w:sz="6" w:space="0" w:color="000000"/>
              <w:bottom w:val="nil" w:sz="6" w:space="0" w:color="auto"/>
              <w:right w:val="single" w:sz="6" w:space="0" w:color="000000"/>
            </w:tcBorders>
          </w:tcPr>
          <w:p>
            <w:pPr/>
          </w:p>
        </w:tc>
        <w:tc>
          <w:tcPr>
            <w:tcW w:w="972" w:type="dxa"/>
            <w:tcBorders>
              <w:top w:val="single" w:sz="6" w:space="0" w:color="000000"/>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1538" w:type="dxa"/>
            <w:tcBorders>
              <w:top w:val="single" w:sz="6" w:space="0" w:color="000000"/>
              <w:left w:val="single" w:sz="6" w:space="0" w:color="000000"/>
              <w:bottom w:val="nil" w:sz="6" w:space="0" w:color="auto"/>
              <w:right w:val="nil" w:sz="6" w:space="0" w:color="auto"/>
            </w:tcBorders>
          </w:tcPr>
          <w:p>
            <w:pPr/>
          </w:p>
        </w:tc>
      </w:tr>
      <w:tr>
        <w:trPr>
          <w:trHeight w:val="535" w:hRule="exact"/>
        </w:trPr>
        <w:tc>
          <w:tcPr>
            <w:tcW w:w="1416" w:type="dxa"/>
            <w:tcBorders>
              <w:top w:val="nil" w:sz="6" w:space="0" w:color="auto"/>
              <w:left w:val="nil" w:sz="6" w:space="0" w:color="auto"/>
              <w:bottom w:val="nil" w:sz="6" w:space="0" w:color="auto"/>
              <w:right w:val="single" w:sz="6" w:space="0" w:color="000000"/>
            </w:tcBorders>
          </w:tcPr>
          <w:p>
            <w:pPr>
              <w:pStyle w:val="TableParagraph"/>
              <w:spacing w:line="264" w:lineRule="auto"/>
              <w:ind w:left="122" w:right="204"/>
              <w:jc w:val="left"/>
              <w:rPr>
                <w:rFonts w:ascii="宋体" w:hAnsi="宋体" w:cs="宋体" w:eastAsia="宋体" w:hint="default"/>
                <w:sz w:val="18"/>
                <w:szCs w:val="18"/>
              </w:rPr>
            </w:pPr>
            <w:r>
              <w:rPr>
                <w:rFonts w:ascii="宋体" w:hAnsi="宋体" w:cs="宋体" w:eastAsia="宋体" w:hint="default"/>
                <w:sz w:val="18"/>
                <w:szCs w:val="18"/>
              </w:rPr>
              <w:t>广州天利达实 业有限公司</w:t>
            </w:r>
          </w:p>
        </w:tc>
        <w:tc>
          <w:tcPr>
            <w:tcW w:w="62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79"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40" w:lineRule="auto" w:before="55"/>
              <w:ind w:left="7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4"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left="79"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left="227"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2200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189"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00" w:right="98"/>
              <w:jc w:val="left"/>
              <w:rPr>
                <w:rFonts w:ascii="宋体" w:hAnsi="宋体" w:cs="宋体" w:eastAsia="宋体" w:hint="default"/>
                <w:sz w:val="18"/>
                <w:szCs w:val="18"/>
              </w:rPr>
            </w:pPr>
            <w:r>
              <w:rPr>
                <w:rFonts w:ascii="宋体" w:hAnsi="宋体" w:cs="宋体" w:eastAsia="宋体" w:hint="default"/>
                <w:sz w:val="18"/>
                <w:szCs w:val="18"/>
              </w:rPr>
              <w:t>工、生产：建筑材料，装 饰材料（另设分支机构经</w:t>
            </w:r>
          </w:p>
        </w:tc>
        <w:tc>
          <w:tcPr>
            <w:tcW w:w="1042"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3" w:right="0"/>
              <w:jc w:val="center"/>
              <w:rPr>
                <w:rFonts w:ascii="宋体" w:hAnsi="宋体" w:cs="宋体" w:eastAsia="宋体" w:hint="default"/>
                <w:sz w:val="18"/>
                <w:szCs w:val="18"/>
              </w:rPr>
            </w:pPr>
            <w:r>
              <w:rPr>
                <w:rFonts w:ascii="宋体"/>
                <w:sz w:val="18"/>
              </w:rPr>
              <w:t>2198.83</w:t>
            </w:r>
          </w:p>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1070"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2198.83</w:t>
            </w:r>
            <w:r>
              <w:rPr>
                <w:rFonts w:ascii="宋体" w:hAnsi="宋体" w:cs="宋体" w:eastAsia="宋体" w:hint="default"/>
                <w:spacing w:val="-51"/>
                <w:sz w:val="18"/>
                <w:szCs w:val="18"/>
              </w:rPr>
              <w:t> </w:t>
            </w:r>
            <w:r>
              <w:rPr>
                <w:rFonts w:ascii="宋体" w:hAnsi="宋体" w:cs="宋体" w:eastAsia="宋体" w:hint="default"/>
                <w:sz w:val="18"/>
                <w:szCs w:val="18"/>
              </w:rPr>
              <w:t>万</w:t>
            </w:r>
          </w:p>
        </w:tc>
        <w:tc>
          <w:tcPr>
            <w:tcW w:w="77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100%</w:t>
            </w:r>
          </w:p>
        </w:tc>
        <w:tc>
          <w:tcPr>
            <w:tcW w:w="780"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100%</w:t>
            </w:r>
          </w:p>
        </w:tc>
        <w:tc>
          <w:tcPr>
            <w:tcW w:w="504"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113"/>
              <w:jc w:val="center"/>
              <w:rPr>
                <w:rFonts w:ascii="宋体" w:hAnsi="宋体" w:cs="宋体" w:eastAsia="宋体" w:hint="default"/>
                <w:sz w:val="18"/>
                <w:szCs w:val="18"/>
              </w:rPr>
            </w:pPr>
            <w:r>
              <w:rPr>
                <w:rFonts w:ascii="宋体" w:hAnsi="宋体" w:cs="宋体" w:eastAsia="宋体" w:hint="default"/>
                <w:sz w:val="18"/>
                <w:szCs w:val="18"/>
              </w:rPr>
              <w:t>－</w:t>
            </w: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8" w:type="dxa"/>
            <w:tcBorders>
              <w:top w:val="nil" w:sz="6" w:space="0" w:color="auto"/>
              <w:left w:val="single" w:sz="6" w:space="0" w:color="000000"/>
              <w:bottom w:val="nil" w:sz="6" w:space="0" w:color="auto"/>
              <w:right w:val="nil" w:sz="6" w:space="0" w:color="auto"/>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5" w:hRule="exact"/>
        </w:trPr>
        <w:tc>
          <w:tcPr>
            <w:tcW w:w="1416" w:type="dxa"/>
            <w:tcBorders>
              <w:top w:val="nil" w:sz="6" w:space="0" w:color="auto"/>
              <w:left w:val="nil" w:sz="6" w:space="0" w:color="auto"/>
              <w:bottom w:val="single" w:sz="6" w:space="0" w:color="000000"/>
              <w:right w:val="single" w:sz="6" w:space="0" w:color="000000"/>
            </w:tcBorders>
          </w:tcPr>
          <w:p>
            <w:pPr/>
          </w:p>
        </w:tc>
        <w:tc>
          <w:tcPr>
            <w:tcW w:w="626" w:type="dxa"/>
            <w:tcBorders>
              <w:top w:val="nil" w:sz="6" w:space="0" w:color="auto"/>
              <w:left w:val="single" w:sz="6" w:space="0" w:color="000000"/>
              <w:bottom w:val="single" w:sz="6" w:space="0" w:color="000000"/>
              <w:right w:val="single" w:sz="6" w:space="0" w:color="000000"/>
            </w:tcBorders>
          </w:tcPr>
          <w:p>
            <w:pPr/>
          </w:p>
        </w:tc>
        <w:tc>
          <w:tcPr>
            <w:tcW w:w="624"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2189" w:type="dxa"/>
            <w:tcBorders>
              <w:top w:val="nil" w:sz="6" w:space="0" w:color="auto"/>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营</w:t>
            </w:r>
            <w:r>
              <w:rPr>
                <w:rFonts w:ascii="宋体" w:hAnsi="宋体" w:cs="宋体" w:eastAsia="宋体" w:hint="default"/>
                <w:spacing w:val="-92"/>
                <w:sz w:val="18"/>
                <w:szCs w:val="18"/>
              </w:rPr>
              <w:t>）</w:t>
            </w:r>
            <w:r>
              <w:rPr>
                <w:rFonts w:ascii="宋体" w:hAnsi="宋体" w:cs="宋体" w:eastAsia="宋体" w:hint="default"/>
                <w:sz w:val="18"/>
                <w:szCs w:val="18"/>
              </w:rPr>
              <w:t>。销售：建筑材料</w:t>
            </w:r>
          </w:p>
        </w:tc>
        <w:tc>
          <w:tcPr>
            <w:tcW w:w="1042" w:type="dxa"/>
            <w:tcBorders>
              <w:top w:val="nil" w:sz="6" w:space="0" w:color="auto"/>
              <w:left w:val="single" w:sz="6" w:space="0" w:color="000000"/>
              <w:bottom w:val="single" w:sz="6" w:space="0" w:color="000000"/>
              <w:right w:val="single" w:sz="6" w:space="0" w:color="000000"/>
            </w:tcBorders>
          </w:tcPr>
          <w:p>
            <w:pPr/>
          </w:p>
        </w:tc>
        <w:tc>
          <w:tcPr>
            <w:tcW w:w="1070" w:type="dxa"/>
            <w:tcBorders>
              <w:top w:val="nil" w:sz="6" w:space="0" w:color="auto"/>
              <w:left w:val="single" w:sz="6" w:space="0" w:color="000000"/>
              <w:bottom w:val="single" w:sz="6" w:space="0" w:color="000000"/>
              <w:right w:val="single" w:sz="6" w:space="0" w:color="000000"/>
            </w:tcBorders>
          </w:tcPr>
          <w:p>
            <w:pPr/>
          </w:p>
        </w:tc>
        <w:tc>
          <w:tcPr>
            <w:tcW w:w="773" w:type="dxa"/>
            <w:tcBorders>
              <w:top w:val="nil" w:sz="6" w:space="0" w:color="auto"/>
              <w:left w:val="single" w:sz="6" w:space="0" w:color="000000"/>
              <w:bottom w:val="single" w:sz="6" w:space="0" w:color="000000"/>
              <w:right w:val="single" w:sz="6" w:space="0" w:color="000000"/>
            </w:tcBorders>
          </w:tcPr>
          <w:p>
            <w:pPr/>
          </w:p>
        </w:tc>
        <w:tc>
          <w:tcPr>
            <w:tcW w:w="780" w:type="dxa"/>
            <w:tcBorders>
              <w:top w:val="nil" w:sz="6" w:space="0" w:color="auto"/>
              <w:left w:val="single" w:sz="6" w:space="0" w:color="000000"/>
              <w:bottom w:val="single" w:sz="6" w:space="0" w:color="000000"/>
              <w:right w:val="single" w:sz="6" w:space="0" w:color="000000"/>
            </w:tcBorders>
          </w:tcPr>
          <w:p>
            <w:pPr/>
          </w:p>
        </w:tc>
        <w:tc>
          <w:tcPr>
            <w:tcW w:w="504" w:type="dxa"/>
            <w:tcBorders>
              <w:top w:val="nil" w:sz="6" w:space="0" w:color="auto"/>
              <w:left w:val="single" w:sz="6" w:space="0" w:color="000000"/>
              <w:bottom w:val="single" w:sz="6" w:space="0" w:color="000000"/>
              <w:right w:val="single" w:sz="6" w:space="0" w:color="000000"/>
            </w:tcBorders>
          </w:tcPr>
          <w:p>
            <w:pPr/>
          </w:p>
        </w:tc>
        <w:tc>
          <w:tcPr>
            <w:tcW w:w="972" w:type="dxa"/>
            <w:tcBorders>
              <w:top w:val="nil" w:sz="6" w:space="0" w:color="auto"/>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1538" w:type="dxa"/>
            <w:tcBorders>
              <w:top w:val="nil" w:sz="6" w:space="0" w:color="auto"/>
              <w:left w:val="single" w:sz="6" w:space="0" w:color="000000"/>
              <w:bottom w:val="single" w:sz="6" w:space="0" w:color="000000"/>
              <w:right w:val="nil" w:sz="6" w:space="0" w:color="auto"/>
            </w:tcBorders>
          </w:tcPr>
          <w:p>
            <w:pPr/>
          </w:p>
        </w:tc>
      </w:tr>
      <w:tr>
        <w:trPr>
          <w:trHeight w:val="1037"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66" w:lineRule="auto"/>
              <w:ind w:left="122" w:right="204"/>
              <w:jc w:val="left"/>
              <w:rPr>
                <w:rFonts w:ascii="宋体" w:hAnsi="宋体" w:cs="宋体" w:eastAsia="宋体" w:hint="default"/>
                <w:sz w:val="18"/>
                <w:szCs w:val="18"/>
              </w:rPr>
            </w:pPr>
            <w:r>
              <w:rPr>
                <w:rFonts w:ascii="宋体" w:hAnsi="宋体" w:cs="宋体" w:eastAsia="宋体" w:hint="default"/>
                <w:sz w:val="18"/>
                <w:szCs w:val="18"/>
              </w:rPr>
              <w:t>广州为众物业 管理有限公司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95" w:lineRule="auto"/>
              <w:ind w:left="79" w:right="170"/>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79"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95" w:lineRule="auto"/>
              <w:ind w:left="227" w:right="230"/>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94"/>
              <w:ind w:left="100" w:right="98"/>
              <w:jc w:val="left"/>
              <w:rPr>
                <w:rFonts w:ascii="宋体" w:hAnsi="宋体" w:cs="宋体" w:eastAsia="宋体" w:hint="default"/>
                <w:sz w:val="18"/>
                <w:szCs w:val="18"/>
              </w:rPr>
            </w:pPr>
            <w:r>
              <w:rPr>
                <w:rFonts w:ascii="宋体" w:hAnsi="宋体" w:cs="宋体" w:eastAsia="宋体" w:hint="default"/>
                <w:sz w:val="18"/>
                <w:szCs w:val="18"/>
              </w:rPr>
              <w:t>物业管理，房屋租赁，停 车场管理，室内水电安 装，室内装饰，清洁服务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311"/>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100%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sz w:val="18"/>
              </w:rPr>
              <w:t>100%</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13"/>
              <w:jc w:val="center"/>
              <w:rPr>
                <w:rFonts w:ascii="宋体" w:hAnsi="宋体" w:cs="宋体" w:eastAsia="宋体" w:hint="default"/>
                <w:sz w:val="18"/>
                <w:szCs w:val="18"/>
              </w:rPr>
            </w:pPr>
            <w:r>
              <w:rPr>
                <w:rFonts w:ascii="宋体"/>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3" w:right="0"/>
              <w:jc w:val="center"/>
              <w:rPr>
                <w:rFonts w:ascii="宋体" w:hAnsi="宋体" w:cs="宋体" w:eastAsia="宋体" w:hint="default"/>
                <w:sz w:val="18"/>
                <w:szCs w:val="18"/>
              </w:rPr>
            </w:pPr>
            <w:r>
              <w:rPr>
                <w:rFonts w:ascii="宋体"/>
                <w:sz w:val="18"/>
              </w:rPr>
              <w:t>-</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 w:right="0"/>
              <w:jc w:val="center"/>
              <w:rPr>
                <w:rFonts w:ascii="宋体" w:hAnsi="宋体" w:cs="宋体" w:eastAsia="宋体" w:hint="default"/>
                <w:sz w:val="18"/>
                <w:szCs w:val="18"/>
              </w:rPr>
            </w:pPr>
            <w:r>
              <w:rPr>
                <w:rFonts w:ascii="宋体"/>
                <w:sz w:val="18"/>
              </w:rPr>
              <w:t>-</w:t>
            </w:r>
          </w:p>
        </w:tc>
      </w:tr>
      <w:tr>
        <w:trPr>
          <w:trHeight w:val="1037"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64" w:lineRule="auto"/>
              <w:ind w:left="122" w:right="204"/>
              <w:jc w:val="left"/>
              <w:rPr>
                <w:rFonts w:ascii="宋体" w:hAnsi="宋体" w:cs="宋体" w:eastAsia="宋体" w:hint="default"/>
                <w:sz w:val="18"/>
                <w:szCs w:val="18"/>
              </w:rPr>
            </w:pPr>
            <w:r>
              <w:rPr>
                <w:rFonts w:ascii="宋体" w:hAnsi="宋体" w:cs="宋体" w:eastAsia="宋体" w:hint="default"/>
                <w:sz w:val="18"/>
                <w:szCs w:val="18"/>
              </w:rPr>
              <w:t>广州润龙房地 产有限公司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95" w:lineRule="auto"/>
              <w:ind w:left="79" w:right="170"/>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79"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95" w:lineRule="auto"/>
              <w:ind w:left="227" w:right="230"/>
              <w:jc w:val="left"/>
              <w:rPr>
                <w:rFonts w:ascii="宋体" w:hAnsi="宋体" w:cs="宋体" w:eastAsia="宋体" w:hint="default"/>
                <w:sz w:val="18"/>
                <w:szCs w:val="18"/>
              </w:rPr>
            </w:pPr>
            <w:r>
              <w:rPr>
                <w:rFonts w:ascii="宋体" w:hAnsi="宋体" w:cs="宋体" w:eastAsia="宋体" w:hint="default"/>
                <w:sz w:val="18"/>
                <w:szCs w:val="18"/>
              </w:rPr>
              <w:t>房产 销售</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94"/>
              <w:ind w:left="100" w:right="98"/>
              <w:jc w:val="left"/>
              <w:rPr>
                <w:rFonts w:ascii="宋体" w:hAnsi="宋体" w:cs="宋体" w:eastAsia="宋体" w:hint="default"/>
                <w:sz w:val="18"/>
                <w:szCs w:val="18"/>
              </w:rPr>
            </w:pPr>
            <w:r>
              <w:rPr>
                <w:rFonts w:ascii="宋体" w:hAnsi="宋体" w:cs="宋体" w:eastAsia="宋体" w:hint="default"/>
                <w:sz w:val="18"/>
                <w:szCs w:val="18"/>
              </w:rPr>
              <w:t>利用自有资金投资房地 产。销售：建筑材料。房 地产信息咨询服务。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8257.59</w:t>
            </w:r>
          </w:p>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8257.59</w:t>
            </w:r>
            <w:r>
              <w:rPr>
                <w:rFonts w:ascii="宋体" w:hAnsi="宋体" w:cs="宋体" w:eastAsia="宋体" w:hint="default"/>
                <w:spacing w:val="-51"/>
                <w:sz w:val="18"/>
                <w:szCs w:val="18"/>
              </w:rPr>
              <w:t> </w:t>
            </w:r>
            <w:r>
              <w:rPr>
                <w:rFonts w:ascii="宋体" w:hAnsi="宋体" w:cs="宋体" w:eastAsia="宋体" w:hint="default"/>
                <w:sz w:val="18"/>
                <w:szCs w:val="18"/>
              </w:rPr>
              <w:t>万</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100%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sz w:val="18"/>
              </w:rPr>
              <w:t>100%</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13"/>
              <w:jc w:val="center"/>
              <w:rPr>
                <w:rFonts w:ascii="宋体" w:hAnsi="宋体" w:cs="宋体" w:eastAsia="宋体" w:hint="default"/>
                <w:sz w:val="18"/>
                <w:szCs w:val="18"/>
              </w:rPr>
            </w:pPr>
            <w:r>
              <w:rPr>
                <w:rFonts w:ascii="宋体"/>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3" w:right="0"/>
              <w:jc w:val="center"/>
              <w:rPr>
                <w:rFonts w:ascii="宋体" w:hAnsi="宋体" w:cs="宋体" w:eastAsia="宋体" w:hint="default"/>
                <w:sz w:val="18"/>
                <w:szCs w:val="18"/>
              </w:rPr>
            </w:pPr>
            <w:r>
              <w:rPr>
                <w:rFonts w:ascii="宋体"/>
                <w:sz w:val="18"/>
              </w:rPr>
              <w:t>-</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 w:right="0"/>
              <w:jc w:val="center"/>
              <w:rPr>
                <w:rFonts w:ascii="宋体" w:hAnsi="宋体" w:cs="宋体" w:eastAsia="宋体" w:hint="default"/>
                <w:sz w:val="18"/>
                <w:szCs w:val="18"/>
              </w:rPr>
            </w:pPr>
            <w:r>
              <w:rPr>
                <w:rFonts w:ascii="宋体"/>
                <w:sz w:val="18"/>
              </w:rPr>
              <w:t>-</w:t>
            </w:r>
          </w:p>
        </w:tc>
      </w:tr>
      <w:tr>
        <w:trPr>
          <w:trHeight w:val="802"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6"/>
              <w:ind w:left="122" w:right="204"/>
              <w:jc w:val="left"/>
              <w:rPr>
                <w:rFonts w:ascii="宋体" w:hAnsi="宋体" w:cs="宋体" w:eastAsia="宋体" w:hint="default"/>
                <w:sz w:val="18"/>
                <w:szCs w:val="18"/>
              </w:rPr>
            </w:pPr>
            <w:r>
              <w:rPr>
                <w:rFonts w:ascii="宋体" w:hAnsi="宋体" w:cs="宋体" w:eastAsia="宋体" w:hint="default"/>
                <w:sz w:val="18"/>
                <w:szCs w:val="18"/>
              </w:rPr>
              <w:t>广西凤山天伦 矿业有限公司</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11"/>
              <w:ind w:left="79" w:right="168" w:firstLine="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11"/>
              <w:ind w:left="79" w:right="167" w:firstLine="2"/>
              <w:jc w:val="left"/>
              <w:rPr>
                <w:rFonts w:ascii="宋体" w:hAnsi="宋体" w:cs="宋体" w:eastAsia="宋体" w:hint="default"/>
                <w:sz w:val="18"/>
                <w:szCs w:val="18"/>
              </w:rPr>
            </w:pPr>
            <w:r>
              <w:rPr>
                <w:rFonts w:ascii="宋体" w:hAnsi="宋体" w:cs="宋体" w:eastAsia="宋体" w:hint="default"/>
                <w:sz w:val="18"/>
                <w:szCs w:val="18"/>
              </w:rPr>
              <w:t>广西 凤山</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11"/>
              <w:ind w:left="227" w:right="139" w:hanging="89"/>
              <w:jc w:val="left"/>
              <w:rPr>
                <w:rFonts w:ascii="宋体" w:hAnsi="宋体" w:cs="宋体" w:eastAsia="宋体" w:hint="default"/>
                <w:sz w:val="18"/>
                <w:szCs w:val="18"/>
              </w:rPr>
            </w:pPr>
            <w:r>
              <w:rPr>
                <w:rFonts w:ascii="宋体" w:hAnsi="宋体" w:cs="宋体" w:eastAsia="宋体" w:hint="default"/>
                <w:sz w:val="18"/>
                <w:szCs w:val="18"/>
              </w:rPr>
              <w:t>矿产品 生产</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矿山勘探、矿产品购销</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3"/>
              <w:jc w:val="center"/>
              <w:rPr>
                <w:rFonts w:ascii="宋体" w:hAnsi="宋体" w:cs="宋体" w:eastAsia="宋体" w:hint="default"/>
                <w:sz w:val="18"/>
                <w:szCs w:val="18"/>
              </w:rPr>
            </w:pPr>
            <w:r>
              <w:rPr>
                <w:rFonts w:ascii="宋体" w:hAnsi="宋体" w:cs="宋体" w:eastAsia="宋体" w:hint="default"/>
                <w:sz w:val="18"/>
                <w:szCs w:val="18"/>
              </w:rPr>
              <w:t>-41.18</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2.30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r>
      <w:tr>
        <w:trPr>
          <w:trHeight w:val="854" w:hRule="exact"/>
        </w:trPr>
        <w:tc>
          <w:tcPr>
            <w:tcW w:w="1416" w:type="dxa"/>
            <w:tcBorders>
              <w:top w:val="single" w:sz="6" w:space="0" w:color="000000"/>
              <w:left w:val="nil" w:sz="6" w:space="0" w:color="auto"/>
              <w:bottom w:val="single" w:sz="12" w:space="0" w:color="000000"/>
              <w:right w:val="single" w:sz="6" w:space="0" w:color="000000"/>
            </w:tcBorders>
          </w:tcPr>
          <w:p>
            <w:pPr>
              <w:pStyle w:val="TableParagraph"/>
              <w:spacing w:line="266" w:lineRule="auto"/>
              <w:ind w:left="122" w:right="98"/>
              <w:jc w:val="left"/>
              <w:rPr>
                <w:rFonts w:ascii="宋体" w:hAnsi="宋体" w:cs="宋体" w:eastAsia="宋体" w:hint="default"/>
                <w:sz w:val="18"/>
                <w:szCs w:val="18"/>
              </w:rPr>
            </w:pPr>
            <w:r>
              <w:rPr>
                <w:rFonts w:ascii="宋体" w:hAnsi="宋体" w:cs="宋体" w:eastAsia="宋体" w:hint="default"/>
                <w:sz w:val="18"/>
                <w:szCs w:val="18"/>
              </w:rPr>
              <w:t>天和创展（北 </w:t>
            </w:r>
            <w:r>
              <w:rPr>
                <w:rFonts w:ascii="宋体" w:hAnsi="宋体" w:cs="宋体" w:eastAsia="宋体" w:hint="default"/>
                <w:spacing w:val="-11"/>
                <w:sz w:val="18"/>
                <w:szCs w:val="18"/>
              </w:rPr>
              <w:t>京）投资有限公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26" w:type="dxa"/>
            <w:tcBorders>
              <w:top w:val="single" w:sz="6" w:space="0" w:color="000000"/>
              <w:left w:val="single" w:sz="6" w:space="0" w:color="000000"/>
              <w:bottom w:val="single" w:sz="12" w:space="0" w:color="000000"/>
              <w:right w:val="single" w:sz="6" w:space="0" w:color="000000"/>
            </w:tcBorders>
          </w:tcPr>
          <w:p>
            <w:pPr>
              <w:pStyle w:val="TableParagraph"/>
              <w:spacing w:line="242" w:lineRule="auto" w:before="130"/>
              <w:ind w:left="79" w:right="168" w:firstLine="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35" w:type="dxa"/>
            <w:tcBorders>
              <w:top w:val="single" w:sz="6" w:space="0" w:color="000000"/>
              <w:left w:val="single" w:sz="6" w:space="0" w:color="000000"/>
              <w:bottom w:val="single" w:sz="12" w:space="0" w:color="000000"/>
              <w:right w:val="single" w:sz="6" w:space="0" w:color="000000"/>
            </w:tcBorders>
          </w:tcPr>
          <w:p>
            <w:pPr>
              <w:pStyle w:val="TableParagraph"/>
              <w:spacing w:line="242" w:lineRule="auto" w:before="130"/>
              <w:ind w:left="316" w:right="139" w:hanging="178"/>
              <w:jc w:val="left"/>
              <w:rPr>
                <w:rFonts w:ascii="宋体" w:hAnsi="宋体" w:cs="宋体" w:eastAsia="宋体" w:hint="default"/>
                <w:sz w:val="18"/>
                <w:szCs w:val="18"/>
              </w:rPr>
            </w:pPr>
            <w:r>
              <w:rPr>
                <w:rFonts w:ascii="宋体" w:hAnsi="宋体" w:cs="宋体" w:eastAsia="宋体" w:hint="default"/>
                <w:sz w:val="18"/>
                <w:szCs w:val="18"/>
              </w:rPr>
              <w:t>项目投 资</w:t>
            </w:r>
          </w:p>
        </w:tc>
        <w:tc>
          <w:tcPr>
            <w:tcW w:w="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189" w:type="dxa"/>
            <w:tcBorders>
              <w:top w:val="single" w:sz="6" w:space="0" w:color="000000"/>
              <w:left w:val="single" w:sz="6" w:space="0" w:color="000000"/>
              <w:bottom w:val="single" w:sz="12" w:space="0" w:color="000000"/>
              <w:right w:val="single" w:sz="6" w:space="0" w:color="000000"/>
            </w:tcBorders>
          </w:tcPr>
          <w:p>
            <w:pPr>
              <w:pStyle w:val="TableParagraph"/>
              <w:spacing w:line="264" w:lineRule="auto" w:before="128"/>
              <w:ind w:left="100" w:right="98"/>
              <w:jc w:val="left"/>
              <w:rPr>
                <w:rFonts w:ascii="宋体" w:hAnsi="宋体" w:cs="宋体" w:eastAsia="宋体" w:hint="default"/>
                <w:sz w:val="18"/>
                <w:szCs w:val="18"/>
              </w:rPr>
            </w:pPr>
            <w:r>
              <w:rPr>
                <w:rFonts w:ascii="宋体" w:hAnsi="宋体" w:cs="宋体" w:eastAsia="宋体" w:hint="default"/>
                <w:sz w:val="18"/>
                <w:szCs w:val="18"/>
              </w:rPr>
              <w:t>项目投资；投资咨询；投 资管理；资产管理</w:t>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726</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726</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7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72.60%</w:t>
            </w:r>
          </w:p>
        </w:tc>
        <w:tc>
          <w:tcPr>
            <w:tcW w:w="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72.60%</w:t>
            </w:r>
          </w:p>
        </w:tc>
        <w:tc>
          <w:tcPr>
            <w:tcW w:w="5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274</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宋体" w:hAnsi="宋体" w:cs="宋体" w:eastAsia="宋体" w:hint="default"/>
                <w:sz w:val="18"/>
                <w:szCs w:val="18"/>
              </w:rPr>
            </w:pPr>
            <w:r>
              <w:rPr>
                <w:rFonts w:ascii="宋体"/>
                <w:sz w:val="18"/>
              </w:rPr>
              <w:t>-</w:t>
            </w:r>
          </w:p>
        </w:tc>
        <w:tc>
          <w:tcPr>
            <w:tcW w:w="15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929" w:footer="840" w:top="1140" w:bottom="102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1"/>
        <w:ind w:left="243" w:right="0"/>
        <w:jc w:val="both"/>
      </w:pPr>
      <w:r>
        <w:rPr/>
        <w:t>2、报告期合并报表范围的变更情况</w:t>
      </w:r>
    </w:p>
    <w:p>
      <w:pPr>
        <w:spacing w:line="240" w:lineRule="auto" w:before="8"/>
        <w:rPr>
          <w:rFonts w:ascii="宋体" w:hAnsi="宋体" w:cs="宋体" w:eastAsia="宋体" w:hint="default"/>
          <w:sz w:val="25"/>
          <w:szCs w:val="25"/>
        </w:rPr>
      </w:pPr>
    </w:p>
    <w:p>
      <w:pPr>
        <w:pStyle w:val="BodyText"/>
        <w:spacing w:line="400" w:lineRule="auto"/>
        <w:ind w:left="243" w:right="1691" w:firstLine="420"/>
        <w:jc w:val="both"/>
      </w:pPr>
      <w:r>
        <w:rPr/>
        <w:t>①子公司广州天利达实业有限公司与中天凯旋（北京）投资有限公司于</w:t>
      </w:r>
      <w:r>
        <w:rPr>
          <w:spacing w:val="-46"/>
        </w:rPr>
        <w:t> </w:t>
      </w:r>
      <w:r>
        <w:rPr/>
        <w:t>2011</w:t>
      </w:r>
      <w:r>
        <w:rPr>
          <w:spacing w:val="-45"/>
        </w:rPr>
        <w:t> </w:t>
      </w:r>
      <w:r>
        <w:rPr/>
        <w:t>年</w:t>
      </w:r>
      <w:r>
        <w:rPr>
          <w:spacing w:val="-43"/>
        </w:rPr>
        <w:t> </w:t>
      </w:r>
      <w:r>
        <w:rPr/>
        <w:t>12</w:t>
      </w:r>
      <w:r>
        <w:rPr>
          <w:spacing w:val="-43"/>
        </w:rPr>
        <w:t> </w:t>
      </w:r>
      <w:r>
        <w:rPr/>
        <w:t>月</w:t>
      </w:r>
      <w:r>
        <w:rPr>
          <w:spacing w:val="-43"/>
        </w:rPr>
        <w:t> </w:t>
      </w:r>
      <w:r>
        <w:rPr/>
        <w:t>21</w:t>
      </w:r>
      <w:r>
        <w:rPr>
          <w:w w:val="100"/>
        </w:rPr>
        <w:t> </w:t>
      </w:r>
      <w:r>
        <w:rPr/>
        <w:t>日共同出资组建天和创展（北京）投资有限公司。天和创展（北京）投资有限公司注册资本</w:t>
      </w:r>
      <w:r>
        <w:rPr>
          <w:spacing w:val="-8"/>
        </w:rPr>
        <w:t> </w:t>
      </w:r>
      <w:r>
        <w:rPr>
          <w:spacing w:val="-8"/>
        </w:rPr>
      </w:r>
      <w:r>
        <w:rPr/>
        <w:t>为</w:t>
      </w:r>
      <w:r>
        <w:rPr>
          <w:spacing w:val="-44"/>
        </w:rPr>
        <w:t> </w:t>
      </w:r>
      <w:r>
        <w:rPr/>
        <w:t>1000</w:t>
      </w:r>
      <w:r>
        <w:rPr>
          <w:spacing w:val="-46"/>
        </w:rPr>
        <w:t> </w:t>
      </w:r>
      <w:r>
        <w:rPr/>
        <w:t>万元，公司现金出资</w:t>
      </w:r>
      <w:r>
        <w:rPr>
          <w:spacing w:val="-44"/>
        </w:rPr>
        <w:t> </w:t>
      </w:r>
      <w:r>
        <w:rPr/>
        <w:t>726</w:t>
      </w:r>
      <w:r>
        <w:rPr>
          <w:spacing w:val="-44"/>
        </w:rPr>
        <w:t> </w:t>
      </w:r>
      <w:r>
        <w:rPr/>
        <w:t>万元，占注册资本的</w:t>
      </w:r>
      <w:r>
        <w:rPr>
          <w:spacing w:val="-44"/>
        </w:rPr>
        <w:t> </w:t>
      </w:r>
      <w:r>
        <w:rPr/>
        <w:t>72.6%；中天凯旋（北京）投资有限公</w:t>
      </w:r>
      <w:r>
        <w:rPr>
          <w:w w:val="100"/>
        </w:rPr>
        <w:t> </w:t>
      </w:r>
      <w:r>
        <w:rPr/>
        <w:t>司现金出资</w:t>
      </w:r>
      <w:r>
        <w:rPr>
          <w:spacing w:val="-53"/>
        </w:rPr>
        <w:t> </w:t>
      </w:r>
      <w:r>
        <w:rPr/>
        <w:t>274</w:t>
      </w:r>
      <w:r>
        <w:rPr>
          <w:spacing w:val="-55"/>
        </w:rPr>
        <w:t> </w:t>
      </w:r>
      <w:r>
        <w:rPr/>
        <w:t>万元，占注册资本</w:t>
      </w:r>
      <w:r>
        <w:rPr>
          <w:spacing w:val="-53"/>
        </w:rPr>
        <w:t> </w:t>
      </w:r>
      <w:r>
        <w:rPr/>
        <w:t>27.40%。</w:t>
      </w:r>
    </w:p>
    <w:p>
      <w:pPr>
        <w:spacing w:line="240" w:lineRule="auto" w:before="5"/>
        <w:rPr>
          <w:rFonts w:ascii="宋体" w:hAnsi="宋体" w:cs="宋体" w:eastAsia="宋体" w:hint="default"/>
          <w:sz w:val="15"/>
          <w:szCs w:val="15"/>
        </w:rPr>
      </w:pPr>
    </w:p>
    <w:p>
      <w:pPr>
        <w:pStyle w:val="BodyText"/>
        <w:spacing w:line="400" w:lineRule="auto"/>
        <w:ind w:left="243" w:right="1691"/>
        <w:jc w:val="both"/>
      </w:pPr>
      <w:r>
        <w:rPr/>
        <w:t>②2011</w:t>
      </w:r>
      <w:r>
        <w:rPr>
          <w:spacing w:val="-40"/>
        </w:rPr>
        <w:t> </w:t>
      </w:r>
      <w:r>
        <w:rPr/>
        <w:t>年</w:t>
      </w:r>
      <w:r>
        <w:rPr>
          <w:spacing w:val="-43"/>
        </w:rPr>
        <w:t> </w:t>
      </w:r>
      <w:r>
        <w:rPr/>
        <w:t>3</w:t>
      </w:r>
      <w:r>
        <w:rPr>
          <w:spacing w:val="-40"/>
        </w:rPr>
        <w:t> </w:t>
      </w:r>
      <w:r>
        <w:rPr/>
        <w:t>月</w:t>
      </w:r>
      <w:r>
        <w:rPr>
          <w:spacing w:val="-40"/>
        </w:rPr>
        <w:t> </w:t>
      </w:r>
      <w:r>
        <w:rPr/>
        <w:t>24</w:t>
      </w:r>
      <w:r>
        <w:rPr>
          <w:spacing w:val="-40"/>
        </w:rPr>
        <w:t> </w:t>
      </w:r>
      <w:r>
        <w:rPr>
          <w:spacing w:val="-4"/>
        </w:rPr>
        <w:t>日，子公司广州润龙房地产有限公司与河南飞航投资有限公司和郑州是益源</w:t>
      </w:r>
      <w:r>
        <w:rPr>
          <w:spacing w:val="-100"/>
        </w:rPr>
        <w:t> </w:t>
      </w:r>
      <w:r>
        <w:rPr>
          <w:spacing w:val="-100"/>
        </w:rPr>
      </w:r>
      <w:r>
        <w:rPr>
          <w:spacing w:val="-4"/>
        </w:rPr>
        <w:t>成商贸有限公司签订股权转让协议，将持有的河南新景致房地产有限公司 </w:t>
      </w:r>
      <w:r>
        <w:rPr/>
        <w:t>70%的股权转让予河</w:t>
      </w:r>
      <w:r>
        <w:rPr>
          <w:spacing w:val="-94"/>
        </w:rPr>
        <w:t> </w:t>
      </w:r>
      <w:r>
        <w:rPr>
          <w:spacing w:val="-94"/>
        </w:rPr>
      </w:r>
      <w:r>
        <w:rPr/>
        <w:t>南飞航投资有限公司和郑州是益源成商贸有限公司，转让价款共计</w:t>
      </w:r>
      <w:r>
        <w:rPr>
          <w:spacing w:val="-56"/>
        </w:rPr>
        <w:t> </w:t>
      </w:r>
      <w:r>
        <w:rPr/>
        <w:t>10,400</w:t>
      </w:r>
      <w:r>
        <w:rPr>
          <w:spacing w:val="-58"/>
        </w:rPr>
        <w:t> </w:t>
      </w:r>
      <w:r>
        <w:rPr/>
        <w:t>万元。广州润龙房</w:t>
      </w:r>
    </w:p>
    <w:p>
      <w:pPr>
        <w:pStyle w:val="BodyText"/>
        <w:spacing w:line="240" w:lineRule="auto" w:before="45"/>
        <w:ind w:left="243" w:right="0"/>
        <w:jc w:val="both"/>
      </w:pPr>
      <w:r>
        <w:rPr/>
        <w:t>地产有限公司于</w:t>
      </w:r>
      <w:r>
        <w:rPr>
          <w:spacing w:val="-46"/>
        </w:rPr>
        <w:t> </w:t>
      </w:r>
      <w:r>
        <w:rPr/>
        <w:t>2011</w:t>
      </w:r>
      <w:r>
        <w:rPr>
          <w:spacing w:val="-46"/>
        </w:rPr>
        <w:t> </w:t>
      </w:r>
      <w:r>
        <w:rPr/>
        <w:t>年</w:t>
      </w:r>
      <w:r>
        <w:rPr>
          <w:spacing w:val="-46"/>
        </w:rPr>
        <w:t> </w:t>
      </w:r>
      <w:r>
        <w:rPr/>
        <w:t>7</w:t>
      </w:r>
      <w:r>
        <w:rPr>
          <w:spacing w:val="-49"/>
        </w:rPr>
        <w:t> </w:t>
      </w:r>
      <w:r>
        <w:rPr/>
        <w:t>月</w:t>
      </w:r>
      <w:r>
        <w:rPr>
          <w:spacing w:val="-46"/>
        </w:rPr>
        <w:t> </w:t>
      </w:r>
      <w:r>
        <w:rPr/>
        <w:t>12</w:t>
      </w:r>
      <w:r>
        <w:rPr>
          <w:spacing w:val="-49"/>
        </w:rPr>
        <w:t> </w:t>
      </w:r>
      <w:r>
        <w:rPr/>
        <w:t>日收齐全部股权转让款。河南新景致房地产有限公司自</w:t>
      </w:r>
      <w:r>
        <w:rPr>
          <w:spacing w:val="-46"/>
        </w:rPr>
        <w:t> </w:t>
      </w:r>
      <w:r>
        <w:rPr/>
        <w:t>2011</w:t>
      </w:r>
    </w:p>
    <w:p>
      <w:pPr>
        <w:spacing w:line="240" w:lineRule="auto" w:before="0"/>
        <w:rPr>
          <w:rFonts w:ascii="宋体" w:hAnsi="宋体" w:cs="宋体" w:eastAsia="宋体" w:hint="default"/>
          <w:sz w:val="14"/>
          <w:szCs w:val="14"/>
        </w:rPr>
      </w:pPr>
    </w:p>
    <w:p>
      <w:pPr>
        <w:pStyle w:val="BodyText"/>
        <w:spacing w:line="240" w:lineRule="auto"/>
        <w:ind w:left="243" w:right="0"/>
        <w:jc w:val="both"/>
      </w:pPr>
      <w:r>
        <w:rPr/>
        <w:t>年</w:t>
      </w:r>
      <w:r>
        <w:rPr>
          <w:spacing w:val="-54"/>
        </w:rPr>
        <w:t> </w:t>
      </w:r>
      <w:r>
        <w:rPr/>
        <w:t>7</w:t>
      </w:r>
      <w:r>
        <w:rPr>
          <w:spacing w:val="-54"/>
        </w:rPr>
        <w:t> </w:t>
      </w:r>
      <w:r>
        <w:rPr/>
        <w:t>月起不再纳入合并范围。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243" w:right="0"/>
        <w:jc w:val="both"/>
      </w:pPr>
      <w:r>
        <w:rPr/>
        <w:t>3、报告期新纳入合并范围的主体和报告期不再纳入合并范围的主体</w:t>
      </w:r>
    </w:p>
    <w:p>
      <w:pPr>
        <w:spacing w:line="240" w:lineRule="auto" w:before="8"/>
        <w:rPr>
          <w:rFonts w:ascii="宋体" w:hAnsi="宋体" w:cs="宋体" w:eastAsia="宋体" w:hint="default"/>
          <w:sz w:val="25"/>
          <w:szCs w:val="25"/>
        </w:rPr>
      </w:pPr>
    </w:p>
    <w:p>
      <w:pPr>
        <w:pStyle w:val="BodyText"/>
        <w:spacing w:line="240" w:lineRule="auto"/>
        <w:ind w:left="243" w:right="0"/>
        <w:jc w:val="both"/>
      </w:pPr>
      <w:r>
        <w:rPr/>
        <w:pict>
          <v:shape style="position:absolute;margin-left:103.08847pt;margin-top:14.841949pt;width:392.95pt;height:64.3pt;mso-position-horizontal-relative:page;mso-position-vertical-relative:paragraph;z-index:-554560;rotation:315" type="#_x0000_t136" fillcolor="#e0e0e0" stroked="f">
            <o:extrusion v:ext="view" autorotationcenter="t"/>
            <v:textpath style="font-family:&amp;quot;Arial&amp;quot;;font-size:64pt;v-text-kern:t;mso-text-shadow:auto" string="UnRegistered"/>
            <w10:wrap type="none"/>
          </v:shape>
        </w:pict>
      </w:r>
      <w:r>
        <w:rPr/>
        <w:t>（1）本期新纳入合并范围的子公司</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384"/>
        <w:gridCol w:w="1274"/>
        <w:gridCol w:w="2268"/>
        <w:gridCol w:w="2436"/>
      </w:tblGrid>
      <w:tr>
        <w:trPr>
          <w:trHeight w:val="480" w:hRule="exact"/>
        </w:trPr>
        <w:tc>
          <w:tcPr>
            <w:tcW w:w="3384" w:type="dxa"/>
            <w:tcBorders>
              <w:top w:val="single" w:sz="12" w:space="0" w:color="000000"/>
              <w:left w:val="nil" w:sz="6" w:space="0" w:color="auto"/>
              <w:bottom w:val="single" w:sz="4" w:space="0" w:color="000000"/>
              <w:right w:val="single" w:sz="4" w:space="0" w:color="000000"/>
            </w:tcBorders>
          </w:tcPr>
          <w:p>
            <w:pPr>
              <w:pStyle w:val="TableParagraph"/>
              <w:tabs>
                <w:tab w:pos="2013" w:val="left" w:leader="none"/>
              </w:tabs>
              <w:spacing w:line="240" w:lineRule="auto" w:before="124"/>
              <w:ind w:left="436"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211" w:right="0"/>
              <w:jc w:val="left"/>
              <w:rPr>
                <w:rFonts w:ascii="宋体" w:hAnsi="宋体" w:cs="宋体" w:eastAsia="宋体" w:hint="default"/>
                <w:sz w:val="21"/>
                <w:szCs w:val="21"/>
              </w:rPr>
            </w:pPr>
            <w:r>
              <w:rPr>
                <w:rFonts w:ascii="宋体" w:hAnsi="宋体" w:cs="宋体" w:eastAsia="宋体" w:hint="default"/>
                <w:sz w:val="21"/>
                <w:szCs w:val="21"/>
              </w:rPr>
              <w:t>会计期间</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hAnsi="宋体" w:cs="宋体" w:eastAsia="宋体" w:hint="default"/>
                <w:spacing w:val="-1"/>
                <w:sz w:val="21"/>
                <w:szCs w:val="21"/>
              </w:rPr>
              <w:t>合并当期期末净资产</w:t>
            </w:r>
          </w:p>
        </w:tc>
        <w:tc>
          <w:tcPr>
            <w:tcW w:w="24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合并当期期末的净利润</w:t>
            </w:r>
          </w:p>
        </w:tc>
      </w:tr>
      <w:tr>
        <w:trPr>
          <w:trHeight w:val="480" w:hRule="exact"/>
        </w:trPr>
        <w:tc>
          <w:tcPr>
            <w:tcW w:w="33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天和创展（北京）投资有限公司</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1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10,000,000.00</w:t>
            </w:r>
          </w:p>
        </w:tc>
        <w:tc>
          <w:tcPr>
            <w:tcW w:w="24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6"/>
          <w:szCs w:val="6"/>
        </w:rPr>
      </w:pPr>
    </w:p>
    <w:p>
      <w:pPr>
        <w:pStyle w:val="BodyText"/>
        <w:spacing w:line="240" w:lineRule="auto" w:before="36"/>
        <w:ind w:left="243" w:right="1354"/>
        <w:jc w:val="left"/>
      </w:pPr>
      <w:r>
        <w:rPr/>
        <w:t>（2）本期不再纳入合并范围的子公司</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722"/>
        <w:gridCol w:w="2638"/>
        <w:gridCol w:w="2693"/>
      </w:tblGrid>
      <w:tr>
        <w:trPr>
          <w:trHeight w:val="480" w:hRule="exact"/>
        </w:trPr>
        <w:tc>
          <w:tcPr>
            <w:tcW w:w="3722" w:type="dxa"/>
            <w:tcBorders>
              <w:top w:val="single" w:sz="12" w:space="0" w:color="000000"/>
              <w:left w:val="nil" w:sz="6" w:space="0" w:color="auto"/>
              <w:bottom w:val="single" w:sz="4" w:space="0" w:color="000000"/>
              <w:right w:val="single" w:sz="4" w:space="0" w:color="000000"/>
            </w:tcBorders>
          </w:tcPr>
          <w:p>
            <w:pPr>
              <w:pStyle w:val="TableParagraph"/>
              <w:tabs>
                <w:tab w:pos="2013" w:val="left" w:leader="none"/>
              </w:tabs>
              <w:spacing w:line="240" w:lineRule="auto" w:before="124"/>
              <w:ind w:left="436"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hAnsi="宋体" w:cs="宋体" w:eastAsia="宋体" w:hint="default"/>
                <w:spacing w:val="-1"/>
                <w:sz w:val="21"/>
                <w:szCs w:val="21"/>
              </w:rPr>
              <w:t>处置日净资产</w:t>
            </w:r>
          </w:p>
        </w:tc>
        <w:tc>
          <w:tcPr>
            <w:tcW w:w="26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宋体" w:hAnsi="宋体" w:cs="宋体" w:eastAsia="宋体" w:hint="default"/>
                <w:sz w:val="21"/>
                <w:szCs w:val="21"/>
              </w:rPr>
            </w:pPr>
            <w:r>
              <w:rPr>
                <w:rFonts w:ascii="宋体" w:hAnsi="宋体" w:cs="宋体" w:eastAsia="宋体" w:hint="default"/>
                <w:spacing w:val="-1"/>
                <w:sz w:val="21"/>
                <w:szCs w:val="21"/>
              </w:rPr>
              <w:t>期初至处置日净利润</w:t>
            </w:r>
          </w:p>
        </w:tc>
      </w:tr>
      <w:tr>
        <w:trPr>
          <w:trHeight w:val="482" w:hRule="exact"/>
        </w:trPr>
        <w:tc>
          <w:tcPr>
            <w:tcW w:w="37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河南新景致房地产有限公司</w:t>
            </w:r>
          </w:p>
        </w:tc>
        <w:tc>
          <w:tcPr>
            <w:tcW w:w="2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116,875,525.39</w:t>
            </w:r>
          </w:p>
        </w:tc>
        <w:tc>
          <w:tcPr>
            <w:tcW w:w="26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-661,180.10</w:t>
            </w:r>
          </w:p>
        </w:tc>
      </w:tr>
    </w:tbl>
    <w:p>
      <w:pPr>
        <w:spacing w:line="240" w:lineRule="auto" w:before="4"/>
        <w:rPr>
          <w:rFonts w:ascii="宋体" w:hAnsi="宋体" w:cs="宋体" w:eastAsia="宋体" w:hint="default"/>
          <w:sz w:val="29"/>
          <w:szCs w:val="29"/>
        </w:rPr>
      </w:pPr>
    </w:p>
    <w:p>
      <w:pPr>
        <w:pStyle w:val="BodyText"/>
        <w:spacing w:line="532" w:lineRule="auto" w:before="36"/>
        <w:ind w:left="663" w:right="4414" w:hanging="420"/>
        <w:jc w:val="left"/>
      </w:pPr>
      <w:r>
        <w:rPr/>
        <w:t>4、本期发生的同一控制下企业合并</w:t>
      </w:r>
      <w:r>
        <w:rPr>
          <w:spacing w:val="-93"/>
        </w:rPr>
        <w:t> </w:t>
      </w:r>
      <w:r>
        <w:rPr>
          <w:spacing w:val="-93"/>
        </w:rPr>
      </w:r>
      <w:r>
        <w:rPr>
          <w:spacing w:val="-2"/>
        </w:rPr>
        <w:t>报告期内无发生同一控制下企业合并。</w:t>
      </w:r>
    </w:p>
    <w:p>
      <w:pPr>
        <w:spacing w:line="240" w:lineRule="auto" w:before="5"/>
        <w:rPr>
          <w:rFonts w:ascii="宋体" w:hAnsi="宋体" w:cs="宋体" w:eastAsia="宋体" w:hint="default"/>
          <w:sz w:val="17"/>
          <w:szCs w:val="17"/>
        </w:rPr>
      </w:pPr>
    </w:p>
    <w:p>
      <w:pPr>
        <w:pStyle w:val="BodyText"/>
        <w:spacing w:line="532" w:lineRule="auto"/>
        <w:ind w:left="663" w:right="4414" w:hanging="420"/>
        <w:jc w:val="left"/>
      </w:pPr>
      <w:r>
        <w:rPr/>
        <w:t>5、本期发生的非同一控制下企业合并</w:t>
      </w:r>
      <w:r>
        <w:rPr>
          <w:spacing w:val="-92"/>
        </w:rPr>
        <w:t> </w:t>
      </w:r>
      <w:r>
        <w:rPr>
          <w:spacing w:val="-92"/>
        </w:rPr>
      </w:r>
      <w:r>
        <w:rPr>
          <w:spacing w:val="-2"/>
        </w:rPr>
        <w:t>报告期内无发生非同一控制下企业合并。</w:t>
      </w:r>
    </w:p>
    <w:p>
      <w:pPr>
        <w:spacing w:line="240" w:lineRule="auto" w:before="5"/>
        <w:rPr>
          <w:rFonts w:ascii="宋体" w:hAnsi="宋体" w:cs="宋体" w:eastAsia="宋体" w:hint="default"/>
          <w:sz w:val="17"/>
          <w:szCs w:val="17"/>
        </w:rPr>
      </w:pPr>
    </w:p>
    <w:p>
      <w:pPr>
        <w:pStyle w:val="BodyText"/>
        <w:spacing w:line="532" w:lineRule="auto"/>
        <w:ind w:left="663" w:right="4414" w:hanging="420"/>
        <w:jc w:val="left"/>
      </w:pPr>
      <w:r>
        <w:rPr/>
        <w:t>6、未纳入合并范围的子公司情况</w:t>
      </w:r>
      <w:r>
        <w:rPr>
          <w:spacing w:val="-94"/>
        </w:rPr>
        <w:t> </w:t>
      </w:r>
      <w:r>
        <w:rPr>
          <w:spacing w:val="-94"/>
        </w:rPr>
      </w:r>
      <w:r>
        <w:rPr>
          <w:spacing w:val="-2"/>
        </w:rPr>
        <w:t>报告期内无未纳入合并范围的子公司。</w:t>
      </w:r>
    </w:p>
    <w:p>
      <w:pPr>
        <w:spacing w:after="0" w:line="532" w:lineRule="auto"/>
        <w:jc w:val="left"/>
        <w:sectPr>
          <w:headerReference w:type="default" r:id="rId22"/>
          <w:footerReference w:type="default" r:id="rId23"/>
          <w:pgSz w:w="11910" w:h="16840"/>
          <w:pgMar w:header="929" w:footer="981" w:top="1180" w:bottom="1180" w:left="1460" w:right="0"/>
          <w:pgNumType w:start="55"/>
        </w:sectPr>
      </w:pPr>
    </w:p>
    <w:p>
      <w:pPr>
        <w:spacing w:line="240" w:lineRule="auto" w:before="1"/>
        <w:rPr>
          <w:rFonts w:ascii="宋体" w:hAnsi="宋体" w:cs="宋体" w:eastAsia="宋体" w:hint="default"/>
          <w:sz w:val="29"/>
          <w:szCs w:val="29"/>
        </w:rPr>
      </w:pPr>
    </w:p>
    <w:p>
      <w:pPr>
        <w:pStyle w:val="Heading3"/>
        <w:spacing w:line="240" w:lineRule="auto" w:before="26"/>
        <w:ind w:left="243" w:right="1354"/>
        <w:jc w:val="left"/>
      </w:pPr>
      <w:r>
        <w:rPr/>
        <w:t>五、合并财务报表主要项目注释</w:t>
      </w:r>
    </w:p>
    <w:p>
      <w:pPr>
        <w:spacing w:line="240" w:lineRule="auto" w:before="5"/>
        <w:rPr>
          <w:rFonts w:ascii="宋体" w:hAnsi="宋体" w:cs="宋体" w:eastAsia="宋体" w:hint="default"/>
          <w:sz w:val="28"/>
          <w:szCs w:val="28"/>
        </w:rPr>
      </w:pPr>
    </w:p>
    <w:p>
      <w:pPr>
        <w:pStyle w:val="BodyText"/>
        <w:spacing w:line="240" w:lineRule="auto"/>
        <w:ind w:left="243" w:right="1354"/>
        <w:jc w:val="left"/>
      </w:pPr>
      <w:r>
        <w:rPr/>
        <w:t>1、货币资金</w:t>
      </w:r>
    </w:p>
    <w:p>
      <w:pPr>
        <w:spacing w:line="240" w:lineRule="auto" w:before="5"/>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565"/>
        <w:gridCol w:w="1109"/>
        <w:gridCol w:w="850"/>
        <w:gridCol w:w="1754"/>
        <w:gridCol w:w="1145"/>
        <w:gridCol w:w="1001"/>
        <w:gridCol w:w="1819"/>
      </w:tblGrid>
      <w:tr>
        <w:trPr>
          <w:trHeight w:val="511" w:hRule="exact"/>
        </w:trPr>
        <w:tc>
          <w:tcPr>
            <w:tcW w:w="1565"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1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2011.12.31</w:t>
            </w:r>
          </w:p>
        </w:tc>
        <w:tc>
          <w:tcPr>
            <w:tcW w:w="396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2010.12.31</w:t>
            </w:r>
          </w:p>
        </w:tc>
      </w:tr>
      <w:tr>
        <w:trPr>
          <w:trHeight w:val="506" w:hRule="exact"/>
        </w:trPr>
        <w:tc>
          <w:tcPr>
            <w:tcW w:w="1565" w:type="dxa"/>
            <w:vMerge/>
            <w:tcBorders>
              <w:left w:val="nil" w:sz="6" w:space="0" w:color="auto"/>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折算率</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4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43"/>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75"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37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04"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29,032.83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345,893.71</w:t>
            </w:r>
          </w:p>
        </w:tc>
      </w:tr>
      <w:tr>
        <w:trPr>
          <w:trHeight w:val="504"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258,932,810.18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77,025,992.35</w:t>
            </w:r>
          </w:p>
        </w:tc>
      </w:tr>
      <w:tr>
        <w:trPr>
          <w:trHeight w:val="506"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8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14" w:hRule="exact"/>
        </w:trPr>
        <w:tc>
          <w:tcPr>
            <w:tcW w:w="1565" w:type="dxa"/>
            <w:tcBorders>
              <w:top w:val="single" w:sz="6" w:space="0" w:color="000000"/>
              <w:left w:val="nil" w:sz="6" w:space="0" w:color="auto"/>
              <w:bottom w:val="single" w:sz="12" w:space="0" w:color="000000"/>
              <w:right w:val="single" w:sz="6" w:space="0" w:color="000000"/>
            </w:tcBorders>
          </w:tcPr>
          <w:p>
            <w:pPr>
              <w:pStyle w:val="TableParagraph"/>
              <w:tabs>
                <w:tab w:pos="64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7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258,961,843.01</w:t>
            </w: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8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77,371,886.06</w:t>
            </w:r>
          </w:p>
        </w:tc>
      </w:tr>
    </w:tbl>
    <w:p>
      <w:pPr>
        <w:pStyle w:val="BodyText"/>
        <w:spacing w:line="367" w:lineRule="auto" w:before="90"/>
        <w:ind w:left="243" w:right="1354" w:firstLine="420"/>
        <w:jc w:val="left"/>
      </w:pPr>
      <w:r>
        <w:rPr>
          <w:spacing w:val="-2"/>
        </w:rPr>
        <w:t>（1）截至报告期末，公司银行存款中限制用途的资金为矿山环境治理恢复保证金和安全</w:t>
      </w:r>
      <w:r>
        <w:rPr>
          <w:w w:val="100"/>
        </w:rPr>
        <w:t> </w:t>
      </w:r>
      <w:r>
        <w:rPr/>
        <w:t>生产风险抵押金，金额为</w:t>
      </w:r>
      <w:r>
        <w:rPr>
          <w:spacing w:val="-56"/>
        </w:rPr>
        <w:t> </w:t>
      </w:r>
      <w:r>
        <w:rPr/>
        <w:t>9,144,288.95</w:t>
      </w:r>
      <w:r>
        <w:rPr>
          <w:spacing w:val="-56"/>
        </w:rPr>
        <w:t> </w:t>
      </w:r>
      <w:r>
        <w:rPr/>
        <w:t>元,情况详见附注五、16</w:t>
      </w:r>
      <w:r>
        <w:rPr>
          <w:spacing w:val="-56"/>
        </w:rPr>
        <w:t> </w:t>
      </w:r>
      <w:r>
        <w:rPr/>
        <w:t>所有权受到限制的资产。</w:t>
      </w:r>
    </w:p>
    <w:p>
      <w:pPr>
        <w:pStyle w:val="BodyText"/>
        <w:spacing w:line="367" w:lineRule="auto" w:before="34"/>
        <w:ind w:left="243" w:right="1354" w:firstLine="420"/>
        <w:jc w:val="left"/>
      </w:pPr>
      <w:r>
        <w:rPr>
          <w:spacing w:val="-2"/>
        </w:rPr>
        <w:t>（2）截至报告期末，除上述限制性资金外，公司货币资金期末余额中无抵押、冻结等对</w:t>
      </w:r>
      <w:r>
        <w:rPr>
          <w:w w:val="100"/>
        </w:rPr>
        <w:t> </w:t>
      </w:r>
      <w:r>
        <w:rPr/>
        <w:t>变现有限制或存放在境外、或有潜在回收风险的款项。</w:t>
      </w:r>
    </w:p>
    <w:p>
      <w:pPr>
        <w:spacing w:line="240" w:lineRule="auto" w:before="0"/>
        <w:rPr>
          <w:rFonts w:ascii="宋体" w:hAnsi="宋体" w:cs="宋体" w:eastAsia="宋体" w:hint="default"/>
          <w:sz w:val="20"/>
          <w:szCs w:val="20"/>
        </w:rPr>
      </w:pPr>
    </w:p>
    <w:p>
      <w:pPr>
        <w:pStyle w:val="BodyText"/>
        <w:spacing w:line="240" w:lineRule="auto" w:before="149"/>
        <w:ind w:left="243" w:right="1354"/>
        <w:jc w:val="left"/>
      </w:pPr>
      <w:r>
        <w:rPr/>
        <w:pict>
          <v:shape style="position:absolute;margin-left:103.08847pt;margin-top:3.211962pt;width:392.95pt;height:64.3pt;mso-position-horizontal-relative:page;mso-position-vertical-relative:paragraph;z-index:-554440;rotation:315" type="#_x0000_t136" fillcolor="#e0e0e0" stroked="f">
            <o:extrusion v:ext="view" autorotationcenter="t"/>
            <v:textpath style="font-family:&amp;quot;Arial&amp;quot;;font-size:64pt;v-text-kern:t;mso-text-shadow:auto" string="UnRegistered"/>
            <w10:wrap type="none"/>
          </v:shape>
        </w:pict>
      </w:r>
      <w:r>
        <w:rPr/>
        <w:t>2、交易性金融资产</w:t>
      </w:r>
    </w:p>
    <w:p>
      <w:pPr>
        <w:spacing w:line="240" w:lineRule="auto" w:before="2"/>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734"/>
        <w:gridCol w:w="1500"/>
        <w:gridCol w:w="1500"/>
      </w:tblGrid>
      <w:tr>
        <w:trPr>
          <w:trHeight w:val="703" w:hRule="exact"/>
        </w:trPr>
        <w:tc>
          <w:tcPr>
            <w:tcW w:w="57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67" w:lineRule="exact" w:before="45"/>
              <w:ind w:right="0"/>
              <w:jc w:val="center"/>
              <w:rPr>
                <w:rFonts w:ascii="宋体" w:hAnsi="宋体" w:cs="宋体" w:eastAsia="宋体" w:hint="default"/>
                <w:sz w:val="21"/>
                <w:szCs w:val="21"/>
              </w:rPr>
            </w:pPr>
            <w:r>
              <w:rPr>
                <w:rFonts w:ascii="宋体"/>
                <w:sz w:val="21"/>
              </w:rPr>
              <w:t>2011.12.31</w:t>
            </w:r>
          </w:p>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500" w:type="dxa"/>
            <w:tcBorders>
              <w:top w:val="single" w:sz="12" w:space="0" w:color="000000"/>
              <w:left w:val="single" w:sz="6" w:space="0" w:color="000000"/>
              <w:bottom w:val="single" w:sz="6" w:space="0" w:color="000000"/>
              <w:right w:val="nil" w:sz="6" w:space="0" w:color="auto"/>
            </w:tcBorders>
          </w:tcPr>
          <w:p>
            <w:pPr>
              <w:pStyle w:val="TableParagraph"/>
              <w:spacing w:line="267" w:lineRule="exact" w:before="45"/>
              <w:ind w:right="5"/>
              <w:jc w:val="center"/>
              <w:rPr>
                <w:rFonts w:ascii="宋体" w:hAnsi="宋体" w:cs="宋体" w:eastAsia="宋体" w:hint="default"/>
                <w:sz w:val="21"/>
                <w:szCs w:val="21"/>
              </w:rPr>
            </w:pPr>
            <w:r>
              <w:rPr>
                <w:rFonts w:ascii="宋体"/>
                <w:sz w:val="21"/>
              </w:rPr>
              <w:t>2010.12.31</w:t>
            </w:r>
          </w:p>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415"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15"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15"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3.指定为以公允价值计量且其变动计入当期损益的金融资产</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4,479,166.67</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15"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15"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5.套期工具</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13" w:hRule="exact"/>
        </w:trPr>
        <w:tc>
          <w:tcPr>
            <w:tcW w:w="5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6.其他</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25" w:hRule="exact"/>
        </w:trPr>
        <w:tc>
          <w:tcPr>
            <w:tcW w:w="57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spacing w:val="-1"/>
                <w:sz w:val="21"/>
              </w:rPr>
              <w:t>4,479,166.67</w:t>
            </w:r>
          </w:p>
        </w:tc>
        <w:tc>
          <w:tcPr>
            <w:tcW w:w="15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4"/>
          <w:szCs w:val="14"/>
        </w:rPr>
      </w:pPr>
    </w:p>
    <w:p>
      <w:pPr>
        <w:pStyle w:val="BodyText"/>
        <w:spacing w:line="240" w:lineRule="auto" w:before="36"/>
        <w:ind w:left="440" w:right="1354"/>
        <w:jc w:val="left"/>
      </w:pPr>
      <w:r>
        <w:rPr/>
        <w:t>截至报告期末，本公司不存在变现有限制的交易性金融资产。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43" w:right="1354"/>
        <w:jc w:val="left"/>
      </w:pPr>
      <w:r>
        <w:rPr/>
        <w:t>3、应收账款</w:t>
      </w:r>
    </w:p>
    <w:p>
      <w:pPr>
        <w:spacing w:line="240" w:lineRule="auto" w:before="8"/>
        <w:rPr>
          <w:rFonts w:ascii="宋体" w:hAnsi="宋体" w:cs="宋体" w:eastAsia="宋体" w:hint="default"/>
          <w:sz w:val="25"/>
          <w:szCs w:val="25"/>
        </w:rPr>
      </w:pPr>
    </w:p>
    <w:p>
      <w:pPr>
        <w:pStyle w:val="BodyText"/>
        <w:spacing w:line="240" w:lineRule="auto"/>
        <w:ind w:left="243" w:right="1354"/>
        <w:jc w:val="left"/>
      </w:pPr>
      <w:r>
        <w:rPr/>
        <w:t>（1）应收账款按类别列示如下：</w:t>
      </w:r>
    </w:p>
    <w:p>
      <w:pPr>
        <w:spacing w:line="240" w:lineRule="auto" w:before="8"/>
        <w:rPr>
          <w:rFonts w:ascii="宋体" w:hAnsi="宋体" w:cs="宋体" w:eastAsia="宋体" w:hint="default"/>
          <w:sz w:val="16"/>
          <w:szCs w:val="16"/>
        </w:rPr>
      </w:pPr>
    </w:p>
    <w:p>
      <w:pPr>
        <w:spacing w:line="520" w:lineRule="exact"/>
        <w:ind w:left="128"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47.15pt;height:26.05pt;mso-position-horizontal-relative:char;mso-position-vertical-relative:line" coordorigin="0,0" coordsize="8943,521">
            <v:group style="position:absolute;left:14;top:14;width:2784;height:2" coordorigin="14,14" coordsize="2784,2">
              <v:shape style="position:absolute;left:14;top:14;width:2784;height:2" coordorigin="14,14" coordsize="2784,0" path="m14,14l2798,14e" filled="false" stroked="true" strokeweight="1.44pt" strokecolor="#000000">
                <v:path arrowok="t"/>
              </v:shape>
            </v:group>
            <v:group style="position:absolute;left:2798;top:14;width:29;height:2" coordorigin="2798,14" coordsize="29,2">
              <v:shape style="position:absolute;left:2798;top:14;width:29;height:2" coordorigin="2798,14" coordsize="29,0" path="m2798,14l2827,14e" filled="false" stroked="true" strokeweight="1.44pt" strokecolor="#000000">
                <v:path arrowok="t"/>
              </v:shape>
            </v:group>
            <v:group style="position:absolute;left:2827;top:14;width:6101;height:2" coordorigin="2827,14" coordsize="6101,2">
              <v:shape style="position:absolute;left:2827;top:14;width:6101;height:2" coordorigin="2827,14" coordsize="6101,0" path="m2827,14l8928,14e" filled="false" stroked="true" strokeweight="1.44pt" strokecolor="#000000">
                <v:path arrowok="t"/>
              </v:shape>
            </v:group>
            <v:group style="position:absolute;left:14;top:506;width:2784;height:2" coordorigin="14,506" coordsize="2784,2">
              <v:shape style="position:absolute;left:14;top:506;width:2784;height:2" coordorigin="14,506" coordsize="2784,0" path="m14,506l2798,506e" filled="false" stroked="true" strokeweight="1.44pt" strokecolor="#000000">
                <v:path arrowok="t"/>
              </v:shape>
            </v:group>
            <v:group style="position:absolute;left:2806;top:29;width:2;height:464" coordorigin="2806,29" coordsize="2,464">
              <v:shape style="position:absolute;left:2806;top:29;width:2;height:464" coordorigin="2806,29" coordsize="0,464" path="m2806,29l2806,492e" filled="false" stroked="true" strokeweight=".72pt" strokecolor="#000000">
                <v:path arrowok="t"/>
              </v:shape>
            </v:group>
            <v:group style="position:absolute;left:2798;top:506;width:29;height:2" coordorigin="2798,506" coordsize="29,2">
              <v:shape style="position:absolute;left:2798;top:506;width:29;height:2" coordorigin="2798,506" coordsize="29,0" path="m2798,506l2827,506e" filled="false" stroked="true" strokeweight="1.44pt" strokecolor="#000000">
                <v:path arrowok="t"/>
              </v:shape>
            </v:group>
            <v:group style="position:absolute;left:2827;top:506;width:6101;height:2" coordorigin="2827,506" coordsize="6101,2">
              <v:shape style="position:absolute;left:2827;top:506;width:6101;height:2" coordorigin="2827,506" coordsize="6101,0" path="m2827,506l8928,506e" filled="false" stroked="true" strokeweight="1.44pt" strokecolor="#000000">
                <v:path arrowok="t"/>
              </v:shape>
              <v:shape style="position:absolute;left:828;top:217;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类</w:t>
                      </w:r>
                    </w:p>
                  </w:txbxContent>
                </v:textbox>
                <w10:wrap type="none"/>
              </v:shape>
              <v:shape style="position:absolute;left:1774;top:217;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别</w:t>
                      </w:r>
                    </w:p>
                  </w:txbxContent>
                </v:textbox>
                <w10:wrap type="none"/>
              </v:shape>
              <v:shape style="position:absolute;left:5342;top:217;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2011.12.31</w:t>
                      </w:r>
                    </w:p>
                  </w:txbxContent>
                </v:textbox>
                <w10:wrap type="none"/>
              </v:shape>
            </v:group>
          </v:group>
        </w:pict>
      </w:r>
      <w:r>
        <w:rPr>
          <w:rFonts w:ascii="宋体" w:hAnsi="宋体" w:cs="宋体" w:eastAsia="宋体" w:hint="default"/>
          <w:position w:val="-9"/>
          <w:sz w:val="20"/>
          <w:szCs w:val="20"/>
        </w:rPr>
      </w:r>
    </w:p>
    <w:p>
      <w:pPr>
        <w:spacing w:after="0" w:line="520" w:lineRule="exact"/>
        <w:rPr>
          <w:rFonts w:ascii="宋体" w:hAnsi="宋体" w:cs="宋体" w:eastAsia="宋体" w:hint="default"/>
          <w:sz w:val="20"/>
          <w:szCs w:val="20"/>
        </w:rPr>
        <w:sectPr>
          <w:pgSz w:w="11910" w:h="16840"/>
          <w:pgMar w:header="929" w:footer="981" w:top="1180" w:bottom="1180" w:left="1460" w:right="0"/>
        </w:sectPr>
      </w:pPr>
    </w:p>
    <w:p>
      <w:pPr>
        <w:spacing w:line="240" w:lineRule="auto" w:before="8"/>
        <w:rPr>
          <w:rFonts w:ascii="宋体" w:hAnsi="宋体" w:cs="宋体" w:eastAsia="宋体" w:hint="default"/>
          <w:sz w:val="24"/>
          <w:szCs w:val="24"/>
        </w:rPr>
      </w:pPr>
    </w:p>
    <w:tbl>
      <w:tblPr>
        <w:tblW w:w="0" w:type="auto"/>
        <w:jc w:val="left"/>
        <w:tblInd w:w="266" w:type="dxa"/>
        <w:tblLayout w:type="fixed"/>
        <w:tblCellMar>
          <w:top w:w="0" w:type="dxa"/>
          <w:left w:w="0" w:type="dxa"/>
          <w:bottom w:w="0" w:type="dxa"/>
          <w:right w:w="0" w:type="dxa"/>
        </w:tblCellMar>
        <w:tblLook w:val="01E0"/>
      </w:tblPr>
      <w:tblGrid>
        <w:gridCol w:w="2813"/>
        <w:gridCol w:w="1699"/>
        <w:gridCol w:w="1368"/>
        <w:gridCol w:w="1610"/>
        <w:gridCol w:w="1452"/>
      </w:tblGrid>
      <w:tr>
        <w:trPr>
          <w:trHeight w:val="533" w:hRule="exact"/>
        </w:trPr>
        <w:tc>
          <w:tcPr>
            <w:tcW w:w="2813" w:type="dxa"/>
            <w:vMerge w:val="restart"/>
            <w:tcBorders>
              <w:top w:val="single" w:sz="12" w:space="0" w:color="000000"/>
              <w:left w:val="nil" w:sz="6" w:space="0" w:color="auto"/>
              <w:right w:val="single" w:sz="6" w:space="0" w:color="000000"/>
            </w:tcBorders>
          </w:tcPr>
          <w:p>
            <w:pPr/>
          </w:p>
        </w:tc>
        <w:tc>
          <w:tcPr>
            <w:tcW w:w="306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3"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122"/>
              <w:ind w:left="41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1005" w:val="left" w:leader="none"/>
              </w:tabs>
              <w:spacing w:line="240" w:lineRule="auto" w:before="122"/>
              <w:ind w:left="37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2"/>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5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107"/>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593,993.60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spacing w:val="-1"/>
                <w:sz w:val="21"/>
              </w:rPr>
              <w:t>29,699.68</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sz w:val="21"/>
              </w:rPr>
              <w:t>5.00</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47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tabs>
                <w:tab w:pos="1519" w:val="left" w:leader="none"/>
              </w:tabs>
              <w:spacing w:line="240" w:lineRule="auto" w:before="122"/>
              <w:ind w:left="109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593,993.60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29,699.68</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8"/>
              <w:ind w:right="107"/>
              <w:jc w:val="right"/>
              <w:rPr>
                <w:rFonts w:ascii="宋体" w:hAnsi="宋体" w:cs="宋体" w:eastAsia="宋体" w:hint="default"/>
                <w:sz w:val="21"/>
                <w:szCs w:val="21"/>
              </w:rPr>
            </w:pPr>
            <w:r>
              <w:rPr>
                <w:rFonts w:ascii="宋体"/>
                <w:sz w:val="21"/>
              </w:rPr>
              <w:t>5.00</w:t>
            </w:r>
          </w:p>
        </w:tc>
      </w:tr>
      <w:tr>
        <w:trPr>
          <w:trHeight w:val="526" w:hRule="exact"/>
        </w:trPr>
        <w:tc>
          <w:tcPr>
            <w:tcW w:w="28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780" w:val="left" w:leader="none"/>
              </w:tabs>
              <w:spacing w:line="240" w:lineRule="auto" w:before="141"/>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sz w:val="21"/>
              </w:rPr>
              <w:t>2010.12.31</w:t>
            </w:r>
          </w:p>
        </w:tc>
      </w:tr>
      <w:tr>
        <w:trPr>
          <w:trHeight w:val="526"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6"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122"/>
              <w:ind w:left="41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952" w:val="left" w:leader="none"/>
              </w:tabs>
              <w:spacing w:line="240" w:lineRule="auto" w:before="122"/>
              <w:ind w:left="42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9"/>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9"/>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559,027.60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spacing w:val="-1"/>
                <w:sz w:val="21"/>
              </w:rPr>
              <w:t>27,951.38</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sz w:val="21"/>
              </w:rPr>
              <w:t>5.00</w:t>
            </w:r>
          </w:p>
        </w:tc>
      </w:tr>
      <w:tr>
        <w:trPr>
          <w:trHeight w:val="75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107"/>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502"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tabs>
                <w:tab w:pos="1519" w:val="left" w:leader="none"/>
              </w:tabs>
              <w:spacing w:line="240" w:lineRule="auto" w:before="138"/>
              <w:ind w:left="109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559,027.60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27,951.38</w:t>
            </w:r>
          </w:p>
        </w:tc>
        <w:tc>
          <w:tcPr>
            <w:tcW w:w="145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z w:val="21"/>
              </w:rPr>
              <w:t>5.00</w:t>
            </w:r>
          </w:p>
        </w:tc>
      </w:tr>
    </w:tbl>
    <w:p>
      <w:pPr>
        <w:spacing w:line="240" w:lineRule="auto" w:before="10"/>
        <w:rPr>
          <w:rFonts w:ascii="宋体" w:hAnsi="宋体" w:cs="宋体" w:eastAsia="宋体" w:hint="default"/>
          <w:sz w:val="19"/>
          <w:szCs w:val="19"/>
        </w:rPr>
      </w:pPr>
    </w:p>
    <w:p>
      <w:pPr>
        <w:pStyle w:val="BodyText"/>
        <w:spacing w:line="240" w:lineRule="auto" w:before="36"/>
        <w:ind w:left="403" w:right="0"/>
        <w:jc w:val="left"/>
      </w:pPr>
      <w:r>
        <w:rPr/>
        <w:pict>
          <v:shape style="position:absolute;margin-left:103.08847pt;margin-top:-97.478043pt;width:392.95pt;height:64.3pt;mso-position-horizontal-relative:page;mso-position-vertical-relative:paragraph;z-index:-554416;rotation:315" type="#_x0000_t136" fillcolor="#e0e0e0" stroked="f">
            <o:extrusion v:ext="view" autorotationcenter="t"/>
            <v:textpath style="font-family:&amp;quot;Arial&amp;quot;;font-size:64pt;v-text-kern:t;mso-text-shadow:auto" string="UnRegistered"/>
            <w10:wrap type="none"/>
          </v:shape>
        </w:pict>
      </w:r>
      <w:r>
        <w:rPr/>
        <w:t>（2）组合中采用账龄分析法计提坏账准备明细如下：</w:t>
      </w:r>
    </w:p>
    <w:p>
      <w:pPr>
        <w:spacing w:line="240" w:lineRule="auto" w:before="0"/>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1253"/>
        <w:gridCol w:w="1642"/>
        <w:gridCol w:w="847"/>
        <w:gridCol w:w="1476"/>
        <w:gridCol w:w="1589"/>
        <w:gridCol w:w="847"/>
        <w:gridCol w:w="1392"/>
      </w:tblGrid>
      <w:tr>
        <w:trPr>
          <w:trHeight w:val="499" w:hRule="exact"/>
        </w:trPr>
        <w:tc>
          <w:tcPr>
            <w:tcW w:w="125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tabs>
                <w:tab w:pos="443" w:val="left" w:leader="none"/>
              </w:tabs>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6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2011.12.31</w:t>
            </w:r>
          </w:p>
        </w:tc>
        <w:tc>
          <w:tcPr>
            <w:tcW w:w="382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5"/>
              <w:jc w:val="center"/>
              <w:rPr>
                <w:rFonts w:ascii="宋体" w:hAnsi="宋体" w:cs="宋体" w:eastAsia="宋体" w:hint="default"/>
                <w:sz w:val="21"/>
                <w:szCs w:val="21"/>
              </w:rPr>
            </w:pPr>
            <w:r>
              <w:rPr>
                <w:rFonts w:ascii="宋体"/>
                <w:sz w:val="21"/>
              </w:rPr>
              <w:t>2010.12.31</w:t>
            </w:r>
          </w:p>
        </w:tc>
      </w:tr>
      <w:tr>
        <w:trPr>
          <w:trHeight w:val="485" w:hRule="exact"/>
        </w:trPr>
        <w:tc>
          <w:tcPr>
            <w:tcW w:w="1253" w:type="dxa"/>
            <w:vMerge/>
            <w:tcBorders>
              <w:left w:val="nil" w:sz="6" w:space="0" w:color="auto"/>
              <w:right w:val="single" w:sz="2" w:space="0" w:color="000000"/>
            </w:tcBorders>
          </w:tcPr>
          <w:p>
            <w:pPr/>
          </w:p>
        </w:tc>
        <w:tc>
          <w:tcPr>
            <w:tcW w:w="248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2"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253" w:type="dxa"/>
            <w:vMerge/>
            <w:tcBorders>
              <w:left w:val="nil" w:sz="6" w:space="0" w:color="auto"/>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Style w:val="TableParagraph"/>
              <w:tabs>
                <w:tab w:pos="923" w:val="left" w:leader="none"/>
              </w:tabs>
              <w:spacing w:line="240" w:lineRule="auto" w:before="153"/>
              <w:ind w:left="50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53"/>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476" w:type="dxa"/>
            <w:vMerge/>
            <w:tcBorders>
              <w:left w:val="single" w:sz="2" w:space="0" w:color="000000"/>
              <w:bottom w:val="single" w:sz="2" w:space="0" w:color="000000"/>
              <w:right w:val="single" w:sz="2" w:space="0" w:color="000000"/>
            </w:tcBorders>
          </w:tcPr>
          <w:p>
            <w:pPr/>
          </w:p>
        </w:tc>
        <w:tc>
          <w:tcPr>
            <w:tcW w:w="1589" w:type="dxa"/>
            <w:tcBorders>
              <w:top w:val="single" w:sz="2" w:space="0" w:color="000000"/>
              <w:left w:val="single" w:sz="2" w:space="0" w:color="000000"/>
              <w:bottom w:val="single" w:sz="2" w:space="0" w:color="000000"/>
              <w:right w:val="single" w:sz="2" w:space="0" w:color="000000"/>
            </w:tcBorders>
          </w:tcPr>
          <w:p>
            <w:pPr>
              <w:pStyle w:val="TableParagraph"/>
              <w:tabs>
                <w:tab w:pos="947" w:val="left" w:leader="none"/>
              </w:tabs>
              <w:spacing w:line="240" w:lineRule="auto" w:before="153"/>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92" w:type="dxa"/>
            <w:vMerge/>
            <w:tcBorders>
              <w:left w:val="single" w:sz="2" w:space="0" w:color="000000"/>
              <w:bottom w:val="single" w:sz="2" w:space="0" w:color="000000"/>
              <w:right w:val="nil" w:sz="6" w:space="0" w:color="auto"/>
            </w:tcBorders>
          </w:tcPr>
          <w:p>
            <w:pP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99" w:right="0"/>
              <w:jc w:val="left"/>
              <w:rPr>
                <w:rFonts w:ascii="宋体" w:hAnsi="宋体" w:cs="宋体" w:eastAsia="宋体" w:hint="default"/>
                <w:sz w:val="21"/>
                <w:szCs w:val="21"/>
              </w:rPr>
            </w:pPr>
            <w:r>
              <w:rPr>
                <w:rFonts w:ascii="宋体"/>
                <w:sz w:val="21"/>
              </w:rPr>
              <w:t>593,993.60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100.00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29,699.68</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46" w:right="0"/>
              <w:jc w:val="left"/>
              <w:rPr>
                <w:rFonts w:ascii="宋体" w:hAnsi="宋体" w:cs="宋体" w:eastAsia="宋体" w:hint="default"/>
                <w:sz w:val="21"/>
                <w:szCs w:val="21"/>
              </w:rPr>
            </w:pPr>
            <w:r>
              <w:rPr>
                <w:rFonts w:ascii="宋体"/>
                <w:sz w:val="21"/>
              </w:rPr>
              <w:t>559,027.60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0" w:right="0"/>
              <w:jc w:val="center"/>
              <w:rPr>
                <w:rFonts w:ascii="宋体" w:hAnsi="宋体" w:cs="宋体" w:eastAsia="宋体" w:hint="default"/>
                <w:sz w:val="21"/>
                <w:szCs w:val="21"/>
              </w:rPr>
            </w:pPr>
            <w:r>
              <w:rPr>
                <w:rFonts w:ascii="宋体"/>
                <w:sz w:val="21"/>
              </w:rPr>
              <w:t>100.00</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27,951.38</w:t>
            </w:r>
          </w:p>
        </w:tc>
      </w:tr>
      <w:tr>
        <w:trPr>
          <w:trHeight w:val="497" w:hRule="exact"/>
        </w:trPr>
        <w:tc>
          <w:tcPr>
            <w:tcW w:w="1253"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499" w:right="0"/>
              <w:jc w:val="left"/>
              <w:rPr>
                <w:rFonts w:ascii="宋体" w:hAnsi="宋体" w:cs="宋体" w:eastAsia="宋体" w:hint="default"/>
                <w:sz w:val="21"/>
                <w:szCs w:val="21"/>
              </w:rPr>
            </w:pPr>
            <w:r>
              <w:rPr>
                <w:rFonts w:ascii="宋体"/>
                <w:sz w:val="21"/>
              </w:rPr>
              <w:t>593,993.60</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100.00</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29,699.68</w:t>
            </w:r>
          </w:p>
        </w:tc>
        <w:tc>
          <w:tcPr>
            <w:tcW w:w="15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446" w:right="0"/>
              <w:jc w:val="left"/>
              <w:rPr>
                <w:rFonts w:ascii="宋体" w:hAnsi="宋体" w:cs="宋体" w:eastAsia="宋体" w:hint="default"/>
                <w:sz w:val="21"/>
                <w:szCs w:val="21"/>
              </w:rPr>
            </w:pPr>
            <w:r>
              <w:rPr>
                <w:rFonts w:ascii="宋体"/>
                <w:sz w:val="21"/>
              </w:rPr>
              <w:t>559,027.60</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40" w:right="0"/>
              <w:jc w:val="center"/>
              <w:rPr>
                <w:rFonts w:ascii="宋体" w:hAnsi="宋体" w:cs="宋体" w:eastAsia="宋体" w:hint="default"/>
                <w:sz w:val="21"/>
                <w:szCs w:val="21"/>
              </w:rPr>
            </w:pPr>
            <w:r>
              <w:rPr>
                <w:rFonts w:ascii="宋体"/>
                <w:sz w:val="21"/>
              </w:rPr>
              <w:t>100.00</w:t>
            </w: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27,951.38</w:t>
            </w:r>
          </w:p>
        </w:tc>
      </w:tr>
    </w:tbl>
    <w:p>
      <w:pPr>
        <w:spacing w:line="240" w:lineRule="auto" w:before="6"/>
        <w:rPr>
          <w:rFonts w:ascii="宋体" w:hAnsi="宋体" w:cs="宋体" w:eastAsia="宋体" w:hint="default"/>
          <w:sz w:val="18"/>
          <w:szCs w:val="18"/>
        </w:rPr>
      </w:pPr>
    </w:p>
    <w:p>
      <w:pPr>
        <w:pStyle w:val="BodyText"/>
        <w:spacing w:line="240" w:lineRule="auto" w:before="36"/>
        <w:ind w:left="403" w:right="0"/>
        <w:jc w:val="left"/>
      </w:pPr>
      <w:r>
        <w:rPr/>
        <w:t>（3）期末无单项金额重大或虽不重大但单独进行减值测试的应收账款坏账准备计提。</w:t>
      </w:r>
    </w:p>
    <w:p>
      <w:pPr>
        <w:spacing w:line="240" w:lineRule="auto" w:before="2"/>
        <w:rPr>
          <w:rFonts w:ascii="宋体" w:hAnsi="宋体" w:cs="宋体" w:eastAsia="宋体" w:hint="default"/>
          <w:sz w:val="26"/>
          <w:szCs w:val="26"/>
        </w:rPr>
      </w:pPr>
    </w:p>
    <w:p>
      <w:pPr>
        <w:pStyle w:val="BodyText"/>
        <w:spacing w:line="240" w:lineRule="auto"/>
        <w:ind w:left="403" w:right="0"/>
        <w:jc w:val="left"/>
      </w:pPr>
      <w:r>
        <w:rPr/>
        <w:t>（4）应收账款金额期末无外币余额。</w:t>
      </w:r>
    </w:p>
    <w:p>
      <w:pPr>
        <w:spacing w:line="240" w:lineRule="auto" w:before="2"/>
        <w:rPr>
          <w:rFonts w:ascii="宋体" w:hAnsi="宋体" w:cs="宋体" w:eastAsia="宋体" w:hint="default"/>
          <w:sz w:val="26"/>
          <w:szCs w:val="26"/>
        </w:rPr>
      </w:pPr>
    </w:p>
    <w:p>
      <w:pPr>
        <w:pStyle w:val="BodyText"/>
        <w:spacing w:line="400" w:lineRule="auto"/>
        <w:ind w:left="403" w:right="0"/>
        <w:jc w:val="left"/>
      </w:pPr>
      <w:r>
        <w:rPr/>
        <w:t>（5）截至</w:t>
      </w:r>
      <w:r>
        <w:rPr>
          <w:spacing w:val="-56"/>
        </w:rPr>
        <w:t> </w:t>
      </w:r>
      <w:r>
        <w:rPr/>
        <w:t>2011</w:t>
      </w:r>
      <w:r>
        <w:rPr>
          <w:spacing w:val="-54"/>
        </w:rPr>
        <w:t> </w:t>
      </w:r>
      <w:r>
        <w:rPr/>
        <w:t>年</w:t>
      </w:r>
      <w:r>
        <w:rPr>
          <w:spacing w:val="-54"/>
        </w:rPr>
        <w:t> </w:t>
      </w:r>
      <w:r>
        <w:rPr/>
        <w:t>12</w:t>
      </w:r>
      <w:r>
        <w:rPr>
          <w:spacing w:val="-54"/>
        </w:rPr>
        <w:t> </w:t>
      </w:r>
      <w:r>
        <w:rPr/>
        <w:t>月</w:t>
      </w:r>
      <w:r>
        <w:rPr>
          <w:spacing w:val="-56"/>
        </w:rPr>
        <w:t> </w:t>
      </w:r>
      <w:r>
        <w:rPr/>
        <w:t>31</w:t>
      </w:r>
      <w:r>
        <w:rPr>
          <w:spacing w:val="-54"/>
        </w:rPr>
        <w:t> </w:t>
      </w:r>
      <w:r>
        <w:rPr/>
        <w:t>日止，应收账款余额中无持有公司</w:t>
      </w:r>
      <w:r>
        <w:rPr>
          <w:spacing w:val="-54"/>
        </w:rPr>
        <w:t> </w:t>
      </w:r>
      <w:r>
        <w:rPr/>
        <w:t>5%（含</w:t>
      </w:r>
      <w:r>
        <w:rPr>
          <w:spacing w:val="-56"/>
        </w:rPr>
        <w:t> </w:t>
      </w:r>
      <w:r>
        <w:rPr/>
        <w:t>5%）以上表决权股份的</w:t>
      </w:r>
      <w:r>
        <w:rPr>
          <w:w w:val="100"/>
        </w:rPr>
        <w:t> </w:t>
      </w:r>
      <w:r>
        <w:rPr/>
        <w:t>股东单位欠款及其他关联方款项。</w:t>
      </w:r>
    </w:p>
    <w:p>
      <w:pPr>
        <w:spacing w:after="0" w:line="400" w:lineRule="auto"/>
        <w:jc w:val="left"/>
        <w:sectPr>
          <w:pgSz w:w="11910" w:h="16840"/>
          <w:pgMar w:header="929" w:footer="981" w:top="1180" w:bottom="1180" w:left="13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03" w:right="4075"/>
        <w:jc w:val="left"/>
      </w:pPr>
      <w:r>
        <w:rPr/>
        <w:t>（6）应收账款期末前五名客户列示如下：</w:t>
      </w:r>
    </w:p>
    <w:p>
      <w:pPr>
        <w:spacing w:line="240" w:lineRule="auto" w:before="8"/>
        <w:rPr>
          <w:rFonts w:ascii="宋体" w:hAnsi="宋体" w:cs="宋体" w:eastAsia="宋体" w:hint="default"/>
          <w:sz w:val="16"/>
          <w:szCs w:val="16"/>
        </w:rPr>
      </w:pPr>
    </w:p>
    <w:tbl>
      <w:tblPr>
        <w:tblW w:w="0" w:type="auto"/>
        <w:jc w:val="left"/>
        <w:tblInd w:w="366" w:type="dxa"/>
        <w:tblLayout w:type="fixed"/>
        <w:tblCellMar>
          <w:top w:w="0" w:type="dxa"/>
          <w:left w:w="0" w:type="dxa"/>
          <w:bottom w:w="0" w:type="dxa"/>
          <w:right w:w="0" w:type="dxa"/>
        </w:tblCellMar>
        <w:tblLook w:val="01E0"/>
      </w:tblPr>
      <w:tblGrid>
        <w:gridCol w:w="2918"/>
        <w:gridCol w:w="1514"/>
        <w:gridCol w:w="1702"/>
        <w:gridCol w:w="1212"/>
        <w:gridCol w:w="1663"/>
      </w:tblGrid>
      <w:tr>
        <w:trPr>
          <w:trHeight w:val="799" w:hRule="exact"/>
        </w:trPr>
        <w:tc>
          <w:tcPr>
            <w:tcW w:w="29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与公司关系</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055" w:val="left" w:leader="none"/>
              </w:tabs>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63" w:type="dxa"/>
            <w:tcBorders>
              <w:top w:val="single" w:sz="12" w:space="0" w:color="000000"/>
              <w:left w:val="single" w:sz="4" w:space="0" w:color="000000"/>
              <w:bottom w:val="single" w:sz="4" w:space="0" w:color="000000"/>
              <w:right w:val="nil" w:sz="6" w:space="0" w:color="auto"/>
            </w:tcBorders>
          </w:tcPr>
          <w:p>
            <w:pPr>
              <w:pStyle w:val="TableParagraph"/>
              <w:spacing w:line="272" w:lineRule="exact" w:before="111"/>
              <w:ind w:left="141" w:right="146" w:firstLine="55"/>
              <w:jc w:val="left"/>
              <w:rPr>
                <w:rFonts w:ascii="宋体" w:hAnsi="宋体" w:cs="宋体" w:eastAsia="宋体" w:hint="default"/>
                <w:sz w:val="21"/>
                <w:szCs w:val="21"/>
              </w:rPr>
            </w:pPr>
            <w:r>
              <w:rPr>
                <w:rFonts w:ascii="宋体" w:hAnsi="宋体" w:cs="宋体" w:eastAsia="宋体" w:hint="default"/>
                <w:sz w:val="21"/>
                <w:szCs w:val="21"/>
              </w:rPr>
              <w:t>占应收账款总</w:t>
            </w:r>
            <w:r>
              <w:rPr>
                <w:rFonts w:ascii="宋体" w:hAnsi="宋体" w:cs="宋体" w:eastAsia="宋体" w:hint="default"/>
                <w:w w:val="100"/>
                <w:sz w:val="21"/>
                <w:szCs w:val="21"/>
              </w:rPr>
              <w:t> </w:t>
            </w:r>
            <w:r>
              <w:rPr>
                <w:rFonts w:ascii="宋体" w:hAnsi="宋体" w:cs="宋体" w:eastAsia="宋体" w:hint="default"/>
                <w:sz w:val="21"/>
                <w:szCs w:val="21"/>
              </w:rPr>
              <w:t>额的比例（%）</w:t>
            </w:r>
          </w:p>
        </w:tc>
      </w:tr>
      <w:tr>
        <w:trPr>
          <w:trHeight w:val="518" w:hRule="exact"/>
        </w:trPr>
        <w:tc>
          <w:tcPr>
            <w:tcW w:w="2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6" w:right="0"/>
              <w:jc w:val="center"/>
              <w:rPr>
                <w:rFonts w:ascii="宋体" w:hAnsi="宋体" w:cs="宋体" w:eastAsia="宋体" w:hint="default"/>
                <w:sz w:val="21"/>
                <w:szCs w:val="21"/>
              </w:rPr>
            </w:pPr>
            <w:r>
              <w:rPr>
                <w:rFonts w:ascii="宋体" w:hAnsi="宋体" w:cs="宋体" w:eastAsia="宋体" w:hint="default"/>
                <w:sz w:val="21"/>
                <w:szCs w:val="21"/>
              </w:rPr>
              <w:t>凯悦酒家</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547,393.60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3"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66"/>
              <w:jc w:val="right"/>
              <w:rPr>
                <w:rFonts w:ascii="宋体" w:hAnsi="宋体" w:cs="宋体" w:eastAsia="宋体" w:hint="default"/>
                <w:sz w:val="21"/>
                <w:szCs w:val="21"/>
              </w:rPr>
            </w:pPr>
            <w:r>
              <w:rPr>
                <w:rFonts w:ascii="宋体"/>
                <w:sz w:val="21"/>
              </w:rPr>
              <w:t>92.15</w:t>
            </w:r>
          </w:p>
        </w:tc>
      </w:tr>
      <w:tr>
        <w:trPr>
          <w:trHeight w:val="521" w:hRule="exact"/>
        </w:trPr>
        <w:tc>
          <w:tcPr>
            <w:tcW w:w="2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6" w:right="0"/>
              <w:jc w:val="center"/>
              <w:rPr>
                <w:rFonts w:ascii="宋体" w:hAnsi="宋体" w:cs="宋体" w:eastAsia="宋体" w:hint="default"/>
                <w:sz w:val="21"/>
                <w:szCs w:val="21"/>
              </w:rPr>
            </w:pPr>
            <w:r>
              <w:rPr>
                <w:rFonts w:ascii="宋体" w:hAnsi="宋体" w:cs="宋体" w:eastAsia="宋体" w:hint="default"/>
                <w:sz w:val="21"/>
                <w:szCs w:val="21"/>
              </w:rPr>
              <w:t>天伦大厦客户租金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46,600.00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3"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619"/>
              <w:jc w:val="right"/>
              <w:rPr>
                <w:rFonts w:ascii="宋体" w:hAnsi="宋体" w:cs="宋体" w:eastAsia="宋体" w:hint="default"/>
                <w:sz w:val="21"/>
                <w:szCs w:val="21"/>
              </w:rPr>
            </w:pPr>
            <w:r>
              <w:rPr>
                <w:rFonts w:ascii="宋体"/>
                <w:sz w:val="21"/>
              </w:rPr>
              <w:t>7.85</w:t>
            </w:r>
          </w:p>
        </w:tc>
      </w:tr>
      <w:tr>
        <w:trPr>
          <w:trHeight w:val="530" w:hRule="exact"/>
        </w:trPr>
        <w:tc>
          <w:tcPr>
            <w:tcW w:w="2918"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46"/>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14"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593,993.60</w:t>
            </w:r>
          </w:p>
        </w:tc>
        <w:tc>
          <w:tcPr>
            <w:tcW w:w="1212" w:type="dxa"/>
            <w:tcBorders>
              <w:top w:val="single" w:sz="4" w:space="0" w:color="000000"/>
              <w:left w:val="single" w:sz="4" w:space="0" w:color="000000"/>
              <w:bottom w:val="single" w:sz="12" w:space="0" w:color="000000"/>
              <w:right w:val="single" w:sz="4" w:space="0" w:color="000000"/>
            </w:tcBorders>
          </w:tcPr>
          <w:p>
            <w:pPr/>
          </w:p>
        </w:tc>
        <w:tc>
          <w:tcPr>
            <w:tcW w:w="1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2"/>
              <w:ind w:right="515"/>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8"/>
          <w:szCs w:val="28"/>
        </w:rPr>
      </w:pPr>
    </w:p>
    <w:p>
      <w:pPr>
        <w:pStyle w:val="BodyText"/>
        <w:spacing w:line="240" w:lineRule="auto" w:before="36"/>
        <w:ind w:left="503" w:right="4075"/>
        <w:jc w:val="left"/>
      </w:pPr>
      <w:r>
        <w:rPr/>
        <w:t>4、预付款项</w:t>
      </w:r>
    </w:p>
    <w:p>
      <w:pPr>
        <w:spacing w:line="240" w:lineRule="auto" w:before="0"/>
        <w:rPr>
          <w:rFonts w:ascii="宋体" w:hAnsi="宋体" w:cs="宋体" w:eastAsia="宋体" w:hint="default"/>
          <w:sz w:val="23"/>
          <w:szCs w:val="23"/>
        </w:rPr>
      </w:pPr>
    </w:p>
    <w:p>
      <w:pPr>
        <w:pStyle w:val="BodyText"/>
        <w:spacing w:line="240" w:lineRule="auto"/>
        <w:ind w:left="702" w:right="4075"/>
        <w:jc w:val="left"/>
      </w:pPr>
      <w:r>
        <w:rPr/>
        <w:t>（1）预付款项按账龄分析列示如下：</w:t>
      </w:r>
    </w:p>
    <w:p>
      <w:pPr>
        <w:spacing w:line="240" w:lineRule="auto" w:before="1"/>
        <w:rPr>
          <w:rFonts w:ascii="宋体" w:hAnsi="宋体" w:cs="宋体" w:eastAsia="宋体" w:hint="default"/>
          <w:sz w:val="16"/>
          <w:szCs w:val="16"/>
        </w:rPr>
      </w:pPr>
    </w:p>
    <w:tbl>
      <w:tblPr>
        <w:tblW w:w="0" w:type="auto"/>
        <w:jc w:val="left"/>
        <w:tblInd w:w="419" w:type="dxa"/>
        <w:tblLayout w:type="fixed"/>
        <w:tblCellMar>
          <w:top w:w="0" w:type="dxa"/>
          <w:left w:w="0" w:type="dxa"/>
          <w:bottom w:w="0" w:type="dxa"/>
          <w:right w:w="0" w:type="dxa"/>
        </w:tblCellMar>
        <w:tblLook w:val="01E0"/>
      </w:tblPr>
      <w:tblGrid>
        <w:gridCol w:w="1363"/>
        <w:gridCol w:w="2033"/>
        <w:gridCol w:w="1601"/>
        <w:gridCol w:w="2033"/>
        <w:gridCol w:w="1598"/>
      </w:tblGrid>
      <w:tr>
        <w:trPr>
          <w:trHeight w:val="442" w:hRule="exact"/>
        </w:trPr>
        <w:tc>
          <w:tcPr>
            <w:tcW w:w="1363"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6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2011.12.31</w:t>
            </w:r>
          </w:p>
        </w:tc>
        <w:tc>
          <w:tcPr>
            <w:tcW w:w="363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sz w:val="21"/>
              </w:rPr>
              <w:t>2010.12.31</w:t>
            </w:r>
          </w:p>
        </w:tc>
      </w:tr>
      <w:tr>
        <w:trPr>
          <w:trHeight w:val="430" w:hRule="exact"/>
        </w:trPr>
        <w:tc>
          <w:tcPr>
            <w:tcW w:w="1363" w:type="dxa"/>
            <w:vMerge/>
            <w:tcBorders>
              <w:left w:val="nil" w:sz="6" w:space="0" w:color="auto"/>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2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32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80" w:hRule="exact"/>
        </w:trPr>
        <w:tc>
          <w:tcPr>
            <w:tcW w:w="1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1,178,000.00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z w:val="21"/>
              </w:rPr>
              <w:t>95.24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20,570,533.50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94.32</w:t>
            </w:r>
          </w:p>
        </w:tc>
      </w:tr>
      <w:tr>
        <w:trPr>
          <w:trHeight w:val="480" w:hRule="exact"/>
        </w:trPr>
        <w:tc>
          <w:tcPr>
            <w:tcW w:w="1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42,927.69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z w:val="21"/>
              </w:rPr>
              <w:t>3.47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315,191.16</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1.45</w:t>
            </w:r>
          </w:p>
        </w:tc>
      </w:tr>
      <w:tr>
        <w:trPr>
          <w:trHeight w:val="480" w:hRule="exact"/>
        </w:trPr>
        <w:tc>
          <w:tcPr>
            <w:tcW w:w="1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16,000.00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z w:val="21"/>
              </w:rPr>
              <w:t>1.29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923,808.84</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4.23</w:t>
            </w:r>
          </w:p>
        </w:tc>
      </w:tr>
      <w:tr>
        <w:trPr>
          <w:trHeight w:val="492" w:hRule="exact"/>
        </w:trPr>
        <w:tc>
          <w:tcPr>
            <w:tcW w:w="1363" w:type="dxa"/>
            <w:tcBorders>
              <w:top w:val="single" w:sz="4"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1,236,927.69</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z w:val="21"/>
              </w:rPr>
              <w:t>100.00</w:t>
            </w:r>
          </w:p>
        </w:tc>
        <w:tc>
          <w:tcPr>
            <w:tcW w:w="20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21,809,533.50</w:t>
            </w:r>
          </w:p>
        </w:tc>
        <w:tc>
          <w:tcPr>
            <w:tcW w:w="15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8"/>
          <w:szCs w:val="18"/>
        </w:rPr>
      </w:pPr>
    </w:p>
    <w:p>
      <w:pPr>
        <w:pStyle w:val="BodyText"/>
        <w:spacing w:line="537" w:lineRule="auto" w:before="36"/>
        <w:ind w:left="805" w:right="4075" w:hanging="104"/>
        <w:jc w:val="left"/>
      </w:pPr>
      <w:r>
        <w:rPr/>
        <w:pict>
          <v:shape style="position:absolute;margin-left:103.08847pt;margin-top:-57.038044pt;width:392.95pt;height:64.3pt;mso-position-horizontal-relative:page;mso-position-vertical-relative:paragraph;z-index:-554392;rotation:315" type="#_x0000_t136" fillcolor="#e0e0e0" stroked="f">
            <o:extrusion v:ext="view" autorotationcenter="t"/>
            <v:textpath style="font-family:&amp;quot;Arial&amp;quot;;font-size:64pt;v-text-kern:t;mso-text-shadow:auto" string="UnRegistered"/>
            <w10:wrap type="none"/>
          </v:shape>
        </w:pict>
      </w:r>
      <w:r>
        <w:rPr>
          <w:spacing w:val="-2"/>
        </w:rPr>
        <w:t>（2）预付款项金额按币种分类列示如下</w:t>
      </w:r>
      <w:r>
        <w:rPr>
          <w:spacing w:val="-72"/>
        </w:rPr>
        <w:t> </w:t>
      </w:r>
      <w:r>
        <w:rPr>
          <w:spacing w:val="-72"/>
        </w:rPr>
      </w:r>
      <w:r>
        <w:rPr/>
        <w:t>期末预付账款无外币余额</w:t>
      </w:r>
    </w:p>
    <w:p>
      <w:pPr>
        <w:pStyle w:val="BodyText"/>
        <w:spacing w:line="240" w:lineRule="auto" w:before="50"/>
        <w:ind w:left="702" w:right="4075"/>
        <w:jc w:val="left"/>
      </w:pPr>
      <w:r>
        <w:rPr/>
        <w:t>（3）预付款项金额前五名单位明细如下：</w:t>
      </w:r>
    </w:p>
    <w:p>
      <w:pPr>
        <w:spacing w:line="240" w:lineRule="auto" w:before="1"/>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3394"/>
        <w:gridCol w:w="1476"/>
        <w:gridCol w:w="1476"/>
        <w:gridCol w:w="1006"/>
        <w:gridCol w:w="1901"/>
      </w:tblGrid>
      <w:tr>
        <w:trPr>
          <w:trHeight w:val="490" w:hRule="exact"/>
        </w:trPr>
        <w:tc>
          <w:tcPr>
            <w:tcW w:w="3394" w:type="dxa"/>
            <w:tcBorders>
              <w:top w:val="single" w:sz="12" w:space="0" w:color="000000"/>
              <w:left w:val="nil" w:sz="6" w:space="0" w:color="auto"/>
              <w:bottom w:val="single" w:sz="4" w:space="0" w:color="000000"/>
              <w:right w:val="single" w:sz="4" w:space="0" w:color="000000"/>
            </w:tcBorders>
          </w:tcPr>
          <w:p>
            <w:pPr>
              <w:pStyle w:val="TableParagraph"/>
              <w:tabs>
                <w:tab w:pos="1283" w:val="left" w:leader="none"/>
                <w:tab w:pos="1915" w:val="left" w:leader="none"/>
                <w:tab w:pos="2543" w:val="left" w:leader="none"/>
              </w:tabs>
              <w:spacing w:line="240" w:lineRule="auto" w:before="117"/>
              <w:ind w:left="652" w:right="0"/>
              <w:jc w:val="left"/>
              <w:rPr>
                <w:rFonts w:ascii="宋体" w:hAnsi="宋体" w:cs="宋体" w:eastAsia="宋体" w:hint="default"/>
                <w:sz w:val="21"/>
                <w:szCs w:val="21"/>
              </w:rPr>
            </w:pPr>
            <w:r>
              <w:rPr>
                <w:rFonts w:ascii="宋体" w:hAnsi="宋体" w:cs="宋体" w:eastAsia="宋体" w:hint="default"/>
                <w:sz w:val="21"/>
                <w:szCs w:val="21"/>
              </w:rPr>
              <w:t>单</w:t>
              <w:tab/>
              <w:t>位</w:t>
              <w:tab/>
              <w:t>名</w:t>
              <w:tab/>
              <w:t>称</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8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贵州兴源煤矿科技有限责任公司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584,000.00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8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岳学礼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250,000.00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8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中国矿业大学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150,000.00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8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贵州钟涛环保工程公司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144,000.00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80" w:hRule="exact"/>
        </w:trPr>
        <w:tc>
          <w:tcPr>
            <w:tcW w:w="3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贵州淞源矿山开发公司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30,000.00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92" w:hRule="exact"/>
        </w:trPr>
        <w:tc>
          <w:tcPr>
            <w:tcW w:w="3394"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1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1,158,000.00</w:t>
            </w:r>
          </w:p>
        </w:tc>
        <w:tc>
          <w:tcPr>
            <w:tcW w:w="1006" w:type="dxa"/>
            <w:tcBorders>
              <w:top w:val="single" w:sz="4" w:space="0" w:color="000000"/>
              <w:left w:val="single" w:sz="4" w:space="0" w:color="000000"/>
              <w:bottom w:val="single" w:sz="12" w:space="0" w:color="000000"/>
              <w:right w:val="single" w:sz="4" w:space="0" w:color="000000"/>
            </w:tcBorders>
          </w:tcPr>
          <w:p>
            <w:pPr/>
          </w:p>
        </w:tc>
        <w:tc>
          <w:tcPr>
            <w:tcW w:w="190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714" w:right="0"/>
        <w:jc w:val="left"/>
      </w:pPr>
      <w:r>
        <w:rPr/>
        <w:t>（4）截至</w:t>
      </w:r>
      <w:r>
        <w:rPr>
          <w:spacing w:val="-37"/>
        </w:rPr>
        <w:t> </w:t>
      </w:r>
      <w:r>
        <w:rPr/>
        <w:t>2011</w:t>
      </w:r>
      <w:r>
        <w:rPr>
          <w:spacing w:val="-37"/>
        </w:rPr>
        <w:t> </w:t>
      </w:r>
      <w:r>
        <w:rPr/>
        <w:t>年</w:t>
      </w:r>
      <w:r>
        <w:rPr>
          <w:spacing w:val="-39"/>
        </w:rPr>
        <w:t> </w:t>
      </w:r>
      <w:r>
        <w:rPr/>
        <w:t>12</w:t>
      </w:r>
      <w:r>
        <w:rPr>
          <w:spacing w:val="-37"/>
        </w:rPr>
        <w:t> </w:t>
      </w:r>
      <w:r>
        <w:rPr/>
        <w:t>月</w:t>
      </w:r>
      <w:r>
        <w:rPr>
          <w:spacing w:val="-37"/>
        </w:rPr>
        <w:t> </w:t>
      </w:r>
      <w:r>
        <w:rPr/>
        <w:t>31</w:t>
      </w:r>
      <w:r>
        <w:rPr>
          <w:spacing w:val="-37"/>
        </w:rPr>
        <w:t> </w:t>
      </w:r>
      <w:r>
        <w:rPr/>
        <w:t>日止，账龄在一年以上的预付款项主要原因是合同还未执行完</w:t>
      </w:r>
    </w:p>
    <w:p>
      <w:pPr>
        <w:spacing w:after="0" w:line="240" w:lineRule="auto"/>
        <w:jc w:val="left"/>
        <w:sectPr>
          <w:pgSz w:w="11910" w:h="16840"/>
          <w:pgMar w:header="929" w:footer="981" w:top="1180" w:bottom="1180" w:left="120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554368;rotation:315" type="#_x0000_t136" fillcolor="#e0e0e0" stroked="f">
            <o:extrusion v:ext="view" autorotationcenter="t"/>
            <v:textpath style="font-family:&amp;quot;Arial&amp;quot;;font-size:64pt;v-text-kern:t;mso-text-shadow:auto" string="UnRegistered"/>
            <w10:wrap type="none"/>
          </v:shape>
        </w:pict>
      </w:r>
    </w:p>
    <w:p>
      <w:pPr>
        <w:spacing w:line="240" w:lineRule="auto" w:before="12"/>
        <w:rPr>
          <w:rFonts w:ascii="宋体" w:hAnsi="宋体" w:cs="宋体" w:eastAsia="宋体" w:hint="default"/>
          <w:sz w:val="13"/>
          <w:szCs w:val="13"/>
        </w:rPr>
      </w:pPr>
    </w:p>
    <w:p>
      <w:pPr>
        <w:pStyle w:val="BodyText"/>
        <w:spacing w:line="240" w:lineRule="auto"/>
        <w:ind w:left="383" w:right="0"/>
        <w:jc w:val="left"/>
      </w:pPr>
      <w:r>
        <w:rPr>
          <w:w w:val="100"/>
        </w:rPr>
        <w:t>毕</w:t>
      </w:r>
    </w:p>
    <w:p>
      <w:pPr>
        <w:spacing w:line="240" w:lineRule="auto" w:before="12"/>
        <w:rPr>
          <w:rFonts w:ascii="宋体" w:hAnsi="宋体" w:cs="宋体" w:eastAsia="宋体" w:hint="default"/>
          <w:sz w:val="25"/>
          <w:szCs w:val="25"/>
        </w:rPr>
      </w:pPr>
    </w:p>
    <w:p>
      <w:pPr>
        <w:pStyle w:val="BodyText"/>
        <w:spacing w:line="403" w:lineRule="auto"/>
        <w:ind w:left="383" w:right="0" w:firstLine="211"/>
        <w:jc w:val="left"/>
      </w:pPr>
      <w:r>
        <w:rPr/>
        <w:t>（5）截至</w:t>
      </w:r>
      <w:r>
        <w:rPr>
          <w:spacing w:val="-56"/>
        </w:rPr>
        <w:t> </w:t>
      </w:r>
      <w:r>
        <w:rPr/>
        <w:t>2011</w:t>
      </w:r>
      <w:r>
        <w:rPr>
          <w:spacing w:val="-54"/>
        </w:rPr>
        <w:t> </w:t>
      </w:r>
      <w:r>
        <w:rPr/>
        <w:t>年</w:t>
      </w:r>
      <w:r>
        <w:rPr>
          <w:spacing w:val="-54"/>
        </w:rPr>
        <w:t> </w:t>
      </w:r>
      <w:r>
        <w:rPr/>
        <w:t>12</w:t>
      </w:r>
      <w:r>
        <w:rPr>
          <w:spacing w:val="-54"/>
        </w:rPr>
        <w:t> </w:t>
      </w:r>
      <w:r>
        <w:rPr/>
        <w:t>月</w:t>
      </w:r>
      <w:r>
        <w:rPr>
          <w:spacing w:val="-56"/>
        </w:rPr>
        <w:t> </w:t>
      </w:r>
      <w:r>
        <w:rPr/>
        <w:t>31</w:t>
      </w:r>
      <w:r>
        <w:rPr>
          <w:spacing w:val="-54"/>
        </w:rPr>
        <w:t> </w:t>
      </w:r>
      <w:r>
        <w:rPr/>
        <w:t>日止，预付款项余额中无持有公司</w:t>
      </w:r>
      <w:r>
        <w:rPr>
          <w:spacing w:val="-54"/>
        </w:rPr>
        <w:t> </w:t>
      </w:r>
      <w:r>
        <w:rPr/>
        <w:t>5%（含</w:t>
      </w:r>
      <w:r>
        <w:rPr>
          <w:spacing w:val="-56"/>
        </w:rPr>
        <w:t> </w:t>
      </w:r>
      <w:r>
        <w:rPr/>
        <w:t>5%）以上表决权股份</w:t>
      </w:r>
      <w:r>
        <w:rPr>
          <w:w w:val="100"/>
        </w:rPr>
        <w:t> </w:t>
      </w:r>
      <w:r>
        <w:rPr/>
        <w:t>的股东单位欠款及其他关联方款项。</w:t>
      </w:r>
    </w:p>
    <w:p>
      <w:pPr>
        <w:spacing w:line="240" w:lineRule="auto" w:before="8"/>
        <w:rPr>
          <w:rFonts w:ascii="宋体" w:hAnsi="宋体" w:cs="宋体" w:eastAsia="宋体" w:hint="default"/>
          <w:sz w:val="24"/>
          <w:szCs w:val="24"/>
        </w:rPr>
      </w:pPr>
    </w:p>
    <w:p>
      <w:pPr>
        <w:pStyle w:val="BodyText"/>
        <w:spacing w:line="240" w:lineRule="auto"/>
        <w:ind w:left="383" w:right="0"/>
        <w:jc w:val="left"/>
      </w:pPr>
      <w:r>
        <w:rPr/>
        <w:t>5、其他应收款</w:t>
      </w:r>
    </w:p>
    <w:p>
      <w:pPr>
        <w:spacing w:line="240" w:lineRule="auto" w:before="8"/>
        <w:rPr>
          <w:rFonts w:ascii="宋体" w:hAnsi="宋体" w:cs="宋体" w:eastAsia="宋体" w:hint="default"/>
          <w:sz w:val="25"/>
          <w:szCs w:val="25"/>
        </w:rPr>
      </w:pPr>
    </w:p>
    <w:p>
      <w:pPr>
        <w:pStyle w:val="BodyText"/>
        <w:spacing w:line="240" w:lineRule="auto"/>
        <w:ind w:left="383" w:right="0"/>
        <w:jc w:val="left"/>
      </w:pPr>
      <w:r>
        <w:rPr/>
        <w:t>（1）其他应收款按类别列示如下：</w:t>
      </w:r>
    </w:p>
    <w:p>
      <w:pPr>
        <w:spacing w:line="240" w:lineRule="auto" w:before="8"/>
        <w:rPr>
          <w:rFonts w:ascii="宋体" w:hAnsi="宋体" w:cs="宋体" w:eastAsia="宋体" w:hint="default"/>
          <w:sz w:val="16"/>
          <w:szCs w:val="16"/>
        </w:rPr>
      </w:pPr>
    </w:p>
    <w:tbl>
      <w:tblPr>
        <w:tblW w:w="0" w:type="auto"/>
        <w:jc w:val="left"/>
        <w:tblInd w:w="246" w:type="dxa"/>
        <w:tblLayout w:type="fixed"/>
        <w:tblCellMar>
          <w:top w:w="0" w:type="dxa"/>
          <w:left w:w="0" w:type="dxa"/>
          <w:bottom w:w="0" w:type="dxa"/>
          <w:right w:w="0" w:type="dxa"/>
        </w:tblCellMar>
        <w:tblLook w:val="01E0"/>
      </w:tblPr>
      <w:tblGrid>
        <w:gridCol w:w="2813"/>
        <w:gridCol w:w="1699"/>
        <w:gridCol w:w="1368"/>
        <w:gridCol w:w="1610"/>
        <w:gridCol w:w="1452"/>
      </w:tblGrid>
      <w:tr>
        <w:trPr>
          <w:trHeight w:val="482" w:hRule="exact"/>
        </w:trPr>
        <w:tc>
          <w:tcPr>
            <w:tcW w:w="281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tabs>
                <w:tab w:pos="1780" w:val="left" w:leader="none"/>
              </w:tabs>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7"/>
              <w:jc w:val="center"/>
              <w:rPr>
                <w:rFonts w:ascii="宋体" w:hAnsi="宋体" w:cs="宋体" w:eastAsia="宋体" w:hint="default"/>
                <w:sz w:val="21"/>
                <w:szCs w:val="21"/>
              </w:rPr>
            </w:pPr>
            <w:r>
              <w:rPr>
                <w:rFonts w:ascii="宋体"/>
                <w:sz w:val="21"/>
              </w:rPr>
              <w:t>2011.12.31</w:t>
            </w:r>
          </w:p>
        </w:tc>
      </w:tr>
      <w:tr>
        <w:trPr>
          <w:trHeight w:val="526"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5"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122"/>
              <w:ind w:left="41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1005" w:val="left" w:leader="none"/>
              </w:tabs>
              <w:spacing w:line="240" w:lineRule="auto" w:before="122"/>
              <w:ind w:left="37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2"/>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75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107"/>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1,557,895.32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spacing w:val="-1"/>
                <w:sz w:val="21"/>
              </w:rPr>
              <w:t>242,387.58</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sz w:val="21"/>
              </w:rPr>
              <w:t>15.56</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47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tabs>
                <w:tab w:pos="1519" w:val="left" w:leader="none"/>
              </w:tabs>
              <w:spacing w:line="240" w:lineRule="auto" w:before="122"/>
              <w:ind w:left="109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1,557,895.32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242,387.58</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8"/>
              <w:ind w:right="107"/>
              <w:jc w:val="right"/>
              <w:rPr>
                <w:rFonts w:ascii="宋体" w:hAnsi="宋体" w:cs="宋体" w:eastAsia="宋体" w:hint="default"/>
                <w:sz w:val="21"/>
                <w:szCs w:val="21"/>
              </w:rPr>
            </w:pPr>
            <w:r>
              <w:rPr>
                <w:rFonts w:ascii="宋体"/>
                <w:sz w:val="21"/>
              </w:rPr>
              <w:t>15.56</w:t>
            </w:r>
          </w:p>
        </w:tc>
      </w:tr>
      <w:tr>
        <w:trPr>
          <w:trHeight w:val="526" w:hRule="exact"/>
        </w:trPr>
        <w:tc>
          <w:tcPr>
            <w:tcW w:w="28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780" w:val="left" w:leader="none"/>
              </w:tabs>
              <w:spacing w:line="240" w:lineRule="auto" w:before="141"/>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sz w:val="21"/>
              </w:rPr>
              <w:t>2010.12.31</w:t>
            </w:r>
          </w:p>
        </w:tc>
      </w:tr>
      <w:tr>
        <w:trPr>
          <w:trHeight w:val="523"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6"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122"/>
              <w:ind w:left="41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952" w:val="left" w:leader="none"/>
              </w:tabs>
              <w:spacing w:line="240" w:lineRule="auto" w:before="122"/>
              <w:ind w:left="42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5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107"/>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1,205,035.70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spacing w:val="-1"/>
                <w:sz w:val="21"/>
              </w:rPr>
              <w:t>173,105.48</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sz w:val="21"/>
              </w:rPr>
              <w:t>14.37</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9"/>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504"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tabs>
                <w:tab w:pos="1519" w:val="left" w:leader="none"/>
              </w:tabs>
              <w:spacing w:line="240" w:lineRule="auto" w:before="138"/>
              <w:ind w:left="109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1,205,035.70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173,105.48</w:t>
            </w:r>
          </w:p>
        </w:tc>
        <w:tc>
          <w:tcPr>
            <w:tcW w:w="145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z w:val="21"/>
              </w:rPr>
              <w:t>14.37</w:t>
            </w:r>
          </w:p>
        </w:tc>
      </w:tr>
    </w:tbl>
    <w:p>
      <w:pPr>
        <w:spacing w:line="240" w:lineRule="auto" w:before="10"/>
        <w:rPr>
          <w:rFonts w:ascii="宋体" w:hAnsi="宋体" w:cs="宋体" w:eastAsia="宋体" w:hint="default"/>
          <w:sz w:val="19"/>
          <w:szCs w:val="19"/>
        </w:rPr>
      </w:pPr>
    </w:p>
    <w:p>
      <w:pPr>
        <w:pStyle w:val="BodyText"/>
        <w:spacing w:line="240" w:lineRule="auto" w:before="36"/>
        <w:ind w:left="383" w:right="0"/>
        <w:jc w:val="left"/>
      </w:pPr>
      <w:r>
        <w:rPr/>
        <w:t>（2）组合中采用账龄分析法计提坏账准备明细如下：</w:t>
      </w:r>
    </w:p>
    <w:p>
      <w:pPr>
        <w:spacing w:line="240" w:lineRule="auto" w:before="0"/>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1231"/>
        <w:gridCol w:w="2489"/>
        <w:gridCol w:w="1476"/>
        <w:gridCol w:w="2436"/>
        <w:gridCol w:w="1385"/>
      </w:tblGrid>
      <w:tr>
        <w:trPr>
          <w:trHeight w:val="497" w:hRule="exact"/>
        </w:trPr>
        <w:tc>
          <w:tcPr>
            <w:tcW w:w="1231" w:type="dxa"/>
            <w:vMerge w:val="restart"/>
            <w:tcBorders>
              <w:top w:val="single" w:sz="12" w:space="0" w:color="000000"/>
              <w:left w:val="nil" w:sz="6" w:space="0" w:color="auto"/>
              <w:right w:val="single" w:sz="2" w:space="0" w:color="000000"/>
            </w:tcBorders>
          </w:tcPr>
          <w:p>
            <w:pPr>
              <w:pStyle w:val="TableParagraph"/>
              <w:tabs>
                <w:tab w:pos="422" w:val="left" w:leader="none"/>
              </w:tabs>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6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2011.12.31</w:t>
            </w:r>
          </w:p>
        </w:tc>
        <w:tc>
          <w:tcPr>
            <w:tcW w:w="382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2010.12.31</w:t>
            </w:r>
          </w:p>
        </w:tc>
      </w:tr>
      <w:tr>
        <w:trPr>
          <w:trHeight w:val="499" w:hRule="exact"/>
        </w:trPr>
        <w:tc>
          <w:tcPr>
            <w:tcW w:w="1231" w:type="dxa"/>
            <w:vMerge/>
            <w:tcBorders>
              <w:left w:val="nil" w:sz="6" w:space="0" w:color="auto"/>
              <w:bottom w:val="single" w:sz="12" w:space="0" w:color="000000"/>
              <w:right w:val="single" w:sz="2" w:space="0" w:color="000000"/>
            </w:tcBorders>
          </w:tcPr>
          <w:p>
            <w:pP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3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left"/>
        <w:rPr>
          <w:rFonts w:ascii="宋体" w:hAnsi="宋体" w:cs="宋体" w:eastAsia="宋体" w:hint="default"/>
          <w:sz w:val="21"/>
          <w:szCs w:val="21"/>
        </w:rPr>
        <w:sectPr>
          <w:pgSz w:w="11910" w:h="16840"/>
          <w:pgMar w:header="929" w:footer="981" w:top="1180" w:bottom="1180" w:left="1320" w:right="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253"/>
        <w:gridCol w:w="1642"/>
        <w:gridCol w:w="847"/>
        <w:gridCol w:w="1476"/>
        <w:gridCol w:w="1589"/>
        <w:gridCol w:w="847"/>
        <w:gridCol w:w="1392"/>
      </w:tblGrid>
      <w:tr>
        <w:trPr>
          <w:trHeight w:val="528" w:hRule="exact"/>
        </w:trPr>
        <w:tc>
          <w:tcPr>
            <w:tcW w:w="1253" w:type="dxa"/>
            <w:tcBorders>
              <w:top w:val="single" w:sz="12" w:space="0" w:color="000000"/>
              <w:left w:val="nil" w:sz="6" w:space="0" w:color="auto"/>
              <w:bottom w:val="single" w:sz="2" w:space="0" w:color="000000"/>
              <w:right w:val="single" w:sz="2" w:space="0" w:color="000000"/>
            </w:tcBorders>
          </w:tcPr>
          <w:p>
            <w:pPr/>
          </w:p>
        </w:tc>
        <w:tc>
          <w:tcPr>
            <w:tcW w:w="1642" w:type="dxa"/>
            <w:tcBorders>
              <w:top w:val="single" w:sz="12" w:space="0" w:color="000000"/>
              <w:left w:val="single" w:sz="2" w:space="0" w:color="000000"/>
              <w:bottom w:val="single" w:sz="2" w:space="0" w:color="000000"/>
              <w:right w:val="single" w:sz="2" w:space="0" w:color="000000"/>
            </w:tcBorders>
          </w:tcPr>
          <w:p>
            <w:pPr>
              <w:pStyle w:val="TableParagraph"/>
              <w:tabs>
                <w:tab w:pos="923" w:val="left" w:leader="none"/>
              </w:tabs>
              <w:spacing w:line="240" w:lineRule="auto" w:before="155"/>
              <w:ind w:left="50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476" w:type="dxa"/>
            <w:tcBorders>
              <w:top w:val="single" w:sz="12" w:space="0" w:color="000000"/>
              <w:left w:val="single" w:sz="2" w:space="0" w:color="000000"/>
              <w:bottom w:val="single" w:sz="2" w:space="0" w:color="000000"/>
              <w:right w:val="single" w:sz="2" w:space="0" w:color="000000"/>
            </w:tcBorders>
          </w:tcPr>
          <w:p>
            <w:pPr/>
          </w:p>
        </w:tc>
        <w:tc>
          <w:tcPr>
            <w:tcW w:w="1589" w:type="dxa"/>
            <w:tcBorders>
              <w:top w:val="single" w:sz="12" w:space="0" w:color="000000"/>
              <w:left w:val="single" w:sz="2" w:space="0" w:color="000000"/>
              <w:bottom w:val="single" w:sz="2" w:space="0" w:color="000000"/>
              <w:right w:val="single" w:sz="2" w:space="0" w:color="000000"/>
            </w:tcBorders>
          </w:tcPr>
          <w:p>
            <w:pPr>
              <w:pStyle w:val="TableParagraph"/>
              <w:tabs>
                <w:tab w:pos="947" w:val="left" w:leader="none"/>
              </w:tabs>
              <w:spacing w:line="240" w:lineRule="auto" w:before="155"/>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5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92" w:type="dxa"/>
            <w:tcBorders>
              <w:top w:val="single" w:sz="12" w:space="0" w:color="000000"/>
              <w:left w:val="single" w:sz="2" w:space="0" w:color="000000"/>
              <w:bottom w:val="single" w:sz="2" w:space="0" w:color="000000"/>
              <w:right w:val="nil" w:sz="6" w:space="0" w:color="auto"/>
            </w:tcBorders>
          </w:tcPr>
          <w:p>
            <w:pP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1,147,264.95</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7" w:right="0"/>
              <w:jc w:val="center"/>
              <w:rPr>
                <w:rFonts w:ascii="宋体" w:hAnsi="宋体" w:cs="宋体" w:eastAsia="宋体" w:hint="default"/>
                <w:sz w:val="21"/>
                <w:szCs w:val="21"/>
              </w:rPr>
            </w:pPr>
            <w:r>
              <w:rPr>
                <w:rFonts w:ascii="宋体"/>
                <w:sz w:val="21"/>
              </w:rPr>
              <w:t>73.64</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57,363.25</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782,978.10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63" w:right="0"/>
              <w:jc w:val="left"/>
              <w:rPr>
                <w:rFonts w:ascii="宋体" w:hAnsi="宋体" w:cs="宋体" w:eastAsia="宋体" w:hint="default"/>
                <w:sz w:val="21"/>
                <w:szCs w:val="21"/>
              </w:rPr>
            </w:pPr>
            <w:r>
              <w:rPr>
                <w:rFonts w:ascii="宋体"/>
                <w:sz w:val="21"/>
              </w:rPr>
              <w:t>64.97</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39,148.72</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33,453.10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12" w:right="0"/>
              <w:jc w:val="center"/>
              <w:rPr>
                <w:rFonts w:ascii="宋体" w:hAnsi="宋体" w:cs="宋体" w:eastAsia="宋体" w:hint="default"/>
                <w:sz w:val="21"/>
                <w:szCs w:val="21"/>
              </w:rPr>
            </w:pPr>
            <w:r>
              <w:rPr>
                <w:rFonts w:ascii="宋体"/>
                <w:sz w:val="21"/>
              </w:rPr>
              <w:t>2.15</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3,345.31</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241,217.60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63" w:right="0"/>
              <w:jc w:val="left"/>
              <w:rPr>
                <w:rFonts w:ascii="宋体" w:hAnsi="宋体" w:cs="宋体" w:eastAsia="宋体" w:hint="default"/>
                <w:sz w:val="21"/>
                <w:szCs w:val="21"/>
              </w:rPr>
            </w:pPr>
            <w:r>
              <w:rPr>
                <w:rFonts w:ascii="宋体"/>
                <w:sz w:val="21"/>
              </w:rPr>
              <w:t>20.02</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24,121.76</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235,217.60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7" w:right="0"/>
              <w:jc w:val="center"/>
              <w:rPr>
                <w:rFonts w:ascii="宋体" w:hAnsi="宋体" w:cs="宋体" w:eastAsia="宋体" w:hint="default"/>
                <w:sz w:val="21"/>
                <w:szCs w:val="21"/>
              </w:rPr>
            </w:pPr>
            <w:r>
              <w:rPr>
                <w:rFonts w:ascii="宋体"/>
                <w:sz w:val="21"/>
              </w:rPr>
              <w:t>15.10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70,565.28</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22,000.00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68" w:right="0"/>
              <w:jc w:val="left"/>
              <w:rPr>
                <w:rFonts w:ascii="宋体" w:hAnsi="宋体" w:cs="宋体" w:eastAsia="宋体" w:hint="default"/>
                <w:sz w:val="21"/>
                <w:szCs w:val="21"/>
              </w:rPr>
            </w:pPr>
            <w:r>
              <w:rPr>
                <w:rFonts w:ascii="宋体"/>
                <w:sz w:val="21"/>
              </w:rPr>
              <w:t>1.83</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6,600.00</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22,000.00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12" w:right="0"/>
              <w:jc w:val="center"/>
              <w:rPr>
                <w:rFonts w:ascii="宋体" w:hAnsi="宋体" w:cs="宋体" w:eastAsia="宋体" w:hint="default"/>
                <w:sz w:val="21"/>
                <w:szCs w:val="21"/>
              </w:rPr>
            </w:pPr>
            <w:r>
              <w:rPr>
                <w:rFonts w:ascii="宋体"/>
                <w:sz w:val="21"/>
              </w:rPr>
              <w:t>1.41</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11,000.00</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102,810.00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68" w:right="0"/>
              <w:jc w:val="left"/>
              <w:rPr>
                <w:rFonts w:ascii="宋体" w:hAnsi="宋体" w:cs="宋体" w:eastAsia="宋体" w:hint="default"/>
                <w:sz w:val="21"/>
                <w:szCs w:val="21"/>
              </w:rPr>
            </w:pPr>
            <w:r>
              <w:rPr>
                <w:rFonts w:ascii="宋体"/>
                <w:sz w:val="21"/>
              </w:rPr>
              <w:t>8.53</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51,405.00</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99,229.67</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12" w:right="0"/>
              <w:jc w:val="center"/>
              <w:rPr>
                <w:rFonts w:ascii="宋体" w:hAnsi="宋体" w:cs="宋体" w:eastAsia="宋体" w:hint="default"/>
                <w:sz w:val="21"/>
                <w:szCs w:val="21"/>
              </w:rPr>
            </w:pPr>
            <w:r>
              <w:rPr>
                <w:rFonts w:ascii="宋体"/>
                <w:sz w:val="21"/>
              </w:rPr>
              <w:t>6.37</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79,383.74</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21,000.00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68" w:right="0"/>
              <w:jc w:val="left"/>
              <w:rPr>
                <w:rFonts w:ascii="宋体" w:hAnsi="宋体" w:cs="宋体" w:eastAsia="宋体" w:hint="default"/>
                <w:sz w:val="21"/>
                <w:szCs w:val="21"/>
              </w:rPr>
            </w:pPr>
            <w:r>
              <w:rPr>
                <w:rFonts w:ascii="宋体"/>
                <w:sz w:val="21"/>
              </w:rPr>
              <w:t>1.74</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16,800.00</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20,730.00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12" w:right="0"/>
              <w:jc w:val="center"/>
              <w:rPr>
                <w:rFonts w:ascii="宋体" w:hAnsi="宋体" w:cs="宋体" w:eastAsia="宋体" w:hint="default"/>
                <w:sz w:val="21"/>
                <w:szCs w:val="21"/>
              </w:rPr>
            </w:pPr>
            <w:r>
              <w:rPr>
                <w:rFonts w:ascii="宋体"/>
                <w:sz w:val="21"/>
              </w:rPr>
              <w:t>1.33</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20,730.00</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35,030.00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68" w:right="0"/>
              <w:jc w:val="left"/>
              <w:rPr>
                <w:rFonts w:ascii="宋体" w:hAnsi="宋体" w:cs="宋体" w:eastAsia="宋体" w:hint="default"/>
                <w:sz w:val="21"/>
                <w:szCs w:val="21"/>
              </w:rPr>
            </w:pPr>
            <w:r>
              <w:rPr>
                <w:rFonts w:ascii="宋体"/>
                <w:sz w:val="21"/>
              </w:rPr>
              <w:t>2.91</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35,030.00</w:t>
            </w:r>
          </w:p>
        </w:tc>
      </w:tr>
      <w:tr>
        <w:trPr>
          <w:trHeight w:val="499" w:hRule="exact"/>
        </w:trPr>
        <w:tc>
          <w:tcPr>
            <w:tcW w:w="1253"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1,557,895.32</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96"/>
              <w:jc w:val="center"/>
              <w:rPr>
                <w:rFonts w:ascii="宋体" w:hAnsi="宋体" w:cs="宋体" w:eastAsia="宋体" w:hint="default"/>
                <w:sz w:val="21"/>
                <w:szCs w:val="21"/>
              </w:rPr>
            </w:pPr>
            <w:r>
              <w:rPr>
                <w:rFonts w:ascii="宋体"/>
                <w:sz w:val="21"/>
              </w:rPr>
              <w:t>100.00</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242,387.58</w:t>
            </w:r>
          </w:p>
        </w:tc>
        <w:tc>
          <w:tcPr>
            <w:tcW w:w="15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1,205,035.70</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57" w:right="0"/>
              <w:jc w:val="left"/>
              <w:rPr>
                <w:rFonts w:ascii="宋体" w:hAnsi="宋体" w:cs="宋体" w:eastAsia="宋体" w:hint="default"/>
                <w:sz w:val="21"/>
                <w:szCs w:val="21"/>
              </w:rPr>
            </w:pPr>
            <w:r>
              <w:rPr>
                <w:rFonts w:ascii="宋体"/>
                <w:sz w:val="21"/>
              </w:rPr>
              <w:t>100.00</w:t>
            </w: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173,105.48</w:t>
            </w:r>
          </w:p>
        </w:tc>
      </w:tr>
    </w:tbl>
    <w:p>
      <w:pPr>
        <w:spacing w:line="240" w:lineRule="auto" w:before="6"/>
        <w:rPr>
          <w:rFonts w:ascii="宋体" w:hAnsi="宋体" w:cs="宋体" w:eastAsia="宋体" w:hint="default"/>
          <w:sz w:val="18"/>
          <w:szCs w:val="18"/>
        </w:rPr>
      </w:pPr>
    </w:p>
    <w:p>
      <w:pPr>
        <w:pStyle w:val="BodyText"/>
        <w:spacing w:line="240" w:lineRule="auto" w:before="36"/>
        <w:ind w:left="403" w:right="0"/>
        <w:jc w:val="left"/>
      </w:pPr>
      <w:r>
        <w:rPr/>
        <w:t>（3）期末无单项金额重大或虽不重大但单独进行减值测试的其他应收款坏账准备计提。</w:t>
      </w:r>
    </w:p>
    <w:p>
      <w:pPr>
        <w:spacing w:line="240" w:lineRule="auto" w:before="12"/>
        <w:rPr>
          <w:rFonts w:ascii="宋体" w:hAnsi="宋体" w:cs="宋体" w:eastAsia="宋体" w:hint="default"/>
          <w:sz w:val="25"/>
          <w:szCs w:val="25"/>
        </w:rPr>
      </w:pPr>
    </w:p>
    <w:p>
      <w:pPr>
        <w:pStyle w:val="BodyText"/>
        <w:spacing w:line="240" w:lineRule="auto"/>
        <w:ind w:left="403" w:right="0"/>
        <w:jc w:val="left"/>
      </w:pPr>
      <w:r>
        <w:rPr/>
        <w:t>（4）其他应收款金额期末无外币余额。</w:t>
      </w:r>
    </w:p>
    <w:p>
      <w:pPr>
        <w:spacing w:line="240" w:lineRule="auto" w:before="10"/>
        <w:rPr>
          <w:rFonts w:ascii="宋体" w:hAnsi="宋体" w:cs="宋体" w:eastAsia="宋体" w:hint="default"/>
          <w:sz w:val="23"/>
          <w:szCs w:val="23"/>
        </w:rPr>
      </w:pPr>
    </w:p>
    <w:p>
      <w:pPr>
        <w:pStyle w:val="BodyText"/>
        <w:spacing w:line="240" w:lineRule="auto"/>
        <w:ind w:left="403" w:right="0"/>
        <w:jc w:val="left"/>
      </w:pPr>
      <w:r>
        <w:rPr/>
        <w:pict>
          <v:shape style="position:absolute;margin-left:103.08847pt;margin-top:48.32196pt;width:392.95pt;height:64.3pt;mso-position-horizontal-relative:page;mso-position-vertical-relative:paragraph;z-index:-554344;rotation:315" type="#_x0000_t136" fillcolor="#e0e0e0" stroked="f">
            <o:extrusion v:ext="view" autorotationcenter="t"/>
            <v:textpath style="font-family:&amp;quot;Arial&amp;quot;;font-size:64pt;v-text-kern:t;mso-text-shadow:auto" string="UnRegistered"/>
            <w10:wrap type="none"/>
          </v:shape>
        </w:pict>
      </w:r>
      <w:r>
        <w:rPr/>
        <w:t>（5）本报告期内实际核销的其他应收款情况</w:t>
      </w:r>
    </w:p>
    <w:p>
      <w:pPr>
        <w:spacing w:line="240" w:lineRule="auto" w:before="1"/>
        <w:rPr>
          <w:rFonts w:ascii="宋体" w:hAnsi="宋体" w:cs="宋体" w:eastAsia="宋体" w:hint="default"/>
          <w:sz w:val="16"/>
          <w:szCs w:val="16"/>
        </w:rPr>
      </w:pPr>
    </w:p>
    <w:tbl>
      <w:tblPr>
        <w:tblW w:w="0" w:type="auto"/>
        <w:jc w:val="left"/>
        <w:tblInd w:w="266" w:type="dxa"/>
        <w:tblLayout w:type="fixed"/>
        <w:tblCellMar>
          <w:top w:w="0" w:type="dxa"/>
          <w:left w:w="0" w:type="dxa"/>
          <w:bottom w:w="0" w:type="dxa"/>
          <w:right w:w="0" w:type="dxa"/>
        </w:tblCellMar>
        <w:tblLook w:val="01E0"/>
      </w:tblPr>
      <w:tblGrid>
        <w:gridCol w:w="2167"/>
        <w:gridCol w:w="1776"/>
        <w:gridCol w:w="1332"/>
        <w:gridCol w:w="2359"/>
        <w:gridCol w:w="1294"/>
      </w:tblGrid>
      <w:tr>
        <w:trPr>
          <w:trHeight w:val="910" w:hRule="exact"/>
        </w:trPr>
        <w:tc>
          <w:tcPr>
            <w:tcW w:w="216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其他应收款性质</w:t>
            </w:r>
          </w:p>
        </w:tc>
        <w:tc>
          <w:tcPr>
            <w:tcW w:w="13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294" w:type="dxa"/>
            <w:tcBorders>
              <w:top w:val="single" w:sz="12" w:space="0" w:color="000000"/>
              <w:left w:val="single" w:sz="4" w:space="0" w:color="000000"/>
              <w:bottom w:val="single" w:sz="4" w:space="0" w:color="000000"/>
              <w:right w:val="nil" w:sz="6" w:space="0" w:color="auto"/>
            </w:tcBorders>
          </w:tcPr>
          <w:p>
            <w:pPr>
              <w:pStyle w:val="TableParagraph"/>
              <w:spacing w:line="364" w:lineRule="auto" w:before="93"/>
              <w:ind w:left="220" w:right="119" w:hanging="106"/>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480"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龙珠公司</w:t>
            </w:r>
          </w:p>
        </w:tc>
        <w:tc>
          <w:tcPr>
            <w:tcW w:w="177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z w:val="21"/>
              </w:rPr>
              <w:t>50.00</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年限较长无法收回</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广州市散装水泥公司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缴交专项资金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31,500.00</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申请退回成本过高</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9"/>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2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振中公司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代付排污费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z w:val="21"/>
              </w:rPr>
              <w:t>800.00</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取消合作事宜无法收回</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9"/>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92" w:hRule="exact"/>
        </w:trPr>
        <w:tc>
          <w:tcPr>
            <w:tcW w:w="2167" w:type="dxa"/>
            <w:tcBorders>
              <w:top w:val="single" w:sz="4" w:space="0" w:color="000000"/>
              <w:left w:val="nil" w:sz="6" w:space="0" w:color="auto"/>
              <w:bottom w:val="single" w:sz="12" w:space="0" w:color="000000"/>
              <w:right w:val="single" w:sz="4" w:space="0" w:color="000000"/>
            </w:tcBorders>
          </w:tcPr>
          <w:p>
            <w:pPr>
              <w:pStyle w:val="TableParagraph"/>
              <w:tabs>
                <w:tab w:pos="1055" w:val="left" w:leader="none"/>
              </w:tabs>
              <w:spacing w:line="240" w:lineRule="auto" w:before="88"/>
              <w:ind w:left="4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6" w:type="dxa"/>
            <w:tcBorders>
              <w:top w:val="single" w:sz="4" w:space="0" w:color="000000"/>
              <w:left w:val="single" w:sz="4" w:space="0" w:color="000000"/>
              <w:bottom w:val="single" w:sz="12" w:space="0" w:color="000000"/>
              <w:right w:val="single" w:sz="4" w:space="0" w:color="000000"/>
            </w:tcBorders>
          </w:tcPr>
          <w:p>
            <w:pPr/>
          </w:p>
        </w:tc>
        <w:tc>
          <w:tcPr>
            <w:tcW w:w="1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32,350.00</w:t>
            </w:r>
          </w:p>
        </w:tc>
        <w:tc>
          <w:tcPr>
            <w:tcW w:w="2359" w:type="dxa"/>
            <w:tcBorders>
              <w:top w:val="single" w:sz="4" w:space="0" w:color="000000"/>
              <w:left w:val="single" w:sz="4" w:space="0" w:color="000000"/>
              <w:bottom w:val="single" w:sz="12" w:space="0" w:color="000000"/>
              <w:right w:val="single" w:sz="4" w:space="0" w:color="000000"/>
            </w:tcBorders>
          </w:tcPr>
          <w:p>
            <w:pPr/>
          </w:p>
        </w:tc>
        <w:tc>
          <w:tcPr>
            <w:tcW w:w="129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8"/>
          <w:szCs w:val="18"/>
        </w:rPr>
      </w:pPr>
    </w:p>
    <w:p>
      <w:pPr>
        <w:pStyle w:val="BodyText"/>
        <w:spacing w:line="400" w:lineRule="auto" w:before="36"/>
        <w:ind w:left="403" w:right="0"/>
        <w:jc w:val="left"/>
      </w:pPr>
      <w:r>
        <w:rPr/>
        <w:t>（6）截至</w:t>
      </w:r>
      <w:r>
        <w:rPr>
          <w:spacing w:val="-56"/>
        </w:rPr>
        <w:t> </w:t>
      </w:r>
      <w:r>
        <w:rPr/>
        <w:t>2011</w:t>
      </w:r>
      <w:r>
        <w:rPr>
          <w:spacing w:val="-54"/>
        </w:rPr>
        <w:t> </w:t>
      </w:r>
      <w:r>
        <w:rPr/>
        <w:t>年</w:t>
      </w:r>
      <w:r>
        <w:rPr>
          <w:spacing w:val="-54"/>
        </w:rPr>
        <w:t> </w:t>
      </w:r>
      <w:r>
        <w:rPr/>
        <w:t>12</w:t>
      </w:r>
      <w:r>
        <w:rPr>
          <w:spacing w:val="-54"/>
        </w:rPr>
        <w:t> </w:t>
      </w:r>
      <w:r>
        <w:rPr/>
        <w:t>月</w:t>
      </w:r>
      <w:r>
        <w:rPr>
          <w:spacing w:val="-56"/>
        </w:rPr>
        <w:t> </w:t>
      </w:r>
      <w:r>
        <w:rPr/>
        <w:t>31</w:t>
      </w:r>
      <w:r>
        <w:rPr>
          <w:spacing w:val="-54"/>
        </w:rPr>
        <w:t> </w:t>
      </w:r>
      <w:r>
        <w:rPr/>
        <w:t>日止，其他应收款余额中无持有公司</w:t>
      </w:r>
      <w:r>
        <w:rPr>
          <w:spacing w:val="-54"/>
        </w:rPr>
        <w:t> </w:t>
      </w:r>
      <w:r>
        <w:rPr/>
        <w:t>5%（含</w:t>
      </w:r>
      <w:r>
        <w:rPr>
          <w:spacing w:val="-54"/>
        </w:rPr>
        <w:t> </w:t>
      </w:r>
      <w:r>
        <w:rPr/>
        <w:t>5%）以上表决权股份</w:t>
      </w:r>
      <w:r>
        <w:rPr>
          <w:w w:val="100"/>
        </w:rPr>
        <w:t> </w:t>
      </w:r>
      <w:r>
        <w:rPr/>
        <w:t>的股东单位欠款及其他关联方款项。</w:t>
      </w:r>
    </w:p>
    <w:p>
      <w:pPr>
        <w:spacing w:line="240" w:lineRule="auto" w:before="5"/>
        <w:rPr>
          <w:rFonts w:ascii="宋体" w:hAnsi="宋体" w:cs="宋体" w:eastAsia="宋体" w:hint="default"/>
          <w:sz w:val="15"/>
          <w:szCs w:val="15"/>
        </w:rPr>
      </w:pPr>
    </w:p>
    <w:p>
      <w:pPr>
        <w:pStyle w:val="BodyText"/>
        <w:spacing w:line="240" w:lineRule="auto"/>
        <w:ind w:left="403" w:right="0"/>
        <w:jc w:val="left"/>
      </w:pPr>
      <w:r>
        <w:rPr/>
        <w:t>（7）其他应收款期末前五名列示如下：</w:t>
      </w:r>
    </w:p>
    <w:p>
      <w:pPr>
        <w:spacing w:line="240" w:lineRule="auto" w:before="11"/>
        <w:rPr>
          <w:rFonts w:ascii="宋体" w:hAnsi="宋体" w:cs="宋体" w:eastAsia="宋体" w:hint="default"/>
          <w:sz w:val="16"/>
          <w:szCs w:val="16"/>
        </w:rPr>
      </w:pPr>
    </w:p>
    <w:tbl>
      <w:tblPr>
        <w:tblW w:w="0" w:type="auto"/>
        <w:jc w:val="left"/>
        <w:tblInd w:w="266" w:type="dxa"/>
        <w:tblLayout w:type="fixed"/>
        <w:tblCellMar>
          <w:top w:w="0" w:type="dxa"/>
          <w:left w:w="0" w:type="dxa"/>
          <w:bottom w:w="0" w:type="dxa"/>
          <w:right w:w="0" w:type="dxa"/>
        </w:tblCellMar>
        <w:tblLook w:val="01E0"/>
      </w:tblPr>
      <w:tblGrid>
        <w:gridCol w:w="2918"/>
        <w:gridCol w:w="1514"/>
        <w:gridCol w:w="1702"/>
        <w:gridCol w:w="1212"/>
        <w:gridCol w:w="1663"/>
      </w:tblGrid>
      <w:tr>
        <w:trPr>
          <w:trHeight w:val="797" w:hRule="exact"/>
        </w:trPr>
        <w:tc>
          <w:tcPr>
            <w:tcW w:w="29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与公司关系</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055" w:val="left" w:leader="none"/>
              </w:tabs>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663" w:type="dxa"/>
            <w:tcBorders>
              <w:top w:val="single" w:sz="12" w:space="0" w:color="000000"/>
              <w:left w:val="single" w:sz="4" w:space="0" w:color="000000"/>
              <w:bottom w:val="single" w:sz="4" w:space="0" w:color="000000"/>
              <w:right w:val="nil" w:sz="6" w:space="0" w:color="auto"/>
            </w:tcBorders>
          </w:tcPr>
          <w:p>
            <w:pPr>
              <w:pStyle w:val="TableParagraph"/>
              <w:spacing w:line="272" w:lineRule="exact" w:before="111"/>
              <w:ind w:left="103" w:right="-1" w:firstLine="93"/>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pacing w:val="-4"/>
                <w:sz w:val="21"/>
                <w:szCs w:val="21"/>
              </w:rPr>
              <w:t>总额的比例（%）</w:t>
            </w:r>
          </w:p>
        </w:tc>
      </w:tr>
      <w:tr>
        <w:trPr>
          <w:trHeight w:val="521" w:hRule="exact"/>
        </w:trPr>
        <w:tc>
          <w:tcPr>
            <w:tcW w:w="29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水城县地方电力公司</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300,000.00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sz w:val="21"/>
              </w:rPr>
              <w:t>19.26</w:t>
            </w:r>
          </w:p>
        </w:tc>
      </w:tr>
      <w:tr>
        <w:trPr>
          <w:trHeight w:val="521" w:hRule="exact"/>
        </w:trPr>
        <w:tc>
          <w:tcPr>
            <w:tcW w:w="2918" w:type="dxa"/>
            <w:vMerge/>
            <w:tcBorders>
              <w:left w:val="nil" w:sz="6" w:space="0" w:color="auto"/>
              <w:right w:val="single" w:sz="4" w:space="0" w:color="000000"/>
            </w:tcBorders>
          </w:tcPr>
          <w:p>
            <w:pPr/>
          </w:p>
        </w:tc>
        <w:tc>
          <w:tcPr>
            <w:tcW w:w="1514"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sz w:val="21"/>
              </w:rPr>
              <w:t>1.28</w:t>
            </w:r>
          </w:p>
        </w:tc>
      </w:tr>
      <w:tr>
        <w:trPr>
          <w:trHeight w:val="518" w:hRule="exact"/>
        </w:trPr>
        <w:tc>
          <w:tcPr>
            <w:tcW w:w="2918" w:type="dxa"/>
            <w:vMerge/>
            <w:tcBorders>
              <w:left w:val="nil" w:sz="6" w:space="0" w:color="auto"/>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80,000.00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sz w:val="21"/>
              </w:rPr>
              <w:t>5.14</w:t>
            </w:r>
          </w:p>
        </w:tc>
      </w:tr>
      <w:tr>
        <w:trPr>
          <w:trHeight w:val="533" w:hRule="exact"/>
        </w:trPr>
        <w:tc>
          <w:tcPr>
            <w:tcW w:w="29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广州市海珠区人民法院</w:t>
            </w:r>
          </w:p>
        </w:tc>
        <w:tc>
          <w:tcPr>
            <w:tcW w:w="15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231,900.00</w:t>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sz w:val="21"/>
              </w:rPr>
              <w:t>14.89</w:t>
            </w:r>
          </w:p>
        </w:tc>
      </w:tr>
    </w:tbl>
    <w:p>
      <w:pPr>
        <w:spacing w:after="0" w:line="240" w:lineRule="auto"/>
        <w:jc w:val="center"/>
        <w:rPr>
          <w:rFonts w:ascii="宋体" w:hAnsi="宋体" w:cs="宋体" w:eastAsia="宋体" w:hint="default"/>
          <w:sz w:val="21"/>
          <w:szCs w:val="21"/>
        </w:rPr>
        <w:sectPr>
          <w:footerReference w:type="default" r:id="rId24"/>
          <w:pgSz w:w="11910" w:h="16840"/>
          <w:pgMar w:footer="981" w:header="929" w:top="1180" w:bottom="1180" w:left="1300" w:right="0"/>
          <w:pgNumType w:start="60"/>
        </w:sectPr>
      </w:pPr>
    </w:p>
    <w:p>
      <w:pPr>
        <w:spacing w:line="240" w:lineRule="auto" w:before="8"/>
        <w:rPr>
          <w:rFonts w:ascii="宋体" w:hAnsi="宋体" w:cs="宋体" w:eastAsia="宋体" w:hint="default"/>
          <w:sz w:val="24"/>
          <w:szCs w:val="24"/>
        </w:rPr>
      </w:pPr>
    </w:p>
    <w:tbl>
      <w:tblPr>
        <w:tblW w:w="0" w:type="auto"/>
        <w:jc w:val="left"/>
        <w:tblInd w:w="566" w:type="dxa"/>
        <w:tblLayout w:type="fixed"/>
        <w:tblCellMar>
          <w:top w:w="0" w:type="dxa"/>
          <w:left w:w="0" w:type="dxa"/>
          <w:bottom w:w="0" w:type="dxa"/>
          <w:right w:w="0" w:type="dxa"/>
        </w:tblCellMar>
        <w:tblLook w:val="01E0"/>
      </w:tblPr>
      <w:tblGrid>
        <w:gridCol w:w="2918"/>
        <w:gridCol w:w="1514"/>
        <w:gridCol w:w="1702"/>
        <w:gridCol w:w="1212"/>
        <w:gridCol w:w="1663"/>
      </w:tblGrid>
      <w:tr>
        <w:trPr>
          <w:trHeight w:val="530" w:hRule="exact"/>
        </w:trPr>
        <w:tc>
          <w:tcPr>
            <w:tcW w:w="29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160,250.00</w:t>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6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right="5"/>
              <w:jc w:val="center"/>
              <w:rPr>
                <w:rFonts w:ascii="宋体" w:hAnsi="宋体" w:cs="宋体" w:eastAsia="宋体" w:hint="default"/>
                <w:sz w:val="21"/>
                <w:szCs w:val="21"/>
              </w:rPr>
            </w:pPr>
            <w:r>
              <w:rPr>
                <w:rFonts w:ascii="宋体"/>
                <w:sz w:val="21"/>
              </w:rPr>
              <w:t>10.29</w:t>
            </w:r>
          </w:p>
        </w:tc>
      </w:tr>
      <w:tr>
        <w:trPr>
          <w:trHeight w:val="979" w:hRule="exact"/>
        </w:trPr>
        <w:tc>
          <w:tcPr>
            <w:tcW w:w="2918" w:type="dxa"/>
            <w:tcBorders>
              <w:top w:val="single" w:sz="4" w:space="0" w:color="000000"/>
              <w:left w:val="nil" w:sz="6" w:space="0" w:color="auto"/>
              <w:bottom w:val="single" w:sz="4" w:space="0" w:color="000000"/>
              <w:right w:val="single" w:sz="4" w:space="0" w:color="000000"/>
            </w:tcBorders>
          </w:tcPr>
          <w:p>
            <w:pPr>
              <w:pStyle w:val="TableParagraph"/>
              <w:spacing w:line="400" w:lineRule="auto" w:before="122"/>
              <w:ind w:left="122" w:right="266"/>
              <w:jc w:val="left"/>
              <w:rPr>
                <w:rFonts w:ascii="宋体" w:hAnsi="宋体" w:cs="宋体" w:eastAsia="宋体" w:hint="default"/>
                <w:sz w:val="21"/>
                <w:szCs w:val="21"/>
              </w:rPr>
            </w:pPr>
            <w:r>
              <w:rPr>
                <w:rFonts w:ascii="宋体" w:hAnsi="宋体" w:cs="宋体" w:eastAsia="宋体" w:hint="default"/>
                <w:spacing w:val="-2"/>
                <w:sz w:val="21"/>
                <w:szCs w:val="21"/>
              </w:rPr>
              <w:t>水城矿业(集团)有限责任公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司总医院</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sz w:val="21"/>
              </w:rPr>
              <w:t>9.63</w:t>
            </w:r>
          </w:p>
        </w:tc>
      </w:tr>
      <w:tr>
        <w:trPr>
          <w:trHeight w:val="521" w:hRule="exact"/>
        </w:trPr>
        <w:tc>
          <w:tcPr>
            <w:tcW w:w="2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恒大地产集团</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70,405.00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sz w:val="21"/>
              </w:rPr>
              <w:t>4.52</w:t>
            </w:r>
          </w:p>
        </w:tc>
      </w:tr>
      <w:tr>
        <w:trPr>
          <w:trHeight w:val="530" w:hRule="exact"/>
        </w:trPr>
        <w:tc>
          <w:tcPr>
            <w:tcW w:w="2918"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14"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1,012,555.00</w:t>
            </w:r>
          </w:p>
        </w:tc>
        <w:tc>
          <w:tcPr>
            <w:tcW w:w="1212" w:type="dxa"/>
            <w:tcBorders>
              <w:top w:val="single" w:sz="4" w:space="0" w:color="000000"/>
              <w:left w:val="single" w:sz="4" w:space="0" w:color="000000"/>
              <w:bottom w:val="single" w:sz="12" w:space="0" w:color="000000"/>
              <w:right w:val="single" w:sz="4" w:space="0" w:color="000000"/>
            </w:tcBorders>
          </w:tcPr>
          <w:p>
            <w:pPr/>
          </w:p>
        </w:tc>
        <w:tc>
          <w:tcPr>
            <w:tcW w:w="1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3"/>
              <w:ind w:right="5"/>
              <w:jc w:val="center"/>
              <w:rPr>
                <w:rFonts w:ascii="宋体" w:hAnsi="宋体" w:cs="宋体" w:eastAsia="宋体" w:hint="default"/>
                <w:sz w:val="21"/>
                <w:szCs w:val="21"/>
              </w:rPr>
            </w:pPr>
            <w:r>
              <w:rPr>
                <w:rFonts w:ascii="宋体"/>
                <w:sz w:val="21"/>
              </w:rPr>
              <w:t>65.01</w:t>
            </w:r>
          </w:p>
        </w:tc>
      </w:tr>
    </w:tbl>
    <w:p>
      <w:pPr>
        <w:spacing w:line="240" w:lineRule="auto" w:before="0"/>
        <w:rPr>
          <w:rFonts w:ascii="宋体" w:hAnsi="宋体" w:cs="宋体" w:eastAsia="宋体" w:hint="default"/>
          <w:sz w:val="20"/>
          <w:szCs w:val="20"/>
        </w:rPr>
      </w:pPr>
    </w:p>
    <w:p>
      <w:pPr>
        <w:pStyle w:val="BodyText"/>
        <w:tabs>
          <w:tab w:pos="1442" w:val="left" w:leader="none"/>
        </w:tabs>
        <w:spacing w:line="240" w:lineRule="auto" w:before="172"/>
        <w:ind w:left="703" w:right="0"/>
        <w:jc w:val="left"/>
      </w:pPr>
      <w:r>
        <w:rPr/>
        <w:t>6、存</w:t>
        <w:tab/>
        <w:t>货</w:t>
      </w:r>
    </w:p>
    <w:p>
      <w:pPr>
        <w:spacing w:line="240" w:lineRule="auto" w:before="12"/>
        <w:rPr>
          <w:rFonts w:ascii="宋体" w:hAnsi="宋体" w:cs="宋体" w:eastAsia="宋体" w:hint="default"/>
          <w:sz w:val="25"/>
          <w:szCs w:val="25"/>
        </w:rPr>
      </w:pPr>
    </w:p>
    <w:p>
      <w:pPr>
        <w:pStyle w:val="BodyText"/>
        <w:spacing w:line="240" w:lineRule="auto"/>
        <w:ind w:left="1017" w:right="0"/>
        <w:jc w:val="left"/>
      </w:pPr>
      <w:r>
        <w:rPr/>
        <w:t>（1）存货明细列示如下：</w:t>
      </w:r>
    </w:p>
    <w:p>
      <w:pPr>
        <w:spacing w:line="240" w:lineRule="auto" w:before="1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716"/>
        <w:gridCol w:w="1560"/>
        <w:gridCol w:w="991"/>
        <w:gridCol w:w="1558"/>
        <w:gridCol w:w="1560"/>
        <w:gridCol w:w="994"/>
        <w:gridCol w:w="1558"/>
      </w:tblGrid>
      <w:tr>
        <w:trPr>
          <w:trHeight w:val="530"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410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sz w:val="18"/>
              </w:rPr>
              <w:t>2011.12.31</w:t>
            </w:r>
          </w:p>
        </w:tc>
        <w:tc>
          <w:tcPr>
            <w:tcW w:w="41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9"/>
              <w:ind w:right="6"/>
              <w:jc w:val="center"/>
              <w:rPr>
                <w:rFonts w:ascii="宋体" w:hAnsi="宋体" w:cs="宋体" w:eastAsia="宋体" w:hint="default"/>
                <w:sz w:val="18"/>
                <w:szCs w:val="18"/>
              </w:rPr>
            </w:pPr>
            <w:r>
              <w:rPr>
                <w:rFonts w:ascii="宋体"/>
                <w:sz w:val="18"/>
              </w:rPr>
              <w:t>2010.12.31</w:t>
            </w:r>
          </w:p>
        </w:tc>
      </w:tr>
      <w:tr>
        <w:trPr>
          <w:trHeight w:val="521" w:hRule="exact"/>
        </w:trPr>
        <w:tc>
          <w:tcPr>
            <w:tcW w:w="1716"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31"/>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32"/>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1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房地产开发产品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w:t>
            </w:r>
          </w:p>
        </w:tc>
      </w:tr>
      <w:tr>
        <w:trPr>
          <w:trHeight w:val="52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未完工开发产品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176,988,048.46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176,988,048.46</w:t>
            </w:r>
          </w:p>
        </w:tc>
      </w:tr>
      <w:tr>
        <w:trPr>
          <w:trHeight w:val="52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非房地产开发产品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w:t>
            </w:r>
          </w:p>
        </w:tc>
      </w:tr>
      <w:tr>
        <w:trPr>
          <w:trHeight w:val="51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低值易耗品及其他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w:t>
            </w:r>
          </w:p>
        </w:tc>
      </w:tr>
      <w:tr>
        <w:trPr>
          <w:trHeight w:val="533" w:hRule="exact"/>
        </w:trPr>
        <w:tc>
          <w:tcPr>
            <w:tcW w:w="17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176,988,048.46</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176,988,048.46</w:t>
            </w:r>
          </w:p>
        </w:tc>
      </w:tr>
    </w:tbl>
    <w:p>
      <w:pPr>
        <w:spacing w:line="240" w:lineRule="auto" w:before="6"/>
        <w:rPr>
          <w:rFonts w:ascii="宋体" w:hAnsi="宋体" w:cs="宋体" w:eastAsia="宋体" w:hint="default"/>
          <w:sz w:val="18"/>
          <w:szCs w:val="18"/>
        </w:rPr>
      </w:pPr>
    </w:p>
    <w:p>
      <w:pPr>
        <w:pStyle w:val="BodyText"/>
        <w:spacing w:line="240" w:lineRule="auto" w:before="36"/>
        <w:ind w:left="1123" w:right="0"/>
        <w:jc w:val="left"/>
      </w:pPr>
      <w:r>
        <w:rPr/>
        <w:pict>
          <v:shape style="position:absolute;margin-left:103.08847pt;margin-top:-82.838028pt;width:392.95pt;height:64.3pt;mso-position-horizontal-relative:page;mso-position-vertical-relative:paragraph;z-index:-554320;rotation:315" type="#_x0000_t136" fillcolor="#e0e0e0" stroked="f">
            <o:extrusion v:ext="view" autorotationcenter="t"/>
            <v:textpath style="font-family:&amp;quot;Arial&amp;quot;;font-size:64pt;v-text-kern:t;mso-text-shadow:auto" string="UnRegistered"/>
            <w10:wrap type="none"/>
          </v:shape>
        </w:pict>
      </w:r>
      <w:r>
        <w:rPr/>
        <w:t>（2）未完工开发产品明细如下：</w:t>
      </w:r>
    </w:p>
    <w:p>
      <w:pPr>
        <w:spacing w:line="240" w:lineRule="auto" w:before="8"/>
        <w:rPr>
          <w:rFonts w:ascii="宋体" w:hAnsi="宋体" w:cs="宋体" w:eastAsia="宋体" w:hint="default"/>
          <w:sz w:val="16"/>
          <w:szCs w:val="16"/>
        </w:rPr>
      </w:pPr>
    </w:p>
    <w:tbl>
      <w:tblPr>
        <w:tblW w:w="0" w:type="auto"/>
        <w:jc w:val="left"/>
        <w:tblInd w:w="566" w:type="dxa"/>
        <w:tblLayout w:type="fixed"/>
        <w:tblCellMar>
          <w:top w:w="0" w:type="dxa"/>
          <w:left w:w="0" w:type="dxa"/>
          <w:bottom w:w="0" w:type="dxa"/>
          <w:right w:w="0" w:type="dxa"/>
        </w:tblCellMar>
        <w:tblLook w:val="01E0"/>
      </w:tblPr>
      <w:tblGrid>
        <w:gridCol w:w="1342"/>
        <w:gridCol w:w="1476"/>
        <w:gridCol w:w="1416"/>
        <w:gridCol w:w="1594"/>
        <w:gridCol w:w="1418"/>
        <w:gridCol w:w="1133"/>
        <w:gridCol w:w="1135"/>
      </w:tblGrid>
      <w:tr>
        <w:trPr>
          <w:trHeight w:val="478" w:hRule="exact"/>
        </w:trPr>
        <w:tc>
          <w:tcPr>
            <w:tcW w:w="1342" w:type="dxa"/>
            <w:vMerge w:val="restart"/>
            <w:tcBorders>
              <w:top w:val="single" w:sz="12" w:space="0" w:color="000000"/>
              <w:left w:val="nil" w:sz="6" w:space="0" w:color="auto"/>
              <w:right w:val="single" w:sz="2" w:space="0" w:color="000000"/>
            </w:tcBorders>
          </w:tcPr>
          <w:p>
            <w:pPr>
              <w:pStyle w:val="TableParagraph"/>
              <w:spacing w:line="460" w:lineRule="exact" w:before="1"/>
              <w:ind w:left="496" w:right="480"/>
              <w:jc w:val="center"/>
              <w:rPr>
                <w:rFonts w:ascii="宋体" w:hAnsi="宋体" w:cs="宋体" w:eastAsia="宋体" w:hint="default"/>
                <w:sz w:val="18"/>
                <w:szCs w:val="18"/>
              </w:rPr>
            </w:pPr>
            <w:r>
              <w:rPr>
                <w:rFonts w:ascii="宋体" w:hAnsi="宋体" w:cs="宋体" w:eastAsia="宋体" w:hint="default"/>
                <w:sz w:val="18"/>
                <w:szCs w:val="18"/>
              </w:rPr>
              <w:t>项目 名称</w:t>
            </w:r>
          </w:p>
        </w:tc>
        <w:tc>
          <w:tcPr>
            <w:tcW w:w="289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left="1082" w:right="0"/>
              <w:jc w:val="left"/>
              <w:rPr>
                <w:rFonts w:ascii="宋体" w:hAnsi="宋体" w:cs="宋体" w:eastAsia="宋体" w:hint="default"/>
                <w:sz w:val="18"/>
                <w:szCs w:val="18"/>
              </w:rPr>
            </w:pPr>
            <w:r>
              <w:rPr>
                <w:rFonts w:ascii="宋体"/>
                <w:sz w:val="18"/>
              </w:rPr>
              <w:t>2010.12.31</w:t>
            </w:r>
          </w:p>
        </w:tc>
        <w:tc>
          <w:tcPr>
            <w:tcW w:w="30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left="962" w:right="0"/>
              <w:jc w:val="left"/>
              <w:rPr>
                <w:rFonts w:ascii="宋体" w:hAnsi="宋体" w:cs="宋体" w:eastAsia="宋体" w:hint="default"/>
                <w:sz w:val="18"/>
                <w:szCs w:val="18"/>
              </w:rPr>
            </w:pPr>
            <w:r>
              <w:rPr>
                <w:rFonts w:ascii="宋体" w:hAnsi="宋体" w:cs="宋体" w:eastAsia="宋体" w:hint="default"/>
                <w:sz w:val="18"/>
                <w:szCs w:val="18"/>
              </w:rPr>
              <w:t>本  期  减  少</w:t>
            </w:r>
          </w:p>
        </w:tc>
        <w:tc>
          <w:tcPr>
            <w:tcW w:w="226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9"/>
              <w:ind w:left="770" w:right="0"/>
              <w:jc w:val="left"/>
              <w:rPr>
                <w:rFonts w:ascii="宋体" w:hAnsi="宋体" w:cs="宋体" w:eastAsia="宋体" w:hint="default"/>
                <w:sz w:val="18"/>
                <w:szCs w:val="18"/>
              </w:rPr>
            </w:pPr>
            <w:r>
              <w:rPr>
                <w:rFonts w:ascii="宋体"/>
                <w:sz w:val="18"/>
              </w:rPr>
              <w:t>2011.12.31</w:t>
            </w:r>
          </w:p>
        </w:tc>
      </w:tr>
      <w:tr>
        <w:trPr>
          <w:trHeight w:val="466" w:hRule="exact"/>
        </w:trPr>
        <w:tc>
          <w:tcPr>
            <w:tcW w:w="1342" w:type="dxa"/>
            <w:vMerge/>
            <w:tcBorders>
              <w:left w:val="nil" w:sz="6" w:space="0" w:color="auto"/>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tabs>
                <w:tab w:pos="631" w:val="left" w:leader="none"/>
              </w:tabs>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254"/>
              <w:jc w:val="right"/>
              <w:rPr>
                <w:rFonts w:ascii="宋体" w:hAnsi="宋体" w:cs="宋体" w:eastAsia="宋体" w:hint="default"/>
                <w:sz w:val="18"/>
                <w:szCs w:val="18"/>
              </w:rPr>
            </w:pPr>
            <w:r>
              <w:rPr>
                <w:rFonts w:ascii="宋体" w:hAnsi="宋体" w:cs="宋体" w:eastAsia="宋体" w:hint="default"/>
                <w:sz w:val="18"/>
                <w:szCs w:val="18"/>
              </w:rPr>
              <w:t>其中：利息</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tabs>
                <w:tab w:pos="451" w:val="left" w:leader="none"/>
              </w:tabs>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254" w:right="0"/>
              <w:jc w:val="left"/>
              <w:rPr>
                <w:rFonts w:ascii="宋体" w:hAnsi="宋体" w:cs="宋体" w:eastAsia="宋体" w:hint="default"/>
                <w:sz w:val="18"/>
                <w:szCs w:val="18"/>
              </w:rPr>
            </w:pPr>
            <w:r>
              <w:rPr>
                <w:rFonts w:ascii="宋体" w:hAnsi="宋体" w:cs="宋体" w:eastAsia="宋体" w:hint="default"/>
                <w:sz w:val="18"/>
                <w:szCs w:val="18"/>
              </w:rPr>
              <w:t>其中：利息</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tabs>
                <w:tab w:pos="741" w:val="left" w:leader="none"/>
              </w:tabs>
              <w:spacing w:line="240" w:lineRule="auto" w:before="157"/>
              <w:ind w:left="201"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19"/>
              <w:jc w:val="right"/>
              <w:rPr>
                <w:rFonts w:ascii="宋体" w:hAnsi="宋体" w:cs="宋体" w:eastAsia="宋体" w:hint="default"/>
                <w:sz w:val="18"/>
                <w:szCs w:val="18"/>
              </w:rPr>
            </w:pPr>
            <w:r>
              <w:rPr>
                <w:rFonts w:ascii="宋体" w:hAnsi="宋体" w:cs="宋体" w:eastAsia="宋体" w:hint="default"/>
                <w:sz w:val="18"/>
                <w:szCs w:val="18"/>
              </w:rPr>
              <w:t>其中：利息</w:t>
            </w:r>
          </w:p>
        </w:tc>
      </w:tr>
      <w:tr>
        <w:trPr>
          <w:trHeight w:val="629" w:hRule="exact"/>
        </w:trPr>
        <w:tc>
          <w:tcPr>
            <w:tcW w:w="13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郑州龙湖地块</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176,988,048.46</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2"/>
              <w:jc w:val="right"/>
              <w:rPr>
                <w:rFonts w:ascii="宋体" w:hAnsi="宋体" w:cs="宋体" w:eastAsia="宋体" w:hint="default"/>
                <w:sz w:val="18"/>
                <w:szCs w:val="18"/>
              </w:rPr>
            </w:pPr>
            <w:r>
              <w:rPr>
                <w:rFonts w:ascii="宋体"/>
                <w:spacing w:val="-1"/>
                <w:sz w:val="18"/>
              </w:rPr>
              <w:t>2,992,171.44</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3" w:right="0"/>
              <w:jc w:val="center"/>
              <w:rPr>
                <w:rFonts w:ascii="宋体" w:hAnsi="宋体" w:cs="宋体" w:eastAsia="宋体" w:hint="default"/>
                <w:sz w:val="18"/>
                <w:szCs w:val="18"/>
              </w:rPr>
            </w:pPr>
            <w:r>
              <w:rPr>
                <w:rFonts w:ascii="宋体"/>
                <w:sz w:val="18"/>
              </w:rPr>
              <w:t>176,988,048.46</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sz w:val="18"/>
              </w:rPr>
              <w:t>2,992,171.44</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28" w:hRule="exact"/>
        </w:trPr>
        <w:tc>
          <w:tcPr>
            <w:tcW w:w="13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left="1" w:right="0"/>
              <w:jc w:val="center"/>
              <w:rPr>
                <w:rFonts w:ascii="宋体" w:hAnsi="宋体" w:cs="宋体" w:eastAsia="宋体" w:hint="default"/>
                <w:sz w:val="18"/>
                <w:szCs w:val="18"/>
              </w:rPr>
            </w:pPr>
            <w:r>
              <w:rPr>
                <w:rFonts w:ascii="宋体"/>
                <w:sz w:val="18"/>
              </w:rPr>
              <w:t>176,988,048.46</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222"/>
              <w:jc w:val="right"/>
              <w:rPr>
                <w:rFonts w:ascii="宋体" w:hAnsi="宋体" w:cs="宋体" w:eastAsia="宋体" w:hint="default"/>
                <w:sz w:val="18"/>
                <w:szCs w:val="18"/>
              </w:rPr>
            </w:pPr>
            <w:r>
              <w:rPr>
                <w:rFonts w:ascii="宋体"/>
                <w:spacing w:val="-1"/>
                <w:sz w:val="18"/>
              </w:rPr>
              <w:t>2,992,171.44</w:t>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left="113" w:right="0"/>
              <w:jc w:val="center"/>
              <w:rPr>
                <w:rFonts w:ascii="宋体" w:hAnsi="宋体" w:cs="宋体" w:eastAsia="宋体" w:hint="default"/>
                <w:sz w:val="18"/>
                <w:szCs w:val="18"/>
              </w:rPr>
            </w:pPr>
            <w:r>
              <w:rPr>
                <w:rFonts w:ascii="宋体"/>
                <w:sz w:val="18"/>
              </w:rPr>
              <w:t>176,988,048.46</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left="223" w:right="0"/>
              <w:jc w:val="left"/>
              <w:rPr>
                <w:rFonts w:ascii="宋体" w:hAnsi="宋体" w:cs="宋体" w:eastAsia="宋体" w:hint="default"/>
                <w:sz w:val="18"/>
                <w:szCs w:val="18"/>
              </w:rPr>
            </w:pPr>
            <w:r>
              <w:rPr>
                <w:rFonts w:ascii="宋体"/>
                <w:sz w:val="18"/>
              </w:rPr>
              <w:t>2,992,171.44</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z w:val="18"/>
              </w:rPr>
              <w:t>-</w:t>
            </w:r>
          </w:p>
        </w:tc>
        <w:tc>
          <w:tcPr>
            <w:tcW w:w="11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7"/>
              <w:ind w:right="109"/>
              <w:jc w:val="right"/>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8"/>
          <w:szCs w:val="18"/>
        </w:rPr>
      </w:pPr>
    </w:p>
    <w:p>
      <w:pPr>
        <w:pStyle w:val="BodyText"/>
        <w:spacing w:line="240" w:lineRule="auto" w:before="36"/>
        <w:ind w:left="1123" w:right="0"/>
        <w:jc w:val="left"/>
      </w:pPr>
      <w:r>
        <w:rPr/>
        <w:t>（3）报告期各期末不存在可变现价值低于账面价值需计提存货跌价准备的情形。</w:t>
      </w:r>
    </w:p>
    <w:p>
      <w:pPr>
        <w:spacing w:line="240" w:lineRule="auto" w:before="2"/>
        <w:rPr>
          <w:rFonts w:ascii="宋体" w:hAnsi="宋体" w:cs="宋体" w:eastAsia="宋体" w:hint="default"/>
          <w:sz w:val="26"/>
          <w:szCs w:val="26"/>
        </w:rPr>
      </w:pPr>
    </w:p>
    <w:p>
      <w:pPr>
        <w:pStyle w:val="BodyText"/>
        <w:spacing w:line="240" w:lineRule="auto"/>
        <w:ind w:left="1123" w:right="0"/>
        <w:jc w:val="left"/>
      </w:pPr>
      <w:r>
        <w:rPr/>
        <w:t>（4）期末无用于抵押、担保等所有权或使用权受限制的存货。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703" w:right="0"/>
        <w:jc w:val="left"/>
      </w:pPr>
      <w:r>
        <w:rPr/>
        <w:t>8、投资性房地产</w:t>
      </w:r>
    </w:p>
    <w:p>
      <w:pPr>
        <w:spacing w:line="240" w:lineRule="auto" w:before="12"/>
        <w:rPr>
          <w:rFonts w:ascii="宋体" w:hAnsi="宋体" w:cs="宋体" w:eastAsia="宋体" w:hint="default"/>
          <w:sz w:val="25"/>
          <w:szCs w:val="25"/>
        </w:rPr>
      </w:pPr>
    </w:p>
    <w:p>
      <w:pPr>
        <w:pStyle w:val="BodyText"/>
        <w:spacing w:line="240" w:lineRule="auto"/>
        <w:ind w:left="703" w:right="0"/>
        <w:jc w:val="left"/>
      </w:pPr>
      <w:r>
        <w:rPr/>
        <w:t>（1）按成本计量的投资性房地产</w:t>
      </w:r>
    </w:p>
    <w:p>
      <w:pPr>
        <w:spacing w:after="0" w:line="240" w:lineRule="auto"/>
        <w:jc w:val="left"/>
        <w:sectPr>
          <w:pgSz w:w="11910" w:h="16840"/>
          <w:pgMar w:header="929" w:footer="981" w:top="1180" w:bottom="1180" w:left="1000" w:right="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089"/>
        <w:gridCol w:w="1687"/>
        <w:gridCol w:w="1579"/>
        <w:gridCol w:w="1238"/>
        <w:gridCol w:w="1687"/>
      </w:tblGrid>
      <w:tr>
        <w:trPr>
          <w:trHeight w:val="482" w:hRule="exact"/>
        </w:trPr>
        <w:tc>
          <w:tcPr>
            <w:tcW w:w="3089" w:type="dxa"/>
            <w:tcBorders>
              <w:top w:val="single" w:sz="12" w:space="0" w:color="000000"/>
              <w:left w:val="nil" w:sz="6" w:space="0" w:color="auto"/>
              <w:bottom w:val="single" w:sz="6" w:space="0" w:color="000000"/>
              <w:right w:val="single" w:sz="6" w:space="0" w:color="000000"/>
            </w:tcBorders>
          </w:tcPr>
          <w:p>
            <w:pPr>
              <w:pStyle w:val="TableParagraph"/>
              <w:tabs>
                <w:tab w:pos="2023" w:val="left" w:leader="none"/>
              </w:tabs>
              <w:spacing w:line="240" w:lineRule="auto" w:before="124"/>
              <w:ind w:left="86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309" w:right="0"/>
              <w:jc w:val="left"/>
              <w:rPr>
                <w:rFonts w:ascii="宋体" w:hAnsi="宋体" w:cs="宋体" w:eastAsia="宋体" w:hint="default"/>
                <w:sz w:val="21"/>
                <w:szCs w:val="21"/>
              </w:rPr>
            </w:pPr>
            <w:r>
              <w:rPr>
                <w:rFonts w:ascii="宋体"/>
                <w:sz w:val="21"/>
              </w:rPr>
              <w:t>2010.12.31</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1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left="309" w:right="0"/>
              <w:jc w:val="left"/>
              <w:rPr>
                <w:rFonts w:ascii="宋体" w:hAnsi="宋体" w:cs="宋体" w:eastAsia="宋体" w:hint="default"/>
                <w:sz w:val="21"/>
                <w:szCs w:val="21"/>
              </w:rPr>
            </w:pPr>
            <w:r>
              <w:rPr>
                <w:rFonts w:ascii="宋体"/>
                <w:sz w:val="21"/>
              </w:rPr>
              <w:t>2011.12.31</w:t>
            </w:r>
          </w:p>
        </w:tc>
      </w:tr>
      <w:tr>
        <w:trPr>
          <w:trHeight w:val="47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一、投资性房地产原值合计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397,521,291.65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397,521,291.65</w:t>
            </w:r>
          </w:p>
        </w:tc>
      </w:tr>
      <w:tr>
        <w:trPr>
          <w:trHeight w:val="47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397,521,291.65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397,521,291.65</w:t>
            </w:r>
          </w:p>
        </w:tc>
      </w:tr>
      <w:tr>
        <w:trPr>
          <w:trHeight w:val="473"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pacing w:val="-8"/>
                <w:sz w:val="21"/>
                <w:szCs w:val="21"/>
              </w:rPr>
              <w:t>二、投资性房地产累计折旧合计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53,990,983.74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3"/>
              <w:jc w:val="right"/>
              <w:rPr>
                <w:rFonts w:ascii="宋体" w:hAnsi="宋体" w:cs="宋体" w:eastAsia="宋体" w:hint="default"/>
                <w:sz w:val="21"/>
                <w:szCs w:val="21"/>
              </w:rPr>
            </w:pPr>
            <w:r>
              <w:rPr>
                <w:rFonts w:ascii="宋体"/>
                <w:spacing w:val="-1"/>
                <w:sz w:val="21"/>
              </w:rPr>
              <w:t>10,181,410.80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64,172,394.54</w:t>
            </w:r>
          </w:p>
        </w:tc>
      </w:tr>
      <w:tr>
        <w:trPr>
          <w:trHeight w:val="47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53,990,983.74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3"/>
              <w:jc w:val="right"/>
              <w:rPr>
                <w:rFonts w:ascii="宋体" w:hAnsi="宋体" w:cs="宋体" w:eastAsia="宋体" w:hint="default"/>
                <w:sz w:val="21"/>
                <w:szCs w:val="21"/>
              </w:rPr>
            </w:pPr>
            <w:r>
              <w:rPr>
                <w:rFonts w:ascii="宋体"/>
                <w:spacing w:val="-1"/>
                <w:sz w:val="21"/>
              </w:rPr>
              <w:t>10,181,410.80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64,172,394.54</w:t>
            </w:r>
          </w:p>
        </w:tc>
      </w:tr>
      <w:tr>
        <w:trPr>
          <w:trHeight w:val="47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pacing w:val="-8"/>
                <w:sz w:val="21"/>
                <w:szCs w:val="21"/>
              </w:rPr>
              <w:t>三、投资性房地产账面净值合计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343,530,307.91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333,348,897.11</w:t>
            </w:r>
          </w:p>
        </w:tc>
      </w:tr>
      <w:tr>
        <w:trPr>
          <w:trHeight w:val="47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343,530,307.91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333,348,897.11</w:t>
            </w:r>
          </w:p>
        </w:tc>
      </w:tr>
      <w:tr>
        <w:trPr>
          <w:trHeight w:val="47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pacing w:val="-8"/>
                <w:sz w:val="21"/>
                <w:szCs w:val="21"/>
              </w:rPr>
              <w:t>四、投资性房地产减值准备合计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6,331,179.10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6,331,179.10</w:t>
            </w:r>
          </w:p>
        </w:tc>
      </w:tr>
      <w:tr>
        <w:trPr>
          <w:trHeight w:val="47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spacing w:val="-1"/>
                <w:sz w:val="21"/>
              </w:rPr>
              <w:t>6,331,179.10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6,331,179.10</w:t>
            </w:r>
          </w:p>
        </w:tc>
      </w:tr>
      <w:tr>
        <w:trPr>
          <w:trHeight w:val="475"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pacing w:val="-8"/>
                <w:sz w:val="21"/>
                <w:szCs w:val="21"/>
              </w:rPr>
              <w:t>五、投资性房地产账面价值合计</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337,199,128.81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327,017,718.01</w:t>
            </w:r>
          </w:p>
        </w:tc>
      </w:tr>
      <w:tr>
        <w:trPr>
          <w:trHeight w:val="482" w:hRule="exact"/>
        </w:trPr>
        <w:tc>
          <w:tcPr>
            <w:tcW w:w="30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337,199,128.81</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w w:val="100"/>
                <w:sz w:val="21"/>
              </w:rPr>
              <w:t>-</w:t>
            </w:r>
          </w:p>
        </w:tc>
        <w:tc>
          <w:tcPr>
            <w:tcW w:w="1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w w:val="100"/>
                <w:sz w:val="21"/>
              </w:rPr>
              <w:t>-</w:t>
            </w:r>
          </w:p>
        </w:tc>
        <w:tc>
          <w:tcPr>
            <w:tcW w:w="16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327,017,718.01</w:t>
            </w:r>
          </w:p>
        </w:tc>
      </w:tr>
    </w:tbl>
    <w:p>
      <w:pPr>
        <w:spacing w:line="240" w:lineRule="auto" w:before="6"/>
        <w:rPr>
          <w:rFonts w:ascii="宋体" w:hAnsi="宋体" w:cs="宋体" w:eastAsia="宋体" w:hint="default"/>
          <w:sz w:val="18"/>
          <w:szCs w:val="18"/>
        </w:rPr>
      </w:pPr>
    </w:p>
    <w:p>
      <w:pPr>
        <w:pStyle w:val="BodyText"/>
        <w:spacing w:line="240" w:lineRule="auto" w:before="36"/>
        <w:ind w:left="523" w:right="0"/>
        <w:jc w:val="left"/>
      </w:pPr>
      <w:r>
        <w:rPr/>
        <w:t>（2）公司的投资性房产均按成本模式计量，本报告期末无迹象表明减值；</w:t>
      </w:r>
    </w:p>
    <w:p>
      <w:pPr>
        <w:spacing w:line="240" w:lineRule="auto" w:before="2"/>
        <w:rPr>
          <w:rFonts w:ascii="宋体" w:hAnsi="宋体" w:cs="宋体" w:eastAsia="宋体" w:hint="default"/>
          <w:sz w:val="26"/>
          <w:szCs w:val="26"/>
        </w:rPr>
      </w:pPr>
    </w:p>
    <w:p>
      <w:pPr>
        <w:pStyle w:val="BodyText"/>
        <w:spacing w:line="240" w:lineRule="auto"/>
        <w:ind w:left="523" w:right="0"/>
        <w:jc w:val="left"/>
      </w:pPr>
      <w:r>
        <w:rPr/>
        <w:pict>
          <v:shape style="position:absolute;margin-left:103.08847pt;margin-top:12.321959pt;width:392.95pt;height:64.3pt;mso-position-horizontal-relative:page;mso-position-vertical-relative:paragraph;z-index:-554296;rotation:315" type="#_x0000_t136" fillcolor="#e0e0e0" stroked="f">
            <o:extrusion v:ext="view" autorotationcenter="t"/>
            <v:textpath style="font-family:&amp;quot;Arial&amp;quot;;font-size:64pt;v-text-kern:t;mso-text-shadow:auto" string="UnRegistered"/>
            <w10:wrap type="none"/>
          </v:shape>
        </w:pict>
      </w:r>
      <w:r>
        <w:rPr/>
        <w:t>（3）报告期内不存在未办妥产权证书的投资性房地产；</w:t>
      </w:r>
    </w:p>
    <w:p>
      <w:pPr>
        <w:spacing w:line="240" w:lineRule="auto" w:before="2"/>
        <w:rPr>
          <w:rFonts w:ascii="宋体" w:hAnsi="宋体" w:cs="宋体" w:eastAsia="宋体" w:hint="default"/>
          <w:sz w:val="26"/>
          <w:szCs w:val="26"/>
        </w:rPr>
      </w:pPr>
    </w:p>
    <w:p>
      <w:pPr>
        <w:pStyle w:val="BodyText"/>
        <w:spacing w:line="240" w:lineRule="auto"/>
        <w:ind w:left="523" w:right="0"/>
        <w:jc w:val="left"/>
      </w:pPr>
      <w:r>
        <w:rPr>
          <w:spacing w:val="-2"/>
        </w:rPr>
        <w:t>（4）上述投资性房地产抵押情况详见附注五、16</w:t>
      </w:r>
      <w:r>
        <w:rPr>
          <w:spacing w:val="6"/>
        </w:rPr>
        <w:t> </w:t>
      </w:r>
      <w:r>
        <w:rPr>
          <w:spacing w:val="-2"/>
        </w:rPr>
        <w:t>所有权受到限制的资产。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523" w:right="0"/>
        <w:jc w:val="left"/>
      </w:pPr>
      <w:r>
        <w:rPr/>
        <w:t>9、固定资产及其累计折旧</w:t>
      </w:r>
    </w:p>
    <w:p>
      <w:pPr>
        <w:spacing w:line="240" w:lineRule="auto" w:before="2"/>
        <w:rPr>
          <w:rFonts w:ascii="宋体" w:hAnsi="宋体" w:cs="宋体" w:eastAsia="宋体" w:hint="default"/>
          <w:sz w:val="26"/>
          <w:szCs w:val="26"/>
        </w:rPr>
      </w:pPr>
    </w:p>
    <w:p>
      <w:pPr>
        <w:pStyle w:val="BodyText"/>
        <w:spacing w:line="240" w:lineRule="auto"/>
        <w:ind w:left="943" w:right="0"/>
        <w:jc w:val="left"/>
      </w:pPr>
      <w:r>
        <w:rPr/>
        <w:t>（1）固定资产及其累计折旧明细项目和增减变动如下：</w:t>
      </w:r>
    </w:p>
    <w:p>
      <w:pPr>
        <w:spacing w:line="240" w:lineRule="auto" w:before="11"/>
        <w:rPr>
          <w:rFonts w:ascii="宋体" w:hAnsi="宋体" w:cs="宋体" w:eastAsia="宋体" w:hint="default"/>
          <w:sz w:val="16"/>
          <w:szCs w:val="16"/>
        </w:rPr>
      </w:pPr>
    </w:p>
    <w:tbl>
      <w:tblPr>
        <w:tblW w:w="0" w:type="auto"/>
        <w:jc w:val="left"/>
        <w:tblInd w:w="324" w:type="dxa"/>
        <w:tblLayout w:type="fixed"/>
        <w:tblCellMar>
          <w:top w:w="0" w:type="dxa"/>
          <w:left w:w="0" w:type="dxa"/>
          <w:bottom w:w="0" w:type="dxa"/>
          <w:right w:w="0" w:type="dxa"/>
        </w:tblCellMar>
        <w:tblLook w:val="01E0"/>
      </w:tblPr>
      <w:tblGrid>
        <w:gridCol w:w="1939"/>
        <w:gridCol w:w="1543"/>
        <w:gridCol w:w="1082"/>
        <w:gridCol w:w="1298"/>
        <w:gridCol w:w="1454"/>
        <w:gridCol w:w="1541"/>
      </w:tblGrid>
      <w:tr>
        <w:trPr>
          <w:trHeight w:val="482" w:hRule="exact"/>
        </w:trPr>
        <w:tc>
          <w:tcPr>
            <w:tcW w:w="1939" w:type="dxa"/>
            <w:tcBorders>
              <w:top w:val="single" w:sz="12" w:space="0" w:color="000000"/>
              <w:left w:val="nil" w:sz="6" w:space="0" w:color="auto"/>
              <w:bottom w:val="single" w:sz="6" w:space="0" w:color="000000"/>
              <w:right w:val="single" w:sz="6" w:space="0" w:color="000000"/>
            </w:tcBorders>
          </w:tcPr>
          <w:p>
            <w:pPr>
              <w:pStyle w:val="TableParagraph"/>
              <w:tabs>
                <w:tab w:pos="1449" w:val="left" w:leader="none"/>
              </w:tabs>
              <w:spacing w:line="240" w:lineRule="auto" w:before="124"/>
              <w:ind w:left="29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237" w:right="0"/>
              <w:jc w:val="left"/>
              <w:rPr>
                <w:rFonts w:ascii="宋体" w:hAnsi="宋体" w:cs="宋体" w:eastAsia="宋体" w:hint="default"/>
                <w:sz w:val="21"/>
                <w:szCs w:val="21"/>
              </w:rPr>
            </w:pPr>
            <w:r>
              <w:rPr>
                <w:rFonts w:ascii="宋体"/>
                <w:sz w:val="21"/>
              </w:rPr>
              <w:t>2010.12.31</w:t>
            </w:r>
          </w:p>
        </w:tc>
        <w:tc>
          <w:tcPr>
            <w:tcW w:w="238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76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29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left="235" w:right="0"/>
              <w:jc w:val="left"/>
              <w:rPr>
                <w:rFonts w:ascii="宋体" w:hAnsi="宋体" w:cs="宋体" w:eastAsia="宋体" w:hint="default"/>
                <w:sz w:val="21"/>
                <w:szCs w:val="21"/>
              </w:rPr>
            </w:pPr>
            <w:r>
              <w:rPr>
                <w:rFonts w:ascii="宋体"/>
                <w:sz w:val="21"/>
              </w:rPr>
              <w:t>2011.12.31</w:t>
            </w:r>
          </w:p>
        </w:tc>
      </w:tr>
      <w:tr>
        <w:trPr>
          <w:trHeight w:val="934"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一、固定资产原值</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32,368,786.44</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91" w:right="0"/>
              <w:jc w:val="left"/>
              <w:rPr>
                <w:rFonts w:ascii="宋体" w:hAnsi="宋体" w:cs="宋体" w:eastAsia="宋体" w:hint="default"/>
                <w:sz w:val="18"/>
                <w:szCs w:val="18"/>
              </w:rPr>
            </w:pPr>
            <w:r>
              <w:rPr>
                <w:rFonts w:ascii="宋体"/>
                <w:sz w:val="18"/>
              </w:rPr>
              <w:t>11,179,233.25</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3,618,481.00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7"/>
              <w:jc w:val="right"/>
              <w:rPr>
                <w:rFonts w:ascii="宋体" w:hAnsi="宋体" w:cs="宋体" w:eastAsia="宋体" w:hint="default"/>
                <w:sz w:val="18"/>
                <w:szCs w:val="18"/>
              </w:rPr>
            </w:pPr>
            <w:r>
              <w:rPr>
                <w:rFonts w:ascii="宋体"/>
                <w:spacing w:val="-1"/>
                <w:sz w:val="18"/>
              </w:rPr>
              <w:t>39,929,538.69</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13,375,960.19</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183" w:right="0"/>
              <w:jc w:val="left"/>
              <w:rPr>
                <w:rFonts w:ascii="宋体" w:hAnsi="宋体" w:cs="宋体" w:eastAsia="宋体" w:hint="default"/>
                <w:sz w:val="18"/>
                <w:szCs w:val="18"/>
              </w:rPr>
            </w:pPr>
            <w:r>
              <w:rPr>
                <w:rFonts w:ascii="宋体"/>
                <w:sz w:val="18"/>
              </w:rPr>
              <w:t>2,725,442.11</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185,000.00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15,916,402.30</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11,246,787.34</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183" w:right="0"/>
              <w:jc w:val="left"/>
              <w:rPr>
                <w:rFonts w:ascii="宋体" w:hAnsi="宋体" w:cs="宋体" w:eastAsia="宋体" w:hint="default"/>
                <w:sz w:val="18"/>
                <w:szCs w:val="18"/>
              </w:rPr>
            </w:pPr>
            <w:r>
              <w:rPr>
                <w:rFonts w:ascii="宋体"/>
                <w:sz w:val="18"/>
              </w:rPr>
              <w:t>7,412,888.86</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18,659,676.20</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3、运输工具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6,193,635.00</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363" w:right="0"/>
              <w:jc w:val="left"/>
              <w:rPr>
                <w:rFonts w:ascii="宋体" w:hAnsi="宋体" w:cs="宋体" w:eastAsia="宋体" w:hint="default"/>
                <w:sz w:val="18"/>
                <w:szCs w:val="18"/>
              </w:rPr>
            </w:pPr>
            <w:r>
              <w:rPr>
                <w:rFonts w:ascii="宋体"/>
                <w:sz w:val="18"/>
              </w:rPr>
              <w:t>671,154.28</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3,177,460.00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3,687,329.28</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1,552,403.91</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1363" w:right="0"/>
              <w:jc w:val="left"/>
              <w:rPr>
                <w:rFonts w:ascii="宋体" w:hAnsi="宋体" w:cs="宋体" w:eastAsia="宋体" w:hint="default"/>
                <w:sz w:val="18"/>
                <w:szCs w:val="18"/>
              </w:rPr>
            </w:pPr>
            <w:r>
              <w:rPr>
                <w:rFonts w:ascii="宋体"/>
                <w:sz w:val="18"/>
              </w:rPr>
              <w:t>369,748.00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256,021.00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1,666,130.91</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hAnsi="宋体" w:cs="宋体" w:eastAsia="宋体" w:hint="default"/>
                <w:sz w:val="18"/>
                <w:szCs w:val="18"/>
              </w:rPr>
              <w:t>本期计提</w:t>
            </w:r>
          </w:p>
        </w:tc>
        <w:tc>
          <w:tcPr>
            <w:tcW w:w="1454"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8,397,946.41</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3,266,277.96</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2,170,019.51</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9,494,204.86</w:t>
            </w:r>
          </w:p>
        </w:tc>
      </w:tr>
      <w:tr>
        <w:trPr>
          <w:trHeight w:val="482" w:hRule="exact"/>
        </w:trPr>
        <w:tc>
          <w:tcPr>
            <w:tcW w:w="193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868,270.22</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440,554.06</w:t>
            </w: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80,551.76</w:t>
            </w:r>
          </w:p>
        </w:tc>
        <w:tc>
          <w:tcPr>
            <w:tcW w:w="15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1,228,272.52</w:t>
            </w:r>
          </w:p>
        </w:tc>
      </w:tr>
    </w:tbl>
    <w:p>
      <w:pPr>
        <w:spacing w:after="0" w:line="240" w:lineRule="auto"/>
        <w:jc w:val="right"/>
        <w:rPr>
          <w:rFonts w:ascii="宋体" w:hAnsi="宋体" w:cs="宋体" w:eastAsia="宋体" w:hint="default"/>
          <w:sz w:val="18"/>
          <w:szCs w:val="18"/>
        </w:rPr>
        <w:sectPr>
          <w:pgSz w:w="11910" w:h="16840"/>
          <w:pgMar w:header="929" w:footer="981" w:top="1180" w:bottom="1180" w:left="1180" w:right="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939"/>
        <w:gridCol w:w="1543"/>
        <w:gridCol w:w="1082"/>
        <w:gridCol w:w="1298"/>
        <w:gridCol w:w="1454"/>
        <w:gridCol w:w="1541"/>
      </w:tblGrid>
      <w:tr>
        <w:trPr>
          <w:trHeight w:val="482" w:hRule="exact"/>
        </w:trPr>
        <w:tc>
          <w:tcPr>
            <w:tcW w:w="1939" w:type="dxa"/>
            <w:tcBorders>
              <w:top w:val="single" w:sz="12" w:space="0" w:color="000000"/>
              <w:left w:val="nil" w:sz="6" w:space="0" w:color="auto"/>
              <w:bottom w:val="single" w:sz="6" w:space="0" w:color="000000"/>
              <w:right w:val="single" w:sz="6" w:space="0" w:color="000000"/>
            </w:tcBorders>
          </w:tcPr>
          <w:p>
            <w:pPr>
              <w:pStyle w:val="TableParagraph"/>
              <w:tabs>
                <w:tab w:pos="1449" w:val="left" w:leader="none"/>
              </w:tabs>
              <w:spacing w:line="240" w:lineRule="auto" w:before="124"/>
              <w:ind w:left="29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237" w:right="0"/>
              <w:jc w:val="left"/>
              <w:rPr>
                <w:rFonts w:ascii="宋体" w:hAnsi="宋体" w:cs="宋体" w:eastAsia="宋体" w:hint="default"/>
                <w:sz w:val="21"/>
                <w:szCs w:val="21"/>
              </w:rPr>
            </w:pPr>
            <w:r>
              <w:rPr>
                <w:rFonts w:ascii="宋体"/>
                <w:sz w:val="21"/>
              </w:rPr>
              <w:t>2010.12.31</w:t>
            </w:r>
          </w:p>
        </w:tc>
        <w:tc>
          <w:tcPr>
            <w:tcW w:w="238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76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29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left="235" w:right="0"/>
              <w:jc w:val="left"/>
              <w:rPr>
                <w:rFonts w:ascii="宋体" w:hAnsi="宋体" w:cs="宋体" w:eastAsia="宋体" w:hint="default"/>
                <w:sz w:val="21"/>
                <w:szCs w:val="21"/>
              </w:rPr>
            </w:pPr>
            <w:r>
              <w:rPr>
                <w:rFonts w:ascii="宋体"/>
                <w:sz w:val="21"/>
              </w:rPr>
              <w:t>2011.12.31</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3,581,280.55</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1,767,040.97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5,348,321.52</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3、运输工具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2,953,762.25</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760,114.69</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1,981,098.38</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1,732,778.56</w:t>
            </w:r>
          </w:p>
        </w:tc>
      </w:tr>
      <w:tr>
        <w:trPr>
          <w:trHeight w:val="473"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994,633.39</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298,568.24</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108,369.37</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1,184,832.26</w:t>
            </w:r>
          </w:p>
        </w:tc>
      </w:tr>
      <w:tr>
        <w:trPr>
          <w:trHeight w:val="936"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三、固定资产账面</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23,970,840.03</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7"/>
              <w:jc w:val="right"/>
              <w:rPr>
                <w:rFonts w:ascii="宋体" w:hAnsi="宋体" w:cs="宋体" w:eastAsia="宋体" w:hint="default"/>
                <w:sz w:val="18"/>
                <w:szCs w:val="18"/>
              </w:rPr>
            </w:pPr>
            <w:r>
              <w:rPr>
                <w:rFonts w:ascii="宋体"/>
                <w:spacing w:val="-1"/>
                <w:sz w:val="18"/>
              </w:rPr>
              <w:t>30,435,333.83</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12,507,689.97</w:t>
            </w:r>
          </w:p>
        </w:tc>
        <w:tc>
          <w:tcPr>
            <w:tcW w:w="2381" w:type="dxa"/>
            <w:gridSpan w:val="2"/>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14,688,129.78</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7,665,506.79</w:t>
            </w:r>
          </w:p>
        </w:tc>
        <w:tc>
          <w:tcPr>
            <w:tcW w:w="2381" w:type="dxa"/>
            <w:gridSpan w:val="2"/>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13,311,354.68</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3、运输工具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3,239,872.75</w:t>
            </w:r>
          </w:p>
        </w:tc>
        <w:tc>
          <w:tcPr>
            <w:tcW w:w="2381" w:type="dxa"/>
            <w:gridSpan w:val="2"/>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1,954,550.72</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557,770.52</w:t>
            </w:r>
          </w:p>
        </w:tc>
        <w:tc>
          <w:tcPr>
            <w:tcW w:w="2381" w:type="dxa"/>
            <w:gridSpan w:val="2"/>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481,298.65</w:t>
            </w:r>
          </w:p>
        </w:tc>
      </w:tr>
      <w:tr>
        <w:trPr>
          <w:trHeight w:val="934"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458" w:lineRule="exact"/>
              <w:ind w:left="122" w:right="96"/>
              <w:jc w:val="left"/>
              <w:rPr>
                <w:rFonts w:ascii="宋体" w:hAnsi="宋体" w:cs="宋体" w:eastAsia="宋体" w:hint="default"/>
                <w:sz w:val="21"/>
                <w:szCs w:val="21"/>
              </w:rPr>
            </w:pPr>
            <w:r>
              <w:rPr>
                <w:rFonts w:ascii="宋体" w:hAnsi="宋体" w:cs="宋体" w:eastAsia="宋体" w:hint="default"/>
                <w:sz w:val="21"/>
                <w:szCs w:val="21"/>
              </w:rPr>
              <w:t>四、固定资产减值</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准备合计</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宋体" w:hAnsi="宋体" w:cs="宋体" w:eastAsia="宋体" w:hint="default"/>
                <w:sz w:val="18"/>
                <w:szCs w:val="18"/>
              </w:rPr>
            </w:pPr>
            <w:r>
              <w:rPr>
                <w:rFonts w:ascii="宋体"/>
                <w:sz w:val="18"/>
              </w:rPr>
              <w:t>-</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7"/>
              <w:jc w:val="right"/>
              <w:rPr>
                <w:rFonts w:ascii="宋体" w:hAnsi="宋体" w:cs="宋体" w:eastAsia="宋体" w:hint="default"/>
                <w:sz w:val="18"/>
                <w:szCs w:val="18"/>
              </w:rPr>
            </w:pPr>
            <w:r>
              <w:rPr>
                <w:rFonts w:ascii="宋体"/>
                <w:sz w:val="18"/>
              </w:rPr>
              <w:t>-</w:t>
            </w:r>
          </w:p>
        </w:tc>
      </w:tr>
      <w:tr>
        <w:trPr>
          <w:trHeight w:val="936"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五、固定资产账面</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23,970,840.03</w:t>
            </w:r>
          </w:p>
        </w:tc>
        <w:tc>
          <w:tcPr>
            <w:tcW w:w="2381" w:type="dxa"/>
            <w:gridSpan w:val="2"/>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7"/>
              <w:jc w:val="right"/>
              <w:rPr>
                <w:rFonts w:ascii="宋体" w:hAnsi="宋体" w:cs="宋体" w:eastAsia="宋体" w:hint="default"/>
                <w:sz w:val="18"/>
                <w:szCs w:val="18"/>
              </w:rPr>
            </w:pPr>
            <w:r>
              <w:rPr>
                <w:rFonts w:ascii="宋体"/>
                <w:spacing w:val="-1"/>
                <w:sz w:val="18"/>
              </w:rPr>
              <w:t>30,435,333.83</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12,507,689.97</w:t>
            </w:r>
          </w:p>
        </w:tc>
        <w:tc>
          <w:tcPr>
            <w:tcW w:w="2381" w:type="dxa"/>
            <w:gridSpan w:val="2"/>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14,688,129.78</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7,665,506.79</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13,311,354.68</w:t>
            </w:r>
          </w:p>
        </w:tc>
      </w:tr>
      <w:tr>
        <w:trPr>
          <w:trHeight w:val="47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3、运输工具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3,239,872.75</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1,954,550.72</w:t>
            </w:r>
          </w:p>
        </w:tc>
      </w:tr>
      <w:tr>
        <w:trPr>
          <w:trHeight w:val="482" w:hRule="exact"/>
        </w:trPr>
        <w:tc>
          <w:tcPr>
            <w:tcW w:w="193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1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557,770.52</w:t>
            </w:r>
          </w:p>
        </w:tc>
        <w:tc>
          <w:tcPr>
            <w:tcW w:w="238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w:t>
            </w:r>
          </w:p>
        </w:tc>
        <w:tc>
          <w:tcPr>
            <w:tcW w:w="15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481,298.65</w:t>
            </w:r>
          </w:p>
        </w:tc>
      </w:tr>
    </w:tbl>
    <w:p>
      <w:pPr>
        <w:spacing w:line="240" w:lineRule="auto" w:before="6"/>
        <w:rPr>
          <w:rFonts w:ascii="宋体" w:hAnsi="宋体" w:cs="宋体" w:eastAsia="宋体" w:hint="default"/>
          <w:sz w:val="18"/>
          <w:szCs w:val="18"/>
        </w:rPr>
      </w:pPr>
    </w:p>
    <w:p>
      <w:pPr>
        <w:pStyle w:val="BodyText"/>
        <w:spacing w:line="240" w:lineRule="auto" w:before="36"/>
        <w:ind w:left="514" w:right="0"/>
        <w:jc w:val="left"/>
      </w:pPr>
      <w:r>
        <w:rPr/>
        <w:pict>
          <v:shape style="position:absolute;margin-left:103.08847pt;margin-top:-119.078049pt;width:392.95pt;height:64.3pt;mso-position-horizontal-relative:page;mso-position-vertical-relative:paragraph;z-index:-554272;rotation:315" type="#_x0000_t136" fillcolor="#e0e0e0" stroked="f">
            <o:extrusion v:ext="view" autorotationcenter="t"/>
            <v:textpath style="font-family:&amp;quot;Arial&amp;quot;;font-size:64pt;v-text-kern:t;mso-text-shadow:auto" string="UnRegistered"/>
            <w10:wrap type="none"/>
          </v:shape>
        </w:pict>
      </w:r>
      <w:r>
        <w:rPr/>
        <w:t>（2）本期折旧额为</w:t>
      </w:r>
      <w:r>
        <w:rPr>
          <w:spacing w:val="-56"/>
        </w:rPr>
        <w:t> </w:t>
      </w:r>
      <w:r>
        <w:rPr/>
        <w:t>3,266,277.96</w:t>
      </w:r>
      <w:r>
        <w:rPr>
          <w:spacing w:val="-54"/>
        </w:rPr>
        <w:t> </w:t>
      </w:r>
      <w:r>
        <w:rPr/>
        <w:t>元；</w:t>
      </w:r>
    </w:p>
    <w:p>
      <w:pPr>
        <w:spacing w:line="240" w:lineRule="auto" w:before="2"/>
        <w:rPr>
          <w:rFonts w:ascii="宋体" w:hAnsi="宋体" w:cs="宋体" w:eastAsia="宋体" w:hint="default"/>
          <w:sz w:val="26"/>
          <w:szCs w:val="26"/>
        </w:rPr>
      </w:pPr>
    </w:p>
    <w:p>
      <w:pPr>
        <w:pStyle w:val="BodyText"/>
        <w:spacing w:line="240" w:lineRule="auto"/>
        <w:ind w:left="514" w:right="0"/>
        <w:jc w:val="left"/>
      </w:pPr>
      <w:r>
        <w:rPr/>
        <w:t>（3）本期在建工程完工转入固定资产的金额为</w:t>
      </w:r>
      <w:r>
        <w:rPr>
          <w:spacing w:val="-56"/>
        </w:rPr>
        <w:t> </w:t>
      </w:r>
      <w:r>
        <w:rPr/>
        <w:t>2,282,130.34</w:t>
      </w:r>
      <w:r>
        <w:rPr>
          <w:spacing w:val="-58"/>
        </w:rPr>
        <w:t> </w:t>
      </w:r>
      <w:r>
        <w:rPr/>
        <w:t>元；</w:t>
      </w:r>
    </w:p>
    <w:p>
      <w:pPr>
        <w:spacing w:line="240" w:lineRule="auto" w:before="12"/>
        <w:rPr>
          <w:rFonts w:ascii="宋体" w:hAnsi="宋体" w:cs="宋体" w:eastAsia="宋体" w:hint="default"/>
          <w:sz w:val="25"/>
          <w:szCs w:val="25"/>
        </w:rPr>
      </w:pPr>
    </w:p>
    <w:p>
      <w:pPr>
        <w:pStyle w:val="BodyText"/>
        <w:spacing w:line="240" w:lineRule="auto"/>
        <w:ind w:left="514" w:right="0"/>
        <w:jc w:val="left"/>
      </w:pPr>
      <w:r>
        <w:rPr/>
        <w:t>（4）报告期末无通过融资租赁租入的固定资产及经营租赁租出的固定资产；</w:t>
      </w:r>
    </w:p>
    <w:p>
      <w:pPr>
        <w:spacing w:line="240" w:lineRule="auto" w:before="2"/>
        <w:rPr>
          <w:rFonts w:ascii="宋体" w:hAnsi="宋体" w:cs="宋体" w:eastAsia="宋体" w:hint="default"/>
          <w:sz w:val="26"/>
          <w:szCs w:val="26"/>
        </w:rPr>
      </w:pPr>
    </w:p>
    <w:p>
      <w:pPr>
        <w:pStyle w:val="BodyText"/>
        <w:spacing w:line="240" w:lineRule="auto"/>
        <w:ind w:left="514" w:right="0"/>
        <w:jc w:val="left"/>
      </w:pPr>
      <w:r>
        <w:rPr/>
        <w:t>（5）报告期末本公司无未办妥产权证书的固定资产情况；</w:t>
      </w:r>
    </w:p>
    <w:p>
      <w:pPr>
        <w:spacing w:line="240" w:lineRule="auto" w:before="2"/>
        <w:rPr>
          <w:rFonts w:ascii="宋体" w:hAnsi="宋体" w:cs="宋体" w:eastAsia="宋体" w:hint="default"/>
          <w:sz w:val="26"/>
          <w:szCs w:val="26"/>
        </w:rPr>
      </w:pPr>
    </w:p>
    <w:p>
      <w:pPr>
        <w:pStyle w:val="BodyText"/>
        <w:spacing w:line="240" w:lineRule="auto"/>
        <w:ind w:left="514" w:right="0"/>
        <w:jc w:val="left"/>
      </w:pPr>
      <w:r>
        <w:rPr/>
        <w:t>（6）报告期期末不存在固定资产可收回金额低于账面价值而需计提减值准备的情形。</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303" w:right="0"/>
        <w:jc w:val="left"/>
      </w:pPr>
      <w:r>
        <w:rPr/>
        <w:t>10、在建工程</w:t>
      </w:r>
    </w:p>
    <w:p>
      <w:pPr>
        <w:spacing w:line="240" w:lineRule="auto" w:before="2"/>
        <w:rPr>
          <w:rFonts w:ascii="宋体" w:hAnsi="宋体" w:cs="宋体" w:eastAsia="宋体" w:hint="default"/>
          <w:sz w:val="26"/>
          <w:szCs w:val="26"/>
        </w:rPr>
      </w:pPr>
    </w:p>
    <w:p>
      <w:pPr>
        <w:pStyle w:val="BodyText"/>
        <w:spacing w:line="240" w:lineRule="auto"/>
        <w:ind w:left="723" w:right="0"/>
        <w:jc w:val="left"/>
      </w:pPr>
      <w:r>
        <w:rPr/>
        <w:t>（1）在建工程明细情况</w:t>
      </w:r>
    </w:p>
    <w:p>
      <w:pPr>
        <w:spacing w:line="240" w:lineRule="auto" w:before="11"/>
        <w:rPr>
          <w:rFonts w:ascii="宋体" w:hAnsi="宋体" w:cs="宋体" w:eastAsia="宋体" w:hint="default"/>
          <w:sz w:val="16"/>
          <w:szCs w:val="16"/>
        </w:rPr>
      </w:pPr>
    </w:p>
    <w:tbl>
      <w:tblPr>
        <w:tblW w:w="0" w:type="auto"/>
        <w:jc w:val="left"/>
        <w:tblInd w:w="236" w:type="dxa"/>
        <w:tblLayout w:type="fixed"/>
        <w:tblCellMar>
          <w:top w:w="0" w:type="dxa"/>
          <w:left w:w="0" w:type="dxa"/>
          <w:bottom w:w="0" w:type="dxa"/>
          <w:right w:w="0" w:type="dxa"/>
        </w:tblCellMar>
        <w:tblLook w:val="01E0"/>
      </w:tblPr>
      <w:tblGrid>
        <w:gridCol w:w="1188"/>
        <w:gridCol w:w="3802"/>
        <w:gridCol w:w="3619"/>
      </w:tblGrid>
      <w:tr>
        <w:trPr>
          <w:trHeight w:val="490" w:hRule="exact"/>
        </w:trPr>
        <w:tc>
          <w:tcPr>
            <w:tcW w:w="1188"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0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59"/>
              <w:ind w:right="4"/>
              <w:jc w:val="center"/>
              <w:rPr>
                <w:rFonts w:ascii="宋体" w:hAnsi="宋体" w:cs="宋体" w:eastAsia="宋体" w:hint="default"/>
                <w:sz w:val="18"/>
                <w:szCs w:val="18"/>
              </w:rPr>
            </w:pPr>
            <w:r>
              <w:rPr>
                <w:rFonts w:ascii="宋体"/>
                <w:sz w:val="18"/>
              </w:rPr>
              <w:t>2011.12.31</w:t>
            </w:r>
          </w:p>
        </w:tc>
        <w:tc>
          <w:tcPr>
            <w:tcW w:w="3619"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59"/>
              <w:ind w:left="5" w:right="0"/>
              <w:jc w:val="center"/>
              <w:rPr>
                <w:rFonts w:ascii="宋体" w:hAnsi="宋体" w:cs="宋体" w:eastAsia="宋体" w:hint="default"/>
                <w:sz w:val="18"/>
                <w:szCs w:val="18"/>
              </w:rPr>
            </w:pPr>
            <w:r>
              <w:rPr>
                <w:rFonts w:ascii="宋体"/>
                <w:sz w:val="18"/>
              </w:rPr>
              <w:t>2010.12.31</w:t>
            </w:r>
          </w:p>
        </w:tc>
      </w:tr>
    </w:tbl>
    <w:p>
      <w:pPr>
        <w:spacing w:after="0" w:line="240" w:lineRule="auto"/>
        <w:jc w:val="center"/>
        <w:rPr>
          <w:rFonts w:ascii="宋体" w:hAnsi="宋体" w:cs="宋体" w:eastAsia="宋体" w:hint="default"/>
          <w:sz w:val="18"/>
          <w:szCs w:val="18"/>
        </w:rPr>
        <w:sectPr>
          <w:pgSz w:w="11910" w:h="16840"/>
          <w:pgMar w:header="929" w:footer="981" w:top="1180" w:bottom="1180" w:left="1400" w:right="0"/>
        </w:sectPr>
      </w:pPr>
    </w:p>
    <w:p>
      <w:pPr>
        <w:spacing w:line="240" w:lineRule="auto" w:before="8"/>
        <w:rPr>
          <w:rFonts w:ascii="宋体" w:hAnsi="宋体" w:cs="宋体" w:eastAsia="宋体" w:hint="default"/>
          <w:sz w:val="24"/>
          <w:szCs w:val="24"/>
        </w:rPr>
      </w:pPr>
    </w:p>
    <w:tbl>
      <w:tblPr>
        <w:tblW w:w="0" w:type="auto"/>
        <w:jc w:val="left"/>
        <w:tblInd w:w="154" w:type="dxa"/>
        <w:tblLayout w:type="fixed"/>
        <w:tblCellMar>
          <w:top w:w="0" w:type="dxa"/>
          <w:left w:w="0" w:type="dxa"/>
          <w:bottom w:w="0" w:type="dxa"/>
          <w:right w:w="0" w:type="dxa"/>
        </w:tblCellMar>
        <w:tblLook w:val="01E0"/>
      </w:tblPr>
      <w:tblGrid>
        <w:gridCol w:w="1210"/>
        <w:gridCol w:w="1495"/>
        <w:gridCol w:w="823"/>
        <w:gridCol w:w="1483"/>
        <w:gridCol w:w="1442"/>
        <w:gridCol w:w="847"/>
        <w:gridCol w:w="1337"/>
      </w:tblGrid>
      <w:tr>
        <w:trPr>
          <w:trHeight w:val="478" w:hRule="exact"/>
        </w:trPr>
        <w:tc>
          <w:tcPr>
            <w:tcW w:w="1210" w:type="dxa"/>
            <w:tcBorders>
              <w:top w:val="single" w:sz="12" w:space="0" w:color="000000"/>
              <w:left w:val="nil" w:sz="6" w:space="0" w:color="auto"/>
              <w:bottom w:val="single" w:sz="2" w:space="0" w:color="000000"/>
              <w:right w:val="single" w:sz="2" w:space="0" w:color="000000"/>
            </w:tcBorders>
          </w:tcPr>
          <w:p>
            <w:pPr/>
          </w:p>
        </w:tc>
        <w:tc>
          <w:tcPr>
            <w:tcW w:w="14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48"/>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4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账面净值</w:t>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6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3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463" w:hRule="exact"/>
        </w:trPr>
        <w:tc>
          <w:tcPr>
            <w:tcW w:w="1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45"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40"/>
              <w:jc w:val="center"/>
              <w:rPr>
                <w:rFonts w:ascii="宋体" w:hAnsi="宋体" w:cs="宋体" w:eastAsia="宋体" w:hint="default"/>
                <w:sz w:val="18"/>
                <w:szCs w:val="18"/>
              </w:rPr>
            </w:pPr>
            <w:r>
              <w:rPr>
                <w:rFonts w:ascii="宋体"/>
                <w:sz w:val="18"/>
              </w:rPr>
              <w:t>121,938,824.52</w:t>
            </w:r>
          </w:p>
        </w:tc>
        <w:tc>
          <w:tcPr>
            <w:tcW w:w="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33"/>
              <w:jc w:val="right"/>
              <w:rPr>
                <w:rFonts w:ascii="宋体" w:hAnsi="宋体" w:cs="宋体" w:eastAsia="宋体" w:hint="default"/>
                <w:sz w:val="18"/>
                <w:szCs w:val="18"/>
              </w:rPr>
            </w:pPr>
            <w:r>
              <w:rPr>
                <w:rFonts w:ascii="宋体"/>
                <w:sz w:val="18"/>
              </w:rPr>
              <w:t>-</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52"/>
              <w:jc w:val="center"/>
              <w:rPr>
                <w:rFonts w:ascii="宋体" w:hAnsi="宋体" w:cs="宋体" w:eastAsia="宋体" w:hint="default"/>
                <w:sz w:val="18"/>
                <w:szCs w:val="18"/>
              </w:rPr>
            </w:pPr>
            <w:r>
              <w:rPr>
                <w:rFonts w:ascii="宋体"/>
                <w:sz w:val="18"/>
              </w:rPr>
              <w:t>121,938,824.52</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4"/>
              <w:jc w:val="center"/>
              <w:rPr>
                <w:rFonts w:ascii="宋体" w:hAnsi="宋体" w:cs="宋体" w:eastAsia="宋体" w:hint="default"/>
                <w:sz w:val="18"/>
                <w:szCs w:val="18"/>
              </w:rPr>
            </w:pPr>
            <w:r>
              <w:rPr>
                <w:rFonts w:ascii="宋体"/>
                <w:sz w:val="18"/>
              </w:rPr>
              <w:t>89,784,647.87</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33"/>
              <w:jc w:val="right"/>
              <w:rPr>
                <w:rFonts w:ascii="宋体" w:hAnsi="宋体" w:cs="宋体" w:eastAsia="宋体" w:hint="default"/>
                <w:sz w:val="18"/>
                <w:szCs w:val="18"/>
              </w:rPr>
            </w:pPr>
            <w:r>
              <w:rPr>
                <w:rFonts w:ascii="宋体"/>
                <w:sz w:val="18"/>
              </w:rPr>
              <w:t>-</w:t>
            </w:r>
          </w:p>
        </w:tc>
        <w:tc>
          <w:tcPr>
            <w:tcW w:w="13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2"/>
              <w:jc w:val="center"/>
              <w:rPr>
                <w:rFonts w:ascii="宋体" w:hAnsi="宋体" w:cs="宋体" w:eastAsia="宋体" w:hint="default"/>
                <w:sz w:val="18"/>
                <w:szCs w:val="18"/>
              </w:rPr>
            </w:pPr>
            <w:r>
              <w:rPr>
                <w:rFonts w:ascii="宋体"/>
                <w:sz w:val="18"/>
              </w:rPr>
              <w:t>89,784,647.87</w:t>
            </w:r>
          </w:p>
        </w:tc>
      </w:tr>
      <w:tr>
        <w:trPr>
          <w:trHeight w:val="480" w:hRule="exact"/>
        </w:trPr>
        <w:tc>
          <w:tcPr>
            <w:tcW w:w="1210" w:type="dxa"/>
            <w:tcBorders>
              <w:top w:val="single" w:sz="2" w:space="0" w:color="000000"/>
              <w:left w:val="nil" w:sz="6" w:space="0" w:color="auto"/>
              <w:bottom w:val="single" w:sz="12" w:space="0" w:color="000000"/>
              <w:right w:val="single" w:sz="2" w:space="0" w:color="000000"/>
            </w:tcBorders>
          </w:tcPr>
          <w:p>
            <w:pPr>
              <w:pStyle w:val="TableParagraph"/>
              <w:tabs>
                <w:tab w:pos="676" w:val="left" w:leader="none"/>
              </w:tabs>
              <w:spacing w:line="240" w:lineRule="auto" w:before="157"/>
              <w:ind w:left="4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40"/>
              <w:jc w:val="center"/>
              <w:rPr>
                <w:rFonts w:ascii="宋体" w:hAnsi="宋体" w:cs="宋体" w:eastAsia="宋体" w:hint="default"/>
                <w:sz w:val="18"/>
                <w:szCs w:val="18"/>
              </w:rPr>
            </w:pPr>
            <w:r>
              <w:rPr>
                <w:rFonts w:ascii="宋体"/>
                <w:sz w:val="18"/>
              </w:rPr>
              <w:t>121,938,824.52</w:t>
            </w:r>
          </w:p>
        </w:tc>
        <w:tc>
          <w:tcPr>
            <w:tcW w:w="8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33"/>
              <w:jc w:val="right"/>
              <w:rPr>
                <w:rFonts w:ascii="宋体" w:hAnsi="宋体" w:cs="宋体" w:eastAsia="宋体" w:hint="default"/>
                <w:sz w:val="18"/>
                <w:szCs w:val="18"/>
              </w:rPr>
            </w:pPr>
            <w:r>
              <w:rPr>
                <w:rFonts w:ascii="宋体"/>
                <w:sz w:val="18"/>
              </w:rPr>
              <w:t>-</w:t>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53"/>
              <w:jc w:val="center"/>
              <w:rPr>
                <w:rFonts w:ascii="宋体" w:hAnsi="宋体" w:cs="宋体" w:eastAsia="宋体" w:hint="default"/>
                <w:sz w:val="18"/>
                <w:szCs w:val="18"/>
              </w:rPr>
            </w:pPr>
            <w:r>
              <w:rPr>
                <w:rFonts w:ascii="宋体"/>
                <w:sz w:val="18"/>
              </w:rPr>
              <w:t>121,938,824.52</w:t>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4"/>
              <w:jc w:val="center"/>
              <w:rPr>
                <w:rFonts w:ascii="宋体" w:hAnsi="宋体" w:cs="宋体" w:eastAsia="宋体" w:hint="default"/>
                <w:sz w:val="18"/>
                <w:szCs w:val="18"/>
              </w:rPr>
            </w:pPr>
            <w:r>
              <w:rPr>
                <w:rFonts w:ascii="宋体"/>
                <w:sz w:val="18"/>
              </w:rPr>
              <w:t>89,784,647.87</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33"/>
              <w:jc w:val="right"/>
              <w:rPr>
                <w:rFonts w:ascii="宋体" w:hAnsi="宋体" w:cs="宋体" w:eastAsia="宋体" w:hint="default"/>
                <w:sz w:val="18"/>
                <w:szCs w:val="18"/>
              </w:rPr>
            </w:pPr>
            <w:r>
              <w:rPr>
                <w:rFonts w:ascii="宋体"/>
                <w:sz w:val="18"/>
              </w:rPr>
              <w:t>-</w:t>
            </w:r>
          </w:p>
        </w:tc>
        <w:tc>
          <w:tcPr>
            <w:tcW w:w="13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7"/>
              <w:ind w:right="102"/>
              <w:jc w:val="center"/>
              <w:rPr>
                <w:rFonts w:ascii="宋体" w:hAnsi="宋体" w:cs="宋体" w:eastAsia="宋体" w:hint="default"/>
                <w:sz w:val="18"/>
                <w:szCs w:val="18"/>
              </w:rPr>
            </w:pPr>
            <w:r>
              <w:rPr>
                <w:rFonts w:ascii="宋体"/>
                <w:sz w:val="18"/>
              </w:rPr>
              <w:t>89,784,647.87</w:t>
            </w:r>
          </w:p>
        </w:tc>
      </w:tr>
    </w:tbl>
    <w:p>
      <w:pPr>
        <w:spacing w:line="240" w:lineRule="auto" w:before="6"/>
        <w:rPr>
          <w:rFonts w:ascii="宋体" w:hAnsi="宋体" w:cs="宋体" w:eastAsia="宋体" w:hint="default"/>
          <w:sz w:val="18"/>
          <w:szCs w:val="18"/>
        </w:rPr>
      </w:pPr>
    </w:p>
    <w:p>
      <w:pPr>
        <w:pStyle w:val="BodyText"/>
        <w:spacing w:line="240" w:lineRule="auto" w:before="36"/>
        <w:ind w:left="663" w:right="1354"/>
        <w:jc w:val="left"/>
      </w:pPr>
      <w:r>
        <w:rPr/>
        <w:t>（2）在建工程明细项目基本情况及增减变动如下：</w:t>
      </w:r>
    </w:p>
    <w:p>
      <w:pPr>
        <w:spacing w:line="240" w:lineRule="auto" w:before="8"/>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510"/>
        <w:gridCol w:w="862"/>
        <w:gridCol w:w="1495"/>
        <w:gridCol w:w="1687"/>
        <w:gridCol w:w="1495"/>
        <w:gridCol w:w="1685"/>
      </w:tblGrid>
      <w:tr>
        <w:trPr>
          <w:trHeight w:val="480" w:hRule="exact"/>
        </w:trPr>
        <w:tc>
          <w:tcPr>
            <w:tcW w:w="151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09" w:right="0"/>
              <w:jc w:val="left"/>
              <w:rPr>
                <w:rFonts w:ascii="宋体" w:hAnsi="宋体" w:cs="宋体" w:eastAsia="宋体" w:hint="default"/>
                <w:sz w:val="18"/>
                <w:szCs w:val="18"/>
              </w:rPr>
            </w:pPr>
            <w:r>
              <w:rPr>
                <w:rFonts w:ascii="宋体" w:hAnsi="宋体" w:cs="宋体" w:eastAsia="宋体" w:hint="default"/>
                <w:sz w:val="18"/>
                <w:szCs w:val="18"/>
              </w:rPr>
              <w:t>工 程</w:t>
            </w:r>
            <w:r>
              <w:rPr>
                <w:rFonts w:ascii="宋体" w:hAnsi="宋体" w:cs="宋体" w:eastAsia="宋体" w:hint="default"/>
                <w:spacing w:val="-1"/>
                <w:sz w:val="18"/>
                <w:szCs w:val="18"/>
              </w:rPr>
              <w:t> </w:t>
            </w:r>
            <w:r>
              <w:rPr>
                <w:rFonts w:ascii="宋体" w:hAnsi="宋体" w:cs="宋体" w:eastAsia="宋体" w:hint="default"/>
                <w:sz w:val="18"/>
                <w:szCs w:val="18"/>
              </w:rPr>
              <w:t>项目</w:t>
            </w:r>
          </w:p>
        </w:tc>
        <w:tc>
          <w:tcPr>
            <w:tcW w:w="86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8"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318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sz w:val="18"/>
              </w:rPr>
              <w:t>2010.12.31</w:t>
            </w:r>
          </w:p>
        </w:tc>
        <w:tc>
          <w:tcPr>
            <w:tcW w:w="318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9"/>
              <w:ind w:right="5"/>
              <w:jc w:val="center"/>
              <w:rPr>
                <w:rFonts w:ascii="宋体" w:hAnsi="宋体" w:cs="宋体" w:eastAsia="宋体" w:hint="default"/>
                <w:sz w:val="18"/>
                <w:szCs w:val="18"/>
              </w:rPr>
            </w:pPr>
            <w:r>
              <w:rPr>
                <w:rFonts w:ascii="宋体" w:hAnsi="宋体" w:cs="宋体" w:eastAsia="宋体" w:hint="default"/>
                <w:sz w:val="18"/>
                <w:szCs w:val="18"/>
              </w:rPr>
              <w:t>本期增加额</w:t>
            </w:r>
          </w:p>
        </w:tc>
      </w:tr>
      <w:tr>
        <w:trPr>
          <w:trHeight w:val="463" w:hRule="exact"/>
        </w:trPr>
        <w:tc>
          <w:tcPr>
            <w:tcW w:w="1510" w:type="dxa"/>
            <w:vMerge/>
            <w:tcBorders>
              <w:left w:val="nil" w:sz="6" w:space="0" w:color="auto"/>
              <w:bottom w:val="single" w:sz="2" w:space="0" w:color="000000"/>
              <w:right w:val="single" w:sz="2" w:space="0" w:color="000000"/>
            </w:tcBorders>
          </w:tcPr>
          <w:p>
            <w:pPr/>
          </w:p>
        </w:tc>
        <w:tc>
          <w:tcPr>
            <w:tcW w:w="862" w:type="dxa"/>
            <w:vMerge/>
            <w:tcBorders>
              <w:left w:val="single" w:sz="2" w:space="0" w:color="000000"/>
              <w:bottom w:val="single" w:sz="2" w:space="0" w:color="000000"/>
              <w:right w:val="single" w:sz="2" w:space="0" w:color="000000"/>
            </w:tcBorders>
          </w:tcPr>
          <w:p>
            <w:pPr/>
          </w:p>
        </w:tc>
        <w:tc>
          <w:tcPr>
            <w:tcW w:w="1495" w:type="dxa"/>
            <w:tcBorders>
              <w:top w:val="single" w:sz="2" w:space="0" w:color="000000"/>
              <w:left w:val="single" w:sz="2" w:space="0" w:color="000000"/>
              <w:bottom w:val="single" w:sz="2" w:space="0" w:color="000000"/>
              <w:right w:val="single" w:sz="2" w:space="0" w:color="000000"/>
            </w:tcBorders>
          </w:tcPr>
          <w:p>
            <w:pPr>
              <w:pStyle w:val="TableParagraph"/>
              <w:tabs>
                <w:tab w:pos="451" w:val="left" w:leader="none"/>
              </w:tabs>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67"/>
              <w:jc w:val="right"/>
              <w:rPr>
                <w:rFonts w:ascii="宋体" w:hAnsi="宋体" w:cs="宋体" w:eastAsia="宋体" w:hint="default"/>
                <w:sz w:val="18"/>
                <w:szCs w:val="18"/>
              </w:rPr>
            </w:pPr>
            <w:r>
              <w:rPr>
                <w:rFonts w:ascii="宋体" w:hAnsi="宋体" w:cs="宋体" w:eastAsia="宋体" w:hint="default"/>
                <w:sz w:val="18"/>
                <w:szCs w:val="18"/>
              </w:rPr>
              <w:t>其中:利息资本化</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47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left="163" w:right="0"/>
              <w:jc w:val="left"/>
              <w:rPr>
                <w:rFonts w:ascii="宋体" w:hAnsi="宋体" w:cs="宋体" w:eastAsia="宋体" w:hint="default"/>
                <w:sz w:val="18"/>
                <w:szCs w:val="18"/>
              </w:rPr>
            </w:pPr>
            <w:r>
              <w:rPr>
                <w:rFonts w:ascii="宋体" w:hAnsi="宋体" w:cs="宋体" w:eastAsia="宋体" w:hint="default"/>
                <w:sz w:val="18"/>
                <w:szCs w:val="18"/>
              </w:rPr>
              <w:t>其中:利息资本化</w:t>
            </w:r>
          </w:p>
        </w:tc>
      </w:tr>
      <w:tr>
        <w:trPr>
          <w:trHeight w:val="466"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134" w:right="0"/>
              <w:jc w:val="left"/>
              <w:rPr>
                <w:rFonts w:ascii="宋体" w:hAnsi="宋体" w:cs="宋体" w:eastAsia="宋体" w:hint="default"/>
                <w:sz w:val="18"/>
                <w:szCs w:val="18"/>
              </w:rPr>
            </w:pPr>
            <w:r>
              <w:rPr>
                <w:rFonts w:ascii="宋体" w:hAnsi="宋体" w:cs="宋体" w:eastAsia="宋体" w:hint="default"/>
                <w:sz w:val="18"/>
                <w:szCs w:val="18"/>
              </w:rPr>
              <w:t>1.26</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104" w:right="0"/>
              <w:jc w:val="center"/>
              <w:rPr>
                <w:rFonts w:ascii="宋体" w:hAnsi="宋体" w:cs="宋体" w:eastAsia="宋体" w:hint="default"/>
                <w:sz w:val="18"/>
                <w:szCs w:val="18"/>
              </w:rPr>
            </w:pPr>
            <w:r>
              <w:rPr>
                <w:rFonts w:ascii="宋体"/>
                <w:sz w:val="18"/>
              </w:rPr>
              <w:t>89,784,647.87</w:t>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5,504,333.54</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34,436,306.99</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5,632,457.19</w:t>
            </w:r>
          </w:p>
        </w:tc>
      </w:tr>
      <w:tr>
        <w:trPr>
          <w:trHeight w:val="478" w:hRule="exact"/>
        </w:trPr>
        <w:tc>
          <w:tcPr>
            <w:tcW w:w="15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7"/>
              <w:ind w:left="48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62" w:type="dxa"/>
            <w:tcBorders>
              <w:top w:val="single" w:sz="2" w:space="0" w:color="000000"/>
              <w:left w:val="single" w:sz="2" w:space="0" w:color="000000"/>
              <w:bottom w:val="single" w:sz="12" w:space="0" w:color="000000"/>
              <w:right w:val="single" w:sz="2" w:space="0" w:color="000000"/>
            </w:tcBorders>
          </w:tcPr>
          <w:p>
            <w:pP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left="104" w:right="0"/>
              <w:jc w:val="center"/>
              <w:rPr>
                <w:rFonts w:ascii="宋体" w:hAnsi="宋体" w:cs="宋体" w:eastAsia="宋体" w:hint="default"/>
                <w:sz w:val="18"/>
                <w:szCs w:val="18"/>
              </w:rPr>
            </w:pPr>
            <w:r>
              <w:rPr>
                <w:rFonts w:ascii="宋体"/>
                <w:sz w:val="18"/>
              </w:rPr>
              <w:t>89,784,647.87</w:t>
            </w:r>
          </w:p>
        </w:tc>
        <w:tc>
          <w:tcPr>
            <w:tcW w:w="16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5,504,333.54</w:t>
            </w: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34,436,306.99</w:t>
            </w: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5,632,457.19</w:t>
            </w:r>
          </w:p>
        </w:tc>
      </w:tr>
    </w:tbl>
    <w:p>
      <w:pPr>
        <w:spacing w:line="240" w:lineRule="auto" w:before="6"/>
        <w:rPr>
          <w:rFonts w:ascii="宋体" w:hAnsi="宋体" w:cs="宋体" w:eastAsia="宋体" w:hint="default"/>
          <w:sz w:val="18"/>
          <w:szCs w:val="18"/>
        </w:rPr>
      </w:pPr>
    </w:p>
    <w:p>
      <w:pPr>
        <w:pStyle w:val="BodyText"/>
        <w:spacing w:line="240" w:lineRule="auto" w:before="36"/>
        <w:ind w:left="243" w:right="1354"/>
        <w:jc w:val="left"/>
      </w:pPr>
      <w:r>
        <w:rPr/>
        <w:t>续上表：</w:t>
      </w:r>
    </w:p>
    <w:p>
      <w:pPr>
        <w:spacing w:line="240" w:lineRule="auto" w:before="11"/>
        <w:rPr>
          <w:rFonts w:ascii="宋体" w:hAnsi="宋体" w:cs="宋体" w:eastAsia="宋体" w:hint="default"/>
          <w:sz w:val="16"/>
          <w:szCs w:val="16"/>
        </w:rPr>
      </w:pPr>
    </w:p>
    <w:tbl>
      <w:tblPr>
        <w:tblW w:w="0" w:type="auto"/>
        <w:jc w:val="left"/>
        <w:tblInd w:w="202" w:type="dxa"/>
        <w:tblLayout w:type="fixed"/>
        <w:tblCellMar>
          <w:top w:w="0" w:type="dxa"/>
          <w:left w:w="0" w:type="dxa"/>
          <w:bottom w:w="0" w:type="dxa"/>
          <w:right w:w="0" w:type="dxa"/>
        </w:tblCellMar>
        <w:tblLook w:val="01E0"/>
      </w:tblPr>
      <w:tblGrid>
        <w:gridCol w:w="1334"/>
        <w:gridCol w:w="1385"/>
        <w:gridCol w:w="1298"/>
        <w:gridCol w:w="1476"/>
        <w:gridCol w:w="1385"/>
        <w:gridCol w:w="910"/>
        <w:gridCol w:w="756"/>
      </w:tblGrid>
      <w:tr>
        <w:trPr>
          <w:trHeight w:val="478" w:hRule="exact"/>
        </w:trPr>
        <w:tc>
          <w:tcPr>
            <w:tcW w:w="133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工程项目</w:t>
            </w:r>
          </w:p>
        </w:tc>
        <w:tc>
          <w:tcPr>
            <w:tcW w:w="268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861" w:type="dxa"/>
            <w:gridSpan w:val="2"/>
            <w:tcBorders>
              <w:top w:val="single" w:sz="12" w:space="0" w:color="000000"/>
              <w:left w:val="single" w:sz="2" w:space="0" w:color="000000"/>
              <w:bottom w:val="single" w:sz="2" w:space="0" w:color="000000"/>
              <w:right w:val="single" w:sz="8" w:space="0" w:color="000000"/>
            </w:tcBorders>
          </w:tcPr>
          <w:p>
            <w:pPr>
              <w:pStyle w:val="TableParagraph"/>
              <w:spacing w:line="240" w:lineRule="auto" w:before="159"/>
              <w:ind w:left="6" w:right="0"/>
              <w:jc w:val="center"/>
              <w:rPr>
                <w:rFonts w:ascii="宋体" w:hAnsi="宋体" w:cs="宋体" w:eastAsia="宋体" w:hint="default"/>
                <w:sz w:val="18"/>
                <w:szCs w:val="18"/>
              </w:rPr>
            </w:pPr>
            <w:r>
              <w:rPr>
                <w:rFonts w:ascii="宋体"/>
                <w:sz w:val="18"/>
              </w:rPr>
              <w:t>2011.12.31</w:t>
            </w:r>
          </w:p>
        </w:tc>
        <w:tc>
          <w:tcPr>
            <w:tcW w:w="910" w:type="dxa"/>
            <w:vMerge w:val="restart"/>
            <w:tcBorders>
              <w:top w:val="single" w:sz="12"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64" w:lineRule="auto"/>
              <w:ind w:left="261" w:right="26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56" w:type="dxa"/>
            <w:vMerge w:val="restart"/>
            <w:tcBorders>
              <w:top w:val="single" w:sz="12" w:space="0" w:color="000000"/>
              <w:left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66" w:lineRule="auto"/>
              <w:ind w:left="98" w:right="107"/>
              <w:jc w:val="both"/>
              <w:rPr>
                <w:rFonts w:ascii="宋体" w:hAnsi="宋体" w:cs="宋体" w:eastAsia="宋体" w:hint="default"/>
                <w:sz w:val="18"/>
                <w:szCs w:val="18"/>
              </w:rPr>
            </w:pPr>
            <w:r>
              <w:rPr>
                <w:rFonts w:ascii="宋体" w:hAnsi="宋体" w:cs="宋体" w:eastAsia="宋体" w:hint="default"/>
                <w:sz w:val="18"/>
                <w:szCs w:val="18"/>
              </w:rPr>
              <w:t>工程投 入占预 算比例</w:t>
            </w:r>
          </w:p>
        </w:tc>
      </w:tr>
      <w:tr>
        <w:trPr>
          <w:trHeight w:val="686" w:hRule="exact"/>
        </w:trPr>
        <w:tc>
          <w:tcPr>
            <w:tcW w:w="1334" w:type="dxa"/>
            <w:vMerge/>
            <w:tcBorders>
              <w:left w:val="nil" w:sz="6" w:space="0" w:color="auto"/>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其中:转固</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1385" w:type="dxa"/>
            <w:tcBorders>
              <w:top w:val="single" w:sz="2" w:space="0" w:color="000000"/>
              <w:left w:val="single" w:sz="2" w:space="0" w:color="000000"/>
              <w:bottom w:val="single" w:sz="2" w:space="0" w:color="000000"/>
              <w:right w:val="single" w:sz="8" w:space="0" w:color="000000"/>
            </w:tcBorders>
          </w:tcPr>
          <w:p>
            <w:pPr>
              <w:pStyle w:val="TableParagraph"/>
              <w:spacing w:line="264" w:lineRule="auto" w:before="77"/>
              <w:ind w:left="600" w:right="95" w:hanging="495"/>
              <w:jc w:val="left"/>
              <w:rPr>
                <w:rFonts w:ascii="宋体" w:hAnsi="宋体" w:cs="宋体" w:eastAsia="宋体" w:hint="default"/>
                <w:sz w:val="18"/>
                <w:szCs w:val="18"/>
              </w:rPr>
            </w:pPr>
            <w:r>
              <w:rPr>
                <w:rFonts w:ascii="宋体" w:hAnsi="宋体" w:cs="宋体" w:eastAsia="宋体" w:hint="default"/>
                <w:sz w:val="18"/>
                <w:szCs w:val="18"/>
              </w:rPr>
              <w:t>其中:利息资本 化</w:t>
            </w:r>
          </w:p>
        </w:tc>
        <w:tc>
          <w:tcPr>
            <w:tcW w:w="910" w:type="dxa"/>
            <w:vMerge/>
            <w:tcBorders>
              <w:left w:val="single" w:sz="8" w:space="0" w:color="000000"/>
              <w:bottom w:val="single" w:sz="8" w:space="0" w:color="000000"/>
              <w:right w:val="single" w:sz="8" w:space="0" w:color="000000"/>
            </w:tcBorders>
          </w:tcPr>
          <w:p>
            <w:pPr/>
          </w:p>
        </w:tc>
        <w:tc>
          <w:tcPr>
            <w:tcW w:w="756" w:type="dxa"/>
            <w:vMerge/>
            <w:tcBorders>
              <w:left w:val="single" w:sz="8" w:space="0" w:color="000000"/>
              <w:bottom w:val="single" w:sz="8" w:space="0" w:color="000000"/>
              <w:right w:val="nil" w:sz="6" w:space="0" w:color="auto"/>
            </w:tcBorders>
          </w:tcPr>
          <w:p>
            <w:pPr/>
          </w:p>
        </w:tc>
      </w:tr>
      <w:tr>
        <w:trPr>
          <w:trHeight w:val="989"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8"/>
                <w:szCs w:val="18"/>
              </w:rPr>
            </w:pPr>
            <w:r>
              <w:rPr>
                <w:rFonts w:ascii="宋体"/>
                <w:sz w:val="18"/>
              </w:rPr>
              <w:t>2,282,130.34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2,282,130.34</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121,938,824.52</w:t>
            </w:r>
          </w:p>
        </w:tc>
        <w:tc>
          <w:tcPr>
            <w:tcW w:w="1385"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sz w:val="18"/>
              </w:rPr>
              <w:t>11,136,790.73</w:t>
            </w:r>
          </w:p>
        </w:tc>
        <w:tc>
          <w:tcPr>
            <w:tcW w:w="910" w:type="dxa"/>
            <w:tcBorders>
              <w:top w:val="single" w:sz="8" w:space="0" w:color="000000"/>
              <w:left w:val="single" w:sz="8" w:space="0" w:color="000000"/>
              <w:bottom w:val="single" w:sz="8" w:space="0" w:color="000000"/>
              <w:right w:val="single" w:sz="8" w:space="0" w:color="000000"/>
            </w:tcBorders>
          </w:tcPr>
          <w:p>
            <w:pPr>
              <w:pStyle w:val="TableParagraph"/>
              <w:spacing w:line="458" w:lineRule="exact" w:before="8"/>
              <w:ind w:left="352" w:right="98" w:hanging="255"/>
              <w:jc w:val="left"/>
              <w:rPr>
                <w:rFonts w:ascii="宋体" w:hAnsi="宋体" w:cs="宋体" w:eastAsia="宋体" w:hint="default"/>
                <w:sz w:val="18"/>
                <w:szCs w:val="18"/>
              </w:rPr>
            </w:pPr>
            <w:r>
              <w:rPr>
                <w:rFonts w:ascii="宋体" w:hAnsi="宋体" w:cs="宋体" w:eastAsia="宋体" w:hint="default"/>
                <w:spacing w:val="-8"/>
                <w:sz w:val="18"/>
                <w:szCs w:val="18"/>
              </w:rPr>
              <w:t>自筹、借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w:t>
            </w:r>
          </w:p>
        </w:tc>
        <w:tc>
          <w:tcPr>
            <w:tcW w:w="756"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98" w:right="0"/>
              <w:jc w:val="left"/>
              <w:rPr>
                <w:rFonts w:ascii="宋体" w:hAnsi="宋体" w:cs="宋体" w:eastAsia="宋体" w:hint="default"/>
                <w:sz w:val="18"/>
                <w:szCs w:val="18"/>
              </w:rPr>
            </w:pPr>
            <w:r>
              <w:rPr>
                <w:rFonts w:ascii="宋体"/>
                <w:sz w:val="18"/>
              </w:rPr>
              <w:t>98.59%</w:t>
            </w:r>
          </w:p>
        </w:tc>
      </w:tr>
      <w:tr>
        <w:trPr>
          <w:trHeight w:val="542" w:hRule="exact"/>
        </w:trPr>
        <w:tc>
          <w:tcPr>
            <w:tcW w:w="13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5" w:right="0"/>
              <w:jc w:val="center"/>
              <w:rPr>
                <w:rFonts w:ascii="宋体" w:hAnsi="宋体" w:cs="宋体" w:eastAsia="宋体" w:hint="default"/>
                <w:sz w:val="18"/>
                <w:szCs w:val="18"/>
              </w:rPr>
            </w:pPr>
            <w:r>
              <w:rPr>
                <w:rFonts w:ascii="宋体"/>
                <w:sz w:val="18"/>
              </w:rPr>
              <w:t>2,282,130.34</w:t>
            </w: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2,282,130.34</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121,938,824.52</w:t>
            </w:r>
          </w:p>
        </w:tc>
        <w:tc>
          <w:tcPr>
            <w:tcW w:w="1385" w:type="dxa"/>
            <w:tcBorders>
              <w:top w:val="single" w:sz="2" w:space="0" w:color="000000"/>
              <w:left w:val="single" w:sz="2" w:space="0" w:color="000000"/>
              <w:bottom w:val="single" w:sz="12"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8"/>
                <w:szCs w:val="18"/>
              </w:rPr>
            </w:pPr>
            <w:r>
              <w:rPr>
                <w:rFonts w:ascii="宋体"/>
                <w:sz w:val="18"/>
              </w:rPr>
              <w:t>11,136,790.73</w:t>
            </w:r>
          </w:p>
        </w:tc>
        <w:tc>
          <w:tcPr>
            <w:tcW w:w="910" w:type="dxa"/>
            <w:tcBorders>
              <w:top w:val="single" w:sz="8" w:space="0" w:color="000000"/>
              <w:left w:val="single" w:sz="8" w:space="0" w:color="000000"/>
              <w:bottom w:val="single" w:sz="12" w:space="0" w:color="000000"/>
              <w:right w:val="single" w:sz="8" w:space="0" w:color="000000"/>
            </w:tcBorders>
          </w:tcPr>
          <w:p>
            <w:pPr/>
          </w:p>
        </w:tc>
        <w:tc>
          <w:tcPr>
            <w:tcW w:w="75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8"/>
          <w:szCs w:val="18"/>
        </w:rPr>
      </w:pPr>
    </w:p>
    <w:p>
      <w:pPr>
        <w:pStyle w:val="BodyText"/>
        <w:spacing w:line="240" w:lineRule="auto" w:before="36"/>
        <w:ind w:left="663" w:right="1354"/>
        <w:jc w:val="left"/>
      </w:pPr>
      <w:r>
        <w:rPr/>
        <w:pict>
          <v:shape style="position:absolute;margin-left:103.08847pt;margin-top:-73.238052pt;width:392.95pt;height:64.3pt;mso-position-horizontal-relative:page;mso-position-vertical-relative:paragraph;z-index:-554248;rotation:315" type="#_x0000_t136" fillcolor="#e0e0e0" stroked="f">
            <o:extrusion v:ext="view" autorotationcenter="t"/>
            <v:textpath style="font-family:&amp;quot;Arial&amp;quot;;font-size:64pt;v-text-kern:t;mso-text-shadow:auto" string="UnRegistered"/>
            <w10:wrap type="none"/>
          </v:shape>
        </w:pict>
      </w:r>
      <w:r>
        <w:rPr/>
        <w:t>（3）报告期期末不存在在建工程可收回金额低于账面价值而需计提减值准备的情形；</w:t>
      </w:r>
    </w:p>
    <w:p>
      <w:pPr>
        <w:spacing w:line="240" w:lineRule="auto" w:before="2"/>
        <w:rPr>
          <w:rFonts w:ascii="宋体" w:hAnsi="宋体" w:cs="宋体" w:eastAsia="宋体" w:hint="default"/>
          <w:sz w:val="26"/>
          <w:szCs w:val="26"/>
        </w:rPr>
      </w:pPr>
    </w:p>
    <w:p>
      <w:pPr>
        <w:pStyle w:val="BodyText"/>
        <w:spacing w:line="240" w:lineRule="auto"/>
        <w:ind w:left="663" w:right="1354"/>
        <w:jc w:val="left"/>
      </w:pPr>
      <w:r>
        <w:rPr/>
        <w:t>（4）重大工程的进度情况：</w:t>
      </w:r>
    </w:p>
    <w:p>
      <w:pPr>
        <w:spacing w:line="240" w:lineRule="auto" w:before="2"/>
        <w:rPr>
          <w:rFonts w:ascii="宋体" w:hAnsi="宋体" w:cs="宋体" w:eastAsia="宋体" w:hint="default"/>
          <w:sz w:val="26"/>
          <w:szCs w:val="26"/>
        </w:rPr>
      </w:pPr>
    </w:p>
    <w:p>
      <w:pPr>
        <w:pStyle w:val="BodyText"/>
        <w:spacing w:line="400" w:lineRule="auto"/>
        <w:ind w:left="243" w:right="1354" w:firstLine="420"/>
        <w:jc w:val="left"/>
      </w:pPr>
      <w:r>
        <w:rPr/>
        <w:t>本公司属下子公司贵州六盘水吉源煤业有限公司</w:t>
      </w:r>
      <w:r>
        <w:rPr>
          <w:spacing w:val="-57"/>
        </w:rPr>
        <w:t> </w:t>
      </w:r>
      <w:r>
        <w:rPr/>
        <w:t>2009</w:t>
      </w:r>
      <w:r>
        <w:rPr>
          <w:spacing w:val="-55"/>
        </w:rPr>
        <w:t> </w:t>
      </w:r>
      <w:r>
        <w:rPr/>
        <w:t>年度修正了煤矿工程的开采设计方</w:t>
      </w:r>
      <w:r>
        <w:rPr>
          <w:w w:val="100"/>
        </w:rPr>
        <w:t> </w:t>
      </w:r>
      <w:r>
        <w:rPr>
          <w:spacing w:val="-2"/>
        </w:rPr>
        <w:t>案，修改后的开采方案改进了原设计技术上的不足，减少了开采工程量，建设期也相应缩短，</w:t>
      </w:r>
      <w:r>
        <w:rPr>
          <w:spacing w:val="-35"/>
        </w:rPr>
        <w:t> </w:t>
      </w:r>
      <w:r>
        <w:rPr>
          <w:spacing w:val="-35"/>
        </w:rPr>
      </w:r>
      <w:r>
        <w:rPr/>
        <w:t>在安全上、经济上都更为优化。上述变更后的开采方案已于</w:t>
      </w:r>
      <w:r>
        <w:rPr>
          <w:spacing w:val="-36"/>
        </w:rPr>
        <w:t> </w:t>
      </w:r>
      <w:r>
        <w:rPr/>
        <w:t>2010</w:t>
      </w:r>
      <w:r>
        <w:rPr>
          <w:spacing w:val="-36"/>
        </w:rPr>
        <w:t> </w:t>
      </w:r>
      <w:r>
        <w:rPr/>
        <w:t>年</w:t>
      </w:r>
      <w:r>
        <w:rPr>
          <w:spacing w:val="-36"/>
        </w:rPr>
        <w:t> </w:t>
      </w:r>
      <w:r>
        <w:rPr/>
        <w:t>1</w:t>
      </w:r>
      <w:r>
        <w:rPr>
          <w:spacing w:val="-38"/>
        </w:rPr>
        <w:t> </w:t>
      </w:r>
      <w:r>
        <w:rPr/>
        <w:t>月</w:t>
      </w:r>
      <w:r>
        <w:rPr>
          <w:spacing w:val="-36"/>
        </w:rPr>
        <w:t> </w:t>
      </w:r>
      <w:r>
        <w:rPr/>
        <w:t>28</w:t>
      </w:r>
      <w:r>
        <w:rPr>
          <w:spacing w:val="-38"/>
        </w:rPr>
        <w:t> </w:t>
      </w:r>
      <w:r>
        <w:rPr/>
        <w:t>日取得贵州煤矿</w:t>
      </w:r>
      <w:r>
        <w:rPr>
          <w:w w:val="100"/>
        </w:rPr>
        <w:t> </w:t>
      </w:r>
      <w:r>
        <w:rPr/>
        <w:t>安监局水城分局的《安全专篇》批复。</w:t>
      </w:r>
    </w:p>
    <w:p>
      <w:pPr>
        <w:spacing w:line="240" w:lineRule="auto" w:before="3"/>
        <w:rPr>
          <w:rFonts w:ascii="宋体" w:hAnsi="宋体" w:cs="宋体" w:eastAsia="宋体" w:hint="default"/>
          <w:sz w:val="15"/>
          <w:szCs w:val="15"/>
        </w:rPr>
      </w:pPr>
    </w:p>
    <w:p>
      <w:pPr>
        <w:pStyle w:val="BodyText"/>
        <w:spacing w:line="674" w:lineRule="auto"/>
        <w:ind w:left="243" w:right="4414" w:firstLine="420"/>
        <w:jc w:val="left"/>
      </w:pPr>
      <w:r>
        <w:rPr/>
        <w:pict>
          <v:shape style="position:absolute;margin-left:78.338257pt;margin-top:63.383667pt;width:438.85pt;height:54.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0"/>
                    <w:gridCol w:w="1906"/>
                    <w:gridCol w:w="1908"/>
                    <w:gridCol w:w="1906"/>
                    <w:gridCol w:w="1634"/>
                  </w:tblGrid>
                  <w:tr>
                    <w:trPr>
                      <w:trHeight w:val="535" w:hRule="exact"/>
                    </w:trPr>
                    <w:tc>
                      <w:tcPr>
                        <w:tcW w:w="1380" w:type="dxa"/>
                        <w:tcBorders>
                          <w:top w:val="single" w:sz="12" w:space="0" w:color="000000"/>
                          <w:left w:val="nil" w:sz="6" w:space="0" w:color="auto"/>
                          <w:bottom w:val="single" w:sz="8" w:space="0" w:color="000000"/>
                          <w:right w:val="single" w:sz="8" w:space="0" w:color="000000"/>
                        </w:tcBorders>
                      </w:tcPr>
                      <w:p>
                        <w:pPr>
                          <w:pStyle w:val="TableParagraph"/>
                          <w:tabs>
                            <w:tab w:pos="647" w:val="left" w:leader="none"/>
                          </w:tabs>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2010.12.31</w:t>
                        </w:r>
                      </w:p>
                    </w:tc>
                    <w:tc>
                      <w:tcPr>
                        <w:tcW w:w="190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4"/>
                          <w:ind w:left="52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4"/>
                          <w:ind w:left="52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2011.12.31</w:t>
                        </w:r>
                      </w:p>
                    </w:tc>
                  </w:tr>
                  <w:tr>
                    <w:trPr>
                      <w:trHeight w:val="530" w:hRule="exact"/>
                    </w:trPr>
                    <w:tc>
                      <w:tcPr>
                        <w:tcW w:w="13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宋体" w:hAnsi="宋体" w:cs="宋体" w:eastAsia="宋体" w:hint="default"/>
                            <w:sz w:val="21"/>
                            <w:szCs w:val="21"/>
                          </w:rPr>
                        </w:pPr>
                        <w:r>
                          <w:rPr>
                            <w:rFonts w:ascii="宋体"/>
                            <w:spacing w:val="-1"/>
                            <w:sz w:val="21"/>
                          </w:rPr>
                          <w:t>2,234,274.62</w:t>
                        </w:r>
                      </w:p>
                    </w:tc>
                    <w:tc>
                      <w:tcPr>
                        <w:tcW w:w="19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525" w:right="0"/>
                          <w:jc w:val="left"/>
                          <w:rPr>
                            <w:rFonts w:ascii="宋体" w:hAnsi="宋体" w:cs="宋体" w:eastAsia="宋体" w:hint="default"/>
                            <w:sz w:val="21"/>
                            <w:szCs w:val="21"/>
                          </w:rPr>
                        </w:pPr>
                        <w:r>
                          <w:rPr>
                            <w:rFonts w:ascii="宋体"/>
                            <w:sz w:val="21"/>
                          </w:rPr>
                          <w:t>8,833,515.47</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525" w:right="0"/>
                          <w:jc w:val="left"/>
                          <w:rPr>
                            <w:rFonts w:ascii="宋体" w:hAnsi="宋体" w:cs="宋体" w:eastAsia="宋体" w:hint="default"/>
                            <w:sz w:val="21"/>
                            <w:szCs w:val="21"/>
                          </w:rPr>
                        </w:pPr>
                        <w:r>
                          <w:rPr>
                            <w:rFonts w:ascii="宋体"/>
                            <w:sz w:val="21"/>
                          </w:rPr>
                          <w:t>9,117,613.51</w:t>
                        </w:r>
                      </w:p>
                    </w:tc>
                    <w:tc>
                      <w:tcPr>
                        <w:tcW w:w="163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1,950,176.58</w:t>
                        </w:r>
                      </w:p>
                    </w:tc>
                  </w:tr>
                </w:tbl>
                <w:p>
                  <w:pPr/>
                </w:p>
              </w:txbxContent>
            </v:textbox>
            <w10:wrap type="none"/>
          </v:shape>
        </w:pict>
      </w:r>
      <w:r>
        <w:rPr/>
        <w:t>截至</w:t>
      </w:r>
      <w:r>
        <w:rPr>
          <w:spacing w:val="-53"/>
        </w:rPr>
        <w:t> </w:t>
      </w:r>
      <w:r>
        <w:rPr/>
        <w:t>2011</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日止，煤矿巷道工程处于验收阶段。</w:t>
      </w:r>
      <w:r>
        <w:rPr>
          <w:w w:val="100"/>
        </w:rPr>
        <w:t> </w:t>
      </w:r>
      <w:r>
        <w:rPr/>
        <w:t>10、工程物资</w:t>
      </w:r>
    </w:p>
    <w:p>
      <w:pPr>
        <w:spacing w:after="0" w:line="674" w:lineRule="auto"/>
        <w:jc w:val="left"/>
        <w:sectPr>
          <w:pgSz w:w="11910" w:h="16840"/>
          <w:pgMar w:header="929" w:footer="981" w:top="1180" w:bottom="1180" w:left="1460" w:right="0"/>
        </w:sectPr>
      </w:pPr>
    </w:p>
    <w:p>
      <w:pPr>
        <w:spacing w:line="240" w:lineRule="auto" w:before="11"/>
        <w:rPr>
          <w:rFonts w:ascii="宋体" w:hAnsi="宋体" w:cs="宋体" w:eastAsia="宋体" w:hint="default"/>
          <w:sz w:val="23"/>
          <w:szCs w:val="23"/>
        </w:rPr>
      </w:pPr>
    </w:p>
    <w:p>
      <w:pPr>
        <w:spacing w:line="549" w:lineRule="exact"/>
        <w:ind w:left="106"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38.15pt;height:27.5pt;mso-position-horizontal-relative:char;mso-position-vertical-relative:line" coordorigin="0,0" coordsize="8763,550">
            <v:group style="position:absolute;left:14;top:535;width:1371;height:2" coordorigin="14,535" coordsize="1371,2">
              <v:shape style="position:absolute;left:14;top:535;width:1371;height:2" coordorigin="14,535" coordsize="1371,0" path="m14,535l1385,535e" filled="false" stroked="true" strokeweight="1.44pt" strokecolor="#000000">
                <v:path arrowok="t"/>
              </v:shape>
            </v:group>
            <v:group style="position:absolute;left:1394;top:10;width:2;height:512" coordorigin="1394,10" coordsize="2,512">
              <v:shape style="position:absolute;left:1394;top:10;width:2;height:512" coordorigin="1394,10" coordsize="0,512" path="m1394,10l1394,521e" filled="false" stroked="true" strokeweight=".96pt" strokecolor="#000000">
                <v:path arrowok="t"/>
              </v:shape>
            </v:group>
            <v:group style="position:absolute;left:1385;top:535;width:29;height:2" coordorigin="1385,535" coordsize="29,2">
              <v:shape style="position:absolute;left:1385;top:535;width:29;height:2" coordorigin="1385,535" coordsize="29,0" path="m1385,535l1414,535e" filled="false" stroked="true" strokeweight="1.44pt" strokecolor="#000000">
                <v:path arrowok="t"/>
              </v:shape>
            </v:group>
            <v:group style="position:absolute;left:1414;top:535;width:1877;height:2" coordorigin="1414,535" coordsize="1877,2">
              <v:shape style="position:absolute;left:1414;top:535;width:1877;height:2" coordorigin="1414,535" coordsize="1877,0" path="m1414,535l3290,535e" filled="false" stroked="true" strokeweight="1.44pt" strokecolor="#000000">
                <v:path arrowok="t"/>
              </v:shape>
            </v:group>
            <v:group style="position:absolute;left:3300;top:10;width:2;height:512" coordorigin="3300,10" coordsize="2,512">
              <v:shape style="position:absolute;left:3300;top:10;width:2;height:512" coordorigin="3300,10" coordsize="0,512" path="m3300,10l3300,521e" filled="false" stroked="true" strokeweight=".96pt" strokecolor="#000000">
                <v:path arrowok="t"/>
              </v:shape>
            </v:group>
            <v:group style="position:absolute;left:3290;top:535;width:29;height:2" coordorigin="3290,535" coordsize="29,2">
              <v:shape style="position:absolute;left:3290;top:535;width:29;height:2" coordorigin="3290,535" coordsize="29,0" path="m3290,535l3319,535e" filled="false" stroked="true" strokeweight="1.44pt" strokecolor="#000000">
                <v:path arrowok="t"/>
              </v:shape>
            </v:group>
            <v:group style="position:absolute;left:3319;top:535;width:1880;height:2" coordorigin="3319,535" coordsize="1880,2">
              <v:shape style="position:absolute;left:3319;top:535;width:1880;height:2" coordorigin="3319,535" coordsize="1880,0" path="m3319,535l5198,535e" filled="false" stroked="true" strokeweight="1.44pt" strokecolor="#000000">
                <v:path arrowok="t"/>
              </v:shape>
            </v:group>
            <v:group style="position:absolute;left:5208;top:10;width:2;height:512" coordorigin="5208,10" coordsize="2,512">
              <v:shape style="position:absolute;left:5208;top:10;width:2;height:512" coordorigin="5208,10" coordsize="0,512" path="m5208,10l5208,521e" filled="false" stroked="true" strokeweight=".96pt" strokecolor="#000000">
                <v:path arrowok="t"/>
              </v:shape>
            </v:group>
            <v:group style="position:absolute;left:5198;top:535;width:29;height:2" coordorigin="5198,535" coordsize="29,2">
              <v:shape style="position:absolute;left:5198;top:535;width:29;height:2" coordorigin="5198,535" coordsize="29,0" path="m5198,535l5227,535e" filled="false" stroked="true" strokeweight="1.44pt" strokecolor="#000000">
                <v:path arrowok="t"/>
              </v:shape>
            </v:group>
            <v:group style="position:absolute;left:5227;top:535;width:1877;height:2" coordorigin="5227,535" coordsize="1877,2">
              <v:shape style="position:absolute;left:5227;top:535;width:1877;height:2" coordorigin="5227,535" coordsize="1877,0" path="m5227,535l7104,535e" filled="false" stroked="true" strokeweight="1.44pt" strokecolor="#000000">
                <v:path arrowok="t"/>
              </v:shape>
            </v:group>
            <v:group style="position:absolute;left:7114;top:10;width:2;height:512" coordorigin="7114,10" coordsize="2,512">
              <v:shape style="position:absolute;left:7114;top:10;width:2;height:512" coordorigin="7114,10" coordsize="0,512" path="m7114,10l7114,521e" filled="false" stroked="true" strokeweight=".96pt" strokecolor="#000000">
                <v:path arrowok="t"/>
              </v:shape>
            </v:group>
            <v:group style="position:absolute;left:7104;top:535;width:29;height:2" coordorigin="7104,535" coordsize="29,2">
              <v:shape style="position:absolute;left:7104;top:535;width:29;height:2" coordorigin="7104,535" coordsize="29,0" path="m7104,535l7133,535e" filled="false" stroked="true" strokeweight="1.44pt" strokecolor="#000000">
                <v:path arrowok="t"/>
              </v:shape>
            </v:group>
            <v:group style="position:absolute;left:7133;top:535;width:1616;height:2" coordorigin="7133,535" coordsize="1616,2">
              <v:shape style="position:absolute;left:7133;top:535;width:1616;height:2" coordorigin="7133,535" coordsize="1616,0" path="m7133,535l8748,535e" filled="false" stroked="true" strokeweight="1.44pt" strokecolor="#000000">
                <v:path arrowok="t"/>
              </v:shape>
              <v:shape style="position:absolute;left:137;top:195;width:634;height:212" type="#_x0000_t202" filled="false" stroked="false">
                <v:textbox inset="0,0,0,0">
                  <w:txbxContent>
                    <w:p>
                      <w:pPr>
                        <w:tabs>
                          <w:tab w:pos="42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1930;top:195;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2,234,274.62</w:t>
                      </w:r>
                    </w:p>
                  </w:txbxContent>
                </v:textbox>
                <w10:wrap type="none"/>
              </v:shape>
              <v:shape style="position:absolute;left:3835;top:195;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8,833,515.47</w:t>
                      </w:r>
                    </w:p>
                  </w:txbxContent>
                </v:textbox>
                <w10:wrap type="none"/>
              </v:shape>
              <v:shape style="position:absolute;left:5743;top:195;width:2900;height:212" type="#_x0000_t202" filled="false" stroked="false">
                <v:textbox inset="0,0,0,0">
                  <w:txbxContent>
                    <w:p>
                      <w:pPr>
                        <w:tabs>
                          <w:tab w:pos="1636" w:val="left" w:leader="none"/>
                        </w:tabs>
                        <w:spacing w:line="211" w:lineRule="exact" w:before="0"/>
                        <w:ind w:left="0" w:right="0" w:firstLine="0"/>
                        <w:jc w:val="left"/>
                        <w:rPr>
                          <w:rFonts w:ascii="宋体" w:hAnsi="宋体" w:cs="宋体" w:eastAsia="宋体" w:hint="default"/>
                          <w:sz w:val="21"/>
                          <w:szCs w:val="21"/>
                        </w:rPr>
                      </w:pPr>
                      <w:r>
                        <w:rPr>
                          <w:rFonts w:ascii="宋体"/>
                          <w:spacing w:val="-1"/>
                          <w:sz w:val="21"/>
                        </w:rPr>
                        <w:t>9,117,613.51</w:t>
                        <w:tab/>
                        <w:t>1,950,176.58</w:t>
                      </w:r>
                    </w:p>
                  </w:txbxContent>
                </v:textbox>
                <w10:wrap type="none"/>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pStyle w:val="BodyText"/>
        <w:spacing w:line="240" w:lineRule="auto" w:before="173"/>
        <w:ind w:left="243" w:right="1354"/>
        <w:jc w:val="left"/>
      </w:pPr>
      <w:r>
        <w:rPr/>
        <w:t>11、无形资产</w:t>
      </w:r>
    </w:p>
    <w:p>
      <w:pPr>
        <w:spacing w:line="240" w:lineRule="auto" w:before="12"/>
        <w:rPr>
          <w:rFonts w:ascii="宋体" w:hAnsi="宋体" w:cs="宋体" w:eastAsia="宋体" w:hint="default"/>
          <w:sz w:val="25"/>
          <w:szCs w:val="25"/>
        </w:rPr>
      </w:pPr>
    </w:p>
    <w:p>
      <w:pPr>
        <w:pStyle w:val="BodyText"/>
        <w:spacing w:line="240" w:lineRule="auto"/>
        <w:ind w:left="243" w:right="1354"/>
        <w:jc w:val="left"/>
      </w:pPr>
      <w:r>
        <w:rPr/>
        <w:t>（1）无形资产明细如下：</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810"/>
        <w:gridCol w:w="1015"/>
        <w:gridCol w:w="1502"/>
        <w:gridCol w:w="1404"/>
        <w:gridCol w:w="1404"/>
        <w:gridCol w:w="1598"/>
      </w:tblGrid>
      <w:tr>
        <w:trPr>
          <w:trHeight w:val="478" w:hRule="exact"/>
        </w:trPr>
        <w:tc>
          <w:tcPr>
            <w:tcW w:w="1810" w:type="dxa"/>
            <w:tcBorders>
              <w:top w:val="single" w:sz="12" w:space="0" w:color="000000"/>
              <w:left w:val="nil" w:sz="6" w:space="0" w:color="auto"/>
              <w:bottom w:val="single" w:sz="2" w:space="0" w:color="000000"/>
              <w:right w:val="single" w:sz="8" w:space="0" w:color="000000"/>
            </w:tcBorders>
          </w:tcPr>
          <w:p>
            <w:pPr>
              <w:pStyle w:val="TableParagraph"/>
              <w:spacing w:line="240" w:lineRule="auto" w:before="159"/>
              <w:ind w:left="2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015"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1502"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59"/>
              <w:ind w:left="290" w:right="0"/>
              <w:jc w:val="left"/>
              <w:rPr>
                <w:rFonts w:ascii="宋体" w:hAnsi="宋体" w:cs="宋体" w:eastAsia="宋体" w:hint="default"/>
                <w:sz w:val="18"/>
                <w:szCs w:val="18"/>
              </w:rPr>
            </w:pPr>
            <w:r>
              <w:rPr>
                <w:rFonts w:ascii="宋体"/>
                <w:sz w:val="18"/>
              </w:rPr>
              <w:t>2010.12.31</w:t>
            </w:r>
          </w:p>
        </w:tc>
        <w:tc>
          <w:tcPr>
            <w:tcW w:w="1404"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59"/>
              <w:ind w:left="23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04"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59"/>
              <w:ind w:left="240"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98" w:type="dxa"/>
            <w:tcBorders>
              <w:top w:val="single" w:sz="12" w:space="0" w:color="000000"/>
              <w:left w:val="single" w:sz="8" w:space="0" w:color="000000"/>
              <w:bottom w:val="single" w:sz="2" w:space="0" w:color="000000"/>
              <w:right w:val="nil" w:sz="6" w:space="0" w:color="auto"/>
            </w:tcBorders>
          </w:tcPr>
          <w:p>
            <w:pPr>
              <w:pStyle w:val="TableParagraph"/>
              <w:spacing w:line="240" w:lineRule="auto" w:before="159"/>
              <w:ind w:left="338" w:right="0"/>
              <w:jc w:val="left"/>
              <w:rPr>
                <w:rFonts w:ascii="宋体" w:hAnsi="宋体" w:cs="宋体" w:eastAsia="宋体" w:hint="default"/>
                <w:sz w:val="18"/>
                <w:szCs w:val="18"/>
              </w:rPr>
            </w:pPr>
            <w:r>
              <w:rPr>
                <w:rFonts w:ascii="宋体"/>
                <w:sz w:val="18"/>
              </w:rPr>
              <w:t>2011.12.31</w:t>
            </w:r>
          </w:p>
        </w:tc>
      </w:tr>
      <w:tr>
        <w:trPr>
          <w:trHeight w:val="516"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369" w:right="0"/>
              <w:jc w:val="left"/>
              <w:rPr>
                <w:rFonts w:ascii="宋体" w:hAnsi="宋体" w:cs="宋体" w:eastAsia="宋体" w:hint="default"/>
                <w:sz w:val="18"/>
                <w:szCs w:val="18"/>
              </w:rPr>
            </w:pPr>
            <w:r>
              <w:rPr>
                <w:rFonts w:ascii="宋体" w:hAnsi="宋体" w:cs="宋体" w:eastAsia="宋体" w:hint="default"/>
                <w:sz w:val="18"/>
                <w:szCs w:val="18"/>
              </w:rPr>
              <w:t>一、原值合计</w:t>
            </w:r>
          </w:p>
        </w:tc>
        <w:tc>
          <w:tcPr>
            <w:tcW w:w="1015"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23,140,974.07</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232,800.00</w:t>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22,908,174.07</w:t>
            </w:r>
          </w:p>
        </w:tc>
      </w:tr>
      <w:tr>
        <w:trPr>
          <w:trHeight w:val="514"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549"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01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232,800.00</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232,800.00</w:t>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r>
      <w:tr>
        <w:trPr>
          <w:trHeight w:val="516"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21" w:right="0"/>
              <w:jc w:val="center"/>
              <w:rPr>
                <w:rFonts w:ascii="宋体" w:hAnsi="宋体" w:cs="宋体" w:eastAsia="宋体" w:hint="default"/>
                <w:sz w:val="18"/>
                <w:szCs w:val="18"/>
              </w:rPr>
            </w:pPr>
            <w:r>
              <w:rPr>
                <w:rFonts w:ascii="宋体" w:hAnsi="宋体" w:cs="宋体" w:eastAsia="宋体" w:hint="default"/>
                <w:sz w:val="18"/>
                <w:szCs w:val="18"/>
              </w:rPr>
              <w:t>采矿权</w:t>
            </w:r>
          </w:p>
        </w:tc>
        <w:tc>
          <w:tcPr>
            <w:tcW w:w="101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17,390,169.43</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z w:val="18"/>
              </w:rPr>
              <w:t>-</w:t>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17,390,169.43</w:t>
            </w:r>
          </w:p>
        </w:tc>
      </w:tr>
      <w:tr>
        <w:trPr>
          <w:trHeight w:val="514"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46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15"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5,518,004.64</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z w:val="18"/>
              </w:rPr>
              <w:t>-</w:t>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5,518,004.64</w:t>
            </w:r>
          </w:p>
        </w:tc>
      </w:tr>
      <w:tr>
        <w:trPr>
          <w:trHeight w:val="516"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189"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015"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5,431,989.99</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1,397,893.64</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225,720.00</w:t>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6,604,163.63</w:t>
            </w:r>
          </w:p>
        </w:tc>
      </w:tr>
      <w:tr>
        <w:trPr>
          <w:trHeight w:val="516"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549"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015"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224,540.00</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1,180.00</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225,720.00</w:t>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r>
      <w:tr>
        <w:trPr>
          <w:trHeight w:val="514"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573"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1015"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4,844,207.21</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1,287,037.84</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z w:val="18"/>
              </w:rPr>
              <w:t>-</w:t>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6,131,245.05</w:t>
            </w:r>
          </w:p>
        </w:tc>
      </w:tr>
      <w:tr>
        <w:trPr>
          <w:trHeight w:val="516"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46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15"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363,242.78</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109,675.80</w:t>
            </w:r>
          </w:p>
        </w:tc>
        <w:tc>
          <w:tcPr>
            <w:tcW w:w="140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z w:val="18"/>
              </w:rPr>
              <w:t>-</w:t>
            </w: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472,918.58</w:t>
            </w:r>
          </w:p>
        </w:tc>
      </w:tr>
      <w:tr>
        <w:trPr>
          <w:trHeight w:val="514"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189" w:right="0"/>
              <w:jc w:val="left"/>
              <w:rPr>
                <w:rFonts w:ascii="宋体" w:hAnsi="宋体" w:cs="宋体" w:eastAsia="宋体" w:hint="default"/>
                <w:sz w:val="18"/>
                <w:szCs w:val="18"/>
              </w:rPr>
            </w:pPr>
            <w:r>
              <w:rPr>
                <w:rFonts w:ascii="宋体" w:hAnsi="宋体" w:cs="宋体" w:eastAsia="宋体" w:hint="default"/>
                <w:sz w:val="18"/>
                <w:szCs w:val="18"/>
              </w:rPr>
              <w:t>三、账面价值合计</w:t>
            </w:r>
          </w:p>
        </w:tc>
        <w:tc>
          <w:tcPr>
            <w:tcW w:w="1015"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17,708,984.08</w:t>
            </w:r>
          </w:p>
        </w:tc>
        <w:tc>
          <w:tcPr>
            <w:tcW w:w="1404" w:type="dxa"/>
            <w:tcBorders>
              <w:top w:val="single" w:sz="2" w:space="0" w:color="000000"/>
              <w:left w:val="single" w:sz="8" w:space="0" w:color="000000"/>
              <w:bottom w:val="single" w:sz="2" w:space="0" w:color="000000"/>
              <w:right w:val="single" w:sz="8" w:space="0" w:color="000000"/>
            </w:tcBorders>
          </w:tcPr>
          <w:p>
            <w:pPr/>
          </w:p>
        </w:tc>
        <w:tc>
          <w:tcPr>
            <w:tcW w:w="1404" w:type="dxa"/>
            <w:tcBorders>
              <w:top w:val="single" w:sz="2" w:space="0" w:color="000000"/>
              <w:left w:val="single" w:sz="8" w:space="0" w:color="000000"/>
              <w:bottom w:val="single" w:sz="2" w:space="0" w:color="000000"/>
              <w:right w:val="single" w:sz="8" w:space="0" w:color="000000"/>
            </w:tcBorders>
          </w:tcPr>
          <w:p>
            <w:pP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16,304,010.44</w:t>
            </w:r>
          </w:p>
        </w:tc>
      </w:tr>
      <w:tr>
        <w:trPr>
          <w:trHeight w:val="516"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549"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015"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8,260.00</w:t>
            </w:r>
          </w:p>
        </w:tc>
        <w:tc>
          <w:tcPr>
            <w:tcW w:w="1404" w:type="dxa"/>
            <w:tcBorders>
              <w:top w:val="single" w:sz="2" w:space="0" w:color="000000"/>
              <w:left w:val="single" w:sz="8" w:space="0" w:color="000000"/>
              <w:bottom w:val="single" w:sz="2" w:space="0" w:color="000000"/>
              <w:right w:val="single" w:sz="8" w:space="0" w:color="000000"/>
            </w:tcBorders>
          </w:tcPr>
          <w:p>
            <w:pPr/>
          </w:p>
        </w:tc>
        <w:tc>
          <w:tcPr>
            <w:tcW w:w="1404" w:type="dxa"/>
            <w:tcBorders>
              <w:top w:val="single" w:sz="2" w:space="0" w:color="000000"/>
              <w:left w:val="single" w:sz="8" w:space="0" w:color="000000"/>
              <w:bottom w:val="single" w:sz="2" w:space="0" w:color="000000"/>
              <w:right w:val="single" w:sz="8" w:space="0" w:color="000000"/>
            </w:tcBorders>
          </w:tcPr>
          <w:p>
            <w:pP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z w:val="18"/>
              </w:rPr>
              <w:t>-</w:t>
            </w:r>
          </w:p>
        </w:tc>
      </w:tr>
      <w:tr>
        <w:trPr>
          <w:trHeight w:val="514" w:hRule="exact"/>
        </w:trPr>
        <w:tc>
          <w:tcPr>
            <w:tcW w:w="1810"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57"/>
              <w:ind w:left="573"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1015" w:type="dxa"/>
            <w:tcBorders>
              <w:top w:val="single" w:sz="2" w:space="0" w:color="000000"/>
              <w:left w:val="single" w:sz="8" w:space="0" w:color="000000"/>
              <w:bottom w:val="single" w:sz="2" w:space="0" w:color="000000"/>
              <w:right w:val="single" w:sz="8" w:space="0" w:color="000000"/>
            </w:tcBorders>
          </w:tcPr>
          <w:p>
            <w:pPr/>
          </w:p>
        </w:tc>
        <w:tc>
          <w:tcPr>
            <w:tcW w:w="1502"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12,545,962.22</w:t>
            </w:r>
          </w:p>
        </w:tc>
        <w:tc>
          <w:tcPr>
            <w:tcW w:w="1404" w:type="dxa"/>
            <w:tcBorders>
              <w:top w:val="single" w:sz="2" w:space="0" w:color="000000"/>
              <w:left w:val="single" w:sz="8" w:space="0" w:color="000000"/>
              <w:bottom w:val="single" w:sz="2" w:space="0" w:color="000000"/>
              <w:right w:val="single" w:sz="8" w:space="0" w:color="000000"/>
            </w:tcBorders>
          </w:tcPr>
          <w:p>
            <w:pPr/>
          </w:p>
        </w:tc>
        <w:tc>
          <w:tcPr>
            <w:tcW w:w="1404" w:type="dxa"/>
            <w:tcBorders>
              <w:top w:val="single" w:sz="2" w:space="0" w:color="000000"/>
              <w:left w:val="single" w:sz="8" w:space="0" w:color="000000"/>
              <w:bottom w:val="single" w:sz="2" w:space="0" w:color="000000"/>
              <w:right w:val="single" w:sz="8" w:space="0" w:color="000000"/>
            </w:tcBorders>
          </w:tcPr>
          <w:p>
            <w:pPr/>
          </w:p>
        </w:tc>
        <w:tc>
          <w:tcPr>
            <w:tcW w:w="159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11,258,924.38</w:t>
            </w:r>
          </w:p>
        </w:tc>
      </w:tr>
      <w:tr>
        <w:trPr>
          <w:trHeight w:val="530" w:hRule="exact"/>
        </w:trPr>
        <w:tc>
          <w:tcPr>
            <w:tcW w:w="1810" w:type="dxa"/>
            <w:tcBorders>
              <w:top w:val="single" w:sz="2" w:space="0" w:color="000000"/>
              <w:left w:val="nil" w:sz="6" w:space="0" w:color="auto"/>
              <w:bottom w:val="single" w:sz="12" w:space="0" w:color="000000"/>
              <w:right w:val="single" w:sz="8" w:space="0" w:color="000000"/>
            </w:tcBorders>
          </w:tcPr>
          <w:p>
            <w:pPr>
              <w:pStyle w:val="TableParagraph"/>
              <w:spacing w:line="240" w:lineRule="auto" w:before="157"/>
              <w:ind w:left="46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15" w:type="dxa"/>
            <w:tcBorders>
              <w:top w:val="single" w:sz="2" w:space="0" w:color="000000"/>
              <w:left w:val="single" w:sz="8" w:space="0" w:color="000000"/>
              <w:bottom w:val="single" w:sz="12" w:space="0" w:color="000000"/>
              <w:right w:val="single" w:sz="8" w:space="0" w:color="000000"/>
            </w:tcBorders>
          </w:tcPr>
          <w:p>
            <w:pPr/>
          </w:p>
        </w:tc>
        <w:tc>
          <w:tcPr>
            <w:tcW w:w="1502"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57"/>
              <w:ind w:right="97"/>
              <w:jc w:val="right"/>
              <w:rPr>
                <w:rFonts w:ascii="宋体" w:hAnsi="宋体" w:cs="宋体" w:eastAsia="宋体" w:hint="default"/>
                <w:sz w:val="18"/>
                <w:szCs w:val="18"/>
              </w:rPr>
            </w:pPr>
            <w:r>
              <w:rPr>
                <w:rFonts w:ascii="宋体"/>
                <w:spacing w:val="-1"/>
                <w:sz w:val="18"/>
              </w:rPr>
              <w:t>5,154,761.86</w:t>
            </w:r>
          </w:p>
        </w:tc>
        <w:tc>
          <w:tcPr>
            <w:tcW w:w="1404" w:type="dxa"/>
            <w:tcBorders>
              <w:top w:val="single" w:sz="2" w:space="0" w:color="000000"/>
              <w:left w:val="single" w:sz="8" w:space="0" w:color="000000"/>
              <w:bottom w:val="single" w:sz="12" w:space="0" w:color="000000"/>
              <w:right w:val="single" w:sz="8" w:space="0" w:color="000000"/>
            </w:tcBorders>
          </w:tcPr>
          <w:p>
            <w:pPr/>
          </w:p>
        </w:tc>
        <w:tc>
          <w:tcPr>
            <w:tcW w:w="1404" w:type="dxa"/>
            <w:tcBorders>
              <w:top w:val="single" w:sz="2" w:space="0" w:color="000000"/>
              <w:left w:val="single" w:sz="8" w:space="0" w:color="000000"/>
              <w:bottom w:val="single" w:sz="12" w:space="0" w:color="000000"/>
              <w:right w:val="single" w:sz="8" w:space="0" w:color="000000"/>
            </w:tcBorders>
          </w:tcPr>
          <w:p>
            <w:pPr/>
          </w:p>
        </w:tc>
        <w:tc>
          <w:tcPr>
            <w:tcW w:w="1598" w:type="dxa"/>
            <w:tcBorders>
              <w:top w:val="single" w:sz="2" w:space="0" w:color="000000"/>
              <w:left w:val="single" w:sz="8" w:space="0" w:color="000000"/>
              <w:bottom w:val="single" w:sz="12"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5,045,086.06</w:t>
            </w:r>
          </w:p>
        </w:tc>
      </w:tr>
    </w:tbl>
    <w:p>
      <w:pPr>
        <w:spacing w:line="240" w:lineRule="auto" w:before="6"/>
        <w:rPr>
          <w:rFonts w:ascii="宋体" w:hAnsi="宋体" w:cs="宋体" w:eastAsia="宋体" w:hint="default"/>
          <w:sz w:val="18"/>
          <w:szCs w:val="18"/>
        </w:rPr>
      </w:pPr>
    </w:p>
    <w:p>
      <w:pPr>
        <w:pStyle w:val="BodyText"/>
        <w:spacing w:line="400" w:lineRule="auto" w:before="36"/>
        <w:ind w:left="243" w:right="1354"/>
        <w:jc w:val="left"/>
      </w:pPr>
      <w:r>
        <w:rPr/>
        <w:pict>
          <v:shape style="position:absolute;margin-left:103.08847pt;margin-top:-130.838028pt;width:392.95pt;height:64.3pt;mso-position-horizontal-relative:page;mso-position-vertical-relative:paragraph;z-index:-554080;rotation:315" type="#_x0000_t136" fillcolor="#e0e0e0" stroked="f">
            <o:extrusion v:ext="view" autorotationcenter="t"/>
            <v:textpath style="font-family:&amp;quot;Arial&amp;quot;;font-size:64pt;v-text-kern:t;mso-text-shadow:auto" string="UnRegistered"/>
            <w10:wrap type="none"/>
          </v:shape>
        </w:pict>
      </w:r>
      <w:r>
        <w:rPr>
          <w:spacing w:val="2"/>
        </w:rPr>
        <w:t>（2）报告期末无单项无形资产预计可收回金额低于其账面价值的情况而需计提减值准备情</w:t>
      </w:r>
      <w:r>
        <w:rPr>
          <w:spacing w:val="-3"/>
        </w:rPr>
        <w:t> </w:t>
      </w:r>
      <w:r>
        <w:rPr>
          <w:spacing w:val="-3"/>
        </w:rPr>
      </w:r>
      <w:r>
        <w:rPr/>
        <w:t>形。12、商誉</w:t>
      </w:r>
    </w:p>
    <w:p>
      <w:pPr>
        <w:spacing w:line="240" w:lineRule="auto" w:before="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830"/>
        <w:gridCol w:w="1524"/>
        <w:gridCol w:w="1428"/>
        <w:gridCol w:w="1526"/>
        <w:gridCol w:w="1426"/>
      </w:tblGrid>
      <w:tr>
        <w:trPr>
          <w:trHeight w:val="458" w:hRule="exact"/>
        </w:trPr>
        <w:tc>
          <w:tcPr>
            <w:tcW w:w="28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5"/>
              <w:ind w:left="48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5"/>
              <w:ind w:left="309" w:right="0"/>
              <w:jc w:val="left"/>
              <w:rPr>
                <w:rFonts w:ascii="宋体" w:hAnsi="宋体" w:cs="宋体" w:eastAsia="宋体" w:hint="default"/>
                <w:sz w:val="18"/>
                <w:szCs w:val="18"/>
              </w:rPr>
            </w:pPr>
            <w:r>
              <w:rPr>
                <w:rFonts w:ascii="宋体"/>
                <w:sz w:val="18"/>
              </w:rPr>
              <w:t>2010.12.31</w:t>
            </w:r>
          </w:p>
        </w:tc>
        <w:tc>
          <w:tcPr>
            <w:tcW w:w="14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5"/>
              <w:ind w:left="170" w:right="0"/>
              <w:jc w:val="left"/>
              <w:rPr>
                <w:rFonts w:ascii="宋体" w:hAnsi="宋体" w:cs="宋体" w:eastAsia="宋体" w:hint="default"/>
                <w:sz w:val="18"/>
                <w:szCs w:val="18"/>
              </w:rPr>
            </w:pPr>
            <w:r>
              <w:rPr>
                <w:rFonts w:ascii="宋体" w:hAnsi="宋体" w:cs="宋体" w:eastAsia="宋体" w:hint="default"/>
                <w:sz w:val="18"/>
                <w:szCs w:val="18"/>
              </w:rPr>
              <w:t>本期增减变动</w:t>
            </w:r>
          </w:p>
        </w:tc>
        <w:tc>
          <w:tcPr>
            <w:tcW w:w="15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5"/>
              <w:ind w:left="309" w:right="0"/>
              <w:jc w:val="left"/>
              <w:rPr>
                <w:rFonts w:ascii="宋体" w:hAnsi="宋体" w:cs="宋体" w:eastAsia="宋体" w:hint="default"/>
                <w:sz w:val="18"/>
                <w:szCs w:val="18"/>
              </w:rPr>
            </w:pPr>
            <w:r>
              <w:rPr>
                <w:rFonts w:ascii="宋体"/>
                <w:sz w:val="18"/>
              </w:rPr>
              <w:t>2011.12.31</w:t>
            </w:r>
          </w:p>
        </w:tc>
        <w:tc>
          <w:tcPr>
            <w:tcW w:w="14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5"/>
              <w:ind w:left="170"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44"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pacing w:val="-1"/>
                <w:sz w:val="18"/>
              </w:rPr>
              <w:t>37,145,823.98</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pacing w:val="-1"/>
                <w:sz w:val="18"/>
              </w:rPr>
              <w:t>37,145,823.98</w:t>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w:t>
            </w:r>
          </w:p>
        </w:tc>
      </w:tr>
      <w:tr>
        <w:trPr>
          <w:trHeight w:val="446" w:hRule="exact"/>
        </w:trPr>
        <w:tc>
          <w:tcPr>
            <w:tcW w:w="28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贵州六盘水吉源煤业有限公司</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pacing w:val="-1"/>
                <w:sz w:val="18"/>
              </w:rPr>
              <w:t>1,108,525.41</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pacing w:val="-1"/>
                <w:sz w:val="18"/>
              </w:rPr>
              <w:t>1,108,525.41</w:t>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w:t>
            </w:r>
          </w:p>
        </w:tc>
      </w:tr>
      <w:tr>
        <w:trPr>
          <w:trHeight w:val="456" w:hRule="exact"/>
        </w:trPr>
        <w:tc>
          <w:tcPr>
            <w:tcW w:w="2830" w:type="dxa"/>
            <w:tcBorders>
              <w:top w:val="single" w:sz="2" w:space="0" w:color="000000"/>
              <w:left w:val="nil" w:sz="6" w:space="0" w:color="auto"/>
              <w:bottom w:val="single" w:sz="12" w:space="0" w:color="000000"/>
              <w:right w:val="single" w:sz="2" w:space="0" w:color="000000"/>
            </w:tcBorders>
          </w:tcPr>
          <w:p>
            <w:pPr>
              <w:pStyle w:val="TableParagraph"/>
              <w:tabs>
                <w:tab w:pos="1113" w:val="left" w:leader="none"/>
              </w:tabs>
              <w:spacing w:line="240" w:lineRule="auto" w:before="142"/>
              <w:ind w:left="57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pacing w:val="-1"/>
                <w:sz w:val="18"/>
              </w:rPr>
              <w:t>38,254,349.39</w:t>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w:t>
            </w:r>
          </w:p>
        </w:tc>
        <w:tc>
          <w:tcPr>
            <w:tcW w:w="15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pacing w:val="-1"/>
                <w:sz w:val="18"/>
              </w:rPr>
              <w:t>38,254,349.39</w:t>
            </w:r>
          </w:p>
        </w:tc>
        <w:tc>
          <w:tcPr>
            <w:tcW w:w="14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17"/>
          <w:szCs w:val="17"/>
        </w:rPr>
      </w:pPr>
    </w:p>
    <w:p>
      <w:pPr>
        <w:pStyle w:val="BodyText"/>
        <w:spacing w:line="386" w:lineRule="auto" w:before="36"/>
        <w:ind w:left="243" w:right="1354" w:firstLine="420"/>
        <w:jc w:val="left"/>
      </w:pPr>
      <w:r>
        <w:rPr/>
        <w:t>报告期末不存在包含商誉的资产组或资产组合预计可收回金额低于其账面价值的情况，</w:t>
      </w:r>
      <w:r>
        <w:rPr>
          <w:w w:val="100"/>
        </w:rPr>
        <w:t> </w:t>
      </w:r>
      <w:r>
        <w:rPr/>
        <w:t>故不需计提商誉减值准备。</w:t>
      </w:r>
    </w:p>
    <w:p>
      <w:pPr>
        <w:spacing w:line="240" w:lineRule="auto" w:before="8"/>
        <w:rPr>
          <w:rFonts w:ascii="宋体" w:hAnsi="宋体" w:cs="宋体" w:eastAsia="宋体" w:hint="default"/>
          <w:sz w:val="26"/>
          <w:szCs w:val="26"/>
        </w:rPr>
      </w:pPr>
    </w:p>
    <w:p>
      <w:pPr>
        <w:pStyle w:val="BodyText"/>
        <w:spacing w:line="240" w:lineRule="auto"/>
        <w:ind w:left="243" w:right="1354"/>
        <w:jc w:val="left"/>
      </w:pPr>
      <w:r>
        <w:rPr/>
        <w:t>13、长期待摊费用</w:t>
      </w:r>
    </w:p>
    <w:p>
      <w:pPr>
        <w:spacing w:after="0" w:line="240" w:lineRule="auto"/>
        <w:jc w:val="left"/>
        <w:sectPr>
          <w:pgSz w:w="11910" w:h="16840"/>
          <w:pgMar w:header="929" w:footer="981" w:top="1180" w:bottom="1180" w:left="1460" w:right="0"/>
        </w:sectPr>
      </w:pPr>
    </w:p>
    <w:p>
      <w:pPr>
        <w:spacing w:line="240" w:lineRule="auto" w:before="8"/>
        <w:rPr>
          <w:rFonts w:ascii="宋体" w:hAnsi="宋体" w:cs="宋体" w:eastAsia="宋体" w:hint="default"/>
          <w:sz w:val="24"/>
          <w:szCs w:val="24"/>
        </w:rPr>
      </w:pPr>
    </w:p>
    <w:tbl>
      <w:tblPr>
        <w:tblW w:w="0" w:type="auto"/>
        <w:jc w:val="left"/>
        <w:tblInd w:w="523" w:type="dxa"/>
        <w:tblLayout w:type="fixed"/>
        <w:tblCellMar>
          <w:top w:w="0" w:type="dxa"/>
          <w:left w:w="0" w:type="dxa"/>
          <w:bottom w:w="0" w:type="dxa"/>
          <w:right w:w="0" w:type="dxa"/>
        </w:tblCellMar>
        <w:tblLook w:val="01E0"/>
      </w:tblPr>
      <w:tblGrid>
        <w:gridCol w:w="2287"/>
        <w:gridCol w:w="1452"/>
        <w:gridCol w:w="1524"/>
        <w:gridCol w:w="1418"/>
        <w:gridCol w:w="1133"/>
        <w:gridCol w:w="1416"/>
      </w:tblGrid>
      <w:tr>
        <w:trPr>
          <w:trHeight w:val="506" w:hRule="exact"/>
        </w:trPr>
        <w:tc>
          <w:tcPr>
            <w:tcW w:w="22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196" w:right="0"/>
              <w:jc w:val="left"/>
              <w:rPr>
                <w:rFonts w:ascii="宋体" w:hAnsi="宋体" w:cs="宋体" w:eastAsia="宋体" w:hint="default"/>
                <w:sz w:val="21"/>
                <w:szCs w:val="21"/>
              </w:rPr>
            </w:pPr>
            <w:r>
              <w:rPr>
                <w:rFonts w:ascii="宋体"/>
                <w:sz w:val="21"/>
              </w:rPr>
              <w:t>2010.12.31</w:t>
            </w:r>
          </w:p>
        </w:tc>
        <w:tc>
          <w:tcPr>
            <w:tcW w:w="15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本期增加额</w:t>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left="180"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36"/>
              <w:jc w:val="right"/>
              <w:rPr>
                <w:rFonts w:ascii="宋体" w:hAnsi="宋体" w:cs="宋体" w:eastAsia="宋体" w:hint="default"/>
                <w:sz w:val="21"/>
                <w:szCs w:val="21"/>
              </w:rPr>
            </w:pPr>
            <w:r>
              <w:rPr>
                <w:rFonts w:ascii="宋体" w:hAnsi="宋体" w:cs="宋体" w:eastAsia="宋体" w:hint="default"/>
                <w:spacing w:val="-1"/>
                <w:sz w:val="21"/>
                <w:szCs w:val="21"/>
              </w:rPr>
              <w:t>其他减少额</w:t>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2011.12.31</w:t>
            </w:r>
          </w:p>
        </w:tc>
      </w:tr>
      <w:tr>
        <w:trPr>
          <w:trHeight w:val="494" w:hRule="exact"/>
        </w:trPr>
        <w:tc>
          <w:tcPr>
            <w:tcW w:w="22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固定资产改良支出</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750,000.00</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5"/>
              <w:jc w:val="center"/>
              <w:rPr>
                <w:rFonts w:ascii="宋体" w:hAnsi="宋体" w:cs="宋体" w:eastAsia="宋体" w:hint="default"/>
                <w:sz w:val="21"/>
                <w:szCs w:val="21"/>
              </w:rPr>
            </w:pPr>
            <w:r>
              <w:rPr>
                <w:rFonts w:ascii="宋体"/>
                <w:sz w:val="21"/>
              </w:rPr>
              <w:t>6,500,000.00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left="227" w:right="0"/>
              <w:jc w:val="left"/>
              <w:rPr>
                <w:rFonts w:ascii="宋体" w:hAnsi="宋体" w:cs="宋体" w:eastAsia="宋体" w:hint="default"/>
                <w:sz w:val="21"/>
                <w:szCs w:val="21"/>
              </w:rPr>
            </w:pPr>
            <w:r>
              <w:rPr>
                <w:rFonts w:ascii="宋体"/>
                <w:sz w:val="21"/>
              </w:rPr>
              <w:t>180,000.00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88" w:right="0"/>
              <w:jc w:val="center"/>
              <w:rPr>
                <w:rFonts w:ascii="宋体" w:hAnsi="宋体" w:cs="宋体" w:eastAsia="宋体" w:hint="default"/>
                <w:sz w:val="21"/>
                <w:szCs w:val="21"/>
              </w:rPr>
            </w:pPr>
            <w:r>
              <w:rPr>
                <w:rFonts w:ascii="宋体"/>
                <w:sz w:val="21"/>
              </w:rPr>
              <w:t>7,070,000.00</w:t>
            </w:r>
          </w:p>
        </w:tc>
      </w:tr>
      <w:tr>
        <w:trPr>
          <w:trHeight w:val="509" w:hRule="exact"/>
        </w:trPr>
        <w:tc>
          <w:tcPr>
            <w:tcW w:w="22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750,000.00</w:t>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5"/>
              <w:jc w:val="center"/>
              <w:rPr>
                <w:rFonts w:ascii="宋体" w:hAnsi="宋体" w:cs="宋体" w:eastAsia="宋体" w:hint="default"/>
                <w:sz w:val="21"/>
                <w:szCs w:val="21"/>
              </w:rPr>
            </w:pPr>
            <w:r>
              <w:rPr>
                <w:rFonts w:ascii="宋体"/>
                <w:sz w:val="21"/>
              </w:rPr>
              <w:t>6,500,000.00</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227" w:right="0"/>
              <w:jc w:val="left"/>
              <w:rPr>
                <w:rFonts w:ascii="宋体" w:hAnsi="宋体" w:cs="宋体" w:eastAsia="宋体" w:hint="default"/>
                <w:sz w:val="21"/>
                <w:szCs w:val="21"/>
              </w:rPr>
            </w:pPr>
            <w:r>
              <w:rPr>
                <w:rFonts w:ascii="宋体"/>
                <w:sz w:val="21"/>
              </w:rPr>
              <w:t>180,000.00</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left="88" w:right="0"/>
              <w:jc w:val="center"/>
              <w:rPr>
                <w:rFonts w:ascii="宋体" w:hAnsi="宋体" w:cs="宋体" w:eastAsia="宋体" w:hint="default"/>
                <w:sz w:val="21"/>
                <w:szCs w:val="21"/>
              </w:rPr>
            </w:pPr>
            <w:r>
              <w:rPr>
                <w:rFonts w:ascii="宋体"/>
                <w:sz w:val="21"/>
              </w:rPr>
              <w:t>7,070,000.00</w:t>
            </w:r>
          </w:p>
        </w:tc>
      </w:tr>
    </w:tbl>
    <w:p>
      <w:pPr>
        <w:spacing w:line="240" w:lineRule="auto" w:before="5"/>
        <w:rPr>
          <w:rFonts w:ascii="宋体" w:hAnsi="宋体" w:cs="宋体" w:eastAsia="宋体" w:hint="default"/>
          <w:sz w:val="17"/>
          <w:szCs w:val="17"/>
        </w:rPr>
      </w:pPr>
    </w:p>
    <w:p>
      <w:pPr>
        <w:pStyle w:val="BodyText"/>
        <w:spacing w:line="240" w:lineRule="auto" w:before="36"/>
        <w:ind w:left="1003" w:right="982"/>
        <w:jc w:val="left"/>
      </w:pPr>
      <w:r>
        <w:rPr/>
        <w:t>长期待摊费用中的固定资产改良支出按</w:t>
      </w:r>
      <w:r>
        <w:rPr>
          <w:spacing w:val="-53"/>
        </w:rPr>
        <w:t> </w:t>
      </w:r>
      <w:r>
        <w:rPr/>
        <w:t>5</w:t>
      </w:r>
      <w:r>
        <w:rPr>
          <w:spacing w:val="-55"/>
        </w:rPr>
        <w:t> </w:t>
      </w:r>
      <w:r>
        <w:rPr/>
        <w:t>年摊销。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583" w:right="982"/>
        <w:jc w:val="left"/>
      </w:pPr>
      <w:r>
        <w:rPr/>
        <w:t>14、递延所得税资产/递延所得税负债</w:t>
      </w:r>
    </w:p>
    <w:p>
      <w:pPr>
        <w:spacing w:line="240" w:lineRule="auto" w:before="6"/>
        <w:rPr>
          <w:rFonts w:ascii="宋体" w:hAnsi="宋体" w:cs="宋体" w:eastAsia="宋体" w:hint="default"/>
          <w:sz w:val="24"/>
          <w:szCs w:val="24"/>
        </w:rPr>
      </w:pPr>
    </w:p>
    <w:p>
      <w:pPr>
        <w:pStyle w:val="BodyText"/>
        <w:spacing w:line="240" w:lineRule="auto"/>
        <w:ind w:left="1003" w:right="982"/>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已确认的递延所得税资产和递延所得税负债:</w:t>
      </w:r>
    </w:p>
    <w:p>
      <w:pPr>
        <w:spacing w:line="240" w:lineRule="auto" w:before="1"/>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3535"/>
        <w:gridCol w:w="1582"/>
        <w:gridCol w:w="1248"/>
        <w:gridCol w:w="1579"/>
        <w:gridCol w:w="1476"/>
      </w:tblGrid>
      <w:tr>
        <w:trPr>
          <w:trHeight w:val="514" w:hRule="exact"/>
        </w:trPr>
        <w:tc>
          <w:tcPr>
            <w:tcW w:w="3535" w:type="dxa"/>
            <w:tcBorders>
              <w:top w:val="single" w:sz="12" w:space="0" w:color="000000"/>
              <w:left w:val="nil" w:sz="6" w:space="0" w:color="auto"/>
              <w:bottom w:val="single" w:sz="6" w:space="0" w:color="000000"/>
              <w:right w:val="single" w:sz="6" w:space="0" w:color="000000"/>
            </w:tcBorders>
          </w:tcPr>
          <w:p>
            <w:pPr>
              <w:pStyle w:val="TableParagraph"/>
              <w:tabs>
                <w:tab w:pos="652" w:val="left" w:leader="none"/>
              </w:tabs>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256" w:right="0"/>
              <w:jc w:val="left"/>
              <w:rPr>
                <w:rFonts w:ascii="宋体" w:hAnsi="宋体" w:cs="宋体" w:eastAsia="宋体" w:hint="default"/>
                <w:sz w:val="21"/>
                <w:szCs w:val="21"/>
              </w:rPr>
            </w:pPr>
            <w:r>
              <w:rPr>
                <w:rFonts w:ascii="宋体"/>
                <w:sz w:val="21"/>
              </w:rPr>
              <w:t>2010.12.31</w:t>
            </w:r>
          </w:p>
        </w:tc>
        <w:tc>
          <w:tcPr>
            <w:tcW w:w="12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19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36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left="203" w:right="0"/>
              <w:jc w:val="left"/>
              <w:rPr>
                <w:rFonts w:ascii="宋体" w:hAnsi="宋体" w:cs="宋体" w:eastAsia="宋体" w:hint="default"/>
                <w:sz w:val="21"/>
                <w:szCs w:val="21"/>
              </w:rPr>
            </w:pPr>
            <w:r>
              <w:rPr>
                <w:rFonts w:ascii="宋体"/>
                <w:sz w:val="21"/>
              </w:rPr>
              <w:t>2011.12.31</w:t>
            </w:r>
          </w:p>
        </w:tc>
      </w:tr>
      <w:tr>
        <w:trPr>
          <w:trHeight w:val="504" w:hRule="exact"/>
        </w:trPr>
        <w:tc>
          <w:tcPr>
            <w:tcW w:w="3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92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506" w:hRule="exact"/>
        </w:trPr>
        <w:tc>
          <w:tcPr>
            <w:tcW w:w="3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可抵扣亏损影响数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3,389,330.02</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87,245.16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3,476,575.18</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04" w:hRule="exact"/>
        </w:trPr>
        <w:tc>
          <w:tcPr>
            <w:tcW w:w="3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折旧政策会计与税务差异的影响数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846,931.71</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846,931.71</w:t>
            </w:r>
          </w:p>
        </w:tc>
      </w:tr>
      <w:tr>
        <w:trPr>
          <w:trHeight w:val="506" w:hRule="exact"/>
        </w:trPr>
        <w:tc>
          <w:tcPr>
            <w:tcW w:w="3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4,236,261.73</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87,245.16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3,476,575.18</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846,931.71</w:t>
            </w:r>
          </w:p>
        </w:tc>
      </w:tr>
      <w:tr>
        <w:trPr>
          <w:trHeight w:val="504" w:hRule="exact"/>
        </w:trPr>
        <w:tc>
          <w:tcPr>
            <w:tcW w:w="3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92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504" w:hRule="exact"/>
        </w:trPr>
        <w:tc>
          <w:tcPr>
            <w:tcW w:w="3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土地账面值大于计税值影响数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32,376,025.13</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3"/>
              <w:jc w:val="right"/>
              <w:rPr>
                <w:rFonts w:ascii="宋体" w:hAnsi="宋体" w:cs="宋体" w:eastAsia="宋体" w:hint="default"/>
                <w:sz w:val="21"/>
                <w:szCs w:val="21"/>
              </w:rPr>
            </w:pPr>
            <w:r>
              <w:rPr>
                <w:rFonts w:ascii="宋体"/>
                <w:spacing w:val="-1"/>
                <w:sz w:val="21"/>
              </w:rPr>
              <w:t>32,376,025.13</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06" w:hRule="exact"/>
        </w:trPr>
        <w:tc>
          <w:tcPr>
            <w:tcW w:w="35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采矿权账面值大于计税值影响数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1,444,872.88</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142,118.64</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1,302,754.24</w:t>
            </w:r>
          </w:p>
        </w:tc>
      </w:tr>
      <w:tr>
        <w:trPr>
          <w:trHeight w:val="514" w:hRule="exact"/>
        </w:trPr>
        <w:tc>
          <w:tcPr>
            <w:tcW w:w="35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33,820,898.01</w:t>
            </w:r>
          </w:p>
        </w:tc>
        <w:tc>
          <w:tcPr>
            <w:tcW w:w="12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3"/>
              <w:jc w:val="right"/>
              <w:rPr>
                <w:rFonts w:ascii="宋体" w:hAnsi="宋体" w:cs="宋体" w:eastAsia="宋体" w:hint="default"/>
                <w:sz w:val="21"/>
                <w:szCs w:val="21"/>
              </w:rPr>
            </w:pPr>
            <w:r>
              <w:rPr>
                <w:rFonts w:ascii="宋体"/>
                <w:spacing w:val="-1"/>
                <w:sz w:val="21"/>
              </w:rPr>
              <w:t>32,518,143.77</w:t>
            </w: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1,302,754.24</w:t>
            </w:r>
          </w:p>
        </w:tc>
      </w:tr>
    </w:tbl>
    <w:p>
      <w:pPr>
        <w:spacing w:line="240" w:lineRule="auto" w:before="0"/>
        <w:rPr>
          <w:rFonts w:ascii="宋体" w:hAnsi="宋体" w:cs="宋体" w:eastAsia="宋体" w:hint="default"/>
          <w:sz w:val="21"/>
          <w:szCs w:val="21"/>
        </w:rPr>
      </w:pPr>
    </w:p>
    <w:p>
      <w:pPr>
        <w:pStyle w:val="BodyText"/>
        <w:spacing w:line="240" w:lineRule="auto" w:before="36"/>
        <w:ind w:left="1003" w:right="982"/>
        <w:jc w:val="left"/>
      </w:pPr>
      <w:r>
        <w:rPr/>
        <w:pict>
          <v:shape style="position:absolute;margin-left:103.08847pt;margin-top:-104.79805pt;width:392.95pt;height:64.3pt;mso-position-horizontal-relative:page;mso-position-vertical-relative:paragraph;z-index:-554056;rotation:315" type="#_x0000_t136" fillcolor="#e0e0e0" stroked="f">
            <o:extrusion v:ext="view" autorotationcenter="t"/>
            <v:textpath style="font-family:&amp;quot;Arial&amp;quot;;font-size:64pt;v-text-kern:t;mso-text-shadow:auto" string="UnRegistered"/>
            <w10:wrap type="none"/>
          </v:shape>
        </w:pict>
      </w:r>
      <w:r>
        <w:rPr/>
        <w:t>（2）未确认递延所得税资产明细：</w:t>
      </w:r>
    </w:p>
    <w:p>
      <w:pPr>
        <w:spacing w:line="240" w:lineRule="auto" w:before="2"/>
        <w:rPr>
          <w:rFonts w:ascii="宋体" w:hAnsi="宋体" w:cs="宋体" w:eastAsia="宋体" w:hint="default"/>
          <w:sz w:val="17"/>
          <w:szCs w:val="17"/>
        </w:rPr>
      </w:pPr>
    </w:p>
    <w:tbl>
      <w:tblPr>
        <w:tblW w:w="0" w:type="auto"/>
        <w:jc w:val="left"/>
        <w:tblInd w:w="446" w:type="dxa"/>
        <w:tblLayout w:type="fixed"/>
        <w:tblCellMar>
          <w:top w:w="0" w:type="dxa"/>
          <w:left w:w="0" w:type="dxa"/>
          <w:bottom w:w="0" w:type="dxa"/>
          <w:right w:w="0" w:type="dxa"/>
        </w:tblCellMar>
        <w:tblLook w:val="01E0"/>
      </w:tblPr>
      <w:tblGrid>
        <w:gridCol w:w="3701"/>
        <w:gridCol w:w="2518"/>
        <w:gridCol w:w="2515"/>
      </w:tblGrid>
      <w:tr>
        <w:trPr>
          <w:trHeight w:val="518" w:hRule="exact"/>
        </w:trPr>
        <w:tc>
          <w:tcPr>
            <w:tcW w:w="3701" w:type="dxa"/>
            <w:tcBorders>
              <w:top w:val="single" w:sz="12" w:space="0" w:color="000000"/>
              <w:left w:val="nil" w:sz="6" w:space="0" w:color="auto"/>
              <w:bottom w:val="single" w:sz="2" w:space="0" w:color="000000"/>
              <w:right w:val="single" w:sz="2" w:space="0" w:color="000000"/>
            </w:tcBorders>
          </w:tcPr>
          <w:p>
            <w:pPr>
              <w:pStyle w:val="TableParagraph"/>
              <w:tabs>
                <w:tab w:pos="544" w:val="left" w:leader="none"/>
              </w:tabs>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spacing w:val="-1"/>
                <w:sz w:val="21"/>
              </w:rPr>
              <w:t>2011.12.31</w:t>
            </w:r>
          </w:p>
        </w:tc>
        <w:tc>
          <w:tcPr>
            <w:tcW w:w="25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103"/>
              <w:jc w:val="right"/>
              <w:rPr>
                <w:rFonts w:ascii="宋体" w:hAnsi="宋体" w:cs="宋体" w:eastAsia="宋体" w:hint="default"/>
                <w:sz w:val="21"/>
                <w:szCs w:val="21"/>
              </w:rPr>
            </w:pPr>
            <w:r>
              <w:rPr>
                <w:rFonts w:ascii="宋体"/>
                <w:spacing w:val="-1"/>
                <w:sz w:val="21"/>
              </w:rPr>
              <w:t>2010.12.31</w:t>
            </w:r>
          </w:p>
        </w:tc>
      </w:tr>
      <w:tr>
        <w:trPr>
          <w:trHeight w:val="504" w:hRule="exact"/>
        </w:trPr>
        <w:tc>
          <w:tcPr>
            <w:tcW w:w="37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可弥补亏损金额</w:t>
            </w:r>
          </w:p>
        </w:tc>
        <w:tc>
          <w:tcPr>
            <w:tcW w:w="2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14,909,265.97</w:t>
            </w:r>
          </w:p>
        </w:tc>
        <w:tc>
          <w:tcPr>
            <w:tcW w:w="25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12,230,444.23</w:t>
            </w:r>
          </w:p>
        </w:tc>
      </w:tr>
      <w:tr>
        <w:trPr>
          <w:trHeight w:val="518" w:hRule="exact"/>
        </w:trPr>
        <w:tc>
          <w:tcPr>
            <w:tcW w:w="37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14,909,265.97</w:t>
            </w:r>
          </w:p>
        </w:tc>
        <w:tc>
          <w:tcPr>
            <w:tcW w:w="25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12,230,444.23</w:t>
            </w:r>
          </w:p>
        </w:tc>
      </w:tr>
    </w:tbl>
    <w:p>
      <w:pPr>
        <w:spacing w:line="240" w:lineRule="auto" w:before="0"/>
        <w:rPr>
          <w:rFonts w:ascii="宋体" w:hAnsi="宋体" w:cs="宋体" w:eastAsia="宋体" w:hint="default"/>
          <w:sz w:val="21"/>
          <w:szCs w:val="21"/>
        </w:rPr>
      </w:pPr>
    </w:p>
    <w:p>
      <w:pPr>
        <w:pStyle w:val="BodyText"/>
        <w:spacing w:line="439" w:lineRule="auto" w:before="36"/>
        <w:ind w:left="583" w:right="982" w:firstLine="420"/>
        <w:jc w:val="left"/>
      </w:pPr>
      <w:r>
        <w:rPr/>
        <w:t>上述可抵扣亏损未确认递延所得税资产系由于未来能否获得足够的应纳税所得额具有不</w:t>
      </w:r>
      <w:r>
        <w:rPr>
          <w:w w:val="100"/>
        </w:rPr>
        <w:t> </w:t>
      </w:r>
      <w:r>
        <w:rPr/>
        <w:t>确定性。</w:t>
      </w:r>
    </w:p>
    <w:p>
      <w:pPr>
        <w:spacing w:line="240" w:lineRule="auto" w:before="10"/>
        <w:rPr>
          <w:rFonts w:ascii="宋体" w:hAnsi="宋体" w:cs="宋体" w:eastAsia="宋体" w:hint="default"/>
          <w:sz w:val="15"/>
          <w:szCs w:val="15"/>
        </w:rPr>
      </w:pPr>
    </w:p>
    <w:p>
      <w:pPr>
        <w:pStyle w:val="BodyText"/>
        <w:spacing w:line="240" w:lineRule="auto"/>
        <w:ind w:left="1003" w:right="982"/>
        <w:jc w:val="left"/>
      </w:pPr>
      <w:r>
        <w:rPr/>
        <w:t>（3）未确认递延所得税资产的可抵扣亏损将于以下年度到期：</w:t>
      </w:r>
    </w:p>
    <w:p>
      <w:pPr>
        <w:spacing w:line="240" w:lineRule="auto" w:before="2"/>
        <w:rPr>
          <w:rFonts w:ascii="宋体" w:hAnsi="宋体" w:cs="宋体" w:eastAsia="宋体" w:hint="default"/>
          <w:sz w:val="17"/>
          <w:szCs w:val="17"/>
        </w:rPr>
      </w:pPr>
    </w:p>
    <w:tbl>
      <w:tblPr>
        <w:tblW w:w="0" w:type="auto"/>
        <w:jc w:val="left"/>
        <w:tblInd w:w="446" w:type="dxa"/>
        <w:tblLayout w:type="fixed"/>
        <w:tblCellMar>
          <w:top w:w="0" w:type="dxa"/>
          <w:left w:w="0" w:type="dxa"/>
          <w:bottom w:w="0" w:type="dxa"/>
          <w:right w:w="0" w:type="dxa"/>
        </w:tblCellMar>
        <w:tblLook w:val="01E0"/>
      </w:tblPr>
      <w:tblGrid>
        <w:gridCol w:w="2616"/>
        <w:gridCol w:w="2806"/>
        <w:gridCol w:w="3314"/>
      </w:tblGrid>
      <w:tr>
        <w:trPr>
          <w:trHeight w:val="523" w:hRule="exact"/>
        </w:trPr>
        <w:tc>
          <w:tcPr>
            <w:tcW w:w="26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28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2011.12.31</w:t>
            </w:r>
          </w:p>
        </w:tc>
        <w:tc>
          <w:tcPr>
            <w:tcW w:w="33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right="108"/>
              <w:jc w:val="right"/>
              <w:rPr>
                <w:rFonts w:ascii="宋体" w:hAnsi="宋体" w:cs="宋体" w:eastAsia="宋体" w:hint="default"/>
                <w:sz w:val="21"/>
                <w:szCs w:val="21"/>
              </w:rPr>
            </w:pPr>
            <w:r>
              <w:rPr>
                <w:rFonts w:ascii="宋体"/>
                <w:spacing w:val="-1"/>
                <w:sz w:val="21"/>
              </w:rPr>
              <w:t>2010.12.31</w:t>
            </w:r>
          </w:p>
        </w:tc>
      </w:tr>
      <w:tr>
        <w:trPr>
          <w:trHeight w:val="523" w:hRule="exact"/>
        </w:trPr>
        <w:tc>
          <w:tcPr>
            <w:tcW w:w="26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4,076,848.53</w:t>
            </w:r>
          </w:p>
        </w:tc>
        <w:tc>
          <w:tcPr>
            <w:tcW w:w="33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108"/>
              <w:jc w:val="right"/>
              <w:rPr>
                <w:rFonts w:ascii="宋体" w:hAnsi="宋体" w:cs="宋体" w:eastAsia="宋体" w:hint="default"/>
                <w:sz w:val="21"/>
                <w:szCs w:val="21"/>
              </w:rPr>
            </w:pPr>
            <w:r>
              <w:rPr>
                <w:rFonts w:ascii="宋体"/>
                <w:spacing w:val="-1"/>
                <w:sz w:val="21"/>
              </w:rPr>
              <w:t>4,076,848.53</w:t>
            </w:r>
          </w:p>
        </w:tc>
      </w:tr>
    </w:tbl>
    <w:p>
      <w:pPr>
        <w:spacing w:after="0" w:line="240" w:lineRule="auto"/>
        <w:jc w:val="right"/>
        <w:rPr>
          <w:rFonts w:ascii="宋体" w:hAnsi="宋体" w:cs="宋体" w:eastAsia="宋体" w:hint="default"/>
          <w:sz w:val="21"/>
          <w:szCs w:val="21"/>
        </w:rPr>
        <w:sectPr>
          <w:pgSz w:w="11910" w:h="16840"/>
          <w:pgMar w:header="929" w:footer="981" w:top="1180" w:bottom="1180" w:left="112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616"/>
        <w:gridCol w:w="2806"/>
        <w:gridCol w:w="3314"/>
      </w:tblGrid>
      <w:tr>
        <w:trPr>
          <w:trHeight w:val="521" w:hRule="exact"/>
        </w:trPr>
        <w:tc>
          <w:tcPr>
            <w:tcW w:w="26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28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96"/>
              <w:jc w:val="right"/>
              <w:rPr>
                <w:rFonts w:ascii="宋体" w:hAnsi="宋体" w:cs="宋体" w:eastAsia="宋体" w:hint="default"/>
                <w:sz w:val="21"/>
                <w:szCs w:val="21"/>
              </w:rPr>
            </w:pPr>
            <w:r>
              <w:rPr>
                <w:rFonts w:ascii="宋体"/>
                <w:spacing w:val="-1"/>
                <w:sz w:val="21"/>
              </w:rPr>
              <w:t>2011.12.31</w:t>
            </w:r>
          </w:p>
        </w:tc>
        <w:tc>
          <w:tcPr>
            <w:tcW w:w="33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right="108"/>
              <w:jc w:val="right"/>
              <w:rPr>
                <w:rFonts w:ascii="宋体" w:hAnsi="宋体" w:cs="宋体" w:eastAsia="宋体" w:hint="default"/>
                <w:sz w:val="21"/>
                <w:szCs w:val="21"/>
              </w:rPr>
            </w:pPr>
            <w:r>
              <w:rPr>
                <w:rFonts w:ascii="宋体"/>
                <w:spacing w:val="-1"/>
                <w:sz w:val="21"/>
              </w:rPr>
              <w:t>2010.12.31</w:t>
            </w:r>
          </w:p>
        </w:tc>
      </w:tr>
      <w:tr>
        <w:trPr>
          <w:trHeight w:val="516" w:hRule="exact"/>
        </w:trPr>
        <w:tc>
          <w:tcPr>
            <w:tcW w:w="26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2,937,830.05</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8"/>
              <w:jc w:val="right"/>
              <w:rPr>
                <w:rFonts w:ascii="宋体" w:hAnsi="宋体" w:cs="宋体" w:eastAsia="宋体" w:hint="default"/>
                <w:sz w:val="21"/>
                <w:szCs w:val="21"/>
              </w:rPr>
            </w:pPr>
            <w:r>
              <w:rPr>
                <w:rFonts w:ascii="宋体"/>
                <w:spacing w:val="-1"/>
                <w:sz w:val="21"/>
              </w:rPr>
              <w:t>2,937,830.05</w:t>
            </w:r>
          </w:p>
        </w:tc>
      </w:tr>
      <w:tr>
        <w:trPr>
          <w:trHeight w:val="516" w:hRule="exact"/>
        </w:trPr>
        <w:tc>
          <w:tcPr>
            <w:tcW w:w="26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3,924,726.32</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8"/>
              <w:jc w:val="right"/>
              <w:rPr>
                <w:rFonts w:ascii="宋体" w:hAnsi="宋体" w:cs="宋体" w:eastAsia="宋体" w:hint="default"/>
                <w:sz w:val="21"/>
                <w:szCs w:val="21"/>
              </w:rPr>
            </w:pPr>
            <w:r>
              <w:rPr>
                <w:rFonts w:ascii="宋体"/>
                <w:spacing w:val="-1"/>
                <w:sz w:val="21"/>
              </w:rPr>
              <w:t>3,924,726.32</w:t>
            </w:r>
          </w:p>
        </w:tc>
      </w:tr>
      <w:tr>
        <w:trPr>
          <w:trHeight w:val="514" w:hRule="exact"/>
        </w:trPr>
        <w:tc>
          <w:tcPr>
            <w:tcW w:w="26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1,291,039.33</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8"/>
              <w:jc w:val="right"/>
              <w:rPr>
                <w:rFonts w:ascii="宋体" w:hAnsi="宋体" w:cs="宋体" w:eastAsia="宋体" w:hint="default"/>
                <w:sz w:val="21"/>
                <w:szCs w:val="21"/>
              </w:rPr>
            </w:pPr>
            <w:r>
              <w:rPr>
                <w:rFonts w:ascii="宋体"/>
                <w:spacing w:val="-1"/>
                <w:sz w:val="21"/>
              </w:rPr>
              <w:t>1,291,039.33</w:t>
            </w:r>
          </w:p>
        </w:tc>
      </w:tr>
      <w:tr>
        <w:trPr>
          <w:trHeight w:val="516" w:hRule="exact"/>
        </w:trPr>
        <w:tc>
          <w:tcPr>
            <w:tcW w:w="26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2,678,821.74</w:t>
            </w:r>
          </w:p>
        </w:tc>
        <w:tc>
          <w:tcPr>
            <w:tcW w:w="33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8"/>
              <w:jc w:val="right"/>
              <w:rPr>
                <w:rFonts w:ascii="宋体" w:hAnsi="宋体" w:cs="宋体" w:eastAsia="宋体" w:hint="default"/>
                <w:sz w:val="21"/>
                <w:szCs w:val="21"/>
              </w:rPr>
            </w:pPr>
            <w:r>
              <w:rPr>
                <w:rFonts w:ascii="宋体"/>
                <w:w w:val="100"/>
                <w:sz w:val="21"/>
              </w:rPr>
              <w:t>-</w:t>
            </w:r>
          </w:p>
        </w:tc>
      </w:tr>
      <w:tr>
        <w:trPr>
          <w:trHeight w:val="523" w:hRule="exact"/>
        </w:trPr>
        <w:tc>
          <w:tcPr>
            <w:tcW w:w="26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14,909,265.97</w:t>
            </w:r>
          </w:p>
        </w:tc>
        <w:tc>
          <w:tcPr>
            <w:tcW w:w="33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108"/>
              <w:jc w:val="right"/>
              <w:rPr>
                <w:rFonts w:ascii="宋体" w:hAnsi="宋体" w:cs="宋体" w:eastAsia="宋体" w:hint="default"/>
                <w:sz w:val="21"/>
                <w:szCs w:val="21"/>
              </w:rPr>
            </w:pPr>
            <w:r>
              <w:rPr>
                <w:rFonts w:ascii="宋体"/>
                <w:spacing w:val="-1"/>
                <w:sz w:val="21"/>
              </w:rPr>
              <w:t>12,230,444.23</w:t>
            </w:r>
          </w:p>
        </w:tc>
      </w:tr>
    </w:tbl>
    <w:p>
      <w:pPr>
        <w:spacing w:line="240" w:lineRule="auto" w:before="0"/>
        <w:rPr>
          <w:rFonts w:ascii="宋体" w:hAnsi="宋体" w:cs="宋体" w:eastAsia="宋体" w:hint="default"/>
          <w:sz w:val="21"/>
          <w:szCs w:val="21"/>
        </w:rPr>
      </w:pPr>
    </w:p>
    <w:p>
      <w:pPr>
        <w:pStyle w:val="BodyText"/>
        <w:spacing w:line="240" w:lineRule="auto" w:before="36"/>
        <w:ind w:left="663" w:right="1354"/>
        <w:jc w:val="left"/>
      </w:pPr>
      <w:r>
        <w:rPr/>
        <w:t>（4）引起暂时性差异的资产项目对应的暂时性差异：</w:t>
      </w:r>
    </w:p>
    <w:p>
      <w:pPr>
        <w:spacing w:line="240" w:lineRule="auto" w:before="2"/>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424"/>
        <w:gridCol w:w="3310"/>
      </w:tblGrid>
      <w:tr>
        <w:trPr>
          <w:trHeight w:val="523" w:hRule="exact"/>
        </w:trPr>
        <w:tc>
          <w:tcPr>
            <w:tcW w:w="5424" w:type="dxa"/>
            <w:tcBorders>
              <w:top w:val="single" w:sz="12" w:space="0" w:color="000000"/>
              <w:left w:val="nil" w:sz="6" w:space="0" w:color="auto"/>
              <w:bottom w:val="single" w:sz="6" w:space="0" w:color="000000"/>
              <w:right w:val="single" w:sz="6" w:space="0" w:color="000000"/>
            </w:tcBorders>
          </w:tcPr>
          <w:p>
            <w:pPr>
              <w:pStyle w:val="TableParagraph"/>
              <w:tabs>
                <w:tab w:pos="753" w:val="left" w:leader="none"/>
              </w:tabs>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right="105"/>
              <w:jc w:val="right"/>
              <w:rPr>
                <w:rFonts w:ascii="宋体" w:hAnsi="宋体" w:cs="宋体" w:eastAsia="宋体" w:hint="default"/>
                <w:sz w:val="21"/>
                <w:szCs w:val="21"/>
              </w:rPr>
            </w:pPr>
            <w:r>
              <w:rPr>
                <w:rFonts w:ascii="宋体" w:hAnsi="宋体" w:cs="宋体" w:eastAsia="宋体" w:hint="default"/>
                <w:spacing w:val="-1"/>
                <w:sz w:val="21"/>
                <w:szCs w:val="21"/>
              </w:rPr>
              <w:t>暂时性差异金额</w:t>
            </w:r>
          </w:p>
        </w:tc>
      </w:tr>
      <w:tr>
        <w:trPr>
          <w:trHeight w:val="516" w:hRule="exact"/>
        </w:trPr>
        <w:tc>
          <w:tcPr>
            <w:tcW w:w="54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折旧政策会计与税务差异的金额</w:t>
            </w:r>
          </w:p>
        </w:tc>
        <w:tc>
          <w:tcPr>
            <w:tcW w:w="33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spacing w:val="-1"/>
                <w:sz w:val="21"/>
              </w:rPr>
              <w:t>3,387,726.84</w:t>
            </w:r>
          </w:p>
        </w:tc>
      </w:tr>
      <w:tr>
        <w:trPr>
          <w:trHeight w:val="523" w:hRule="exact"/>
        </w:trPr>
        <w:tc>
          <w:tcPr>
            <w:tcW w:w="54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132"/>
              <w:jc w:val="right"/>
              <w:rPr>
                <w:rFonts w:ascii="宋体" w:hAnsi="宋体" w:cs="宋体" w:eastAsia="宋体" w:hint="default"/>
                <w:sz w:val="21"/>
                <w:szCs w:val="21"/>
              </w:rPr>
            </w:pPr>
            <w:r>
              <w:rPr>
                <w:rFonts w:ascii="宋体"/>
                <w:spacing w:val="-1"/>
                <w:sz w:val="21"/>
              </w:rPr>
              <w:t>3,387,726.84</w:t>
            </w:r>
          </w:p>
        </w:tc>
      </w:tr>
    </w:tbl>
    <w:p>
      <w:pPr>
        <w:spacing w:line="240" w:lineRule="auto" w:before="2"/>
        <w:rPr>
          <w:rFonts w:ascii="宋体" w:hAnsi="宋体" w:cs="宋体" w:eastAsia="宋体" w:hint="default"/>
          <w:sz w:val="22"/>
          <w:szCs w:val="22"/>
        </w:rPr>
      </w:pPr>
    </w:p>
    <w:p>
      <w:pPr>
        <w:pStyle w:val="BodyText"/>
        <w:spacing w:line="240" w:lineRule="auto" w:before="36"/>
        <w:ind w:left="243" w:right="1354"/>
        <w:jc w:val="left"/>
      </w:pPr>
      <w:r>
        <w:rPr/>
        <w:pict>
          <v:shape style="position:absolute;margin-left:103.08847pt;margin-top:29.12196pt;width:392.95pt;height:64.3pt;mso-position-horizontal-relative:page;mso-position-vertical-relative:paragraph;z-index:-554032;rotation:315" type="#_x0000_t136" fillcolor="#e0e0e0" stroked="f">
            <o:extrusion v:ext="view" autorotationcenter="t"/>
            <v:textpath style="font-family:&amp;quot;Arial&amp;quot;;font-size:64pt;v-text-kern:t;mso-text-shadow:auto" string="UnRegistered"/>
            <w10:wrap type="none"/>
          </v:shape>
        </w:pict>
      </w:r>
      <w:r>
        <w:rPr/>
        <w:t>（5）引起暂时性差异的负债项目对应的暂时性差异：</w:t>
      </w:r>
    </w:p>
    <w:p>
      <w:pPr>
        <w:spacing w:line="240" w:lineRule="auto" w:before="7"/>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244"/>
        <w:gridCol w:w="3490"/>
      </w:tblGrid>
      <w:tr>
        <w:trPr>
          <w:trHeight w:val="542" w:hRule="exact"/>
        </w:trPr>
        <w:tc>
          <w:tcPr>
            <w:tcW w:w="5244" w:type="dxa"/>
            <w:tcBorders>
              <w:top w:val="single" w:sz="12" w:space="0" w:color="000000"/>
              <w:left w:val="nil" w:sz="6" w:space="0" w:color="auto"/>
              <w:bottom w:val="single" w:sz="6" w:space="0" w:color="000000"/>
              <w:right w:val="single" w:sz="6" w:space="0" w:color="000000"/>
            </w:tcBorders>
          </w:tcPr>
          <w:p>
            <w:pPr>
              <w:pStyle w:val="TableParagraph"/>
              <w:tabs>
                <w:tab w:pos="753" w:val="left" w:leader="none"/>
              </w:tabs>
              <w:spacing w:line="240" w:lineRule="auto" w:before="172"/>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2"/>
              <w:ind w:right="103"/>
              <w:jc w:val="right"/>
              <w:rPr>
                <w:rFonts w:ascii="宋体" w:hAnsi="宋体" w:cs="宋体" w:eastAsia="宋体" w:hint="default"/>
                <w:sz w:val="21"/>
                <w:szCs w:val="21"/>
              </w:rPr>
            </w:pPr>
            <w:r>
              <w:rPr>
                <w:rFonts w:ascii="宋体" w:hAnsi="宋体" w:cs="宋体" w:eastAsia="宋体" w:hint="default"/>
                <w:spacing w:val="-1"/>
                <w:sz w:val="21"/>
                <w:szCs w:val="21"/>
              </w:rPr>
              <w:t>暂时性差异金额</w:t>
            </w:r>
          </w:p>
        </w:tc>
      </w:tr>
      <w:tr>
        <w:trPr>
          <w:trHeight w:val="535" w:hRule="exact"/>
        </w:trPr>
        <w:tc>
          <w:tcPr>
            <w:tcW w:w="52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采矿权账面值大于计税值的金额</w:t>
            </w:r>
          </w:p>
        </w:tc>
        <w:tc>
          <w:tcPr>
            <w:tcW w:w="3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0"/>
              <w:ind w:right="103"/>
              <w:jc w:val="right"/>
              <w:rPr>
                <w:rFonts w:ascii="宋体" w:hAnsi="宋体" w:cs="宋体" w:eastAsia="宋体" w:hint="default"/>
                <w:sz w:val="21"/>
                <w:szCs w:val="21"/>
              </w:rPr>
            </w:pPr>
            <w:r>
              <w:rPr>
                <w:rFonts w:ascii="宋体"/>
                <w:spacing w:val="-1"/>
                <w:sz w:val="21"/>
              </w:rPr>
              <w:t>5,211,016.96</w:t>
            </w:r>
          </w:p>
        </w:tc>
      </w:tr>
      <w:tr>
        <w:trPr>
          <w:trHeight w:val="545" w:hRule="exact"/>
        </w:trPr>
        <w:tc>
          <w:tcPr>
            <w:tcW w:w="52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0"/>
              <w:ind w:right="132"/>
              <w:jc w:val="right"/>
              <w:rPr>
                <w:rFonts w:ascii="宋体" w:hAnsi="宋体" w:cs="宋体" w:eastAsia="宋体" w:hint="default"/>
                <w:sz w:val="21"/>
                <w:szCs w:val="21"/>
              </w:rPr>
            </w:pPr>
            <w:r>
              <w:rPr>
                <w:rFonts w:ascii="宋体"/>
                <w:spacing w:val="-1"/>
                <w:sz w:val="21"/>
              </w:rPr>
              <w:t>5,211,016.96</w:t>
            </w:r>
          </w:p>
        </w:tc>
      </w:tr>
    </w:tbl>
    <w:p>
      <w:pPr>
        <w:spacing w:line="240" w:lineRule="auto" w:before="2"/>
        <w:rPr>
          <w:rFonts w:ascii="宋体" w:hAnsi="宋体" w:cs="宋体" w:eastAsia="宋体" w:hint="default"/>
          <w:sz w:val="22"/>
          <w:szCs w:val="22"/>
        </w:rPr>
      </w:pPr>
    </w:p>
    <w:p>
      <w:pPr>
        <w:pStyle w:val="BodyText"/>
        <w:spacing w:line="453" w:lineRule="auto" w:before="36"/>
        <w:ind w:left="243" w:right="1685" w:firstLine="420"/>
        <w:jc w:val="left"/>
      </w:pPr>
      <w:r>
        <w:rPr/>
        <w:t>公司</w:t>
      </w:r>
      <w:r>
        <w:rPr>
          <w:spacing w:val="-37"/>
        </w:rPr>
        <w:t> </w:t>
      </w:r>
      <w:r>
        <w:rPr/>
        <w:t>2008</w:t>
      </w:r>
      <w:r>
        <w:rPr>
          <w:spacing w:val="-37"/>
        </w:rPr>
        <w:t> </w:t>
      </w:r>
      <w:r>
        <w:rPr/>
        <w:t>年通过收购股权，取得贵州六盘水吉源煤业有限公司</w:t>
      </w:r>
      <w:r>
        <w:rPr>
          <w:spacing w:val="-39"/>
        </w:rPr>
        <w:t> </w:t>
      </w:r>
      <w:r>
        <w:rPr/>
        <w:t>60%股权，收购日的净资</w:t>
      </w:r>
      <w:r>
        <w:rPr>
          <w:w w:val="100"/>
        </w:rPr>
        <w:t> </w:t>
      </w:r>
      <w:r>
        <w:rPr/>
        <w:t>产中，采矿权的账面价值为</w:t>
      </w:r>
      <w:r>
        <w:rPr>
          <w:spacing w:val="-27"/>
        </w:rPr>
        <w:t> </w:t>
      </w:r>
      <w:r>
        <w:rPr/>
        <w:t>8,802,400</w:t>
      </w:r>
      <w:r>
        <w:rPr>
          <w:spacing w:val="-30"/>
        </w:rPr>
        <w:t> </w:t>
      </w:r>
      <w:r>
        <w:rPr/>
        <w:t>元，公允价值为</w:t>
      </w:r>
      <w:r>
        <w:rPr>
          <w:spacing w:val="-30"/>
        </w:rPr>
        <w:t> </w:t>
      </w:r>
      <w:r>
        <w:rPr/>
        <w:t>16,192,569.43</w:t>
      </w:r>
      <w:r>
        <w:rPr>
          <w:spacing w:val="-27"/>
        </w:rPr>
        <w:t> </w:t>
      </w:r>
      <w:r>
        <w:rPr/>
        <w:t>元，按评估值做为土</w:t>
      </w:r>
    </w:p>
    <w:p>
      <w:pPr>
        <w:pStyle w:val="BodyText"/>
        <w:spacing w:line="240" w:lineRule="auto" w:before="59"/>
        <w:ind w:left="243" w:right="1354"/>
        <w:jc w:val="left"/>
      </w:pPr>
      <w:r>
        <w:rPr/>
        <w:t>地的公允价值入账，产生暂时性差异 7,390,169.43</w:t>
      </w:r>
      <w:r>
        <w:rPr>
          <w:spacing w:val="91"/>
        </w:rPr>
        <w:t> </w:t>
      </w:r>
      <w:r>
        <w:rPr/>
        <w:t>元，报告期末该暂时性差异已累计摊销</w:t>
      </w:r>
    </w:p>
    <w:p>
      <w:pPr>
        <w:spacing w:line="240" w:lineRule="auto" w:before="10"/>
        <w:rPr>
          <w:rFonts w:ascii="宋体" w:hAnsi="宋体" w:cs="宋体" w:eastAsia="宋体" w:hint="default"/>
          <w:sz w:val="18"/>
          <w:szCs w:val="18"/>
        </w:rPr>
      </w:pPr>
    </w:p>
    <w:p>
      <w:pPr>
        <w:pStyle w:val="BodyText"/>
        <w:spacing w:line="240" w:lineRule="auto"/>
        <w:ind w:left="243" w:right="1354"/>
        <w:jc w:val="left"/>
      </w:pPr>
      <w:r>
        <w:rPr/>
        <w:t>2,179,152.49</w:t>
      </w:r>
      <w:r>
        <w:rPr>
          <w:spacing w:val="-56"/>
        </w:rPr>
        <w:t> </w:t>
      </w:r>
      <w:r>
        <w:rPr/>
        <w:t>元，由此产生递延所得税负债。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43" w:right="1354"/>
        <w:jc w:val="left"/>
      </w:pPr>
      <w:r>
        <w:rPr/>
        <w:t>15、资产减值准备</w:t>
      </w:r>
    </w:p>
    <w:p>
      <w:pPr>
        <w:spacing w:line="240" w:lineRule="auto" w:before="10"/>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831"/>
        <w:gridCol w:w="1476"/>
        <w:gridCol w:w="1267"/>
        <w:gridCol w:w="425"/>
        <w:gridCol w:w="1162"/>
        <w:gridCol w:w="1097"/>
        <w:gridCol w:w="1476"/>
      </w:tblGrid>
      <w:tr>
        <w:trPr>
          <w:trHeight w:val="593" w:hRule="exact"/>
        </w:trPr>
        <w:tc>
          <w:tcPr>
            <w:tcW w:w="183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tabs>
                <w:tab w:pos="1079" w:val="left" w:leader="none"/>
              </w:tabs>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sz w:val="21"/>
              </w:rPr>
              <w:t>2010.12.31</w:t>
            </w:r>
          </w:p>
        </w:tc>
        <w:tc>
          <w:tcPr>
            <w:tcW w:w="1267"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68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808"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76" w:type="dxa"/>
            <w:vMerge w:val="restart"/>
            <w:tcBorders>
              <w:top w:val="single" w:sz="12"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sz w:val="21"/>
              </w:rPr>
              <w:t>2011.12.31</w:t>
            </w:r>
          </w:p>
        </w:tc>
      </w:tr>
      <w:tr>
        <w:trPr>
          <w:trHeight w:val="1106" w:hRule="exact"/>
        </w:trPr>
        <w:tc>
          <w:tcPr>
            <w:tcW w:w="1831" w:type="dxa"/>
            <w:vMerge/>
            <w:tcBorders>
              <w:left w:val="nil" w:sz="6" w:space="0" w:color="auto"/>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w w:val="100"/>
                <w:sz w:val="21"/>
                <w:szCs w:val="21"/>
              </w:rPr>
              <w:t>转</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spacing w:val="9"/>
                <w:sz w:val="21"/>
                <w:szCs w:val="21"/>
              </w:rPr>
              <w:t>合并范围</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变化</w:t>
            </w:r>
          </w:p>
        </w:tc>
        <w:tc>
          <w:tcPr>
            <w:tcW w:w="1476" w:type="dxa"/>
            <w:vMerge/>
            <w:tcBorders>
              <w:left w:val="single" w:sz="6" w:space="0" w:color="000000"/>
              <w:bottom w:val="single" w:sz="6" w:space="0" w:color="000000"/>
              <w:right w:val="nil" w:sz="6" w:space="0" w:color="auto"/>
            </w:tcBorders>
          </w:tcPr>
          <w:p>
            <w:pPr/>
          </w:p>
        </w:tc>
      </w:tr>
      <w:tr>
        <w:trPr>
          <w:trHeight w:val="542" w:hRule="exact"/>
        </w:trPr>
        <w:tc>
          <w:tcPr>
            <w:tcW w:w="18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left="307" w:right="0"/>
              <w:jc w:val="left"/>
              <w:rPr>
                <w:rFonts w:ascii="宋体" w:hAnsi="宋体" w:cs="宋体" w:eastAsia="宋体" w:hint="default"/>
                <w:sz w:val="21"/>
                <w:szCs w:val="21"/>
              </w:rPr>
            </w:pPr>
            <w:r>
              <w:rPr>
                <w:rFonts w:ascii="宋体"/>
                <w:sz w:val="21"/>
              </w:rPr>
              <w:t>201,056.86</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sz w:val="21"/>
              </w:rPr>
              <w:t>110,049.95</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left="206" w:right="0"/>
              <w:jc w:val="left"/>
              <w:rPr>
                <w:rFonts w:ascii="宋体" w:hAnsi="宋体" w:cs="宋体" w:eastAsia="宋体" w:hint="default"/>
                <w:sz w:val="21"/>
                <w:szCs w:val="21"/>
              </w:rPr>
            </w:pPr>
            <w:r>
              <w:rPr>
                <w:rFonts w:ascii="宋体"/>
                <w:w w:val="100"/>
                <w:sz w:val="21"/>
              </w:rPr>
              <w:t>-</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32,350.00</w:t>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left="141" w:right="0"/>
              <w:jc w:val="left"/>
              <w:rPr>
                <w:rFonts w:ascii="宋体" w:hAnsi="宋体" w:cs="宋体" w:eastAsia="宋体" w:hint="default"/>
                <w:sz w:val="21"/>
                <w:szCs w:val="21"/>
              </w:rPr>
            </w:pPr>
            <w:r>
              <w:rPr>
                <w:rFonts w:ascii="宋体"/>
                <w:sz w:val="21"/>
              </w:rPr>
              <w:t>6,669.55</w:t>
            </w: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0"/>
              <w:ind w:left="307" w:right="0"/>
              <w:jc w:val="left"/>
              <w:rPr>
                <w:rFonts w:ascii="宋体" w:hAnsi="宋体" w:cs="宋体" w:eastAsia="宋体" w:hint="default"/>
                <w:sz w:val="21"/>
                <w:szCs w:val="21"/>
              </w:rPr>
            </w:pPr>
            <w:r>
              <w:rPr>
                <w:rFonts w:ascii="宋体"/>
                <w:sz w:val="21"/>
              </w:rPr>
              <w:t>272,087.26</w:t>
            </w:r>
          </w:p>
        </w:tc>
      </w:tr>
    </w:tbl>
    <w:p>
      <w:pPr>
        <w:spacing w:after="0" w:line="240" w:lineRule="auto"/>
        <w:jc w:val="left"/>
        <w:rPr>
          <w:rFonts w:ascii="宋体" w:hAnsi="宋体" w:cs="宋体" w:eastAsia="宋体" w:hint="default"/>
          <w:sz w:val="21"/>
          <w:szCs w:val="21"/>
        </w:rPr>
        <w:sectPr>
          <w:pgSz w:w="11910" w:h="16840"/>
          <w:pgMar w:header="929" w:footer="981" w:top="1180" w:bottom="1180" w:left="1460" w:right="0"/>
        </w:sectPr>
      </w:pPr>
    </w:p>
    <w:p>
      <w:pPr>
        <w:spacing w:line="240" w:lineRule="auto" w:before="8"/>
        <w:rPr>
          <w:rFonts w:ascii="宋体" w:hAnsi="宋体" w:cs="宋体" w:eastAsia="宋体" w:hint="default"/>
          <w:sz w:val="24"/>
          <w:szCs w:val="24"/>
        </w:rPr>
      </w:pPr>
    </w:p>
    <w:tbl>
      <w:tblPr>
        <w:tblW w:w="0" w:type="auto"/>
        <w:jc w:val="left"/>
        <w:tblInd w:w="366" w:type="dxa"/>
        <w:tblLayout w:type="fixed"/>
        <w:tblCellMar>
          <w:top w:w="0" w:type="dxa"/>
          <w:left w:w="0" w:type="dxa"/>
          <w:bottom w:w="0" w:type="dxa"/>
          <w:right w:w="0" w:type="dxa"/>
        </w:tblCellMar>
        <w:tblLook w:val="01E0"/>
      </w:tblPr>
      <w:tblGrid>
        <w:gridCol w:w="1831"/>
        <w:gridCol w:w="1476"/>
        <w:gridCol w:w="1267"/>
        <w:gridCol w:w="425"/>
        <w:gridCol w:w="1162"/>
        <w:gridCol w:w="1097"/>
        <w:gridCol w:w="1476"/>
      </w:tblGrid>
      <w:tr>
        <w:trPr>
          <w:trHeight w:val="593" w:hRule="exact"/>
        </w:trPr>
        <w:tc>
          <w:tcPr>
            <w:tcW w:w="183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tabs>
                <w:tab w:pos="1079" w:val="left" w:leader="none"/>
              </w:tabs>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sz w:val="21"/>
              </w:rPr>
              <w:t>2010.12.31</w:t>
            </w:r>
          </w:p>
        </w:tc>
        <w:tc>
          <w:tcPr>
            <w:tcW w:w="1267"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68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808"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76" w:type="dxa"/>
            <w:vMerge w:val="restart"/>
            <w:tcBorders>
              <w:top w:val="single" w:sz="12"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sz w:val="21"/>
              </w:rPr>
              <w:t>2011.12.31</w:t>
            </w:r>
          </w:p>
        </w:tc>
      </w:tr>
      <w:tr>
        <w:trPr>
          <w:trHeight w:val="1104" w:hRule="exact"/>
        </w:trPr>
        <w:tc>
          <w:tcPr>
            <w:tcW w:w="1831" w:type="dxa"/>
            <w:vMerge/>
            <w:tcBorders>
              <w:left w:val="nil" w:sz="6" w:space="0" w:color="auto"/>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518" w:lineRule="exact" w:before="1"/>
              <w:ind w:left="100" w:right="96"/>
              <w:jc w:val="lef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36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518" w:lineRule="exact" w:before="1"/>
              <w:ind w:left="100" w:right="94"/>
              <w:jc w:val="left"/>
              <w:rPr>
                <w:rFonts w:ascii="宋体" w:hAnsi="宋体" w:cs="宋体" w:eastAsia="宋体" w:hint="default"/>
                <w:sz w:val="21"/>
                <w:szCs w:val="21"/>
              </w:rPr>
            </w:pPr>
            <w:r>
              <w:rPr>
                <w:rFonts w:ascii="宋体" w:hAnsi="宋体" w:cs="宋体" w:eastAsia="宋体" w:hint="default"/>
                <w:spacing w:val="9"/>
                <w:sz w:val="21"/>
                <w:szCs w:val="21"/>
              </w:rPr>
              <w:t>合并范围</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变化</w:t>
            </w:r>
          </w:p>
        </w:tc>
        <w:tc>
          <w:tcPr>
            <w:tcW w:w="1476" w:type="dxa"/>
            <w:vMerge/>
            <w:tcBorders>
              <w:left w:val="single" w:sz="6" w:space="0" w:color="000000"/>
              <w:bottom w:val="single" w:sz="6" w:space="0" w:color="000000"/>
              <w:right w:val="nil" w:sz="6" w:space="0" w:color="auto"/>
            </w:tcBorders>
          </w:tcPr>
          <w:p>
            <w:pPr/>
          </w:p>
        </w:tc>
      </w:tr>
      <w:tr>
        <w:trPr>
          <w:trHeight w:val="1056" w:hRule="exact"/>
        </w:trPr>
        <w:tc>
          <w:tcPr>
            <w:tcW w:w="18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投资性房地产减</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 w:right="0"/>
              <w:jc w:val="center"/>
              <w:rPr>
                <w:rFonts w:ascii="宋体" w:hAnsi="宋体" w:cs="宋体" w:eastAsia="宋体" w:hint="default"/>
                <w:sz w:val="21"/>
                <w:szCs w:val="21"/>
              </w:rPr>
            </w:pPr>
            <w:r>
              <w:rPr>
                <w:rFonts w:ascii="宋体"/>
                <w:sz w:val="21"/>
              </w:rPr>
              <w:t>6,331,179.10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98"/>
              <w:jc w:val="right"/>
              <w:rPr>
                <w:rFonts w:ascii="宋体" w:hAnsi="宋体" w:cs="宋体" w:eastAsia="宋体" w:hint="default"/>
                <w:sz w:val="21"/>
                <w:szCs w:val="21"/>
              </w:rPr>
            </w:pPr>
            <w:r>
              <w:rPr>
                <w:rFonts w:ascii="宋体"/>
                <w:w w:val="100"/>
                <w:sz w:val="21"/>
              </w:rPr>
              <w:t>-</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96"/>
              <w:jc w:val="right"/>
              <w:rPr>
                <w:rFonts w:ascii="宋体" w:hAnsi="宋体" w:cs="宋体" w:eastAsia="宋体" w:hint="default"/>
                <w:sz w:val="21"/>
                <w:szCs w:val="21"/>
              </w:rPr>
            </w:pPr>
            <w:r>
              <w:rPr>
                <w:rFonts w:ascii="宋体"/>
                <w:w w:val="100"/>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98"/>
              <w:jc w:val="right"/>
              <w:rPr>
                <w:rFonts w:ascii="宋体" w:hAnsi="宋体" w:cs="宋体" w:eastAsia="宋体" w:hint="default"/>
                <w:sz w:val="21"/>
                <w:szCs w:val="21"/>
              </w:rPr>
            </w:pPr>
            <w:r>
              <w:rPr>
                <w:rFonts w:ascii="宋体"/>
                <w:w w:val="100"/>
                <w:sz w:val="21"/>
              </w:rPr>
              <w:t>-</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03"/>
              <w:jc w:val="right"/>
              <w:rPr>
                <w:rFonts w:ascii="宋体" w:hAnsi="宋体" w:cs="宋体" w:eastAsia="宋体" w:hint="default"/>
                <w:sz w:val="21"/>
                <w:szCs w:val="21"/>
              </w:rPr>
            </w:pPr>
            <w:r>
              <w:rPr>
                <w:rFonts w:ascii="宋体"/>
                <w:spacing w:val="-1"/>
                <w:sz w:val="21"/>
              </w:rPr>
              <w:t>6,331,179.10</w:t>
            </w:r>
          </w:p>
        </w:tc>
      </w:tr>
      <w:tr>
        <w:trPr>
          <w:trHeight w:val="542" w:hRule="exact"/>
        </w:trPr>
        <w:tc>
          <w:tcPr>
            <w:tcW w:w="1831"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sz w:val="21"/>
              </w:rPr>
              <w:t>6,532,235.96</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spacing w:val="-1"/>
                <w:sz w:val="21"/>
              </w:rPr>
              <w:t>110,049.95</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w w:val="100"/>
                <w:sz w:val="21"/>
              </w:rPr>
              <w:t>-</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spacing w:val="-1"/>
                <w:sz w:val="21"/>
              </w:rPr>
              <w:t>32,350.00</w:t>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left="141" w:right="0"/>
              <w:jc w:val="left"/>
              <w:rPr>
                <w:rFonts w:ascii="宋体" w:hAnsi="宋体" w:cs="宋体" w:eastAsia="宋体" w:hint="default"/>
                <w:sz w:val="21"/>
                <w:szCs w:val="21"/>
              </w:rPr>
            </w:pPr>
            <w:r>
              <w:rPr>
                <w:rFonts w:ascii="宋体"/>
                <w:sz w:val="21"/>
              </w:rPr>
              <w:t>6,669.55</w:t>
            </w: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0"/>
              <w:ind w:right="103"/>
              <w:jc w:val="right"/>
              <w:rPr>
                <w:rFonts w:ascii="宋体" w:hAnsi="宋体" w:cs="宋体" w:eastAsia="宋体" w:hint="default"/>
                <w:sz w:val="21"/>
                <w:szCs w:val="21"/>
              </w:rPr>
            </w:pPr>
            <w:r>
              <w:rPr>
                <w:rFonts w:ascii="宋体"/>
                <w:spacing w:val="-1"/>
                <w:sz w:val="21"/>
              </w:rPr>
              <w:t>6,603,266.36</w:t>
            </w:r>
          </w:p>
        </w:tc>
      </w:tr>
    </w:tbl>
    <w:p>
      <w:pPr>
        <w:spacing w:line="240" w:lineRule="auto" w:before="9"/>
        <w:rPr>
          <w:rFonts w:ascii="宋体" w:hAnsi="宋体" w:cs="宋体" w:eastAsia="宋体" w:hint="default"/>
          <w:sz w:val="26"/>
          <w:szCs w:val="26"/>
        </w:rPr>
      </w:pPr>
    </w:p>
    <w:p>
      <w:pPr>
        <w:pStyle w:val="BodyText"/>
        <w:spacing w:line="240" w:lineRule="auto" w:before="36"/>
        <w:ind w:left="503" w:right="4075"/>
        <w:jc w:val="left"/>
      </w:pPr>
      <w:r>
        <w:rPr/>
        <w:t>16、所有权受到限制的资产</w:t>
      </w:r>
    </w:p>
    <w:p>
      <w:pPr>
        <w:spacing w:line="240" w:lineRule="auto" w:before="7"/>
        <w:rPr>
          <w:rFonts w:ascii="宋体" w:hAnsi="宋体" w:cs="宋体" w:eastAsia="宋体" w:hint="default"/>
          <w:sz w:val="21"/>
          <w:szCs w:val="21"/>
        </w:rPr>
      </w:pPr>
    </w:p>
    <w:p>
      <w:pPr>
        <w:pStyle w:val="BodyText"/>
        <w:spacing w:line="240" w:lineRule="auto"/>
        <w:ind w:left="935" w:right="4075"/>
        <w:jc w:val="left"/>
      </w:pPr>
      <w:r>
        <w:rPr/>
        <w:t>（1）所有权受到限制的资产明细如下：</w:t>
      </w:r>
    </w:p>
    <w:p>
      <w:pPr>
        <w:spacing w:line="240" w:lineRule="auto" w:before="9"/>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426"/>
        <w:gridCol w:w="1498"/>
        <w:gridCol w:w="1315"/>
        <w:gridCol w:w="854"/>
        <w:gridCol w:w="1512"/>
        <w:gridCol w:w="1625"/>
      </w:tblGrid>
      <w:tr>
        <w:trPr>
          <w:trHeight w:val="643" w:hRule="exact"/>
        </w:trPr>
        <w:tc>
          <w:tcPr>
            <w:tcW w:w="24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14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4" w:right="0"/>
              <w:jc w:val="left"/>
              <w:rPr>
                <w:rFonts w:ascii="宋体" w:hAnsi="宋体" w:cs="宋体" w:eastAsia="宋体" w:hint="default"/>
                <w:sz w:val="18"/>
                <w:szCs w:val="18"/>
              </w:rPr>
            </w:pPr>
            <w:r>
              <w:rPr>
                <w:rFonts w:ascii="宋体"/>
                <w:sz w:val="18"/>
              </w:rPr>
              <w:t>2010.12.31</w:t>
            </w:r>
          </w:p>
        </w:tc>
        <w:tc>
          <w:tcPr>
            <w:tcW w:w="13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854" w:type="dxa"/>
            <w:tcBorders>
              <w:top w:val="single" w:sz="12" w:space="0" w:color="000000"/>
              <w:left w:val="single" w:sz="2" w:space="0" w:color="000000"/>
              <w:bottom w:val="single" w:sz="2" w:space="0" w:color="000000"/>
              <w:right w:val="single" w:sz="2" w:space="0" w:color="000000"/>
            </w:tcBorders>
          </w:tcPr>
          <w:p>
            <w:pPr>
              <w:pStyle w:val="TableParagraph"/>
              <w:spacing w:line="266" w:lineRule="auto" w:before="51"/>
              <w:ind w:left="242" w:right="155" w:hanging="89"/>
              <w:jc w:val="left"/>
              <w:rPr>
                <w:rFonts w:ascii="宋体" w:hAnsi="宋体" w:cs="宋体" w:eastAsia="宋体" w:hint="default"/>
                <w:sz w:val="18"/>
                <w:szCs w:val="18"/>
              </w:rPr>
            </w:pPr>
            <w:r>
              <w:rPr>
                <w:rFonts w:ascii="宋体" w:hAnsi="宋体" w:cs="宋体" w:eastAsia="宋体" w:hint="default"/>
                <w:sz w:val="18"/>
                <w:szCs w:val="18"/>
              </w:rPr>
              <w:t>本期减 少额</w:t>
            </w:r>
          </w:p>
        </w:tc>
        <w:tc>
          <w:tcPr>
            <w:tcW w:w="15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sz w:val="18"/>
              </w:rPr>
              <w:t>2011.12.31</w:t>
            </w:r>
          </w:p>
        </w:tc>
        <w:tc>
          <w:tcPr>
            <w:tcW w:w="16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资产受限制的原因</w:t>
            </w:r>
          </w:p>
        </w:tc>
      </w:tr>
    </w:tbl>
    <w:p>
      <w:pPr>
        <w:spacing w:line="240" w:lineRule="auto" w:before="3"/>
        <w:rPr>
          <w:rFonts w:ascii="宋体" w:hAnsi="宋体" w:cs="宋体" w:eastAsia="宋体" w:hint="default"/>
          <w:sz w:val="6"/>
          <w:szCs w:val="6"/>
        </w:rPr>
      </w:pPr>
    </w:p>
    <w:p>
      <w:pPr>
        <w:spacing w:before="44"/>
        <w:ind w:left="244" w:right="4075" w:firstLine="0"/>
        <w:jc w:val="left"/>
        <w:rPr>
          <w:rFonts w:ascii="宋体" w:hAnsi="宋体" w:cs="宋体" w:eastAsia="宋体" w:hint="default"/>
          <w:sz w:val="18"/>
          <w:szCs w:val="18"/>
        </w:rPr>
      </w:pPr>
      <w:r>
        <w:rPr>
          <w:rFonts w:ascii="宋体" w:hAnsi="宋体" w:cs="宋体" w:eastAsia="宋体" w:hint="default"/>
          <w:sz w:val="18"/>
          <w:szCs w:val="18"/>
        </w:rPr>
        <w:t>（1）、用于担保的资产</w:t>
      </w:r>
    </w:p>
    <w:p>
      <w:pPr>
        <w:spacing w:line="240" w:lineRule="auto" w:before="6"/>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426"/>
        <w:gridCol w:w="1498"/>
        <w:gridCol w:w="1315"/>
        <w:gridCol w:w="854"/>
        <w:gridCol w:w="1512"/>
        <w:gridCol w:w="1625"/>
      </w:tblGrid>
      <w:tr>
        <w:trPr>
          <w:trHeight w:val="425"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投资性房地产（原值）</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7" w:right="0"/>
              <w:jc w:val="center"/>
              <w:rPr>
                <w:rFonts w:ascii="宋体" w:hAnsi="宋体" w:cs="宋体" w:eastAsia="宋体" w:hint="default"/>
                <w:sz w:val="18"/>
                <w:szCs w:val="18"/>
              </w:rPr>
            </w:pPr>
            <w:r>
              <w:rPr>
                <w:rFonts w:ascii="宋体"/>
                <w:sz w:val="18"/>
              </w:rPr>
              <w:t>377,978,838.30</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32" w:right="0"/>
              <w:jc w:val="center"/>
              <w:rPr>
                <w:rFonts w:ascii="宋体" w:hAnsi="宋体" w:cs="宋体" w:eastAsia="宋体" w:hint="default"/>
                <w:sz w:val="18"/>
                <w:szCs w:val="18"/>
              </w:rPr>
            </w:pPr>
            <w:r>
              <w:rPr>
                <w:rFonts w:ascii="宋体"/>
                <w:sz w:val="18"/>
              </w:rPr>
              <w:t>377,978,838.30</w:t>
            </w:r>
          </w:p>
        </w:tc>
        <w:tc>
          <w:tcPr>
            <w:tcW w:w="16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left="451"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25"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无形资产-采矿权（原值）</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06" w:right="0"/>
              <w:jc w:val="center"/>
              <w:rPr>
                <w:rFonts w:ascii="宋体" w:hAnsi="宋体" w:cs="宋体" w:eastAsia="宋体" w:hint="default"/>
                <w:sz w:val="18"/>
                <w:szCs w:val="18"/>
              </w:rPr>
            </w:pPr>
            <w:r>
              <w:rPr>
                <w:rFonts w:ascii="宋体"/>
                <w:sz w:val="18"/>
              </w:rPr>
              <w:t>17,390,169.43</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21" w:right="0"/>
              <w:jc w:val="center"/>
              <w:rPr>
                <w:rFonts w:ascii="宋体" w:hAnsi="宋体" w:cs="宋体" w:eastAsia="宋体" w:hint="default"/>
                <w:sz w:val="18"/>
                <w:szCs w:val="18"/>
              </w:rPr>
            </w:pPr>
            <w:r>
              <w:rPr>
                <w:rFonts w:ascii="宋体"/>
                <w:sz w:val="18"/>
              </w:rPr>
              <w:t>17,390,169.43</w:t>
            </w:r>
          </w:p>
        </w:tc>
        <w:tc>
          <w:tcPr>
            <w:tcW w:w="16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left="451" w:right="0"/>
              <w:jc w:val="left"/>
              <w:rPr>
                <w:rFonts w:ascii="宋体" w:hAnsi="宋体" w:cs="宋体" w:eastAsia="宋体" w:hint="default"/>
                <w:sz w:val="18"/>
                <w:szCs w:val="18"/>
              </w:rPr>
            </w:pPr>
            <w:r>
              <w:rPr>
                <w:rFonts w:ascii="宋体" w:hAnsi="宋体" w:cs="宋体" w:eastAsia="宋体" w:hint="default"/>
                <w:sz w:val="18"/>
                <w:szCs w:val="18"/>
              </w:rPr>
              <w:t>借款抵押</w:t>
            </w:r>
          </w:p>
        </w:tc>
      </w:tr>
    </w:tbl>
    <w:p>
      <w:pPr>
        <w:spacing w:line="240" w:lineRule="auto" w:before="3"/>
        <w:rPr>
          <w:rFonts w:ascii="宋体" w:hAnsi="宋体" w:cs="宋体" w:eastAsia="宋体" w:hint="default"/>
          <w:sz w:val="6"/>
          <w:szCs w:val="6"/>
        </w:rPr>
      </w:pPr>
    </w:p>
    <w:p>
      <w:pPr>
        <w:spacing w:before="44"/>
        <w:ind w:left="244" w:right="4075" w:firstLine="0"/>
        <w:jc w:val="left"/>
        <w:rPr>
          <w:rFonts w:ascii="宋体" w:hAnsi="宋体" w:cs="宋体" w:eastAsia="宋体" w:hint="default"/>
          <w:sz w:val="18"/>
          <w:szCs w:val="18"/>
        </w:rPr>
      </w:pPr>
      <w:r>
        <w:rPr/>
        <w:pict>
          <v:shape style="position:absolute;margin-left:103.08847pt;margin-top:-17.710005pt;width:392.95pt;height:64.3pt;mso-position-horizontal-relative:page;mso-position-vertical-relative:paragraph;z-index:-554008;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z w:val="18"/>
          <w:szCs w:val="18"/>
        </w:rPr>
        <w:t>（2）、其他原因造成所有权受到限制的资产</w:t>
      </w:r>
    </w:p>
    <w:p>
      <w:pPr>
        <w:spacing w:line="240" w:lineRule="auto" w:before="6"/>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441"/>
        <w:gridCol w:w="1498"/>
        <w:gridCol w:w="1315"/>
        <w:gridCol w:w="854"/>
        <w:gridCol w:w="1512"/>
        <w:gridCol w:w="1632"/>
      </w:tblGrid>
      <w:tr>
        <w:trPr>
          <w:trHeight w:val="912" w:hRule="exact"/>
        </w:trPr>
        <w:tc>
          <w:tcPr>
            <w:tcW w:w="2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7,995,186.25</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1,149,102.70</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9,144,288.95</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66" w:lineRule="auto" w:before="61"/>
              <w:ind w:left="105" w:right="263"/>
              <w:jc w:val="both"/>
              <w:rPr>
                <w:rFonts w:ascii="宋体" w:hAnsi="宋体" w:cs="宋体" w:eastAsia="宋体" w:hint="default"/>
                <w:sz w:val="18"/>
                <w:szCs w:val="18"/>
              </w:rPr>
            </w:pPr>
            <w:r>
              <w:rPr>
                <w:rFonts w:ascii="宋体" w:hAnsi="宋体" w:cs="宋体" w:eastAsia="宋体" w:hint="default"/>
                <w:sz w:val="18"/>
                <w:szCs w:val="18"/>
              </w:rPr>
              <w:t>矿山环境治理恢 复保证金和安全 生产风险抵押金</w:t>
            </w:r>
          </w:p>
        </w:tc>
      </w:tr>
      <w:tr>
        <w:trPr>
          <w:trHeight w:val="418" w:hRule="exact"/>
        </w:trPr>
        <w:tc>
          <w:tcPr>
            <w:tcW w:w="2441" w:type="dxa"/>
            <w:tcBorders>
              <w:top w:val="single" w:sz="2" w:space="0" w:color="000000"/>
              <w:left w:val="nil" w:sz="6" w:space="0" w:color="auto"/>
              <w:bottom w:val="single" w:sz="12" w:space="0" w:color="000000"/>
              <w:right w:val="single" w:sz="2" w:space="0" w:color="000000"/>
            </w:tcBorders>
          </w:tcPr>
          <w:p>
            <w:pPr>
              <w:pStyle w:val="TableParagraph"/>
              <w:tabs>
                <w:tab w:pos="463" w:val="left" w:leader="none"/>
              </w:tabs>
              <w:spacing w:line="240" w:lineRule="auto" w:before="109"/>
              <w:ind w:left="1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403,364,193.98</w:t>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left="15" w:right="0"/>
              <w:jc w:val="center"/>
              <w:rPr>
                <w:rFonts w:ascii="宋体" w:hAnsi="宋体" w:cs="宋体" w:eastAsia="宋体" w:hint="default"/>
                <w:sz w:val="18"/>
                <w:szCs w:val="18"/>
              </w:rPr>
            </w:pPr>
            <w:r>
              <w:rPr>
                <w:rFonts w:ascii="宋体"/>
                <w:sz w:val="18"/>
              </w:rPr>
              <w:t>1,149,102.70</w:t>
            </w:r>
          </w:p>
        </w:tc>
        <w:tc>
          <w:tcPr>
            <w:tcW w:w="8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404,513,296.68</w:t>
            </w:r>
          </w:p>
        </w:tc>
        <w:tc>
          <w:tcPr>
            <w:tcW w:w="163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6"/>
          <w:szCs w:val="16"/>
        </w:rPr>
      </w:pPr>
    </w:p>
    <w:p>
      <w:pPr>
        <w:pStyle w:val="BodyText"/>
        <w:spacing w:line="240" w:lineRule="auto" w:before="36"/>
        <w:ind w:left="935" w:right="4075"/>
        <w:jc w:val="left"/>
      </w:pPr>
      <w:r>
        <w:rPr>
          <w:w w:val="100"/>
        </w:rPr>
        <w:t>（2</w:t>
      </w:r>
      <w:r>
        <w:rPr>
          <w:spacing w:val="-106"/>
          <w:w w:val="100"/>
        </w:rPr>
        <w:t>）</w:t>
      </w:r>
      <w:r>
        <w:rPr>
          <w:spacing w:val="-3"/>
          <w:w w:val="100"/>
        </w:rPr>
        <w:t>、</w:t>
      </w:r>
      <w:r>
        <w:rPr>
          <w:w w:val="100"/>
        </w:rPr>
        <w:t>上</w:t>
      </w:r>
      <w:r>
        <w:rPr>
          <w:spacing w:val="-3"/>
          <w:w w:val="100"/>
        </w:rPr>
        <w:t>述</w:t>
      </w:r>
      <w:r>
        <w:rPr>
          <w:w w:val="100"/>
        </w:rPr>
        <w:t>用</w:t>
      </w:r>
      <w:r>
        <w:rPr>
          <w:spacing w:val="-3"/>
          <w:w w:val="100"/>
        </w:rPr>
        <w:t>于</w:t>
      </w:r>
      <w:r>
        <w:rPr>
          <w:w w:val="100"/>
        </w:rPr>
        <w:t>借</w:t>
      </w:r>
      <w:r>
        <w:rPr>
          <w:spacing w:val="-3"/>
          <w:w w:val="100"/>
        </w:rPr>
        <w:t>款</w:t>
      </w:r>
      <w:r>
        <w:rPr>
          <w:w w:val="100"/>
        </w:rPr>
        <w:t>抵</w:t>
      </w:r>
      <w:r>
        <w:rPr>
          <w:spacing w:val="-3"/>
          <w:w w:val="100"/>
        </w:rPr>
        <w:t>押</w:t>
      </w:r>
      <w:r>
        <w:rPr>
          <w:w w:val="100"/>
        </w:rPr>
        <w:t>的资</w:t>
      </w:r>
      <w:r>
        <w:rPr>
          <w:spacing w:val="-3"/>
          <w:w w:val="100"/>
        </w:rPr>
        <w:t>产</w:t>
      </w:r>
      <w:r>
        <w:rPr>
          <w:w w:val="100"/>
        </w:rPr>
        <w:t>说</w:t>
      </w:r>
      <w:r>
        <w:rPr>
          <w:spacing w:val="-3"/>
          <w:w w:val="100"/>
        </w:rPr>
        <w:t>明</w:t>
      </w:r>
      <w:r>
        <w:rPr>
          <w:w w:val="100"/>
        </w:rPr>
        <w:t>如</w:t>
      </w:r>
      <w:r>
        <w:rPr>
          <w:spacing w:val="-3"/>
          <w:w w:val="100"/>
        </w:rPr>
        <w:t>下</w:t>
      </w:r>
      <w:r>
        <w:rPr>
          <w:w w:val="100"/>
        </w:rPr>
        <w:t>：</w:t>
      </w:r>
    </w:p>
    <w:p>
      <w:pPr>
        <w:spacing w:line="240" w:lineRule="auto" w:before="0"/>
        <w:rPr>
          <w:rFonts w:ascii="宋体" w:hAnsi="宋体" w:cs="宋体" w:eastAsia="宋体" w:hint="default"/>
          <w:sz w:val="23"/>
          <w:szCs w:val="23"/>
        </w:rPr>
      </w:pPr>
    </w:p>
    <w:p>
      <w:pPr>
        <w:pStyle w:val="BodyText"/>
        <w:spacing w:line="240" w:lineRule="auto"/>
        <w:ind w:left="935" w:right="0"/>
        <w:jc w:val="left"/>
      </w:pPr>
      <w:r>
        <w:rPr/>
        <w:t>a、本公司与深圳发展银行广州信源支行签订了综合授信额度为 6500</w:t>
      </w:r>
      <w:r>
        <w:rPr>
          <w:spacing w:val="-22"/>
        </w:rPr>
        <w:t> </w:t>
      </w:r>
      <w:r>
        <w:rPr/>
        <w:t>万的合同，授信期</w:t>
      </w:r>
    </w:p>
    <w:p>
      <w:pPr>
        <w:pStyle w:val="BodyText"/>
        <w:spacing w:line="240" w:lineRule="auto" w:before="145"/>
        <w:ind w:left="503" w:right="0"/>
        <w:jc w:val="left"/>
      </w:pPr>
      <w:r>
        <w:rPr/>
        <w:t>限从</w:t>
      </w:r>
      <w:r>
        <w:rPr>
          <w:spacing w:val="-44"/>
        </w:rPr>
        <w:t> </w:t>
      </w:r>
      <w:r>
        <w:rPr/>
        <w:t>2011</w:t>
      </w:r>
      <w:r>
        <w:rPr>
          <w:spacing w:val="-44"/>
        </w:rPr>
        <w:t> </w:t>
      </w:r>
      <w:r>
        <w:rPr/>
        <w:t>年</w:t>
      </w:r>
      <w:r>
        <w:rPr>
          <w:spacing w:val="-44"/>
        </w:rPr>
        <w:t> </w:t>
      </w:r>
      <w:r>
        <w:rPr/>
        <w:t>9</w:t>
      </w:r>
      <w:r>
        <w:rPr>
          <w:spacing w:val="-44"/>
        </w:rPr>
        <w:t> </w:t>
      </w:r>
      <w:r>
        <w:rPr/>
        <w:t>月</w:t>
      </w:r>
      <w:r>
        <w:rPr>
          <w:spacing w:val="-44"/>
        </w:rPr>
        <w:t> </w:t>
      </w:r>
      <w:r>
        <w:rPr/>
        <w:t>13</w:t>
      </w:r>
      <w:r>
        <w:rPr>
          <w:spacing w:val="-44"/>
        </w:rPr>
        <w:t> </w:t>
      </w:r>
      <w:r>
        <w:rPr/>
        <w:t>日至</w:t>
      </w:r>
      <w:r>
        <w:rPr>
          <w:spacing w:val="-47"/>
        </w:rPr>
        <w:t> </w:t>
      </w:r>
      <w:r>
        <w:rPr/>
        <w:t>2012</w:t>
      </w:r>
      <w:r>
        <w:rPr>
          <w:spacing w:val="-44"/>
        </w:rPr>
        <w:t> </w:t>
      </w:r>
      <w:r>
        <w:rPr/>
        <w:t>年</w:t>
      </w:r>
      <w:r>
        <w:rPr>
          <w:spacing w:val="-44"/>
        </w:rPr>
        <w:t> </w:t>
      </w:r>
      <w:r>
        <w:rPr/>
        <w:t>9</w:t>
      </w:r>
      <w:r>
        <w:rPr>
          <w:spacing w:val="-44"/>
        </w:rPr>
        <w:t> </w:t>
      </w:r>
      <w:r>
        <w:rPr/>
        <w:t>月</w:t>
      </w:r>
      <w:r>
        <w:rPr>
          <w:spacing w:val="-44"/>
        </w:rPr>
        <w:t> </w:t>
      </w:r>
      <w:r>
        <w:rPr/>
        <w:t>12</w:t>
      </w:r>
      <w:r>
        <w:rPr>
          <w:spacing w:val="-44"/>
        </w:rPr>
        <w:t> </w:t>
      </w:r>
      <w:r>
        <w:rPr/>
        <w:t>日，以本公司所有的天誉花园一期五楼作抵押；该</w:t>
      </w:r>
    </w:p>
    <w:p>
      <w:pPr>
        <w:pStyle w:val="BodyText"/>
        <w:spacing w:line="240" w:lineRule="auto" w:before="145"/>
        <w:ind w:left="503" w:right="0"/>
        <w:jc w:val="left"/>
      </w:pPr>
      <w:r>
        <w:rPr/>
        <w:t>项资产目前反映在“投资性房地产”科目中，截止</w:t>
      </w:r>
      <w:r>
        <w:rPr>
          <w:spacing w:val="-56"/>
        </w:rPr>
        <w:t> </w:t>
      </w:r>
      <w:r>
        <w:rPr/>
        <w:t>2011</w:t>
      </w:r>
      <w:r>
        <w:rPr>
          <w:spacing w:val="-56"/>
        </w:rPr>
        <w:t> </w:t>
      </w:r>
      <w:r>
        <w:rPr/>
        <w:t>年</w:t>
      </w:r>
      <w:r>
        <w:rPr>
          <w:spacing w:val="-54"/>
        </w:rPr>
        <w:t> </w:t>
      </w:r>
      <w:r>
        <w:rPr/>
        <w:t>12</w:t>
      </w:r>
      <w:r>
        <w:rPr>
          <w:spacing w:val="-56"/>
        </w:rPr>
        <w:t> </w:t>
      </w:r>
      <w:r>
        <w:rPr/>
        <w:t>月</w:t>
      </w:r>
      <w:r>
        <w:rPr>
          <w:spacing w:val="-54"/>
        </w:rPr>
        <w:t> </w:t>
      </w:r>
      <w:r>
        <w:rPr/>
        <w:t>31</w:t>
      </w:r>
      <w:r>
        <w:rPr>
          <w:spacing w:val="-54"/>
        </w:rPr>
        <w:t> </w:t>
      </w:r>
      <w:r>
        <w:rPr/>
        <w:t>日，本公司在授信额度内</w:t>
      </w:r>
    </w:p>
    <w:p>
      <w:pPr>
        <w:pStyle w:val="BodyText"/>
        <w:spacing w:line="240" w:lineRule="auto" w:before="145"/>
        <w:ind w:left="503" w:right="0"/>
        <w:jc w:val="left"/>
      </w:pPr>
      <w:r>
        <w:rPr>
          <w:spacing w:val="13"/>
        </w:rPr>
        <w:t>的借款为人民币</w:t>
      </w:r>
      <w:r>
        <w:rPr>
          <w:spacing w:val="33"/>
        </w:rPr>
        <w:t> </w:t>
      </w:r>
      <w:r>
        <w:rPr/>
        <w:t>6500</w:t>
      </w:r>
      <w:r>
        <w:rPr>
          <w:spacing w:val="31"/>
        </w:rPr>
        <w:t> </w:t>
      </w:r>
      <w:r>
        <w:rPr>
          <w:spacing w:val="14"/>
        </w:rPr>
        <w:t>万元，该抵押资产账面原值</w:t>
      </w:r>
      <w:r>
        <w:rPr>
          <w:spacing w:val="33"/>
        </w:rPr>
        <w:t> </w:t>
      </w:r>
      <w:r>
        <w:rPr/>
        <w:t>119,441,793.14</w:t>
      </w:r>
      <w:r>
        <w:rPr>
          <w:spacing w:val="33"/>
        </w:rPr>
        <w:t> </w:t>
      </w:r>
      <w:r>
        <w:rPr>
          <w:spacing w:val="7"/>
        </w:rPr>
        <w:t>元，</w:t>
      </w:r>
      <w:r>
        <w:rPr>
          <w:spacing w:val="-84"/>
        </w:rPr>
        <w:t> </w:t>
      </w:r>
      <w:r>
        <w:rPr>
          <w:spacing w:val="13"/>
        </w:rPr>
        <w:t>账面累计折旧</w:t>
      </w:r>
    </w:p>
    <w:p>
      <w:pPr>
        <w:pStyle w:val="BodyText"/>
        <w:spacing w:line="240" w:lineRule="auto" w:before="145"/>
        <w:ind w:left="503" w:right="4075"/>
        <w:jc w:val="left"/>
      </w:pPr>
      <w:r>
        <w:rPr/>
        <w:t>28,832,451.15</w:t>
      </w:r>
      <w:r>
        <w:rPr>
          <w:spacing w:val="-54"/>
        </w:rPr>
        <w:t> </w:t>
      </w:r>
      <w:r>
        <w:rPr/>
        <w:t>元，减值准备</w:t>
      </w:r>
      <w:r>
        <w:rPr>
          <w:spacing w:val="-52"/>
        </w:rPr>
        <w:t> </w:t>
      </w:r>
      <w:r>
        <w:rPr/>
        <w:t>6,331,179.10</w:t>
      </w:r>
      <w:r>
        <w:rPr>
          <w:spacing w:val="-54"/>
        </w:rPr>
        <w:t> </w:t>
      </w:r>
      <w:r>
        <w:rPr/>
        <w:t>元。</w:t>
      </w:r>
    </w:p>
    <w:p>
      <w:pPr>
        <w:spacing w:line="240" w:lineRule="auto" w:before="0"/>
        <w:rPr>
          <w:rFonts w:ascii="宋体" w:hAnsi="宋体" w:cs="宋体" w:eastAsia="宋体" w:hint="default"/>
          <w:sz w:val="23"/>
          <w:szCs w:val="23"/>
        </w:rPr>
      </w:pPr>
    </w:p>
    <w:p>
      <w:pPr>
        <w:pStyle w:val="BodyText"/>
        <w:spacing w:line="367" w:lineRule="auto"/>
        <w:ind w:left="503" w:right="1691" w:firstLine="432"/>
        <w:jc w:val="both"/>
      </w:pPr>
      <w:r>
        <w:rPr>
          <w:spacing w:val="-2"/>
        </w:rPr>
        <w:t>b、子公司广州润龙房地产有限公司与深圳发展银行广州信源支行签订了综合授信额度为</w:t>
      </w:r>
      <w:r>
        <w:rPr>
          <w:w w:val="100"/>
        </w:rPr>
        <w:t> </w:t>
      </w:r>
      <w:r>
        <w:rPr/>
        <w:t>35,000</w:t>
      </w:r>
      <w:r>
        <w:rPr>
          <w:spacing w:val="-48"/>
        </w:rPr>
        <w:t> </w:t>
      </w:r>
      <w:r>
        <w:rPr/>
        <w:t>万的合同，授信期限从</w:t>
      </w:r>
      <w:r>
        <w:rPr>
          <w:spacing w:val="-50"/>
        </w:rPr>
        <w:t> </w:t>
      </w:r>
      <w:r>
        <w:rPr/>
        <w:t>2011</w:t>
      </w:r>
      <w:r>
        <w:rPr>
          <w:spacing w:val="-50"/>
        </w:rPr>
        <w:t> </w:t>
      </w:r>
      <w:r>
        <w:rPr/>
        <w:t>年</w:t>
      </w:r>
      <w:r>
        <w:rPr>
          <w:spacing w:val="-50"/>
        </w:rPr>
        <w:t> </w:t>
      </w:r>
      <w:r>
        <w:rPr/>
        <w:t>1</w:t>
      </w:r>
      <w:r>
        <w:rPr>
          <w:spacing w:val="-50"/>
        </w:rPr>
        <w:t> </w:t>
      </w:r>
      <w:r>
        <w:rPr/>
        <w:t>月</w:t>
      </w:r>
      <w:r>
        <w:rPr>
          <w:spacing w:val="-48"/>
        </w:rPr>
        <w:t> </w:t>
      </w:r>
      <w:r>
        <w:rPr/>
        <w:t>4</w:t>
      </w:r>
      <w:r>
        <w:rPr>
          <w:spacing w:val="-50"/>
        </w:rPr>
        <w:t> </w:t>
      </w:r>
      <w:r>
        <w:rPr/>
        <w:t>日至</w:t>
      </w:r>
      <w:r>
        <w:rPr>
          <w:spacing w:val="-48"/>
        </w:rPr>
        <w:t> </w:t>
      </w:r>
      <w:r>
        <w:rPr/>
        <w:t>2021</w:t>
      </w:r>
      <w:r>
        <w:rPr>
          <w:spacing w:val="-50"/>
        </w:rPr>
        <w:t> </w:t>
      </w:r>
      <w:r>
        <w:rPr/>
        <w:t>年</w:t>
      </w:r>
      <w:r>
        <w:rPr>
          <w:spacing w:val="-50"/>
        </w:rPr>
        <w:t> </w:t>
      </w:r>
      <w:r>
        <w:rPr/>
        <w:t>1</w:t>
      </w:r>
      <w:r>
        <w:rPr>
          <w:spacing w:val="-50"/>
        </w:rPr>
        <w:t> </w:t>
      </w:r>
      <w:r>
        <w:rPr/>
        <w:t>月</w:t>
      </w:r>
      <w:r>
        <w:rPr>
          <w:spacing w:val="-50"/>
        </w:rPr>
        <w:t> </w:t>
      </w:r>
      <w:r>
        <w:rPr/>
        <w:t>3</w:t>
      </w:r>
      <w:r>
        <w:rPr>
          <w:spacing w:val="-48"/>
        </w:rPr>
        <w:t> </w:t>
      </w:r>
      <w:r>
        <w:rPr/>
        <w:t>日，由本公司、本公司母公</w:t>
      </w:r>
      <w:r>
        <w:rPr>
          <w:w w:val="100"/>
        </w:rPr>
        <w:t> </w:t>
      </w:r>
      <w:r>
        <w:rPr/>
        <w:t>司天伦控股有限公司及本公司属下子公司广州为众物业管理有限公司提供保证担保，并以广</w:t>
      </w:r>
      <w:r>
        <w:rPr>
          <w:spacing w:val="-8"/>
        </w:rPr>
        <w:t> </w:t>
      </w:r>
      <w:r>
        <w:rPr>
          <w:spacing w:val="-8"/>
        </w:rPr>
      </w:r>
      <w:r>
        <w:rPr/>
        <w:t>州润龙房地产有限公司所有的“天伦大厦”第一至第二十五层作抵押，该项资产目前反映在</w:t>
      </w:r>
      <w:r>
        <w:rPr>
          <w:spacing w:val="-8"/>
        </w:rPr>
        <w:t> </w:t>
      </w:r>
      <w:r>
        <w:rPr>
          <w:spacing w:val="-8"/>
        </w:rPr>
      </w:r>
      <w:r>
        <w:rPr>
          <w:spacing w:val="-17"/>
          <w:w w:val="100"/>
        </w:rPr>
        <w:t>“投资性房地产”科目中；截止</w:t>
      </w:r>
      <w:r>
        <w:rPr>
          <w:spacing w:val="-74"/>
          <w:w w:val="100"/>
        </w:rPr>
        <w:t> </w:t>
      </w:r>
      <w:r>
        <w:rPr>
          <w:w w:val="100"/>
        </w:rPr>
        <w:t>2011</w:t>
      </w:r>
      <w:r>
        <w:rPr>
          <w:spacing w:val="-74"/>
          <w:w w:val="100"/>
        </w:rPr>
        <w:t> </w:t>
      </w:r>
      <w:r>
        <w:rPr>
          <w:w w:val="100"/>
        </w:rPr>
        <w:t>年</w:t>
      </w:r>
      <w:r>
        <w:rPr>
          <w:spacing w:val="-74"/>
          <w:w w:val="100"/>
        </w:rPr>
        <w:t> </w:t>
      </w:r>
      <w:r>
        <w:rPr>
          <w:w w:val="100"/>
        </w:rPr>
        <w:t>12</w:t>
      </w:r>
      <w:r>
        <w:rPr>
          <w:spacing w:val="-74"/>
          <w:w w:val="100"/>
        </w:rPr>
        <w:t> </w:t>
      </w:r>
      <w:r>
        <w:rPr>
          <w:w w:val="100"/>
        </w:rPr>
        <w:t>月</w:t>
      </w:r>
      <w:r>
        <w:rPr>
          <w:spacing w:val="-74"/>
          <w:w w:val="100"/>
        </w:rPr>
        <w:t> </w:t>
      </w:r>
      <w:r>
        <w:rPr>
          <w:w w:val="100"/>
        </w:rPr>
        <w:t>31</w:t>
      </w:r>
      <w:r>
        <w:rPr>
          <w:spacing w:val="-76"/>
          <w:w w:val="100"/>
        </w:rPr>
        <w:t> </w:t>
      </w:r>
      <w:r>
        <w:rPr>
          <w:spacing w:val="-8"/>
          <w:w w:val="100"/>
        </w:rPr>
        <w:t>日，本公司在授信额度内的借款为人民币</w:t>
      </w:r>
      <w:r>
        <w:rPr>
          <w:spacing w:val="-74"/>
          <w:w w:val="100"/>
        </w:rPr>
        <w:t> </w:t>
      </w:r>
      <w:r>
        <w:rPr>
          <w:spacing w:val="-1"/>
          <w:w w:val="100"/>
        </w:rPr>
        <w:t>32,820</w:t>
      </w:r>
    </w:p>
    <w:p>
      <w:pPr>
        <w:spacing w:after="0" w:line="367" w:lineRule="auto"/>
        <w:jc w:val="both"/>
        <w:sectPr>
          <w:pgSz w:w="11910" w:h="16840"/>
          <w:pgMar w:header="929" w:footer="981" w:top="1180" w:bottom="1180" w:left="1200" w:right="0"/>
        </w:sectPr>
      </w:pPr>
    </w:p>
    <w:p>
      <w:pPr>
        <w:spacing w:line="240" w:lineRule="auto" w:before="10"/>
        <w:rPr>
          <w:rFonts w:ascii="宋体" w:hAnsi="宋体" w:cs="宋体" w:eastAsia="宋体" w:hint="default"/>
          <w:sz w:val="28"/>
          <w:szCs w:val="28"/>
        </w:rPr>
      </w:pPr>
    </w:p>
    <w:p>
      <w:pPr>
        <w:pStyle w:val="BodyText"/>
        <w:spacing w:line="240" w:lineRule="auto" w:before="36"/>
        <w:ind w:left="243" w:right="1354"/>
        <w:jc w:val="left"/>
      </w:pPr>
      <w:r>
        <w:rPr/>
        <w:t>万元，该抵押资产账面原值</w:t>
      </w:r>
      <w:r>
        <w:rPr>
          <w:spacing w:val="-55"/>
        </w:rPr>
        <w:t> </w:t>
      </w:r>
      <w:r>
        <w:rPr/>
        <w:t>258,537,045.16</w:t>
      </w:r>
      <w:r>
        <w:rPr>
          <w:spacing w:val="-57"/>
        </w:rPr>
        <w:t> </w:t>
      </w:r>
      <w:r>
        <w:rPr/>
        <w:t>元，账面累计折旧</w:t>
      </w:r>
      <w:r>
        <w:rPr>
          <w:spacing w:val="-55"/>
        </w:rPr>
        <w:t> </w:t>
      </w:r>
      <w:r>
        <w:rPr/>
        <w:t>30,489,541.55</w:t>
      </w:r>
      <w:r>
        <w:rPr>
          <w:spacing w:val="-55"/>
        </w:rPr>
        <w:t> </w:t>
      </w:r>
      <w:r>
        <w:rPr/>
        <w:t>元。</w:t>
      </w:r>
    </w:p>
    <w:p>
      <w:pPr>
        <w:spacing w:line="240" w:lineRule="auto" w:before="0"/>
        <w:rPr>
          <w:rFonts w:ascii="宋体" w:hAnsi="宋体" w:cs="宋体" w:eastAsia="宋体" w:hint="default"/>
          <w:sz w:val="23"/>
          <w:szCs w:val="23"/>
        </w:rPr>
      </w:pPr>
    </w:p>
    <w:p>
      <w:pPr>
        <w:pStyle w:val="BodyText"/>
        <w:spacing w:line="367" w:lineRule="auto"/>
        <w:ind w:left="243" w:right="1354" w:firstLine="432"/>
        <w:jc w:val="left"/>
      </w:pPr>
      <w:r>
        <w:rPr>
          <w:spacing w:val="-1"/>
        </w:rPr>
        <w:t>c、本公司属下子公司贵州六盘水吉源煤业有限公司与水城县阿</w:t>
      </w:r>
      <w:r>
        <w:rPr>
          <w:spacing w:val="-1"/>
          <w:sz w:val="18"/>
          <w:szCs w:val="18"/>
        </w:rPr>
        <w:t>戛</w:t>
      </w:r>
      <w:r>
        <w:rPr>
          <w:spacing w:val="-1"/>
        </w:rPr>
        <w:t>农村信用合作社借入人</w:t>
      </w:r>
      <w:r>
        <w:rPr>
          <w:w w:val="100"/>
        </w:rPr>
        <w:t> </w:t>
      </w:r>
      <w:r>
        <w:rPr/>
        <w:t>民币</w:t>
      </w:r>
      <w:r>
        <w:rPr>
          <w:spacing w:val="-53"/>
        </w:rPr>
        <w:t> </w:t>
      </w:r>
      <w:r>
        <w:rPr/>
        <w:t>1500</w:t>
      </w:r>
      <w:r>
        <w:rPr>
          <w:spacing w:val="-56"/>
        </w:rPr>
        <w:t> </w:t>
      </w:r>
      <w:r>
        <w:rPr/>
        <w:t>万元，借款期限从</w:t>
      </w:r>
      <w:r>
        <w:rPr>
          <w:spacing w:val="-53"/>
        </w:rPr>
        <w:t> </w:t>
      </w:r>
      <w:r>
        <w:rPr/>
        <w:t>2009</w:t>
      </w:r>
      <w:r>
        <w:rPr>
          <w:spacing w:val="-53"/>
        </w:rPr>
        <w:t> </w:t>
      </w:r>
      <w:r>
        <w:rPr/>
        <w:t>年</w:t>
      </w:r>
      <w:r>
        <w:rPr>
          <w:spacing w:val="-56"/>
        </w:rPr>
        <w:t> </w:t>
      </w:r>
      <w:r>
        <w:rPr/>
        <w:t>4</w:t>
      </w:r>
      <w:r>
        <w:rPr>
          <w:spacing w:val="-53"/>
        </w:rPr>
        <w:t> </w:t>
      </w:r>
      <w:r>
        <w:rPr/>
        <w:t>月</w:t>
      </w:r>
      <w:r>
        <w:rPr>
          <w:spacing w:val="-56"/>
        </w:rPr>
        <w:t> </w:t>
      </w:r>
      <w:r>
        <w:rPr/>
        <w:t>2</w:t>
      </w:r>
      <w:r>
        <w:rPr>
          <w:spacing w:val="-53"/>
        </w:rPr>
        <w:t> </w:t>
      </w:r>
      <w:r>
        <w:rPr/>
        <w:t>日至</w:t>
      </w:r>
      <w:r>
        <w:rPr>
          <w:spacing w:val="-53"/>
        </w:rPr>
        <w:t> </w:t>
      </w:r>
      <w:r>
        <w:rPr/>
        <w:t>2012</w:t>
      </w:r>
      <w:r>
        <w:rPr>
          <w:spacing w:val="-53"/>
        </w:rPr>
        <w:t> </w:t>
      </w:r>
      <w:r>
        <w:rPr/>
        <w:t>年</w:t>
      </w:r>
      <w:r>
        <w:rPr>
          <w:spacing w:val="-53"/>
        </w:rPr>
        <w:t> </w:t>
      </w:r>
      <w:r>
        <w:rPr/>
        <w:t>4</w:t>
      </w:r>
      <w:r>
        <w:rPr>
          <w:spacing w:val="-56"/>
        </w:rPr>
        <w:t> </w:t>
      </w:r>
      <w:r>
        <w:rPr/>
        <w:t>月</w:t>
      </w:r>
      <w:r>
        <w:rPr>
          <w:spacing w:val="-53"/>
        </w:rPr>
        <w:t> </w:t>
      </w:r>
      <w:r>
        <w:rPr/>
        <w:t>1</w:t>
      </w:r>
      <w:r>
        <w:rPr>
          <w:spacing w:val="-56"/>
        </w:rPr>
        <w:t> </w:t>
      </w:r>
      <w:r>
        <w:rPr/>
        <w:t>日，由该子公司采矿权证（权</w:t>
      </w:r>
    </w:p>
    <w:p>
      <w:pPr>
        <w:pStyle w:val="BodyText"/>
        <w:spacing w:line="240" w:lineRule="auto" w:before="34"/>
        <w:ind w:left="243" w:right="1354"/>
        <w:jc w:val="left"/>
      </w:pPr>
      <w:r>
        <w:rPr/>
        <w:t>属证号：5200000620223，有效期自</w:t>
      </w:r>
      <w:r>
        <w:rPr>
          <w:spacing w:val="-54"/>
        </w:rPr>
        <w:t> </w:t>
      </w:r>
      <w:r>
        <w:rPr/>
        <w:t>2006</w:t>
      </w:r>
      <w:r>
        <w:rPr>
          <w:spacing w:val="-56"/>
        </w:rPr>
        <w:t> </w:t>
      </w:r>
      <w:r>
        <w:rPr/>
        <w:t>年</w:t>
      </w:r>
      <w:r>
        <w:rPr>
          <w:spacing w:val="-54"/>
        </w:rPr>
        <w:t> </w:t>
      </w:r>
      <w:r>
        <w:rPr/>
        <w:t>7</w:t>
      </w:r>
      <w:r>
        <w:rPr>
          <w:spacing w:val="-56"/>
        </w:rPr>
        <w:t> </w:t>
      </w:r>
      <w:r>
        <w:rPr/>
        <w:t>月至</w:t>
      </w:r>
      <w:r>
        <w:rPr>
          <w:spacing w:val="-56"/>
        </w:rPr>
        <w:t> </w:t>
      </w:r>
      <w:r>
        <w:rPr/>
        <w:t>2020</w:t>
      </w:r>
      <w:r>
        <w:rPr>
          <w:spacing w:val="-54"/>
        </w:rPr>
        <w:t> </w:t>
      </w:r>
      <w:r>
        <w:rPr/>
        <w:t>年</w:t>
      </w:r>
      <w:r>
        <w:rPr>
          <w:spacing w:val="-56"/>
        </w:rPr>
        <w:t> </w:t>
      </w:r>
      <w:r>
        <w:rPr/>
        <w:t>5</w:t>
      </w:r>
      <w:r>
        <w:rPr>
          <w:spacing w:val="-54"/>
        </w:rPr>
        <w:t> </w:t>
      </w:r>
      <w:r>
        <w:rPr/>
        <w:t>月）作质押，该项资产目前反映</w:t>
      </w:r>
    </w:p>
    <w:p>
      <w:pPr>
        <w:pStyle w:val="BodyText"/>
        <w:spacing w:line="240" w:lineRule="auto" w:before="145"/>
        <w:ind w:left="243" w:right="1354"/>
        <w:jc w:val="left"/>
      </w:pPr>
      <w:r>
        <w:rPr>
          <w:spacing w:val="-11"/>
        </w:rPr>
        <w:t>在“无形资产”科目中；截止</w:t>
      </w:r>
      <w:r>
        <w:rPr>
          <w:spacing w:val="-45"/>
        </w:rPr>
        <w:t> </w:t>
      </w:r>
      <w:r>
        <w:rPr/>
        <w:t>2011</w:t>
      </w:r>
      <w:r>
        <w:rPr>
          <w:spacing w:val="-45"/>
        </w:rPr>
        <w:t> </w:t>
      </w:r>
      <w:r>
        <w:rPr/>
        <w:t>年</w:t>
      </w:r>
      <w:r>
        <w:rPr>
          <w:spacing w:val="-48"/>
        </w:rPr>
        <w:t> </w:t>
      </w:r>
      <w:r>
        <w:rPr/>
        <w:t>12</w:t>
      </w:r>
      <w:r>
        <w:rPr>
          <w:spacing w:val="-48"/>
        </w:rPr>
        <w:t> </w:t>
      </w:r>
      <w:r>
        <w:rPr/>
        <w:t>月</w:t>
      </w:r>
      <w:r>
        <w:rPr>
          <w:spacing w:val="-45"/>
        </w:rPr>
        <w:t> </w:t>
      </w:r>
      <w:r>
        <w:rPr/>
        <w:t>31</w:t>
      </w:r>
      <w:r>
        <w:rPr>
          <w:spacing w:val="-48"/>
        </w:rPr>
        <w:t> </w:t>
      </w:r>
      <w:r>
        <w:rPr>
          <w:spacing w:val="-4"/>
        </w:rPr>
        <w:t>日，本公司在授信额度内的借款为人民币</w:t>
      </w:r>
      <w:r>
        <w:rPr>
          <w:spacing w:val="-45"/>
        </w:rPr>
        <w:t> </w:t>
      </w:r>
      <w:r>
        <w:rPr/>
        <w:t>1,000</w:t>
      </w:r>
    </w:p>
    <w:p>
      <w:pPr>
        <w:pStyle w:val="BodyText"/>
        <w:spacing w:line="240" w:lineRule="auto" w:before="145"/>
        <w:ind w:left="243" w:right="1354"/>
        <w:jc w:val="left"/>
      </w:pPr>
      <w:r>
        <w:rPr/>
        <w:t>万元，该无形资产账面原值</w:t>
      </w:r>
      <w:r>
        <w:rPr>
          <w:spacing w:val="-54"/>
        </w:rPr>
        <w:t> </w:t>
      </w:r>
      <w:r>
        <w:rPr/>
        <w:t>17,390,169.43</w:t>
      </w:r>
      <w:r>
        <w:rPr>
          <w:spacing w:val="-54"/>
        </w:rPr>
        <w:t> </w:t>
      </w:r>
      <w:r>
        <w:rPr/>
        <w:t>元，账面累计摊销</w:t>
      </w:r>
      <w:r>
        <w:rPr>
          <w:spacing w:val="-54"/>
        </w:rPr>
        <w:t> </w:t>
      </w:r>
      <w:r>
        <w:rPr/>
        <w:t>6,131,245.05</w:t>
      </w:r>
      <w:r>
        <w:rPr>
          <w:spacing w:val="-56"/>
        </w:rPr>
        <w:t> </w:t>
      </w:r>
      <w:r>
        <w:rPr/>
        <w:t>元。</w:t>
      </w:r>
    </w:p>
    <w:p>
      <w:pPr>
        <w:spacing w:line="240" w:lineRule="auto" w:before="0"/>
        <w:rPr>
          <w:rFonts w:ascii="宋体" w:hAnsi="宋体" w:cs="宋体" w:eastAsia="宋体" w:hint="default"/>
          <w:sz w:val="23"/>
          <w:szCs w:val="23"/>
        </w:rPr>
      </w:pPr>
    </w:p>
    <w:p>
      <w:pPr>
        <w:pStyle w:val="BodyText"/>
        <w:spacing w:line="367" w:lineRule="auto"/>
        <w:ind w:left="243" w:right="1683" w:firstLine="432"/>
        <w:jc w:val="left"/>
      </w:pPr>
      <w:r>
        <w:rPr>
          <w:spacing w:val="2"/>
          <w:w w:val="100"/>
        </w:rPr>
        <w:t>（3</w:t>
      </w:r>
      <w:r>
        <w:rPr>
          <w:spacing w:val="-104"/>
          <w:w w:val="100"/>
        </w:rPr>
        <w:t>）</w:t>
      </w:r>
      <w:r>
        <w:rPr>
          <w:w w:val="100"/>
        </w:rPr>
        <w:t>、</w:t>
      </w:r>
      <w:r>
        <w:rPr>
          <w:spacing w:val="2"/>
          <w:w w:val="100"/>
        </w:rPr>
        <w:t>本</w:t>
      </w:r>
      <w:r>
        <w:rPr>
          <w:w w:val="100"/>
        </w:rPr>
        <w:t>公</w:t>
      </w:r>
      <w:r>
        <w:rPr>
          <w:spacing w:val="2"/>
          <w:w w:val="100"/>
        </w:rPr>
        <w:t>司</w:t>
      </w:r>
      <w:r>
        <w:rPr>
          <w:w w:val="100"/>
        </w:rPr>
        <w:t>属</w:t>
      </w:r>
      <w:r>
        <w:rPr>
          <w:spacing w:val="2"/>
          <w:w w:val="100"/>
        </w:rPr>
        <w:t>下</w:t>
      </w:r>
      <w:r>
        <w:rPr>
          <w:w w:val="100"/>
        </w:rPr>
        <w:t>子</w:t>
      </w:r>
      <w:r>
        <w:rPr>
          <w:spacing w:val="2"/>
          <w:w w:val="100"/>
        </w:rPr>
        <w:t>公</w:t>
      </w:r>
      <w:r>
        <w:rPr>
          <w:w w:val="100"/>
        </w:rPr>
        <w:t>司</w:t>
      </w:r>
      <w:r>
        <w:rPr>
          <w:spacing w:val="2"/>
          <w:w w:val="100"/>
        </w:rPr>
        <w:t>贵州</w:t>
      </w:r>
      <w:r>
        <w:rPr>
          <w:w w:val="100"/>
        </w:rPr>
        <w:t>六</w:t>
      </w:r>
      <w:r>
        <w:rPr>
          <w:spacing w:val="2"/>
          <w:w w:val="100"/>
        </w:rPr>
        <w:t>盘</w:t>
      </w:r>
      <w:r>
        <w:rPr>
          <w:w w:val="100"/>
        </w:rPr>
        <w:t>水</w:t>
      </w:r>
      <w:r>
        <w:rPr>
          <w:spacing w:val="2"/>
          <w:w w:val="100"/>
        </w:rPr>
        <w:t>吉</w:t>
      </w:r>
      <w:r>
        <w:rPr>
          <w:w w:val="100"/>
        </w:rPr>
        <w:t>源</w:t>
      </w:r>
      <w:r>
        <w:rPr>
          <w:spacing w:val="2"/>
          <w:w w:val="100"/>
        </w:rPr>
        <w:t>煤</w:t>
      </w:r>
      <w:r>
        <w:rPr>
          <w:w w:val="100"/>
        </w:rPr>
        <w:t>业</w:t>
      </w:r>
      <w:r>
        <w:rPr>
          <w:spacing w:val="2"/>
          <w:w w:val="100"/>
        </w:rPr>
        <w:t>有</w:t>
      </w:r>
      <w:r>
        <w:rPr>
          <w:w w:val="100"/>
        </w:rPr>
        <w:t>限</w:t>
      </w:r>
      <w:r>
        <w:rPr>
          <w:spacing w:val="2"/>
          <w:w w:val="100"/>
        </w:rPr>
        <w:t>公司</w:t>
      </w:r>
      <w:r>
        <w:rPr>
          <w:w w:val="100"/>
        </w:rPr>
        <w:t>根</w:t>
      </w:r>
      <w:r>
        <w:rPr>
          <w:spacing w:val="2"/>
          <w:w w:val="100"/>
        </w:rPr>
        <w:t>据</w:t>
      </w:r>
      <w:r>
        <w:rPr>
          <w:w w:val="100"/>
        </w:rPr>
        <w:t>六</w:t>
      </w:r>
      <w:r>
        <w:rPr>
          <w:spacing w:val="2"/>
          <w:w w:val="100"/>
        </w:rPr>
        <w:t>盘</w:t>
      </w:r>
      <w:r>
        <w:rPr>
          <w:w w:val="100"/>
        </w:rPr>
        <w:t>水</w:t>
      </w:r>
      <w:r>
        <w:rPr>
          <w:spacing w:val="2"/>
          <w:w w:val="100"/>
        </w:rPr>
        <w:t>国</w:t>
      </w:r>
      <w:r>
        <w:rPr>
          <w:w w:val="100"/>
        </w:rPr>
        <w:t>土</w:t>
      </w:r>
      <w:r>
        <w:rPr>
          <w:spacing w:val="2"/>
          <w:w w:val="100"/>
        </w:rPr>
        <w:t>资</w:t>
      </w:r>
      <w:r>
        <w:rPr>
          <w:w w:val="100"/>
        </w:rPr>
        <w:t>源</w:t>
      </w:r>
      <w:r>
        <w:rPr>
          <w:spacing w:val="2"/>
          <w:w w:val="100"/>
        </w:rPr>
        <w:t>局颁</w:t>
      </w:r>
      <w:r>
        <w:rPr>
          <w:w w:val="100"/>
        </w:rPr>
        <w:t>布的市</w:t>
      </w:r>
      <w:r>
        <w:rPr>
          <w:w w:val="100"/>
        </w:rPr>
        <w:t> 国土</w:t>
      </w:r>
      <w:r>
        <w:rPr>
          <w:spacing w:val="-3"/>
          <w:w w:val="100"/>
        </w:rPr>
        <w:t>资</w:t>
      </w:r>
      <w:r>
        <w:rPr>
          <w:w w:val="100"/>
        </w:rPr>
        <w:t>通[</w:t>
      </w:r>
      <w:r>
        <w:rPr>
          <w:spacing w:val="-3"/>
          <w:w w:val="100"/>
        </w:rPr>
        <w:t>2</w:t>
      </w:r>
      <w:r>
        <w:rPr>
          <w:w w:val="100"/>
        </w:rPr>
        <w:t>008]8</w:t>
      </w:r>
      <w:r>
        <w:rPr>
          <w:spacing w:val="-5"/>
        </w:rPr>
        <w:t> </w:t>
      </w:r>
      <w:r>
        <w:rPr>
          <w:w w:val="100"/>
        </w:rPr>
        <w:t>号</w:t>
      </w:r>
      <w:r>
        <w:rPr>
          <w:spacing w:val="-3"/>
          <w:w w:val="100"/>
        </w:rPr>
        <w:t>文件</w:t>
      </w:r>
      <w:r>
        <w:rPr>
          <w:w w:val="100"/>
        </w:rPr>
        <w:t>“关</w:t>
      </w:r>
      <w:r>
        <w:rPr>
          <w:spacing w:val="-3"/>
          <w:w w:val="100"/>
        </w:rPr>
        <w:t>于</w:t>
      </w:r>
      <w:r>
        <w:rPr>
          <w:w w:val="100"/>
        </w:rPr>
        <w:t>加</w:t>
      </w:r>
      <w:r>
        <w:rPr>
          <w:spacing w:val="-3"/>
          <w:w w:val="100"/>
        </w:rPr>
        <w:t>强</w:t>
      </w:r>
      <w:r>
        <w:rPr>
          <w:w w:val="100"/>
        </w:rPr>
        <w:t>矿</w:t>
      </w:r>
      <w:r>
        <w:rPr>
          <w:spacing w:val="-3"/>
          <w:w w:val="100"/>
        </w:rPr>
        <w:t>山</w:t>
      </w:r>
      <w:r>
        <w:rPr>
          <w:w w:val="100"/>
        </w:rPr>
        <w:t>环</w:t>
      </w:r>
      <w:r>
        <w:rPr>
          <w:spacing w:val="-3"/>
          <w:w w:val="100"/>
        </w:rPr>
        <w:t>境</w:t>
      </w:r>
      <w:r>
        <w:rPr>
          <w:w w:val="100"/>
        </w:rPr>
        <w:t>治</w:t>
      </w:r>
      <w:r>
        <w:rPr>
          <w:spacing w:val="-3"/>
          <w:w w:val="100"/>
        </w:rPr>
        <w:t>理</w:t>
      </w:r>
      <w:r>
        <w:rPr>
          <w:w w:val="100"/>
        </w:rPr>
        <w:t>恢复</w:t>
      </w:r>
      <w:r>
        <w:rPr>
          <w:spacing w:val="-3"/>
          <w:w w:val="100"/>
        </w:rPr>
        <w:t>保</w:t>
      </w:r>
      <w:r>
        <w:rPr>
          <w:w w:val="100"/>
        </w:rPr>
        <w:t>证</w:t>
      </w:r>
      <w:r>
        <w:rPr>
          <w:spacing w:val="-3"/>
          <w:w w:val="100"/>
        </w:rPr>
        <w:t>金</w:t>
      </w:r>
      <w:r>
        <w:rPr>
          <w:w w:val="100"/>
        </w:rPr>
        <w:t>缴</w:t>
      </w:r>
      <w:r>
        <w:rPr>
          <w:spacing w:val="-3"/>
          <w:w w:val="100"/>
        </w:rPr>
        <w:t>存</w:t>
      </w:r>
      <w:r>
        <w:rPr>
          <w:w w:val="100"/>
        </w:rPr>
        <w:t>管</w:t>
      </w:r>
      <w:r>
        <w:rPr>
          <w:spacing w:val="-3"/>
          <w:w w:val="100"/>
        </w:rPr>
        <w:t>理</w:t>
      </w:r>
      <w:r>
        <w:rPr>
          <w:w w:val="100"/>
        </w:rPr>
        <w:t>的</w:t>
      </w:r>
      <w:r>
        <w:rPr>
          <w:spacing w:val="-3"/>
          <w:w w:val="100"/>
        </w:rPr>
        <w:t>通</w:t>
      </w:r>
      <w:r>
        <w:rPr>
          <w:spacing w:val="-1"/>
          <w:w w:val="100"/>
        </w:rPr>
        <w:t>知</w:t>
      </w:r>
      <w:r>
        <w:rPr>
          <w:spacing w:val="-106"/>
          <w:w w:val="100"/>
        </w:rPr>
        <w:t>”</w:t>
      </w:r>
      <w:r>
        <w:rPr>
          <w:spacing w:val="-3"/>
          <w:w w:val="100"/>
        </w:rPr>
        <w:t>，</w:t>
      </w:r>
      <w:r>
        <w:rPr>
          <w:w w:val="100"/>
        </w:rPr>
        <w:t>以</w:t>
      </w:r>
      <w:r>
        <w:rPr>
          <w:spacing w:val="-3"/>
          <w:w w:val="100"/>
        </w:rPr>
        <w:t>及</w:t>
      </w:r>
      <w:r>
        <w:rPr>
          <w:w w:val="100"/>
        </w:rPr>
        <w:t>黔</w:t>
      </w:r>
      <w:r>
        <w:rPr>
          <w:spacing w:val="-3"/>
          <w:w w:val="100"/>
        </w:rPr>
        <w:t>财</w:t>
      </w:r>
      <w:r>
        <w:rPr>
          <w:w w:val="100"/>
        </w:rPr>
        <w:t>建</w:t>
      </w:r>
    </w:p>
    <w:p>
      <w:pPr>
        <w:pStyle w:val="BodyText"/>
        <w:spacing w:line="367" w:lineRule="auto" w:before="34"/>
        <w:ind w:left="243" w:right="1354"/>
        <w:jc w:val="left"/>
      </w:pPr>
      <w:r>
        <w:rPr>
          <w:spacing w:val="-3"/>
        </w:rPr>
        <w:t>【2006】36 号“关于印发《贵州省煤矿企业安全生产风险抵押金专户监管办法》的通知文件，</w:t>
      </w:r>
      <w:r>
        <w:rPr>
          <w:spacing w:val="-85"/>
        </w:rPr>
        <w:t> </w:t>
      </w:r>
      <w:r>
        <w:rPr>
          <w:spacing w:val="-85"/>
        </w:rPr>
      </w:r>
      <w:r>
        <w:rPr/>
        <w:t>按规定缴存矿山环境治理恢复保证金和安全生产风险抵押金。</w:t>
      </w:r>
    </w:p>
    <w:p>
      <w:pPr>
        <w:spacing w:line="240" w:lineRule="auto" w:before="0"/>
        <w:rPr>
          <w:rFonts w:ascii="宋体" w:hAnsi="宋体" w:cs="宋体" w:eastAsia="宋体" w:hint="default"/>
          <w:sz w:val="20"/>
          <w:szCs w:val="20"/>
        </w:rPr>
      </w:pPr>
    </w:p>
    <w:p>
      <w:pPr>
        <w:pStyle w:val="BodyText"/>
        <w:spacing w:line="240" w:lineRule="auto" w:before="149"/>
        <w:ind w:left="243" w:right="1354"/>
        <w:jc w:val="left"/>
      </w:pPr>
      <w:r>
        <w:rPr/>
        <w:t>17、短期借款</w:t>
      </w:r>
    </w:p>
    <w:p>
      <w:pPr>
        <w:spacing w:line="240" w:lineRule="auto" w:before="1"/>
        <w:rPr>
          <w:rFonts w:ascii="宋体" w:hAnsi="宋体" w:cs="宋体" w:eastAsia="宋体" w:hint="default"/>
          <w:sz w:val="29"/>
          <w:szCs w:val="29"/>
        </w:rPr>
      </w:pPr>
    </w:p>
    <w:p>
      <w:pPr>
        <w:pStyle w:val="BodyText"/>
        <w:spacing w:line="240" w:lineRule="auto"/>
        <w:ind w:left="557" w:right="1354"/>
        <w:jc w:val="left"/>
      </w:pPr>
      <w:r>
        <w:rPr/>
        <w:t>（1）短期借款分类：</w:t>
      </w:r>
    </w:p>
    <w:p>
      <w:pPr>
        <w:spacing w:line="240" w:lineRule="auto" w:before="2"/>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976"/>
        <w:gridCol w:w="2964"/>
        <w:gridCol w:w="2794"/>
      </w:tblGrid>
      <w:tr>
        <w:trPr>
          <w:trHeight w:val="521" w:hRule="exact"/>
        </w:trPr>
        <w:tc>
          <w:tcPr>
            <w:tcW w:w="29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9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2011.12.31</w:t>
            </w:r>
          </w:p>
        </w:tc>
        <w:tc>
          <w:tcPr>
            <w:tcW w:w="27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8"/>
              <w:ind w:right="107"/>
              <w:jc w:val="right"/>
              <w:rPr>
                <w:rFonts w:ascii="宋体" w:hAnsi="宋体" w:cs="宋体" w:eastAsia="宋体" w:hint="default"/>
                <w:sz w:val="21"/>
                <w:szCs w:val="21"/>
              </w:rPr>
            </w:pPr>
            <w:r>
              <w:rPr>
                <w:rFonts w:ascii="宋体"/>
                <w:spacing w:val="-1"/>
                <w:sz w:val="21"/>
              </w:rPr>
              <w:t>2010.12.31</w:t>
            </w:r>
          </w:p>
        </w:tc>
      </w:tr>
      <w:tr>
        <w:trPr>
          <w:trHeight w:val="511"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65,000,000.00</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5"/>
              <w:jc w:val="right"/>
              <w:rPr>
                <w:rFonts w:ascii="宋体" w:hAnsi="宋体" w:cs="宋体" w:eastAsia="宋体" w:hint="default"/>
                <w:sz w:val="21"/>
                <w:szCs w:val="21"/>
              </w:rPr>
            </w:pPr>
            <w:r>
              <w:rPr>
                <w:rFonts w:ascii="宋体"/>
                <w:spacing w:val="-1"/>
                <w:sz w:val="21"/>
              </w:rPr>
              <w:t>65,000,000.00</w:t>
            </w:r>
          </w:p>
        </w:tc>
      </w:tr>
      <w:tr>
        <w:trPr>
          <w:trHeight w:val="521" w:hRule="exact"/>
        </w:trPr>
        <w:tc>
          <w:tcPr>
            <w:tcW w:w="2976" w:type="dxa"/>
            <w:tcBorders>
              <w:top w:val="single" w:sz="4" w:space="0" w:color="000000"/>
              <w:left w:val="nil" w:sz="6" w:space="0" w:color="auto"/>
              <w:bottom w:val="single" w:sz="12" w:space="0" w:color="000000"/>
              <w:right w:val="single" w:sz="4" w:space="0" w:color="000000"/>
            </w:tcBorders>
          </w:tcPr>
          <w:p>
            <w:pPr>
              <w:pStyle w:val="TableParagraph"/>
              <w:tabs>
                <w:tab w:pos="753" w:val="left" w:leader="none"/>
              </w:tabs>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65,000,000.00</w:t>
            </w:r>
          </w:p>
        </w:tc>
        <w:tc>
          <w:tcPr>
            <w:tcW w:w="27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spacing w:val="-1"/>
                <w:sz w:val="21"/>
              </w:rPr>
              <w:t>65,000,000.00</w:t>
            </w:r>
          </w:p>
        </w:tc>
      </w:tr>
    </w:tbl>
    <w:p>
      <w:pPr>
        <w:spacing w:line="240" w:lineRule="auto" w:before="0"/>
        <w:rPr>
          <w:rFonts w:ascii="宋体" w:hAnsi="宋体" w:cs="宋体" w:eastAsia="宋体" w:hint="default"/>
          <w:sz w:val="21"/>
          <w:szCs w:val="21"/>
        </w:rPr>
      </w:pPr>
    </w:p>
    <w:p>
      <w:pPr>
        <w:pStyle w:val="BodyText"/>
        <w:spacing w:line="240" w:lineRule="auto" w:before="36"/>
        <w:ind w:left="663" w:right="1354"/>
        <w:jc w:val="left"/>
      </w:pPr>
      <w:r>
        <w:rPr/>
        <w:pict>
          <v:shape style="position:absolute;margin-left:103.08847pt;margin-top:-79.118027pt;width:392.95pt;height:64.3pt;mso-position-horizontal-relative:page;mso-position-vertical-relative:paragraph;z-index:-553984;rotation:315" type="#_x0000_t136" fillcolor="#e0e0e0" stroked="f">
            <o:extrusion v:ext="view" autorotationcenter="t"/>
            <v:textpath style="font-family:&amp;quot;Arial&amp;quot;;font-size:64pt;v-text-kern:t;mso-text-shadow:auto" string="UnRegistered"/>
            <w10:wrap type="none"/>
          </v:shape>
        </w:pict>
      </w:r>
      <w:r>
        <w:rPr>
          <w:w w:val="100"/>
        </w:rPr>
        <w:t>（2</w:t>
      </w:r>
      <w:r>
        <w:rPr>
          <w:spacing w:val="-3"/>
          <w:w w:val="100"/>
        </w:rPr>
        <w:t>）</w:t>
      </w:r>
      <w:r>
        <w:rPr>
          <w:w w:val="100"/>
        </w:rPr>
        <w:t>上</w:t>
      </w:r>
      <w:r>
        <w:rPr>
          <w:spacing w:val="-3"/>
          <w:w w:val="100"/>
        </w:rPr>
        <w:t>述</w:t>
      </w:r>
      <w:r>
        <w:rPr>
          <w:w w:val="100"/>
        </w:rPr>
        <w:t>抵</w:t>
      </w:r>
      <w:r>
        <w:rPr>
          <w:spacing w:val="-3"/>
          <w:w w:val="100"/>
        </w:rPr>
        <w:t>押</w:t>
      </w:r>
      <w:r>
        <w:rPr>
          <w:w w:val="100"/>
        </w:rPr>
        <w:t>及</w:t>
      </w:r>
      <w:r>
        <w:rPr>
          <w:spacing w:val="-3"/>
          <w:w w:val="100"/>
        </w:rPr>
        <w:t>保</w:t>
      </w:r>
      <w:r>
        <w:rPr>
          <w:w w:val="100"/>
        </w:rPr>
        <w:t>证</w:t>
      </w:r>
      <w:r>
        <w:rPr>
          <w:spacing w:val="-3"/>
          <w:w w:val="100"/>
        </w:rPr>
        <w:t>借款</w:t>
      </w:r>
      <w:r>
        <w:rPr>
          <w:w w:val="100"/>
        </w:rPr>
        <w:t>详</w:t>
      </w:r>
      <w:r>
        <w:rPr>
          <w:spacing w:val="-1"/>
          <w:w w:val="100"/>
        </w:rPr>
        <w:t>见</w:t>
      </w:r>
      <w:r>
        <w:rPr>
          <w:spacing w:val="-3"/>
          <w:w w:val="100"/>
        </w:rPr>
        <w:t>“</w:t>
      </w:r>
      <w:r>
        <w:rPr>
          <w:w w:val="100"/>
        </w:rPr>
        <w:t>附</w:t>
      </w:r>
      <w:r>
        <w:rPr>
          <w:spacing w:val="-3"/>
          <w:w w:val="100"/>
        </w:rPr>
        <w:t>注</w:t>
      </w:r>
      <w:r>
        <w:rPr>
          <w:w w:val="100"/>
        </w:rPr>
        <w:t>五</w:t>
      </w:r>
      <w:r>
        <w:rPr>
          <w:spacing w:val="-3"/>
          <w:w w:val="100"/>
        </w:rPr>
        <w:t>、</w:t>
      </w:r>
      <w:r>
        <w:rPr>
          <w:w w:val="100"/>
        </w:rPr>
        <w:t>16</w:t>
      </w:r>
      <w:r>
        <w:rPr>
          <w:spacing w:val="-55"/>
        </w:rPr>
        <w:t> </w:t>
      </w:r>
      <w:r>
        <w:rPr>
          <w:w w:val="100"/>
        </w:rPr>
        <w:t>所</w:t>
      </w:r>
      <w:r>
        <w:rPr>
          <w:spacing w:val="-3"/>
          <w:w w:val="100"/>
        </w:rPr>
        <w:t>有权</w:t>
      </w:r>
      <w:r>
        <w:rPr>
          <w:w w:val="100"/>
        </w:rPr>
        <w:t>受到</w:t>
      </w:r>
      <w:r>
        <w:rPr>
          <w:spacing w:val="-3"/>
          <w:w w:val="100"/>
        </w:rPr>
        <w:t>限</w:t>
      </w:r>
      <w:r>
        <w:rPr>
          <w:w w:val="100"/>
        </w:rPr>
        <w:t>制</w:t>
      </w:r>
      <w:r>
        <w:rPr>
          <w:spacing w:val="-3"/>
          <w:w w:val="100"/>
        </w:rPr>
        <w:t>的</w:t>
      </w:r>
      <w:r>
        <w:rPr>
          <w:w w:val="100"/>
        </w:rPr>
        <w:t>资</w:t>
      </w:r>
      <w:r>
        <w:rPr>
          <w:spacing w:val="-3"/>
          <w:w w:val="100"/>
        </w:rPr>
        <w:t>产</w:t>
      </w:r>
      <w:r>
        <w:rPr>
          <w:w w:val="100"/>
        </w:rPr>
        <w:t>（2</w:t>
      </w:r>
      <w:r>
        <w:rPr>
          <w:spacing w:val="-108"/>
          <w:w w:val="100"/>
        </w:rPr>
        <w:t>）</w:t>
      </w:r>
      <w:r>
        <w:rPr>
          <w:w w:val="100"/>
        </w:rPr>
        <w:t>、a</w:t>
      </w:r>
      <w:r>
        <w:rPr>
          <w:spacing w:val="-108"/>
          <w:w w:val="100"/>
        </w:rPr>
        <w:t>”</w:t>
      </w:r>
      <w:r>
        <w:rPr>
          <w:w w:val="100"/>
        </w:rPr>
        <w:t>；</w:t>
      </w:r>
    </w:p>
    <w:p>
      <w:pPr>
        <w:spacing w:line="240" w:lineRule="auto" w:before="1"/>
        <w:rPr>
          <w:rFonts w:ascii="宋体" w:hAnsi="宋体" w:cs="宋体" w:eastAsia="宋体" w:hint="default"/>
          <w:sz w:val="29"/>
          <w:szCs w:val="29"/>
        </w:rPr>
      </w:pPr>
    </w:p>
    <w:p>
      <w:pPr>
        <w:pStyle w:val="BodyText"/>
        <w:spacing w:line="240" w:lineRule="auto"/>
        <w:ind w:left="663" w:right="1354"/>
        <w:jc w:val="left"/>
      </w:pPr>
      <w:r>
        <w:rPr/>
        <w:t>（3）报告期末本公司不存在已到期未偿还的短期借款。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ind w:left="243" w:right="1354"/>
        <w:jc w:val="left"/>
      </w:pPr>
      <w:r>
        <w:rPr/>
        <w:t>18、应付账款</w:t>
      </w:r>
    </w:p>
    <w:p>
      <w:pPr>
        <w:spacing w:line="240" w:lineRule="auto" w:before="3"/>
        <w:rPr>
          <w:rFonts w:ascii="宋体" w:hAnsi="宋体" w:cs="宋体" w:eastAsia="宋体" w:hint="default"/>
          <w:sz w:val="29"/>
          <w:szCs w:val="29"/>
        </w:rPr>
      </w:pPr>
    </w:p>
    <w:p>
      <w:pPr>
        <w:pStyle w:val="BodyText"/>
        <w:spacing w:line="240" w:lineRule="auto"/>
        <w:ind w:left="663" w:right="1354"/>
        <w:jc w:val="left"/>
      </w:pPr>
      <w:r>
        <w:rPr/>
        <w:t>（1）应付账款按账龄分析列示如下：</w:t>
      </w:r>
    </w:p>
    <w:p>
      <w:pPr>
        <w:spacing w:line="240" w:lineRule="auto" w:before="2"/>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474"/>
        <w:gridCol w:w="1862"/>
        <w:gridCol w:w="1663"/>
        <w:gridCol w:w="1798"/>
        <w:gridCol w:w="1937"/>
      </w:tblGrid>
      <w:tr>
        <w:trPr>
          <w:trHeight w:val="518" w:hRule="exact"/>
        </w:trPr>
        <w:tc>
          <w:tcPr>
            <w:tcW w:w="147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5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2011.12.31</w:t>
            </w:r>
          </w:p>
        </w:tc>
        <w:tc>
          <w:tcPr>
            <w:tcW w:w="373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2010.12.31</w:t>
            </w:r>
          </w:p>
        </w:tc>
      </w:tr>
      <w:tr>
        <w:trPr>
          <w:trHeight w:val="504" w:hRule="exact"/>
        </w:trPr>
        <w:tc>
          <w:tcPr>
            <w:tcW w:w="1474" w:type="dxa"/>
            <w:vMerge/>
            <w:tcBorders>
              <w:left w:val="nil" w:sz="6" w:space="0" w:color="auto"/>
              <w:bottom w:val="single" w:sz="2" w:space="0" w:color="000000"/>
              <w:right w:val="single" w:sz="2" w:space="0" w:color="000000"/>
            </w:tcBorders>
          </w:tcPr>
          <w:p>
            <w:pP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5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3"/>
              <w:jc w:val="right"/>
              <w:rPr>
                <w:rFonts w:ascii="宋体" w:hAnsi="宋体" w:cs="宋体" w:eastAsia="宋体" w:hint="default"/>
                <w:sz w:val="21"/>
                <w:szCs w:val="21"/>
              </w:rPr>
            </w:pPr>
            <w:r>
              <w:rPr>
                <w:rFonts w:ascii="宋体" w:hAnsi="宋体" w:cs="宋体" w:eastAsia="宋体" w:hint="default"/>
                <w:spacing w:val="-4"/>
                <w:sz w:val="21"/>
                <w:szCs w:val="21"/>
              </w:rPr>
              <w:t>占总额比例（%）</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left="177" w:right="0"/>
              <w:jc w:val="left"/>
              <w:rPr>
                <w:rFonts w:ascii="宋体" w:hAnsi="宋体" w:cs="宋体" w:eastAsia="宋体" w:hint="default"/>
                <w:sz w:val="21"/>
                <w:szCs w:val="21"/>
              </w:rPr>
            </w:pPr>
            <w:r>
              <w:rPr>
                <w:rFonts w:ascii="宋体" w:hAnsi="宋体" w:cs="宋体" w:eastAsia="宋体" w:hint="default"/>
                <w:sz w:val="21"/>
                <w:szCs w:val="21"/>
              </w:rPr>
              <w:t>占总额比例（%）</w:t>
            </w:r>
          </w:p>
        </w:tc>
      </w:tr>
      <w:tr>
        <w:trPr>
          <w:trHeight w:val="506" w:hRule="exact"/>
        </w:trPr>
        <w:tc>
          <w:tcPr>
            <w:tcW w:w="1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2,113,291.26</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79.71</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3,580,500.01</w:t>
            </w:r>
          </w:p>
        </w:tc>
        <w:tc>
          <w:tcPr>
            <w:tcW w:w="19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82.58</w:t>
            </w:r>
          </w:p>
        </w:tc>
      </w:tr>
      <w:tr>
        <w:trPr>
          <w:trHeight w:val="504" w:hRule="exact"/>
        </w:trPr>
        <w:tc>
          <w:tcPr>
            <w:tcW w:w="1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493,280.15</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18.60</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9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r>
      <w:tr>
        <w:trPr>
          <w:trHeight w:val="504" w:hRule="exact"/>
        </w:trPr>
        <w:tc>
          <w:tcPr>
            <w:tcW w:w="14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w w:val="100"/>
                <w:sz w:val="21"/>
              </w:rPr>
              <w:t>-</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41,378.00</w:t>
            </w:r>
          </w:p>
        </w:tc>
        <w:tc>
          <w:tcPr>
            <w:tcW w:w="19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0.95</w:t>
            </w:r>
          </w:p>
        </w:tc>
      </w:tr>
      <w:tr>
        <w:trPr>
          <w:trHeight w:val="518" w:hRule="exact"/>
        </w:trPr>
        <w:tc>
          <w:tcPr>
            <w:tcW w:w="14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41,378.00</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1.56</w:t>
            </w:r>
          </w:p>
        </w:tc>
        <w:tc>
          <w:tcPr>
            <w:tcW w:w="17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714,150.00</w:t>
            </w:r>
          </w:p>
        </w:tc>
        <w:tc>
          <w:tcPr>
            <w:tcW w:w="19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16.47</w:t>
            </w:r>
          </w:p>
        </w:tc>
      </w:tr>
    </w:tbl>
    <w:p>
      <w:pPr>
        <w:spacing w:after="0" w:line="240" w:lineRule="auto"/>
        <w:jc w:val="right"/>
        <w:rPr>
          <w:rFonts w:ascii="宋体" w:hAnsi="宋体" w:cs="宋体" w:eastAsia="宋体" w:hint="default"/>
          <w:sz w:val="21"/>
          <w:szCs w:val="21"/>
        </w:rPr>
        <w:sectPr>
          <w:pgSz w:w="11910" w:h="16840"/>
          <w:pgMar w:header="929" w:footer="981" w:top="1180" w:bottom="1180" w:left="146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474"/>
        <w:gridCol w:w="1862"/>
        <w:gridCol w:w="1663"/>
        <w:gridCol w:w="1798"/>
        <w:gridCol w:w="1937"/>
      </w:tblGrid>
      <w:tr>
        <w:trPr>
          <w:trHeight w:val="516" w:hRule="exact"/>
        </w:trPr>
        <w:tc>
          <w:tcPr>
            <w:tcW w:w="14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8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3,320.00</w:t>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sz w:val="21"/>
              </w:rPr>
              <w:t>0.13</w:t>
            </w:r>
          </w:p>
        </w:tc>
        <w:tc>
          <w:tcPr>
            <w:tcW w:w="17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w w:val="100"/>
                <w:sz w:val="21"/>
              </w:rPr>
              <w:t>-</w:t>
            </w:r>
          </w:p>
        </w:tc>
        <w:tc>
          <w:tcPr>
            <w:tcW w:w="19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103"/>
              <w:jc w:val="right"/>
              <w:rPr>
                <w:rFonts w:ascii="宋体" w:hAnsi="宋体" w:cs="宋体" w:eastAsia="宋体" w:hint="default"/>
                <w:sz w:val="21"/>
                <w:szCs w:val="21"/>
              </w:rPr>
            </w:pPr>
            <w:r>
              <w:rPr>
                <w:rFonts w:ascii="宋体"/>
                <w:w w:val="100"/>
                <w:sz w:val="21"/>
              </w:rPr>
              <w:t>-</w:t>
            </w:r>
          </w:p>
        </w:tc>
      </w:tr>
      <w:tr>
        <w:trPr>
          <w:trHeight w:val="518" w:hRule="exact"/>
        </w:trPr>
        <w:tc>
          <w:tcPr>
            <w:tcW w:w="14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2,651,269.41</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100.00</w:t>
            </w:r>
          </w:p>
        </w:tc>
        <w:tc>
          <w:tcPr>
            <w:tcW w:w="17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4,336,028.01</w:t>
            </w:r>
          </w:p>
        </w:tc>
        <w:tc>
          <w:tcPr>
            <w:tcW w:w="19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1"/>
          <w:szCs w:val="21"/>
        </w:rPr>
      </w:pPr>
    </w:p>
    <w:p>
      <w:pPr>
        <w:pStyle w:val="BodyText"/>
        <w:spacing w:line="439" w:lineRule="auto" w:before="36"/>
        <w:ind w:left="243" w:right="1354" w:firstLine="420"/>
        <w:jc w:val="left"/>
      </w:pPr>
      <w:r>
        <w:rPr>
          <w:spacing w:val="-2"/>
        </w:rPr>
        <w:t>（2）账龄超过一年的应付账款未偿还或未结转的原因是：公司与部分客户的应付货款合</w:t>
      </w:r>
      <w:r>
        <w:rPr>
          <w:w w:val="100"/>
        </w:rPr>
        <w:t> </w:t>
      </w:r>
      <w:r>
        <w:rPr/>
        <w:t>同尚未执行完毕。</w:t>
      </w:r>
    </w:p>
    <w:p>
      <w:pPr>
        <w:spacing w:line="240" w:lineRule="auto" w:before="10"/>
        <w:rPr>
          <w:rFonts w:ascii="宋体" w:hAnsi="宋体" w:cs="宋体" w:eastAsia="宋体" w:hint="default"/>
          <w:sz w:val="15"/>
          <w:szCs w:val="15"/>
        </w:rPr>
      </w:pPr>
    </w:p>
    <w:p>
      <w:pPr>
        <w:pStyle w:val="BodyText"/>
        <w:spacing w:line="436" w:lineRule="auto"/>
        <w:ind w:left="243" w:right="1686" w:firstLine="420"/>
        <w:jc w:val="left"/>
      </w:pPr>
      <w:r>
        <w:rPr/>
        <w:t>（3）截至报告期末，应付账款余额中无应付持有公司 5%（含</w:t>
      </w:r>
      <w:r>
        <w:rPr>
          <w:spacing w:val="-9"/>
        </w:rPr>
        <w:t> </w:t>
      </w:r>
      <w:r>
        <w:rPr/>
        <w:t>5%）以上表决权股份的股</w:t>
      </w:r>
      <w:r>
        <w:rPr>
          <w:w w:val="100"/>
        </w:rPr>
        <w:t> </w:t>
      </w:r>
      <w:r>
        <w:rPr/>
        <w:t>东单位款项及其他关联方款项。</w:t>
      </w:r>
    </w:p>
    <w:p>
      <w:pPr>
        <w:spacing w:line="240" w:lineRule="auto" w:before="10"/>
        <w:rPr>
          <w:rFonts w:ascii="宋体" w:hAnsi="宋体" w:cs="宋体" w:eastAsia="宋体" w:hint="default"/>
          <w:sz w:val="21"/>
          <w:szCs w:val="21"/>
        </w:rPr>
      </w:pPr>
    </w:p>
    <w:p>
      <w:pPr>
        <w:pStyle w:val="BodyText"/>
        <w:spacing w:line="240" w:lineRule="auto"/>
        <w:ind w:left="243" w:right="1354"/>
        <w:jc w:val="left"/>
      </w:pPr>
      <w:r>
        <w:rPr/>
        <w:t>19、预收款项</w:t>
      </w:r>
    </w:p>
    <w:p>
      <w:pPr>
        <w:spacing w:line="240" w:lineRule="auto" w:before="5"/>
        <w:rPr>
          <w:rFonts w:ascii="宋体" w:hAnsi="宋体" w:cs="宋体" w:eastAsia="宋体" w:hint="default"/>
          <w:sz w:val="21"/>
          <w:szCs w:val="21"/>
        </w:rPr>
      </w:pPr>
    </w:p>
    <w:p>
      <w:pPr>
        <w:pStyle w:val="BodyText"/>
        <w:spacing w:line="240" w:lineRule="auto"/>
        <w:ind w:left="663" w:right="1354"/>
        <w:jc w:val="left"/>
      </w:pPr>
      <w:r>
        <w:rPr/>
        <w:t>（1）预收款项按账龄分析列示如下：</w:t>
      </w:r>
    </w:p>
    <w:p>
      <w:pPr>
        <w:spacing w:line="240" w:lineRule="auto" w:before="1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786"/>
        <w:gridCol w:w="1769"/>
        <w:gridCol w:w="1642"/>
        <w:gridCol w:w="1771"/>
        <w:gridCol w:w="1766"/>
      </w:tblGrid>
      <w:tr>
        <w:trPr>
          <w:trHeight w:val="468" w:hRule="exact"/>
        </w:trPr>
        <w:tc>
          <w:tcPr>
            <w:tcW w:w="1786"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4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2011.12.31</w:t>
            </w:r>
          </w:p>
        </w:tc>
        <w:tc>
          <w:tcPr>
            <w:tcW w:w="353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2"/>
              <w:jc w:val="center"/>
              <w:rPr>
                <w:rFonts w:ascii="宋体" w:hAnsi="宋体" w:cs="宋体" w:eastAsia="宋体" w:hint="default"/>
                <w:sz w:val="21"/>
                <w:szCs w:val="21"/>
              </w:rPr>
            </w:pPr>
            <w:r>
              <w:rPr>
                <w:rFonts w:ascii="宋体"/>
                <w:sz w:val="21"/>
              </w:rPr>
              <w:t>2010.12.31</w:t>
            </w:r>
          </w:p>
        </w:tc>
      </w:tr>
      <w:tr>
        <w:trPr>
          <w:trHeight w:val="454" w:hRule="exact"/>
        </w:trPr>
        <w:tc>
          <w:tcPr>
            <w:tcW w:w="1786" w:type="dxa"/>
            <w:vMerge/>
            <w:tcBorders>
              <w:left w:val="nil" w:sz="6" w:space="0" w:color="auto"/>
              <w:bottom w:val="single" w:sz="2" w:space="0" w:color="000000"/>
              <w:right w:val="single" w:sz="2" w:space="0" w:color="000000"/>
            </w:tcBorders>
          </w:tcPr>
          <w:p>
            <w:pP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4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05" w:right="-5"/>
              <w:jc w:val="left"/>
              <w:rPr>
                <w:rFonts w:ascii="宋体" w:hAnsi="宋体" w:cs="宋体" w:eastAsia="宋体" w:hint="default"/>
                <w:sz w:val="21"/>
                <w:szCs w:val="21"/>
              </w:rPr>
            </w:pPr>
            <w:r>
              <w:rPr>
                <w:rFonts w:ascii="宋体" w:hAnsi="宋体" w:cs="宋体" w:eastAsia="宋体" w:hint="default"/>
                <w:spacing w:val="-7"/>
                <w:sz w:val="21"/>
                <w:szCs w:val="21"/>
              </w:rPr>
              <w:t>占总额比例（%）</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4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77"/>
              <w:jc w:val="right"/>
              <w:rPr>
                <w:rFonts w:ascii="宋体" w:hAnsi="宋体" w:cs="宋体" w:eastAsia="宋体" w:hint="default"/>
                <w:sz w:val="21"/>
                <w:szCs w:val="21"/>
              </w:rPr>
            </w:pPr>
            <w:r>
              <w:rPr>
                <w:rFonts w:ascii="宋体" w:hAnsi="宋体" w:cs="宋体" w:eastAsia="宋体" w:hint="default"/>
                <w:spacing w:val="-1"/>
                <w:sz w:val="21"/>
                <w:szCs w:val="21"/>
              </w:rPr>
              <w:t>占总额比例（%）</w:t>
            </w:r>
          </w:p>
        </w:tc>
      </w:tr>
      <w:tr>
        <w:trPr>
          <w:trHeight w:val="456" w:hRule="exact"/>
        </w:trPr>
        <w:tc>
          <w:tcPr>
            <w:tcW w:w="1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396" w:right="0"/>
              <w:jc w:val="left"/>
              <w:rPr>
                <w:rFonts w:ascii="宋体" w:hAnsi="宋体" w:cs="宋体" w:eastAsia="宋体" w:hint="default"/>
                <w:sz w:val="21"/>
                <w:szCs w:val="21"/>
              </w:rPr>
            </w:pPr>
            <w:r>
              <w:rPr>
                <w:rFonts w:ascii="宋体"/>
                <w:sz w:val="21"/>
              </w:rPr>
              <w:t>1,656,013.00</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900" w:right="0"/>
              <w:jc w:val="left"/>
              <w:rPr>
                <w:rFonts w:ascii="宋体" w:hAnsi="宋体" w:cs="宋体" w:eastAsia="宋体" w:hint="default"/>
                <w:sz w:val="21"/>
                <w:szCs w:val="21"/>
              </w:rPr>
            </w:pPr>
            <w:r>
              <w:rPr>
                <w:rFonts w:ascii="宋体"/>
                <w:sz w:val="21"/>
              </w:rPr>
              <w:t>100.00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1,288,004.00</w:t>
            </w:r>
          </w:p>
        </w:tc>
        <w:tc>
          <w:tcPr>
            <w:tcW w:w="1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z w:val="21"/>
              </w:rPr>
              <w:t>100.00</w:t>
            </w:r>
          </w:p>
        </w:tc>
      </w:tr>
      <w:tr>
        <w:trPr>
          <w:trHeight w:val="468" w:hRule="exact"/>
        </w:trPr>
        <w:tc>
          <w:tcPr>
            <w:tcW w:w="17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396" w:right="0"/>
              <w:jc w:val="left"/>
              <w:rPr>
                <w:rFonts w:ascii="宋体" w:hAnsi="宋体" w:cs="宋体" w:eastAsia="宋体" w:hint="default"/>
                <w:sz w:val="21"/>
                <w:szCs w:val="21"/>
              </w:rPr>
            </w:pPr>
            <w:r>
              <w:rPr>
                <w:rFonts w:ascii="宋体"/>
                <w:sz w:val="21"/>
              </w:rPr>
              <w:t>1,656,013.00</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900" w:right="0"/>
              <w:jc w:val="left"/>
              <w:rPr>
                <w:rFonts w:ascii="宋体" w:hAnsi="宋体" w:cs="宋体" w:eastAsia="宋体" w:hint="default"/>
                <w:sz w:val="21"/>
                <w:szCs w:val="21"/>
              </w:rPr>
            </w:pPr>
            <w:r>
              <w:rPr>
                <w:rFonts w:ascii="宋体"/>
                <w:sz w:val="21"/>
              </w:rPr>
              <w:t>100.00</w:t>
            </w:r>
          </w:p>
        </w:tc>
        <w:tc>
          <w:tcPr>
            <w:tcW w:w="17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1,288,004.00</w:t>
            </w:r>
          </w:p>
        </w:tc>
        <w:tc>
          <w:tcPr>
            <w:tcW w:w="17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z w:val="21"/>
              </w:rPr>
              <w:t>100.00</w:t>
            </w:r>
          </w:p>
        </w:tc>
      </w:tr>
    </w:tbl>
    <w:p>
      <w:pPr>
        <w:spacing w:line="240" w:lineRule="auto" w:before="10"/>
        <w:rPr>
          <w:rFonts w:ascii="宋体" w:hAnsi="宋体" w:cs="宋体" w:eastAsia="宋体" w:hint="default"/>
          <w:sz w:val="14"/>
          <w:szCs w:val="14"/>
        </w:rPr>
      </w:pPr>
    </w:p>
    <w:p>
      <w:pPr>
        <w:pStyle w:val="BodyText"/>
        <w:spacing w:line="350" w:lineRule="auto" w:before="36"/>
        <w:ind w:left="243" w:right="1686" w:firstLine="420"/>
        <w:jc w:val="left"/>
      </w:pPr>
      <w:r>
        <w:rPr/>
        <w:pict>
          <v:shape style="position:absolute;margin-left:103.08847pt;margin-top:-17.678059pt;width:392.95pt;height:64.3pt;mso-position-horizontal-relative:page;mso-position-vertical-relative:paragraph;z-index:-553960;rotation:315" type="#_x0000_t136" fillcolor="#e0e0e0" stroked="f">
            <o:extrusion v:ext="view" autorotationcenter="t"/>
            <v:textpath style="font-family:&amp;quot;Arial&amp;quot;;font-size:64pt;v-text-kern:t;mso-text-shadow:auto" string="UnRegistered"/>
            <w10:wrap type="none"/>
          </v:shape>
        </w:pict>
      </w:r>
      <w:r>
        <w:rPr/>
        <w:t>（2）截至报告期末，预收款项余额中无应付持有公司 5%（含</w:t>
      </w:r>
      <w:r>
        <w:rPr>
          <w:spacing w:val="-9"/>
        </w:rPr>
        <w:t> </w:t>
      </w:r>
      <w:r>
        <w:rPr/>
        <w:t>5%）以上表决权股份的股</w:t>
      </w:r>
      <w:r>
        <w:rPr>
          <w:w w:val="100"/>
        </w:rPr>
        <w:t> </w:t>
      </w:r>
      <w:r>
        <w:rPr/>
        <w:t>东单位款项及其他关联方款项。</w:t>
      </w:r>
    </w:p>
    <w:p>
      <w:pPr>
        <w:spacing w:line="240" w:lineRule="auto" w:before="12"/>
        <w:rPr>
          <w:rFonts w:ascii="宋体" w:hAnsi="宋体" w:cs="宋体" w:eastAsia="宋体" w:hint="default"/>
          <w:sz w:val="25"/>
          <w:szCs w:val="25"/>
        </w:rPr>
      </w:pPr>
    </w:p>
    <w:p>
      <w:pPr>
        <w:pStyle w:val="BodyText"/>
        <w:spacing w:line="240" w:lineRule="auto"/>
        <w:ind w:left="243" w:right="1354"/>
        <w:jc w:val="left"/>
      </w:pPr>
      <w:r>
        <w:rPr/>
        <w:t>20、应付职工薪酬</w:t>
      </w:r>
    </w:p>
    <w:p>
      <w:pPr>
        <w:spacing w:line="240" w:lineRule="auto" w:before="12"/>
        <w:rPr>
          <w:rFonts w:ascii="宋体" w:hAnsi="宋体" w:cs="宋体" w:eastAsia="宋体" w:hint="default"/>
          <w:sz w:val="15"/>
          <w:szCs w:val="15"/>
        </w:rPr>
      </w:pPr>
    </w:p>
    <w:tbl>
      <w:tblPr>
        <w:tblW w:w="0" w:type="auto"/>
        <w:jc w:val="left"/>
        <w:tblInd w:w="214" w:type="dxa"/>
        <w:tblLayout w:type="fixed"/>
        <w:tblCellMar>
          <w:top w:w="0" w:type="dxa"/>
          <w:left w:w="0" w:type="dxa"/>
          <w:bottom w:w="0" w:type="dxa"/>
          <w:right w:w="0" w:type="dxa"/>
        </w:tblCellMar>
        <w:tblLook w:val="01E0"/>
      </w:tblPr>
      <w:tblGrid>
        <w:gridCol w:w="2849"/>
        <w:gridCol w:w="1418"/>
        <w:gridCol w:w="1418"/>
        <w:gridCol w:w="1416"/>
        <w:gridCol w:w="1416"/>
      </w:tblGrid>
      <w:tr>
        <w:trPr>
          <w:trHeight w:val="420" w:hRule="exact"/>
        </w:trPr>
        <w:tc>
          <w:tcPr>
            <w:tcW w:w="2849" w:type="dxa"/>
            <w:tcBorders>
              <w:top w:val="single" w:sz="12" w:space="0" w:color="000000"/>
              <w:left w:val="nil" w:sz="6" w:space="0" w:color="auto"/>
              <w:bottom w:val="single" w:sz="4" w:space="0" w:color="000000"/>
              <w:right w:val="single" w:sz="4" w:space="0" w:color="000000"/>
            </w:tcBorders>
          </w:tcPr>
          <w:p>
            <w:pPr>
              <w:pStyle w:val="TableParagraph"/>
              <w:tabs>
                <w:tab w:pos="1432" w:val="left" w:leader="none"/>
              </w:tabs>
              <w:spacing w:line="240" w:lineRule="auto" w:before="111"/>
              <w:ind w:left="62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251" w:right="0"/>
              <w:jc w:val="left"/>
              <w:rPr>
                <w:rFonts w:ascii="宋体" w:hAnsi="宋体" w:cs="宋体" w:eastAsia="宋体" w:hint="default"/>
                <w:sz w:val="18"/>
                <w:szCs w:val="18"/>
              </w:rPr>
            </w:pPr>
            <w:r>
              <w:rPr>
                <w:rFonts w:ascii="宋体"/>
                <w:sz w:val="18"/>
              </w:rPr>
              <w:t>2010.12.31</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34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340"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1"/>
              <w:ind w:left="254" w:right="0"/>
              <w:jc w:val="left"/>
              <w:rPr>
                <w:rFonts w:ascii="宋体" w:hAnsi="宋体" w:cs="宋体" w:eastAsia="宋体" w:hint="default"/>
                <w:sz w:val="18"/>
                <w:szCs w:val="18"/>
              </w:rPr>
            </w:pPr>
            <w:r>
              <w:rPr>
                <w:rFonts w:ascii="宋体"/>
                <w:sz w:val="18"/>
              </w:rPr>
              <w:t>2011.12.31</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1,397,773.03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15,553,656.67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15,367,450.90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pacing w:val="-1"/>
                <w:sz w:val="18"/>
              </w:rPr>
              <w:t>1,583,978.80</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200,184.49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200,184.49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-3,642.93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935,682.11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932,039.18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其中：基本养老保险费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-17,508.04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547,750.67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530,242.63</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r>
        <w:trPr>
          <w:trHeight w:val="408"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71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z w:val="18"/>
              </w:rPr>
              <w:t>-326.10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67,541.66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67,215.56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7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z w:val="18"/>
              </w:rPr>
              <w:t>-386.47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26,638.26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26,251.79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7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-1,121.95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28,683.20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27,561.25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71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15,699.63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265,068.32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280,767.95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10,690.00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304,725.00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284,395.00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pacing w:val="-1"/>
                <w:sz w:val="18"/>
              </w:rPr>
              <w:t>31,020.00</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五、工会经费及职工教育经费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136,381.51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33,477.39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34,459.12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pacing w:val="-1"/>
                <w:sz w:val="18"/>
              </w:rPr>
              <w:t>135,399.78</w:t>
            </w:r>
          </w:p>
        </w:tc>
      </w:tr>
      <w:tr>
        <w:trPr>
          <w:trHeight w:val="420"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2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footerReference w:type="default" r:id="rId25"/>
          <w:pgSz w:w="11910" w:h="16840"/>
          <w:pgMar w:footer="981" w:header="929" w:top="1180" w:bottom="1180" w:left="1460" w:right="0"/>
          <w:pgNumType w:start="7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3280;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214" w:type="dxa"/>
        <w:tblLayout w:type="fixed"/>
        <w:tblCellMar>
          <w:top w:w="0" w:type="dxa"/>
          <w:left w:w="0" w:type="dxa"/>
          <w:bottom w:w="0" w:type="dxa"/>
          <w:right w:w="0" w:type="dxa"/>
        </w:tblCellMar>
        <w:tblLook w:val="01E0"/>
      </w:tblPr>
      <w:tblGrid>
        <w:gridCol w:w="2849"/>
        <w:gridCol w:w="1418"/>
        <w:gridCol w:w="1418"/>
        <w:gridCol w:w="1416"/>
        <w:gridCol w:w="1416"/>
      </w:tblGrid>
      <w:tr>
        <w:trPr>
          <w:trHeight w:val="420" w:hRule="exact"/>
        </w:trPr>
        <w:tc>
          <w:tcPr>
            <w:tcW w:w="2849" w:type="dxa"/>
            <w:tcBorders>
              <w:top w:val="single" w:sz="12" w:space="0" w:color="000000"/>
              <w:left w:val="nil" w:sz="6" w:space="0" w:color="auto"/>
              <w:bottom w:val="single" w:sz="4" w:space="0" w:color="000000"/>
              <w:right w:val="single" w:sz="4" w:space="0" w:color="000000"/>
            </w:tcBorders>
          </w:tcPr>
          <w:p>
            <w:pPr>
              <w:pStyle w:val="TableParagraph"/>
              <w:tabs>
                <w:tab w:pos="1432" w:val="left" w:leader="none"/>
              </w:tabs>
              <w:spacing w:line="240" w:lineRule="auto" w:before="111"/>
              <w:ind w:left="62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251" w:right="0"/>
              <w:jc w:val="left"/>
              <w:rPr>
                <w:rFonts w:ascii="宋体" w:hAnsi="宋体" w:cs="宋体" w:eastAsia="宋体" w:hint="default"/>
                <w:sz w:val="18"/>
                <w:szCs w:val="18"/>
              </w:rPr>
            </w:pPr>
            <w:r>
              <w:rPr>
                <w:rFonts w:ascii="宋体"/>
                <w:sz w:val="18"/>
              </w:rPr>
              <w:t>2010.12.31</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34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left="340"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1"/>
              <w:ind w:left="254" w:right="0"/>
              <w:jc w:val="left"/>
              <w:rPr>
                <w:rFonts w:ascii="宋体" w:hAnsi="宋体" w:cs="宋体" w:eastAsia="宋体" w:hint="default"/>
                <w:sz w:val="18"/>
                <w:szCs w:val="18"/>
              </w:rPr>
            </w:pPr>
            <w:r>
              <w:rPr>
                <w:rFonts w:ascii="宋体"/>
                <w:sz w:val="18"/>
              </w:rPr>
              <w:t>2011.12.31</w:t>
            </w:r>
          </w:p>
        </w:tc>
      </w:tr>
      <w:tr>
        <w:trPr>
          <w:trHeight w:val="41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七、因解除劳务关系给予的补偿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4"/>
              <w:jc w:val="right"/>
              <w:rPr>
                <w:rFonts w:ascii="宋体" w:hAnsi="宋体" w:cs="宋体" w:eastAsia="宋体" w:hint="default"/>
                <w:sz w:val="18"/>
                <w:szCs w:val="18"/>
              </w:rPr>
            </w:pPr>
            <w:r>
              <w:rPr>
                <w:rFonts w:ascii="宋体"/>
                <w:spacing w:val="-1"/>
                <w:sz w:val="18"/>
              </w:rPr>
              <w:t>336,678.50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pacing w:val="-1"/>
                <w:sz w:val="18"/>
              </w:rPr>
              <w:t>331,478.50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pacing w:val="-1"/>
                <w:sz w:val="18"/>
              </w:rPr>
              <w:t>5,200.00</w:t>
            </w:r>
          </w:p>
        </w:tc>
      </w:tr>
      <w:tr>
        <w:trPr>
          <w:trHeight w:val="408"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5"/>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1"/>
              <w:jc w:val="right"/>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z w:val="18"/>
              </w:rPr>
              <w:t>-</w:t>
            </w:r>
          </w:p>
        </w:tc>
      </w:tr>
      <w:tr>
        <w:trPr>
          <w:trHeight w:val="422"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tabs>
                <w:tab w:pos="712" w:val="left" w:leader="none"/>
              </w:tabs>
              <w:spacing w:line="240" w:lineRule="auto" w:before="109"/>
              <w:ind w:left="17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167"/>
              <w:jc w:val="right"/>
              <w:rPr>
                <w:rFonts w:ascii="宋体" w:hAnsi="宋体" w:cs="宋体" w:eastAsia="宋体" w:hint="default"/>
                <w:sz w:val="18"/>
                <w:szCs w:val="18"/>
              </w:rPr>
            </w:pPr>
            <w:r>
              <w:rPr>
                <w:rFonts w:ascii="宋体"/>
                <w:spacing w:val="-1"/>
                <w:sz w:val="18"/>
              </w:rPr>
              <w:t>1,541,201.61</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76"/>
              <w:jc w:val="right"/>
              <w:rPr>
                <w:rFonts w:ascii="宋体" w:hAnsi="宋体" w:cs="宋体" w:eastAsia="宋体" w:hint="default"/>
                <w:sz w:val="18"/>
                <w:szCs w:val="18"/>
              </w:rPr>
            </w:pPr>
            <w:r>
              <w:rPr>
                <w:rFonts w:ascii="宋体"/>
                <w:spacing w:val="-1"/>
                <w:sz w:val="18"/>
              </w:rPr>
              <w:t>17,364,404.16</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73"/>
              <w:jc w:val="right"/>
              <w:rPr>
                <w:rFonts w:ascii="宋体" w:hAnsi="宋体" w:cs="宋体" w:eastAsia="宋体" w:hint="default"/>
                <w:sz w:val="18"/>
                <w:szCs w:val="18"/>
              </w:rPr>
            </w:pPr>
            <w:r>
              <w:rPr>
                <w:rFonts w:ascii="宋体"/>
                <w:spacing w:val="-1"/>
                <w:sz w:val="18"/>
              </w:rPr>
              <w:t>17,150,007.19</w:t>
            </w:r>
          </w:p>
        </w:tc>
        <w:tc>
          <w:tcPr>
            <w:tcW w:w="14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9"/>
              <w:ind w:right="119"/>
              <w:jc w:val="right"/>
              <w:rPr>
                <w:rFonts w:ascii="宋体" w:hAnsi="宋体" w:cs="宋体" w:eastAsia="宋体" w:hint="default"/>
                <w:sz w:val="18"/>
                <w:szCs w:val="18"/>
              </w:rPr>
            </w:pPr>
            <w:r>
              <w:rPr>
                <w:rFonts w:ascii="宋体"/>
                <w:spacing w:val="-1"/>
                <w:sz w:val="18"/>
              </w:rPr>
              <w:t>1,755,598.58</w:t>
            </w:r>
          </w:p>
        </w:tc>
      </w:tr>
    </w:tbl>
    <w:p>
      <w:pPr>
        <w:spacing w:line="240" w:lineRule="auto" w:before="10"/>
        <w:rPr>
          <w:rFonts w:ascii="宋体" w:hAnsi="宋体" w:cs="宋体" w:eastAsia="宋体" w:hint="default"/>
          <w:sz w:val="14"/>
          <w:szCs w:val="14"/>
        </w:rPr>
      </w:pPr>
    </w:p>
    <w:p>
      <w:pPr>
        <w:pStyle w:val="BodyText"/>
        <w:spacing w:line="636" w:lineRule="auto" w:before="36"/>
        <w:ind w:left="243" w:right="2105" w:firstLine="420"/>
        <w:jc w:val="left"/>
      </w:pPr>
      <w:r>
        <w:rPr/>
        <w:pict>
          <v:shape style="position:absolute;margin-left:78.338257pt;margin-top:62.423649pt;width:439pt;height:359.0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8"/>
                    <w:gridCol w:w="3115"/>
                    <w:gridCol w:w="3113"/>
                  </w:tblGrid>
                  <w:tr>
                    <w:trPr>
                      <w:trHeight w:val="516" w:hRule="exact"/>
                    </w:trPr>
                    <w:tc>
                      <w:tcPr>
                        <w:tcW w:w="2508" w:type="dxa"/>
                        <w:tcBorders>
                          <w:top w:val="single" w:sz="12" w:space="0" w:color="000000"/>
                          <w:left w:val="nil" w:sz="6" w:space="0" w:color="auto"/>
                          <w:bottom w:val="single" w:sz="8" w:space="0" w:color="000000"/>
                          <w:right w:val="single" w:sz="8" w:space="0" w:color="000000"/>
                        </w:tcBorders>
                      </w:tcPr>
                      <w:p>
                        <w:pPr>
                          <w:pStyle w:val="TableParagraph"/>
                          <w:tabs>
                            <w:tab w:pos="753"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1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2011.12.31</w:t>
                        </w:r>
                      </w:p>
                    </w:tc>
                    <w:tc>
                      <w:tcPr>
                        <w:tcW w:w="311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spacing w:val="-1"/>
                            <w:sz w:val="21"/>
                          </w:rPr>
                          <w:t>2010.12.31</w:t>
                        </w:r>
                      </w:p>
                    </w:tc>
                  </w:tr>
                  <w:tr>
                    <w:trPr>
                      <w:trHeight w:val="511"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增 值</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-577,538.62</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-66,669.78</w:t>
                        </w:r>
                      </w:p>
                    </w:tc>
                  </w:tr>
                  <w:tr>
                    <w:trPr>
                      <w:trHeight w:val="509"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400,605.08</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598,755.96</w:t>
                        </w:r>
                      </w:p>
                    </w:tc>
                  </w:tr>
                  <w:tr>
                    <w:trPr>
                      <w:trHeight w:val="511"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城 建</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25,424.14</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39,294.71</w:t>
                        </w:r>
                      </w:p>
                    </w:tc>
                  </w:tr>
                  <w:tr>
                    <w:trPr>
                      <w:trHeight w:val="509"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9,923.78</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17,321.61</w:t>
                        </w:r>
                      </w:p>
                    </w:tc>
                  </w:tr>
                  <w:tr>
                    <w:trPr>
                      <w:trHeight w:val="511"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8,012.09</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09"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261,600.00</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261,600.00</w:t>
                        </w:r>
                      </w:p>
                    </w:tc>
                  </w:tr>
                  <w:tr>
                    <w:trPr>
                      <w:trHeight w:val="511"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11,027.00</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17,776.69</w:t>
                        </w:r>
                      </w:p>
                    </w:tc>
                  </w:tr>
                  <w:tr>
                    <w:trPr>
                      <w:trHeight w:val="509"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4,600,450.31</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1,978,201.70</w:t>
                        </w:r>
                      </w:p>
                    </w:tc>
                  </w:tr>
                  <w:tr>
                    <w:trPr>
                      <w:trHeight w:val="511"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12,421,889.02</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12,821,385.86</w:t>
                        </w:r>
                      </w:p>
                    </w:tc>
                  </w:tr>
                  <w:tr>
                    <w:trPr>
                      <w:trHeight w:val="509"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31,472.28</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39,326.45</w:t>
                        </w:r>
                      </w:p>
                    </w:tc>
                  </w:tr>
                  <w:tr>
                    <w:trPr>
                      <w:trHeight w:val="511"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393,786.57</w:t>
                        </w:r>
                      </w:p>
                    </w:tc>
                  </w:tr>
                  <w:tr>
                    <w:trPr>
                      <w:trHeight w:val="509" w:hRule="exact"/>
                    </w:trPr>
                    <w:tc>
                      <w:tcPr>
                        <w:tcW w:w="25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1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3,753.00</w:t>
                        </w:r>
                      </w:p>
                    </w:tc>
                  </w:tr>
                  <w:tr>
                    <w:trPr>
                      <w:trHeight w:val="516" w:hRule="exact"/>
                    </w:trPr>
                    <w:tc>
                      <w:tcPr>
                        <w:tcW w:w="2508" w:type="dxa"/>
                        <w:tcBorders>
                          <w:top w:val="single" w:sz="8" w:space="0" w:color="000000"/>
                          <w:left w:val="nil" w:sz="6" w:space="0" w:color="auto"/>
                          <w:bottom w:val="single" w:sz="12" w:space="0" w:color="000000"/>
                          <w:right w:val="single" w:sz="8" w:space="0" w:color="000000"/>
                        </w:tcBorders>
                      </w:tcPr>
                      <w:p>
                        <w:pPr>
                          <w:pStyle w:val="TableParagraph"/>
                          <w:tabs>
                            <w:tab w:pos="753"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17,192,865.08</w:t>
                        </w:r>
                      </w:p>
                    </w:tc>
                    <w:tc>
                      <w:tcPr>
                        <w:tcW w:w="311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16,104,532.77</w:t>
                        </w:r>
                      </w:p>
                    </w:tc>
                  </w:tr>
                </w:tbl>
                <w:p>
                  <w:pPr/>
                </w:p>
              </w:txbxContent>
            </v:textbox>
            <w10:wrap type="none"/>
          </v:shape>
        </w:pict>
      </w:r>
      <w:r>
        <w:rPr/>
        <w:t>报告期末无拖欠性质的应付职工薪酬，应付职工薪酬预计发放时间为</w:t>
      </w:r>
      <w:r>
        <w:rPr>
          <w:spacing w:val="-54"/>
        </w:rPr>
        <w:t> </w:t>
      </w:r>
      <w:r>
        <w:rPr/>
        <w:t>2012</w:t>
      </w:r>
      <w:r>
        <w:rPr>
          <w:spacing w:val="-56"/>
        </w:rPr>
        <w:t> </w:t>
      </w:r>
      <w:r>
        <w:rPr/>
        <w:t>年</w:t>
      </w:r>
      <w:r>
        <w:rPr>
          <w:spacing w:val="-54"/>
        </w:rPr>
        <w:t> </w:t>
      </w:r>
      <w:r>
        <w:rPr/>
        <w:t>1</w:t>
      </w:r>
      <w:r>
        <w:rPr>
          <w:spacing w:val="-54"/>
        </w:rPr>
        <w:t> </w:t>
      </w:r>
      <w:r>
        <w:rPr/>
        <w:t>月。</w:t>
      </w:r>
      <w:r>
        <w:rPr>
          <w:w w:val="100"/>
        </w:rPr>
        <w:t> </w:t>
      </w:r>
      <w:r>
        <w:rPr/>
        <w:t>21、应交税费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6"/>
        <w:ind w:left="243" w:right="1354"/>
        <w:jc w:val="left"/>
      </w:pPr>
      <w:r>
        <w:rPr/>
        <w:t>22、其他应付款</w:t>
      </w:r>
    </w:p>
    <w:p>
      <w:pPr>
        <w:spacing w:line="240" w:lineRule="auto" w:before="5"/>
        <w:rPr>
          <w:rFonts w:ascii="宋体" w:hAnsi="宋体" w:cs="宋体" w:eastAsia="宋体" w:hint="default"/>
          <w:sz w:val="25"/>
          <w:szCs w:val="25"/>
        </w:rPr>
      </w:pPr>
    </w:p>
    <w:p>
      <w:pPr>
        <w:pStyle w:val="BodyText"/>
        <w:spacing w:line="240" w:lineRule="auto"/>
        <w:ind w:left="663" w:right="1354"/>
        <w:jc w:val="left"/>
      </w:pPr>
      <w:r>
        <w:rPr/>
        <w:t>（1）其他应付款按账龄分析列示如下：</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133"/>
        <w:gridCol w:w="1795"/>
        <w:gridCol w:w="2006"/>
        <w:gridCol w:w="1946"/>
        <w:gridCol w:w="1853"/>
      </w:tblGrid>
      <w:tr>
        <w:trPr>
          <w:trHeight w:val="511" w:hRule="exact"/>
        </w:trPr>
        <w:tc>
          <w:tcPr>
            <w:tcW w:w="1133"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种</w:t>
            </w:r>
            <w:r>
              <w:rPr>
                <w:rFonts w:ascii="宋体" w:hAnsi="宋体" w:cs="宋体" w:eastAsia="宋体" w:hint="default"/>
                <w:spacing w:val="2"/>
                <w:sz w:val="21"/>
                <w:szCs w:val="21"/>
              </w:rPr>
              <w:t> </w:t>
            </w:r>
            <w:r>
              <w:rPr>
                <w:rFonts w:ascii="宋体" w:hAnsi="宋体" w:cs="宋体" w:eastAsia="宋体" w:hint="default"/>
                <w:sz w:val="21"/>
                <w:szCs w:val="21"/>
              </w:rPr>
              <w:t>类</w:t>
            </w:r>
          </w:p>
        </w:tc>
        <w:tc>
          <w:tcPr>
            <w:tcW w:w="380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2011.12.31</w:t>
            </w:r>
          </w:p>
        </w:tc>
        <w:tc>
          <w:tcPr>
            <w:tcW w:w="3799"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5"/>
              <w:jc w:val="center"/>
              <w:rPr>
                <w:rFonts w:ascii="宋体" w:hAnsi="宋体" w:cs="宋体" w:eastAsia="宋体" w:hint="default"/>
                <w:sz w:val="21"/>
                <w:szCs w:val="21"/>
              </w:rPr>
            </w:pPr>
            <w:r>
              <w:rPr>
                <w:rFonts w:ascii="宋体"/>
                <w:sz w:val="21"/>
              </w:rPr>
              <w:t>2010.12.31</w:t>
            </w:r>
          </w:p>
        </w:tc>
      </w:tr>
      <w:tr>
        <w:trPr>
          <w:trHeight w:val="506" w:hRule="exact"/>
        </w:trPr>
        <w:tc>
          <w:tcPr>
            <w:tcW w:w="1133" w:type="dxa"/>
            <w:vMerge/>
            <w:tcBorders>
              <w:left w:val="nil" w:sz="6" w:space="0" w:color="auto"/>
              <w:bottom w:val="single" w:sz="6" w:space="0" w:color="000000"/>
              <w:right w:val="single" w:sz="6" w:space="0" w:color="000000"/>
            </w:tcBorders>
          </w:tcPr>
          <w:p>
            <w:pPr/>
          </w:p>
        </w:tc>
        <w:tc>
          <w:tcPr>
            <w:tcW w:w="1795" w:type="dxa"/>
            <w:tcBorders>
              <w:top w:val="single" w:sz="6" w:space="0" w:color="000000"/>
              <w:left w:val="single" w:sz="6" w:space="0" w:color="000000"/>
              <w:bottom w:val="single" w:sz="6" w:space="0" w:color="000000"/>
              <w:right w:val="single" w:sz="6" w:space="0" w:color="000000"/>
            </w:tcBorders>
          </w:tcPr>
          <w:p>
            <w:pPr>
              <w:pStyle w:val="TableParagraph"/>
              <w:tabs>
                <w:tab w:pos="631" w:val="left" w:leader="none"/>
              </w:tabs>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pacing w:val="-2"/>
                <w:sz w:val="21"/>
                <w:szCs w:val="21"/>
              </w:rPr>
              <w:t>占总额的比例（%）</w:t>
            </w:r>
          </w:p>
        </w:tc>
        <w:tc>
          <w:tcPr>
            <w:tcW w:w="1946" w:type="dxa"/>
            <w:tcBorders>
              <w:top w:val="single" w:sz="6" w:space="0" w:color="000000"/>
              <w:left w:val="single" w:sz="6" w:space="0" w:color="000000"/>
              <w:bottom w:val="single" w:sz="6" w:space="0" w:color="000000"/>
              <w:right w:val="single" w:sz="6" w:space="0" w:color="000000"/>
            </w:tcBorders>
          </w:tcPr>
          <w:p>
            <w:pPr>
              <w:pStyle w:val="TableParagraph"/>
              <w:tabs>
                <w:tab w:pos="736" w:val="left" w:leader="none"/>
              </w:tabs>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
              <w:jc w:val="right"/>
              <w:rPr>
                <w:rFonts w:ascii="宋体" w:hAnsi="宋体" w:cs="宋体" w:eastAsia="宋体" w:hint="default"/>
                <w:sz w:val="21"/>
                <w:szCs w:val="21"/>
              </w:rPr>
            </w:pPr>
            <w:r>
              <w:rPr>
                <w:rFonts w:ascii="宋体" w:hAnsi="宋体" w:cs="宋体" w:eastAsia="宋体" w:hint="default"/>
                <w:spacing w:val="-6"/>
                <w:sz w:val="21"/>
                <w:szCs w:val="21"/>
              </w:rPr>
              <w:t>占总额的比例（%）</w:t>
            </w:r>
          </w:p>
        </w:tc>
      </w:tr>
      <w:tr>
        <w:trPr>
          <w:trHeight w:val="514" w:hRule="exact"/>
        </w:trPr>
        <w:tc>
          <w:tcPr>
            <w:tcW w:w="11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1,119,911.96</w:t>
            </w:r>
          </w:p>
        </w:tc>
        <w:tc>
          <w:tcPr>
            <w:tcW w:w="20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4.82</w:t>
            </w:r>
          </w:p>
        </w:tc>
        <w:tc>
          <w:tcPr>
            <w:tcW w:w="1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1,277,116.93</w:t>
            </w:r>
          </w:p>
        </w:tc>
        <w:tc>
          <w:tcPr>
            <w:tcW w:w="18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z w:val="21"/>
              </w:rPr>
              <w:t>5.06</w:t>
            </w:r>
          </w:p>
        </w:tc>
      </w:tr>
    </w:tbl>
    <w:p>
      <w:pPr>
        <w:spacing w:after="0" w:line="240" w:lineRule="auto"/>
        <w:jc w:val="right"/>
        <w:rPr>
          <w:rFonts w:ascii="宋体" w:hAnsi="宋体" w:cs="宋体" w:eastAsia="宋体" w:hint="default"/>
          <w:sz w:val="21"/>
          <w:szCs w:val="21"/>
        </w:rPr>
        <w:sectPr>
          <w:pgSz w:w="11910" w:h="16840"/>
          <w:pgMar w:header="929" w:footer="981" w:top="1180" w:bottom="1180" w:left="146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133"/>
        <w:gridCol w:w="1795"/>
        <w:gridCol w:w="2006"/>
        <w:gridCol w:w="1946"/>
        <w:gridCol w:w="1853"/>
      </w:tblGrid>
      <w:tr>
        <w:trPr>
          <w:trHeight w:val="511" w:hRule="exact"/>
        </w:trPr>
        <w:tc>
          <w:tcPr>
            <w:tcW w:w="113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677,968.00</w:t>
            </w:r>
          </w:p>
        </w:tc>
        <w:tc>
          <w:tcPr>
            <w:tcW w:w="20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2.92</w:t>
            </w:r>
          </w:p>
        </w:tc>
        <w:tc>
          <w:tcPr>
            <w:tcW w:w="19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386,877.59</w:t>
            </w:r>
          </w:p>
        </w:tc>
        <w:tc>
          <w:tcPr>
            <w:tcW w:w="185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sz w:val="21"/>
              </w:rPr>
              <w:t>1.53</w:t>
            </w:r>
          </w:p>
        </w:tc>
      </w:tr>
      <w:tr>
        <w:trPr>
          <w:trHeight w:val="506" w:hRule="exact"/>
        </w:trPr>
        <w:tc>
          <w:tcPr>
            <w:tcW w:w="1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218,783.00</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0.94</w:t>
            </w:r>
          </w:p>
        </w:tc>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458,632.50</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z w:val="21"/>
              </w:rPr>
              <w:t>1.82</w:t>
            </w:r>
          </w:p>
        </w:tc>
      </w:tr>
      <w:tr>
        <w:trPr>
          <w:trHeight w:val="504" w:hRule="exact"/>
        </w:trPr>
        <w:tc>
          <w:tcPr>
            <w:tcW w:w="11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21,233,202.60</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91.32</w:t>
            </w:r>
          </w:p>
        </w:tc>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23,101,864.91</w:t>
            </w:r>
          </w:p>
        </w:tc>
        <w:tc>
          <w:tcPr>
            <w:tcW w:w="18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z w:val="21"/>
              </w:rPr>
              <w:t>91.59</w:t>
            </w:r>
          </w:p>
        </w:tc>
      </w:tr>
      <w:tr>
        <w:trPr>
          <w:trHeight w:val="514" w:hRule="exact"/>
        </w:trPr>
        <w:tc>
          <w:tcPr>
            <w:tcW w:w="1133" w:type="dxa"/>
            <w:tcBorders>
              <w:top w:val="single" w:sz="6" w:space="0" w:color="000000"/>
              <w:left w:val="nil" w:sz="6" w:space="0" w:color="auto"/>
              <w:bottom w:val="single" w:sz="12" w:space="0" w:color="000000"/>
              <w:right w:val="single" w:sz="6" w:space="0" w:color="000000"/>
            </w:tcBorders>
          </w:tcPr>
          <w:p>
            <w:pPr>
              <w:pStyle w:val="TableParagraph"/>
              <w:tabs>
                <w:tab w:pos="544"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23,249,865.56</w:t>
            </w:r>
          </w:p>
        </w:tc>
        <w:tc>
          <w:tcPr>
            <w:tcW w:w="20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100.00</w:t>
            </w:r>
          </w:p>
        </w:tc>
        <w:tc>
          <w:tcPr>
            <w:tcW w:w="1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25,224,491.93</w:t>
            </w:r>
          </w:p>
        </w:tc>
        <w:tc>
          <w:tcPr>
            <w:tcW w:w="18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8"/>
          <w:szCs w:val="18"/>
        </w:rPr>
      </w:pPr>
    </w:p>
    <w:p>
      <w:pPr>
        <w:pStyle w:val="BodyText"/>
        <w:spacing w:line="403" w:lineRule="auto" w:before="36"/>
        <w:ind w:left="243" w:right="1686" w:firstLine="420"/>
        <w:jc w:val="left"/>
      </w:pPr>
      <w:r>
        <w:rPr/>
        <w:t>（2）截至报告期末，账龄超过</w:t>
      </w:r>
      <w:r>
        <w:rPr>
          <w:spacing w:val="-56"/>
        </w:rPr>
        <w:t> </w:t>
      </w:r>
      <w:r>
        <w:rPr/>
        <w:t>1</w:t>
      </w:r>
      <w:r>
        <w:rPr>
          <w:spacing w:val="-58"/>
        </w:rPr>
        <w:t> </w:t>
      </w:r>
      <w:r>
        <w:rPr/>
        <w:t>年的大额其他应付款系以前年度收购子公司广西田阳天</w:t>
      </w:r>
      <w:r>
        <w:rPr>
          <w:w w:val="100"/>
        </w:rPr>
        <w:t> </w:t>
      </w:r>
      <w:r>
        <w:rPr/>
        <w:t>伦矿业有限公司的部分应付未付收购款；</w:t>
      </w:r>
    </w:p>
    <w:p>
      <w:pPr>
        <w:spacing w:line="240" w:lineRule="auto" w:before="1"/>
        <w:rPr>
          <w:rFonts w:ascii="宋体" w:hAnsi="宋体" w:cs="宋体" w:eastAsia="宋体" w:hint="default"/>
          <w:sz w:val="15"/>
          <w:szCs w:val="15"/>
        </w:rPr>
      </w:pPr>
    </w:p>
    <w:p>
      <w:pPr>
        <w:pStyle w:val="BodyText"/>
        <w:spacing w:line="403" w:lineRule="auto"/>
        <w:ind w:left="243" w:right="1684" w:firstLine="420"/>
        <w:jc w:val="left"/>
      </w:pPr>
      <w:r>
        <w:rPr/>
        <w:t>（3）截至报告期末，其他应付款期末余额无应付持有本公司 5%（含</w:t>
      </w:r>
      <w:r>
        <w:rPr>
          <w:spacing w:val="-7"/>
        </w:rPr>
        <w:t> </w:t>
      </w:r>
      <w:r>
        <w:rPr/>
        <w:t>5%）以上表决权的</w:t>
      </w:r>
      <w:r>
        <w:rPr>
          <w:w w:val="100"/>
        </w:rPr>
        <w:t> </w:t>
      </w:r>
      <w:r>
        <w:rPr/>
        <w:t>股东款项。</w:t>
      </w:r>
    </w:p>
    <w:p>
      <w:pPr>
        <w:spacing w:line="240" w:lineRule="auto" w:before="2"/>
        <w:rPr>
          <w:rFonts w:ascii="宋体" w:hAnsi="宋体" w:cs="宋体" w:eastAsia="宋体" w:hint="default"/>
          <w:sz w:val="27"/>
          <w:szCs w:val="27"/>
        </w:rPr>
      </w:pPr>
    </w:p>
    <w:p>
      <w:pPr>
        <w:pStyle w:val="BodyText"/>
        <w:spacing w:line="240" w:lineRule="auto"/>
        <w:ind w:left="243" w:right="1354"/>
        <w:jc w:val="left"/>
      </w:pPr>
      <w:r>
        <w:rPr/>
        <w:t>23、一年内到期的非流动负债</w:t>
      </w:r>
    </w:p>
    <w:p>
      <w:pPr>
        <w:spacing w:line="240" w:lineRule="auto" w:before="12"/>
        <w:rPr>
          <w:rFonts w:ascii="宋体" w:hAnsi="宋体" w:cs="宋体" w:eastAsia="宋体" w:hint="default"/>
          <w:sz w:val="25"/>
          <w:szCs w:val="25"/>
        </w:rPr>
      </w:pPr>
    </w:p>
    <w:p>
      <w:pPr>
        <w:pStyle w:val="BodyText"/>
        <w:spacing w:line="240" w:lineRule="auto"/>
        <w:ind w:left="243" w:right="1354"/>
        <w:jc w:val="left"/>
      </w:pPr>
      <w:r>
        <w:rPr/>
        <w:t>（1）一年内到期的非流动负债系一年内到期的长期借款：</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067"/>
        <w:gridCol w:w="2834"/>
        <w:gridCol w:w="2834"/>
      </w:tblGrid>
      <w:tr>
        <w:trPr>
          <w:trHeight w:val="528"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tabs>
                <w:tab w:pos="964" w:val="left" w:leader="none"/>
              </w:tabs>
              <w:spacing w:line="240" w:lineRule="auto" w:before="12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2011.12.31</w:t>
            </w:r>
          </w:p>
        </w:tc>
        <w:tc>
          <w:tcPr>
            <w:tcW w:w="28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08"/>
              <w:jc w:val="right"/>
              <w:rPr>
                <w:rFonts w:ascii="宋体" w:hAnsi="宋体" w:cs="宋体" w:eastAsia="宋体" w:hint="default"/>
                <w:sz w:val="21"/>
                <w:szCs w:val="21"/>
              </w:rPr>
            </w:pPr>
            <w:r>
              <w:rPr>
                <w:rFonts w:ascii="宋体"/>
                <w:spacing w:val="-1"/>
                <w:sz w:val="21"/>
              </w:rPr>
              <w:t>2010.12.31</w:t>
            </w:r>
          </w:p>
        </w:tc>
      </w:tr>
      <w:tr>
        <w:trPr>
          <w:trHeight w:val="516"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34,000,000.00</w:t>
            </w:r>
          </w:p>
        </w:tc>
        <w:tc>
          <w:tcPr>
            <w:tcW w:w="28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spacing w:val="-1"/>
                <w:sz w:val="21"/>
              </w:rPr>
              <w:t>38,000,000.00</w:t>
            </w:r>
          </w:p>
        </w:tc>
      </w:tr>
      <w:tr>
        <w:trPr>
          <w:trHeight w:val="528"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tabs>
                <w:tab w:pos="859" w:val="left" w:leader="none"/>
              </w:tabs>
              <w:spacing w:line="240" w:lineRule="auto" w:before="122"/>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34,000,000.00</w:t>
            </w:r>
          </w:p>
        </w:tc>
        <w:tc>
          <w:tcPr>
            <w:tcW w:w="28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8"/>
              <w:jc w:val="right"/>
              <w:rPr>
                <w:rFonts w:ascii="宋体" w:hAnsi="宋体" w:cs="宋体" w:eastAsia="宋体" w:hint="default"/>
                <w:sz w:val="21"/>
                <w:szCs w:val="21"/>
              </w:rPr>
            </w:pPr>
            <w:r>
              <w:rPr>
                <w:rFonts w:ascii="宋体"/>
                <w:spacing w:val="-1"/>
                <w:sz w:val="21"/>
              </w:rPr>
              <w:t>38,000,000.00</w:t>
            </w:r>
          </w:p>
        </w:tc>
      </w:tr>
    </w:tbl>
    <w:p>
      <w:pPr>
        <w:spacing w:line="240" w:lineRule="auto" w:before="6"/>
        <w:rPr>
          <w:rFonts w:ascii="宋体" w:hAnsi="宋体" w:cs="宋体" w:eastAsia="宋体" w:hint="default"/>
          <w:sz w:val="18"/>
          <w:szCs w:val="18"/>
        </w:rPr>
      </w:pPr>
    </w:p>
    <w:p>
      <w:pPr>
        <w:pStyle w:val="BodyText"/>
        <w:spacing w:line="240" w:lineRule="auto" w:before="36"/>
        <w:ind w:left="243" w:right="1354"/>
        <w:jc w:val="left"/>
      </w:pPr>
      <w:r>
        <w:rPr/>
        <w:pict>
          <v:shape style="position:absolute;margin-left:103.08847pt;margin-top:-59.678059pt;width:392.95pt;height:64.3pt;mso-position-horizontal-relative:page;mso-position-vertical-relative:paragraph;z-index:-553888;rotation:315" type="#_x0000_t136" fillcolor="#e0e0e0" stroked="f">
            <o:extrusion v:ext="view" autorotationcenter="t"/>
            <v:textpath style="font-family:&amp;quot;Arial&amp;quot;;font-size:64pt;v-text-kern:t;mso-text-shadow:auto" string="UnRegistered"/>
            <w10:wrap type="none"/>
          </v:shape>
        </w:pict>
      </w:r>
      <w:r>
        <w:rPr/>
        <w:t>（2）一年内到期的长期借款明细如下：</w:t>
      </w:r>
    </w:p>
    <w:p>
      <w:pPr>
        <w:spacing w:line="240" w:lineRule="auto" w:before="8"/>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529"/>
        <w:gridCol w:w="1128"/>
        <w:gridCol w:w="1128"/>
        <w:gridCol w:w="840"/>
        <w:gridCol w:w="1409"/>
        <w:gridCol w:w="919"/>
        <w:gridCol w:w="1469"/>
        <w:gridCol w:w="838"/>
      </w:tblGrid>
      <w:tr>
        <w:trPr>
          <w:trHeight w:val="533" w:hRule="exact"/>
        </w:trPr>
        <w:tc>
          <w:tcPr>
            <w:tcW w:w="152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2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2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84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232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9"/>
              <w:ind w:left="705" w:right="0"/>
              <w:jc w:val="left"/>
              <w:rPr>
                <w:rFonts w:ascii="宋体" w:hAnsi="宋体" w:cs="宋体" w:eastAsia="宋体" w:hint="default"/>
                <w:sz w:val="18"/>
                <w:szCs w:val="18"/>
              </w:rPr>
            </w:pPr>
            <w:r>
              <w:rPr>
                <w:rFonts w:ascii="宋体"/>
                <w:sz w:val="18"/>
              </w:rPr>
              <w:t>2011.12.31</w:t>
            </w:r>
          </w:p>
        </w:tc>
        <w:tc>
          <w:tcPr>
            <w:tcW w:w="230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59"/>
              <w:ind w:left="693" w:right="0"/>
              <w:jc w:val="left"/>
              <w:rPr>
                <w:rFonts w:ascii="宋体" w:hAnsi="宋体" w:cs="宋体" w:eastAsia="宋体" w:hint="default"/>
                <w:sz w:val="18"/>
                <w:szCs w:val="18"/>
              </w:rPr>
            </w:pPr>
            <w:r>
              <w:rPr>
                <w:rFonts w:ascii="宋体"/>
                <w:sz w:val="18"/>
              </w:rPr>
              <w:t>2010.12.31</w:t>
            </w:r>
          </w:p>
        </w:tc>
      </w:tr>
      <w:tr>
        <w:trPr>
          <w:trHeight w:val="696" w:hRule="exact"/>
        </w:trPr>
        <w:tc>
          <w:tcPr>
            <w:tcW w:w="1529" w:type="dxa"/>
            <w:vMerge/>
            <w:tcBorders>
              <w:left w:val="nil" w:sz="6" w:space="0" w:color="auto"/>
              <w:bottom w:val="single" w:sz="6" w:space="0" w:color="000000"/>
              <w:right w:val="single" w:sz="6" w:space="0" w:color="000000"/>
            </w:tcBorders>
          </w:tcPr>
          <w:p>
            <w:pPr/>
          </w:p>
        </w:tc>
        <w:tc>
          <w:tcPr>
            <w:tcW w:w="1128" w:type="dxa"/>
            <w:vMerge/>
            <w:tcBorders>
              <w:left w:val="single" w:sz="6" w:space="0" w:color="000000"/>
              <w:bottom w:val="single" w:sz="6" w:space="0" w:color="000000"/>
              <w:right w:val="single" w:sz="6" w:space="0" w:color="000000"/>
            </w:tcBorders>
          </w:tcPr>
          <w:p>
            <w:pPr/>
          </w:p>
        </w:tc>
        <w:tc>
          <w:tcPr>
            <w:tcW w:w="1128" w:type="dxa"/>
            <w:vMerge/>
            <w:tcBorders>
              <w:left w:val="single" w:sz="6" w:space="0" w:color="000000"/>
              <w:bottom w:val="single" w:sz="6" w:space="0" w:color="000000"/>
              <w:right w:val="single" w:sz="6" w:space="0" w:color="000000"/>
            </w:tcBorders>
          </w:tcPr>
          <w:p>
            <w:pPr/>
          </w:p>
        </w:tc>
        <w:tc>
          <w:tcPr>
            <w:tcW w:w="840" w:type="dxa"/>
            <w:vMerge/>
            <w:tcBorders>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84" w:right="0"/>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17"/>
              <w:ind w:left="182" w:right="134" w:firstLine="45"/>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6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38" w:type="dxa"/>
            <w:tcBorders>
              <w:top w:val="single" w:sz="6" w:space="0" w:color="000000"/>
              <w:left w:val="single" w:sz="6" w:space="0" w:color="000000"/>
              <w:bottom w:val="single" w:sz="6" w:space="0" w:color="000000"/>
              <w:right w:val="nil" w:sz="6" w:space="0" w:color="auto"/>
            </w:tcBorders>
          </w:tcPr>
          <w:p>
            <w:pPr>
              <w:pStyle w:val="TableParagraph"/>
              <w:spacing w:line="266" w:lineRule="auto" w:before="17"/>
              <w:ind w:left="139" w:right="146" w:firstLine="2"/>
              <w:jc w:val="left"/>
              <w:rPr>
                <w:rFonts w:ascii="宋体" w:hAnsi="宋体" w:cs="宋体" w:eastAsia="宋体" w:hint="default"/>
                <w:sz w:val="18"/>
                <w:szCs w:val="18"/>
              </w:rPr>
            </w:pPr>
            <w:r>
              <w:rPr>
                <w:rFonts w:ascii="宋体" w:hAnsi="宋体" w:cs="宋体" w:eastAsia="宋体" w:hint="default"/>
                <w:sz w:val="18"/>
                <w:szCs w:val="18"/>
              </w:rPr>
              <w:t>贷款利 率(％)</w:t>
            </w:r>
          </w:p>
        </w:tc>
      </w:tr>
      <w:tr>
        <w:trPr>
          <w:trHeight w:val="655"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4" w:lineRule="auto"/>
              <w:ind w:left="122" w:right="137"/>
              <w:jc w:val="left"/>
              <w:rPr>
                <w:rFonts w:ascii="宋体" w:hAnsi="宋体" w:cs="宋体" w:eastAsia="宋体" w:hint="default"/>
                <w:sz w:val="18"/>
                <w:szCs w:val="18"/>
              </w:rPr>
            </w:pPr>
            <w:r>
              <w:rPr>
                <w:rFonts w:ascii="宋体" w:hAnsi="宋体" w:cs="宋体" w:eastAsia="宋体" w:hint="default"/>
                <w:sz w:val="18"/>
                <w:szCs w:val="18"/>
              </w:rPr>
              <w:t>深圳发展银行广 州信源支行</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2009.7.26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2011.12.31</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40"/>
              <w:jc w:val="right"/>
              <w:rPr>
                <w:rFonts w:ascii="宋体" w:hAnsi="宋体" w:cs="宋体" w:eastAsia="宋体" w:hint="default"/>
                <w:sz w:val="18"/>
                <w:szCs w:val="18"/>
              </w:rPr>
            </w:pPr>
            <w:r>
              <w:rPr>
                <w:rFonts w:ascii="宋体"/>
                <w:spacing w:val="-1"/>
                <w:sz w:val="18"/>
              </w:rPr>
              <w:t>33,000,000.00</w:t>
            </w:r>
          </w:p>
        </w:tc>
        <w:tc>
          <w:tcPr>
            <w:tcW w:w="8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6"/>
              <w:jc w:val="center"/>
              <w:rPr>
                <w:rFonts w:ascii="宋体" w:hAnsi="宋体" w:cs="宋体" w:eastAsia="宋体" w:hint="default"/>
                <w:sz w:val="18"/>
                <w:szCs w:val="18"/>
              </w:rPr>
            </w:pPr>
            <w:r>
              <w:rPr>
                <w:rFonts w:ascii="宋体"/>
                <w:sz w:val="18"/>
              </w:rPr>
              <w:t>5.94</w:t>
            </w:r>
          </w:p>
        </w:tc>
      </w:tr>
      <w:tr>
        <w:trPr>
          <w:trHeight w:val="655"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4" w:lineRule="auto"/>
              <w:ind w:left="122" w:right="137"/>
              <w:jc w:val="left"/>
              <w:rPr>
                <w:rFonts w:ascii="宋体" w:hAnsi="宋体" w:cs="宋体" w:eastAsia="宋体" w:hint="default"/>
                <w:sz w:val="18"/>
                <w:szCs w:val="18"/>
              </w:rPr>
            </w:pPr>
            <w:r>
              <w:rPr>
                <w:rFonts w:ascii="宋体" w:hAnsi="宋体" w:cs="宋体" w:eastAsia="宋体" w:hint="default"/>
                <w:sz w:val="18"/>
                <w:szCs w:val="18"/>
              </w:rPr>
              <w:t>深圳发展银行广 州信源支行</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2009.4.2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2011.12.31</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86"/>
              <w:jc w:val="right"/>
              <w:rPr>
                <w:rFonts w:ascii="宋体" w:hAnsi="宋体" w:cs="宋体" w:eastAsia="宋体" w:hint="default"/>
                <w:sz w:val="18"/>
                <w:szCs w:val="18"/>
              </w:rPr>
            </w:pPr>
            <w:r>
              <w:rPr>
                <w:rFonts w:ascii="宋体"/>
                <w:spacing w:val="-1"/>
                <w:sz w:val="18"/>
              </w:rPr>
              <w:t>5,000,000.00</w:t>
            </w:r>
          </w:p>
        </w:tc>
        <w:tc>
          <w:tcPr>
            <w:tcW w:w="8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6"/>
              <w:jc w:val="center"/>
              <w:rPr>
                <w:rFonts w:ascii="宋体" w:hAnsi="宋体" w:cs="宋体" w:eastAsia="宋体" w:hint="default"/>
                <w:sz w:val="18"/>
                <w:szCs w:val="18"/>
              </w:rPr>
            </w:pPr>
            <w:r>
              <w:rPr>
                <w:rFonts w:ascii="宋体"/>
                <w:sz w:val="18"/>
              </w:rPr>
              <w:t>8.64</w:t>
            </w:r>
          </w:p>
        </w:tc>
      </w:tr>
      <w:tr>
        <w:trPr>
          <w:trHeight w:val="655"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4" w:lineRule="auto"/>
              <w:ind w:left="122" w:right="137"/>
              <w:jc w:val="left"/>
              <w:rPr>
                <w:rFonts w:ascii="宋体" w:hAnsi="宋体" w:cs="宋体" w:eastAsia="宋体" w:hint="default"/>
                <w:sz w:val="18"/>
                <w:szCs w:val="18"/>
              </w:rPr>
            </w:pPr>
            <w:r>
              <w:rPr>
                <w:rFonts w:ascii="宋体" w:hAnsi="宋体" w:cs="宋体" w:eastAsia="宋体" w:hint="default"/>
                <w:sz w:val="18"/>
                <w:szCs w:val="18"/>
              </w:rPr>
              <w:t>深圳发展银行广 州信源支行</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2011.3.7</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2012.3.7</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4"/>
              <w:jc w:val="center"/>
              <w:rPr>
                <w:rFonts w:ascii="宋体" w:hAnsi="宋体" w:cs="宋体" w:eastAsia="宋体" w:hint="default"/>
                <w:sz w:val="18"/>
                <w:szCs w:val="18"/>
              </w:rPr>
            </w:pPr>
            <w:r>
              <w:rPr>
                <w:rFonts w:ascii="宋体"/>
                <w:sz w:val="18"/>
              </w:rPr>
              <w:t>24,000,000.00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7.26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w:t>
            </w:r>
          </w:p>
        </w:tc>
        <w:tc>
          <w:tcPr>
            <w:tcW w:w="8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sz w:val="18"/>
              </w:rPr>
              <w:t>-</w:t>
            </w:r>
          </w:p>
        </w:tc>
      </w:tr>
      <w:tr>
        <w:trPr>
          <w:trHeight w:val="655" w:hRule="exact"/>
        </w:trPr>
        <w:tc>
          <w:tcPr>
            <w:tcW w:w="1529" w:type="dxa"/>
            <w:tcBorders>
              <w:top w:val="single" w:sz="6" w:space="0" w:color="000000"/>
              <w:left w:val="nil" w:sz="6" w:space="0" w:color="auto"/>
              <w:bottom w:val="single" w:sz="6" w:space="0" w:color="000000"/>
              <w:right w:val="single" w:sz="6" w:space="0" w:color="000000"/>
            </w:tcBorders>
          </w:tcPr>
          <w:p>
            <w:pPr>
              <w:pStyle w:val="TableParagraph"/>
              <w:spacing w:line="264" w:lineRule="auto"/>
              <w:ind w:left="122" w:right="137"/>
              <w:jc w:val="left"/>
              <w:rPr>
                <w:rFonts w:ascii="宋体" w:hAnsi="宋体" w:cs="宋体" w:eastAsia="宋体" w:hint="default"/>
                <w:sz w:val="18"/>
                <w:szCs w:val="18"/>
              </w:rPr>
            </w:pPr>
            <w:r>
              <w:rPr>
                <w:rFonts w:ascii="宋体" w:hAnsi="宋体" w:cs="宋体" w:eastAsia="宋体" w:hint="default"/>
                <w:sz w:val="18"/>
                <w:szCs w:val="18"/>
              </w:rPr>
              <w:t>水城县阿戛农村 信用合作社</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2009.4.2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2012.4.1</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sz w:val="18"/>
              </w:rPr>
              <w:t>10,000,000.00</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8.64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sz w:val="18"/>
              </w:rPr>
              <w:t>-</w:t>
            </w:r>
          </w:p>
        </w:tc>
      </w:tr>
      <w:tr>
        <w:trPr>
          <w:trHeight w:val="602" w:hRule="exact"/>
        </w:trPr>
        <w:tc>
          <w:tcPr>
            <w:tcW w:w="1529" w:type="dxa"/>
            <w:tcBorders>
              <w:top w:val="single" w:sz="6" w:space="0" w:color="000000"/>
              <w:left w:val="nil" w:sz="6" w:space="0" w:color="auto"/>
              <w:bottom w:val="single" w:sz="12" w:space="0" w:color="000000"/>
              <w:right w:val="single" w:sz="6" w:space="0" w:color="000000"/>
            </w:tcBorders>
          </w:tcPr>
          <w:p>
            <w:pPr>
              <w:pStyle w:val="TableParagraph"/>
              <w:tabs>
                <w:tab w:pos="995" w:val="left" w:leader="none"/>
              </w:tabs>
              <w:spacing w:line="240" w:lineRule="auto" w:before="157"/>
              <w:ind w:left="36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28" w:type="dxa"/>
            <w:tcBorders>
              <w:top w:val="single" w:sz="6" w:space="0" w:color="000000"/>
              <w:left w:val="single" w:sz="6" w:space="0" w:color="000000"/>
              <w:bottom w:val="single" w:sz="12" w:space="0" w:color="000000"/>
              <w:right w:val="single" w:sz="6" w:space="0" w:color="000000"/>
            </w:tcBorders>
          </w:tcPr>
          <w:p>
            <w:pPr/>
          </w:p>
        </w:tc>
        <w:tc>
          <w:tcPr>
            <w:tcW w:w="1128" w:type="dxa"/>
            <w:tcBorders>
              <w:top w:val="single" w:sz="6" w:space="0" w:color="000000"/>
              <w:left w:val="single" w:sz="6" w:space="0" w:color="000000"/>
              <w:bottom w:val="single" w:sz="12" w:space="0" w:color="000000"/>
              <w:right w:val="single" w:sz="6" w:space="0" w:color="000000"/>
            </w:tcBorders>
          </w:tcPr>
          <w:p>
            <w:pPr/>
          </w:p>
        </w:tc>
        <w:tc>
          <w:tcPr>
            <w:tcW w:w="840" w:type="dxa"/>
            <w:tcBorders>
              <w:top w:val="single" w:sz="6" w:space="0" w:color="000000"/>
              <w:left w:val="single" w:sz="6" w:space="0" w:color="000000"/>
              <w:bottom w:val="single" w:sz="12" w:space="0" w:color="000000"/>
              <w:right w:val="single" w:sz="6" w:space="0" w:color="000000"/>
            </w:tcBorders>
          </w:tcPr>
          <w:p>
            <w:pPr/>
          </w:p>
        </w:tc>
        <w:tc>
          <w:tcPr>
            <w:tcW w:w="14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left="13" w:right="0"/>
              <w:jc w:val="center"/>
              <w:rPr>
                <w:rFonts w:ascii="宋体" w:hAnsi="宋体" w:cs="宋体" w:eastAsia="宋体" w:hint="default"/>
                <w:sz w:val="18"/>
                <w:szCs w:val="18"/>
              </w:rPr>
            </w:pPr>
            <w:r>
              <w:rPr>
                <w:rFonts w:ascii="宋体"/>
                <w:sz w:val="18"/>
              </w:rPr>
              <w:t>34,000,000.00</w:t>
            </w:r>
          </w:p>
        </w:tc>
        <w:tc>
          <w:tcPr>
            <w:tcW w:w="919"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38,000,000.00</w:t>
            </w:r>
          </w:p>
        </w:tc>
        <w:tc>
          <w:tcPr>
            <w:tcW w:w="83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243" w:right="1354"/>
        <w:jc w:val="left"/>
      </w:pPr>
      <w:r>
        <w:rPr/>
        <w:t>（3）报告期末本公司不存在已逾期的一年内到期的长期借款。</w:t>
      </w:r>
    </w:p>
    <w:p>
      <w:pPr>
        <w:spacing w:after="0" w:line="240" w:lineRule="auto"/>
        <w:jc w:val="left"/>
        <w:sectPr>
          <w:pgSz w:w="11910" w:h="16840"/>
          <w:pgMar w:header="929" w:footer="981" w:top="1180" w:bottom="1180" w:left="1460" w:right="0"/>
        </w:sectPr>
      </w:pPr>
    </w:p>
    <w:p>
      <w:pPr>
        <w:spacing w:line="240" w:lineRule="auto" w:before="0"/>
        <w:rPr>
          <w:rFonts w:ascii="宋体" w:hAnsi="宋体" w:cs="宋体" w:eastAsia="宋体" w:hint="default"/>
          <w:sz w:val="20"/>
          <w:szCs w:val="20"/>
        </w:rPr>
      </w:pPr>
    </w:p>
    <w:p>
      <w:pPr>
        <w:pStyle w:val="BodyText"/>
        <w:spacing w:line="240" w:lineRule="auto" w:before="179"/>
        <w:ind w:left="623" w:right="0"/>
        <w:jc w:val="left"/>
      </w:pPr>
      <w:r>
        <w:rPr/>
        <w:t>24、长期借款</w:t>
      </w:r>
    </w:p>
    <w:p>
      <w:pPr>
        <w:spacing w:line="240" w:lineRule="auto" w:before="2"/>
        <w:rPr>
          <w:rFonts w:ascii="宋体" w:hAnsi="宋体" w:cs="宋体" w:eastAsia="宋体" w:hint="default"/>
          <w:sz w:val="26"/>
          <w:szCs w:val="26"/>
        </w:rPr>
      </w:pPr>
    </w:p>
    <w:p>
      <w:pPr>
        <w:pStyle w:val="BodyText"/>
        <w:spacing w:line="240" w:lineRule="auto"/>
        <w:ind w:left="623" w:right="0"/>
        <w:jc w:val="left"/>
      </w:pPr>
      <w:r>
        <w:rPr/>
        <w:t>（1）长期借款按借款种类的分类：</w:t>
      </w:r>
    </w:p>
    <w:p>
      <w:pPr>
        <w:spacing w:line="240" w:lineRule="auto" w:before="11"/>
        <w:rPr>
          <w:rFonts w:ascii="宋体" w:hAnsi="宋体" w:cs="宋体" w:eastAsia="宋体" w:hint="default"/>
          <w:sz w:val="16"/>
          <w:szCs w:val="16"/>
        </w:rPr>
      </w:pPr>
    </w:p>
    <w:tbl>
      <w:tblPr>
        <w:tblW w:w="0" w:type="auto"/>
        <w:jc w:val="left"/>
        <w:tblInd w:w="486" w:type="dxa"/>
        <w:tblLayout w:type="fixed"/>
        <w:tblCellMar>
          <w:top w:w="0" w:type="dxa"/>
          <w:left w:w="0" w:type="dxa"/>
          <w:bottom w:w="0" w:type="dxa"/>
          <w:right w:w="0" w:type="dxa"/>
        </w:tblCellMar>
        <w:tblLook w:val="01E0"/>
      </w:tblPr>
      <w:tblGrid>
        <w:gridCol w:w="2966"/>
        <w:gridCol w:w="2669"/>
        <w:gridCol w:w="3101"/>
      </w:tblGrid>
      <w:tr>
        <w:trPr>
          <w:trHeight w:val="530" w:hRule="exact"/>
        </w:trPr>
        <w:tc>
          <w:tcPr>
            <w:tcW w:w="29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借款种类</w:t>
            </w:r>
          </w:p>
        </w:tc>
        <w:tc>
          <w:tcPr>
            <w:tcW w:w="26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2011.12.31</w:t>
            </w:r>
          </w:p>
        </w:tc>
        <w:tc>
          <w:tcPr>
            <w:tcW w:w="31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宋体" w:hAnsi="宋体" w:cs="宋体" w:eastAsia="宋体" w:hint="default"/>
                <w:sz w:val="21"/>
                <w:szCs w:val="21"/>
              </w:rPr>
            </w:pPr>
            <w:r>
              <w:rPr>
                <w:rFonts w:ascii="宋体"/>
                <w:spacing w:val="-1"/>
                <w:sz w:val="21"/>
              </w:rPr>
              <w:t>2010.12.31</w:t>
            </w:r>
          </w:p>
        </w:tc>
      </w:tr>
      <w:tr>
        <w:trPr>
          <w:trHeight w:val="521" w:hRule="exact"/>
        </w:trPr>
        <w:tc>
          <w:tcPr>
            <w:tcW w:w="2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304,200,000.00</w:t>
            </w:r>
          </w:p>
        </w:tc>
        <w:tc>
          <w:tcPr>
            <w:tcW w:w="31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219,200,000.00</w:t>
            </w:r>
          </w:p>
        </w:tc>
      </w:tr>
      <w:tr>
        <w:trPr>
          <w:trHeight w:val="518" w:hRule="exact"/>
        </w:trPr>
        <w:tc>
          <w:tcPr>
            <w:tcW w:w="2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c>
          <w:tcPr>
            <w:tcW w:w="31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10,000,000.00</w:t>
            </w:r>
          </w:p>
        </w:tc>
      </w:tr>
      <w:tr>
        <w:trPr>
          <w:trHeight w:val="530" w:hRule="exact"/>
        </w:trPr>
        <w:tc>
          <w:tcPr>
            <w:tcW w:w="2966" w:type="dxa"/>
            <w:tcBorders>
              <w:top w:val="single" w:sz="4" w:space="0" w:color="000000"/>
              <w:left w:val="nil" w:sz="6" w:space="0" w:color="auto"/>
              <w:bottom w:val="single" w:sz="12" w:space="0" w:color="000000"/>
              <w:right w:val="single" w:sz="4" w:space="0" w:color="000000"/>
            </w:tcBorders>
          </w:tcPr>
          <w:p>
            <w:pPr>
              <w:pStyle w:val="TableParagraph"/>
              <w:tabs>
                <w:tab w:pos="753" w:val="left" w:leader="none"/>
              </w:tabs>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304,200,000.00</w:t>
            </w:r>
          </w:p>
        </w:tc>
        <w:tc>
          <w:tcPr>
            <w:tcW w:w="31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229,200,000.00</w:t>
            </w:r>
          </w:p>
        </w:tc>
      </w:tr>
    </w:tbl>
    <w:p>
      <w:pPr>
        <w:spacing w:line="240" w:lineRule="auto" w:before="2"/>
        <w:rPr>
          <w:rFonts w:ascii="宋体" w:hAnsi="宋体" w:cs="宋体" w:eastAsia="宋体" w:hint="default"/>
          <w:sz w:val="22"/>
          <w:szCs w:val="22"/>
        </w:rPr>
      </w:pPr>
    </w:p>
    <w:p>
      <w:pPr>
        <w:pStyle w:val="BodyText"/>
        <w:spacing w:line="240" w:lineRule="auto" w:before="36"/>
        <w:ind w:left="623" w:right="0"/>
        <w:jc w:val="left"/>
      </w:pPr>
      <w:r>
        <w:rPr/>
        <w:t>（2）长期借款明细如下：</w:t>
      </w:r>
    </w:p>
    <w:p>
      <w:pPr>
        <w:spacing w:line="240" w:lineRule="auto" w:before="10"/>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1531"/>
        <w:gridCol w:w="1121"/>
        <w:gridCol w:w="1121"/>
        <w:gridCol w:w="838"/>
        <w:gridCol w:w="1651"/>
        <w:gridCol w:w="794"/>
        <w:gridCol w:w="1562"/>
        <w:gridCol w:w="854"/>
      </w:tblGrid>
      <w:tr>
        <w:trPr>
          <w:trHeight w:val="593" w:hRule="exact"/>
        </w:trPr>
        <w:tc>
          <w:tcPr>
            <w:tcW w:w="153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2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2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83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244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3" w:right="0"/>
              <w:jc w:val="left"/>
              <w:rPr>
                <w:rFonts w:ascii="宋体" w:hAnsi="宋体" w:cs="宋体" w:eastAsia="宋体" w:hint="default"/>
                <w:sz w:val="18"/>
                <w:szCs w:val="18"/>
              </w:rPr>
            </w:pPr>
            <w:r>
              <w:rPr>
                <w:rFonts w:ascii="宋体"/>
                <w:sz w:val="18"/>
              </w:rPr>
              <w:t>2011.12.31</w:t>
            </w:r>
          </w:p>
        </w:tc>
        <w:tc>
          <w:tcPr>
            <w:tcW w:w="241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8" w:right="0"/>
              <w:jc w:val="left"/>
              <w:rPr>
                <w:rFonts w:ascii="宋体" w:hAnsi="宋体" w:cs="宋体" w:eastAsia="宋体" w:hint="default"/>
                <w:sz w:val="18"/>
                <w:szCs w:val="18"/>
              </w:rPr>
            </w:pPr>
            <w:r>
              <w:rPr>
                <w:rFonts w:ascii="宋体"/>
                <w:sz w:val="18"/>
              </w:rPr>
              <w:t>2010.12.31</w:t>
            </w:r>
          </w:p>
        </w:tc>
      </w:tr>
      <w:tr>
        <w:trPr>
          <w:trHeight w:val="1104" w:hRule="exact"/>
        </w:trPr>
        <w:tc>
          <w:tcPr>
            <w:tcW w:w="1531" w:type="dxa"/>
            <w:vMerge/>
            <w:tcBorders>
              <w:left w:val="nil" w:sz="6" w:space="0" w:color="auto"/>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c>
          <w:tcPr>
            <w:tcW w:w="838" w:type="dxa"/>
            <w:vMerge/>
            <w:tcBorders>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贷款利</w:t>
            </w: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贷款利</w:t>
            </w: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率(％)</w:t>
            </w:r>
          </w:p>
        </w:tc>
      </w:tr>
      <w:tr>
        <w:trPr>
          <w:trHeight w:val="586" w:hRule="exact"/>
        </w:trPr>
        <w:tc>
          <w:tcPr>
            <w:tcW w:w="153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530" w:lineRule="auto"/>
              <w:ind w:left="122" w:right="139"/>
              <w:jc w:val="left"/>
              <w:rPr>
                <w:rFonts w:ascii="宋体" w:hAnsi="宋体" w:cs="宋体" w:eastAsia="宋体" w:hint="default"/>
                <w:sz w:val="18"/>
                <w:szCs w:val="18"/>
              </w:rPr>
            </w:pPr>
            <w:r>
              <w:rPr>
                <w:rFonts w:ascii="宋体" w:hAnsi="宋体" w:cs="宋体" w:eastAsia="宋体" w:hint="default"/>
                <w:sz w:val="18"/>
                <w:szCs w:val="18"/>
              </w:rPr>
              <w:t>深圳发展银行广 州分行信源支行</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2009.7.26</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2017.7.26</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119,200,000.00</w:t>
            </w:r>
          </w:p>
        </w:tc>
        <w:tc>
          <w:tcPr>
            <w:tcW w:w="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5.94</w:t>
            </w:r>
          </w:p>
        </w:tc>
      </w:tr>
      <w:tr>
        <w:trPr>
          <w:trHeight w:val="586" w:hRule="exact"/>
        </w:trPr>
        <w:tc>
          <w:tcPr>
            <w:tcW w:w="1531" w:type="dxa"/>
            <w:vMerge/>
            <w:tcBorders>
              <w:left w:val="nil" w:sz="6" w:space="0" w:color="auto"/>
              <w:right w:val="single" w:sz="6" w:space="0" w:color="000000"/>
            </w:tcBorders>
          </w:tcPr>
          <w:p>
            <w:pPr/>
          </w:p>
        </w:tc>
        <w:tc>
          <w:tcPr>
            <w:tcW w:w="112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2009.8.31</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2017.8.31</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100,000,000.00</w:t>
            </w:r>
          </w:p>
        </w:tc>
        <w:tc>
          <w:tcPr>
            <w:tcW w:w="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5.94</w:t>
            </w:r>
          </w:p>
        </w:tc>
      </w:tr>
      <w:tr>
        <w:trPr>
          <w:trHeight w:val="586" w:hRule="exact"/>
        </w:trPr>
        <w:tc>
          <w:tcPr>
            <w:tcW w:w="1531" w:type="dxa"/>
            <w:vMerge/>
            <w:tcBorders>
              <w:left w:val="nil" w:sz="6" w:space="0" w:color="auto"/>
              <w:bottom w:val="single" w:sz="6" w:space="0" w:color="000000"/>
              <w:right w:val="single" w:sz="6" w:space="0" w:color="000000"/>
            </w:tcBorders>
          </w:tcPr>
          <w:p>
            <w:pPr/>
          </w:p>
        </w:tc>
        <w:tc>
          <w:tcPr>
            <w:tcW w:w="112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2011.3.7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2021.3.6</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304,200,000.00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7.26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55"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64" w:lineRule="auto"/>
              <w:ind w:left="122" w:right="139"/>
              <w:jc w:val="left"/>
              <w:rPr>
                <w:rFonts w:ascii="宋体" w:hAnsi="宋体" w:cs="宋体" w:eastAsia="宋体" w:hint="default"/>
                <w:sz w:val="18"/>
                <w:szCs w:val="18"/>
              </w:rPr>
            </w:pPr>
            <w:r>
              <w:rPr>
                <w:rFonts w:ascii="宋体" w:hAnsi="宋体" w:cs="宋体" w:eastAsia="宋体" w:hint="default"/>
                <w:sz w:val="18"/>
                <w:szCs w:val="18"/>
              </w:rPr>
              <w:t>水城县阿戛农村 信用合作社</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2009.4.2</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2012.4.1</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10,000,000.00</w:t>
            </w:r>
          </w:p>
        </w:tc>
        <w:tc>
          <w:tcPr>
            <w:tcW w:w="8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8.64</w:t>
            </w:r>
          </w:p>
        </w:tc>
      </w:tr>
      <w:tr>
        <w:trPr>
          <w:trHeight w:val="593" w:hRule="exact"/>
        </w:trPr>
        <w:tc>
          <w:tcPr>
            <w:tcW w:w="15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6" w:space="0" w:color="000000"/>
              <w:left w:val="single" w:sz="6" w:space="0" w:color="000000"/>
              <w:bottom w:val="single" w:sz="12" w:space="0" w:color="000000"/>
              <w:right w:val="single" w:sz="6" w:space="0" w:color="000000"/>
            </w:tcBorders>
          </w:tcPr>
          <w:p>
            <w:pPr/>
          </w:p>
        </w:tc>
        <w:tc>
          <w:tcPr>
            <w:tcW w:w="1121" w:type="dxa"/>
            <w:tcBorders>
              <w:top w:val="single" w:sz="6" w:space="0" w:color="000000"/>
              <w:left w:val="single" w:sz="6" w:space="0" w:color="000000"/>
              <w:bottom w:val="single" w:sz="12" w:space="0" w:color="000000"/>
              <w:right w:val="single" w:sz="6" w:space="0" w:color="000000"/>
            </w:tcBorders>
          </w:tcPr>
          <w:p>
            <w:pPr/>
          </w:p>
        </w:tc>
        <w:tc>
          <w:tcPr>
            <w:tcW w:w="838" w:type="dxa"/>
            <w:tcBorders>
              <w:top w:val="single" w:sz="6" w:space="0" w:color="000000"/>
              <w:left w:val="single" w:sz="6" w:space="0" w:color="000000"/>
              <w:bottom w:val="single" w:sz="12" w:space="0" w:color="000000"/>
              <w:right w:val="single" w:sz="6" w:space="0" w:color="000000"/>
            </w:tcBorders>
          </w:tcPr>
          <w:p>
            <w:pPr/>
          </w:p>
        </w:tc>
        <w:tc>
          <w:tcPr>
            <w:tcW w:w="16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304,200,000.00</w:t>
            </w:r>
          </w:p>
        </w:tc>
        <w:tc>
          <w:tcPr>
            <w:tcW w:w="794" w:type="dxa"/>
            <w:tcBorders>
              <w:top w:val="single" w:sz="6" w:space="0" w:color="000000"/>
              <w:left w:val="single" w:sz="6" w:space="0" w:color="000000"/>
              <w:bottom w:val="single" w:sz="12" w:space="0" w:color="000000"/>
              <w:right w:val="single" w:sz="6" w:space="0" w:color="000000"/>
            </w:tcBorders>
          </w:tcPr>
          <w:p>
            <w:pP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229,200,000.00</w:t>
            </w:r>
          </w:p>
        </w:tc>
        <w:tc>
          <w:tcPr>
            <w:tcW w:w="85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2"/>
          <w:szCs w:val="22"/>
        </w:rPr>
      </w:pPr>
    </w:p>
    <w:p>
      <w:pPr>
        <w:pStyle w:val="BodyText"/>
        <w:spacing w:line="453" w:lineRule="auto" w:before="36"/>
        <w:ind w:left="623" w:right="1691"/>
        <w:jc w:val="both"/>
      </w:pPr>
      <w:r>
        <w:rPr/>
        <w:pict>
          <v:shape style="position:absolute;margin-left:103.08847pt;margin-top:-140.198044pt;width:392.95pt;height:64.3pt;mso-position-horizontal-relative:page;mso-position-vertical-relative:paragraph;z-index:-553864;rotation:315" type="#_x0000_t136" fillcolor="#e0e0e0" stroked="f">
            <o:extrusion v:ext="view" autorotationcenter="t"/>
            <v:textpath style="font-family:&amp;quot;Arial&amp;quot;;font-size:64pt;v-text-kern:t;mso-text-shadow:auto" string="UnRegistered"/>
            <w10:wrap type="none"/>
          </v:shape>
        </w:pict>
      </w:r>
      <w:r>
        <w:rPr>
          <w:spacing w:val="2"/>
        </w:rPr>
        <w:t>（3）子公司广州润龙房地产有限公司与深圳发展银行广州信源支行签订了综合授信额度为</w:t>
      </w:r>
      <w:r>
        <w:rPr>
          <w:spacing w:val="-3"/>
        </w:rPr>
        <w:t> </w:t>
      </w:r>
      <w:r>
        <w:rPr>
          <w:spacing w:val="-3"/>
        </w:rPr>
      </w:r>
      <w:r>
        <w:rPr/>
        <w:t>35,000</w:t>
      </w:r>
      <w:r>
        <w:rPr>
          <w:spacing w:val="-49"/>
        </w:rPr>
        <w:t> </w:t>
      </w:r>
      <w:r>
        <w:rPr/>
        <w:t>万元的合同，授信期限从</w:t>
      </w:r>
      <w:r>
        <w:rPr>
          <w:spacing w:val="-49"/>
        </w:rPr>
        <w:t> </w:t>
      </w:r>
      <w:r>
        <w:rPr/>
        <w:t>2011</w:t>
      </w:r>
      <w:r>
        <w:rPr>
          <w:spacing w:val="-51"/>
        </w:rPr>
        <w:t> </w:t>
      </w:r>
      <w:r>
        <w:rPr/>
        <w:t>年</w:t>
      </w:r>
      <w:r>
        <w:rPr>
          <w:spacing w:val="-51"/>
        </w:rPr>
        <w:t> </w:t>
      </w:r>
      <w:r>
        <w:rPr/>
        <w:t>1</w:t>
      </w:r>
      <w:r>
        <w:rPr>
          <w:spacing w:val="-51"/>
        </w:rPr>
        <w:t> </w:t>
      </w:r>
      <w:r>
        <w:rPr/>
        <w:t>月</w:t>
      </w:r>
      <w:r>
        <w:rPr>
          <w:spacing w:val="-51"/>
        </w:rPr>
        <w:t> </w:t>
      </w:r>
      <w:r>
        <w:rPr/>
        <w:t>4</w:t>
      </w:r>
      <w:r>
        <w:rPr>
          <w:spacing w:val="-49"/>
        </w:rPr>
        <w:t> </w:t>
      </w:r>
      <w:r>
        <w:rPr/>
        <w:t>日至</w:t>
      </w:r>
      <w:r>
        <w:rPr>
          <w:spacing w:val="-49"/>
        </w:rPr>
        <w:t> </w:t>
      </w:r>
      <w:r>
        <w:rPr/>
        <w:t>2021</w:t>
      </w:r>
      <w:r>
        <w:rPr>
          <w:spacing w:val="-51"/>
        </w:rPr>
        <w:t> </w:t>
      </w:r>
      <w:r>
        <w:rPr/>
        <w:t>年</w:t>
      </w:r>
      <w:r>
        <w:rPr>
          <w:spacing w:val="-51"/>
        </w:rPr>
        <w:t> </w:t>
      </w:r>
      <w:r>
        <w:rPr/>
        <w:t>1</w:t>
      </w:r>
      <w:r>
        <w:rPr>
          <w:spacing w:val="-51"/>
        </w:rPr>
        <w:t> </w:t>
      </w:r>
      <w:r>
        <w:rPr/>
        <w:t>月</w:t>
      </w:r>
      <w:r>
        <w:rPr>
          <w:spacing w:val="-51"/>
        </w:rPr>
        <w:t> </w:t>
      </w:r>
      <w:r>
        <w:rPr/>
        <w:t>3</w:t>
      </w:r>
      <w:r>
        <w:rPr>
          <w:spacing w:val="-49"/>
        </w:rPr>
        <w:t> </w:t>
      </w:r>
      <w:r>
        <w:rPr/>
        <w:t>日，由本公司、本公司母</w:t>
      </w:r>
      <w:r>
        <w:rPr>
          <w:w w:val="100"/>
        </w:rPr>
        <w:t> </w:t>
      </w:r>
      <w:r>
        <w:rPr/>
        <w:t>公司天伦控股有限公司及本公司属下子公司广州为众物业管理有限公司提供保证担保，并以</w:t>
      </w:r>
      <w:r>
        <w:rPr>
          <w:spacing w:val="-8"/>
        </w:rPr>
        <w:t> </w:t>
      </w:r>
      <w:r>
        <w:rPr>
          <w:spacing w:val="-8"/>
        </w:rPr>
      </w:r>
      <w:r>
        <w:rPr/>
        <w:t>广州润龙房地产有限公司所有的“天伦大厦”第一至第二十五层作抵押。截止</w:t>
      </w:r>
      <w:r>
        <w:rPr>
          <w:spacing w:val="-28"/>
        </w:rPr>
        <w:t> </w:t>
      </w:r>
      <w:r>
        <w:rPr/>
        <w:t>2011</w:t>
      </w:r>
      <w:r>
        <w:rPr>
          <w:spacing w:val="-31"/>
        </w:rPr>
        <w:t> </w:t>
      </w:r>
      <w:r>
        <w:rPr/>
        <w:t>年</w:t>
      </w:r>
      <w:r>
        <w:rPr>
          <w:spacing w:val="-28"/>
        </w:rPr>
        <w:t> </w:t>
      </w:r>
      <w:r>
        <w:rPr/>
        <w:t>12</w:t>
      </w:r>
      <w:r>
        <w:rPr>
          <w:spacing w:val="-31"/>
        </w:rPr>
        <w:t> </w:t>
      </w:r>
      <w:r>
        <w:rPr/>
        <w:t>月</w:t>
      </w:r>
    </w:p>
    <w:p>
      <w:pPr>
        <w:pStyle w:val="BodyText"/>
        <w:spacing w:line="453" w:lineRule="auto" w:before="59"/>
        <w:ind w:left="623" w:right="1691"/>
        <w:jc w:val="both"/>
      </w:pPr>
      <w:r>
        <w:rPr/>
        <w:t>31</w:t>
      </w:r>
      <w:r>
        <w:rPr>
          <w:spacing w:val="-46"/>
        </w:rPr>
        <w:t> </w:t>
      </w:r>
      <w:r>
        <w:rPr/>
        <w:t>日本公司在授信额度内的借款为人民币</w:t>
      </w:r>
      <w:r>
        <w:rPr>
          <w:spacing w:val="-47"/>
        </w:rPr>
        <w:t> </w:t>
      </w:r>
      <w:r>
        <w:rPr/>
        <w:t>35,000</w:t>
      </w:r>
      <w:r>
        <w:rPr>
          <w:spacing w:val="-49"/>
        </w:rPr>
        <w:t> </w:t>
      </w:r>
      <w:r>
        <w:rPr/>
        <w:t>万元，已归还</w:t>
      </w:r>
      <w:r>
        <w:rPr>
          <w:spacing w:val="-47"/>
        </w:rPr>
        <w:t> </w:t>
      </w:r>
      <w:r>
        <w:rPr/>
        <w:t>2,180</w:t>
      </w:r>
      <w:r>
        <w:rPr>
          <w:spacing w:val="-46"/>
        </w:rPr>
        <w:t> </w:t>
      </w:r>
      <w:r>
        <w:rPr/>
        <w:t>万元，剩余</w:t>
      </w:r>
      <w:r>
        <w:rPr>
          <w:spacing w:val="-46"/>
        </w:rPr>
        <w:t> </w:t>
      </w:r>
      <w:r>
        <w:rPr/>
        <w:t>32,820</w:t>
      </w:r>
      <w:r>
        <w:rPr>
          <w:spacing w:val="-47"/>
        </w:rPr>
        <w:t> </w:t>
      </w:r>
      <w:r>
        <w:rPr/>
        <w:t>万</w:t>
      </w:r>
      <w:r>
        <w:rPr>
          <w:w w:val="100"/>
        </w:rPr>
        <w:t> </w:t>
      </w:r>
      <w:r>
        <w:rPr/>
        <w:t>元未归还，其中一年内到期的长期借款为</w:t>
      </w:r>
      <w:r>
        <w:rPr>
          <w:spacing w:val="-39"/>
        </w:rPr>
        <w:t> </w:t>
      </w:r>
      <w:r>
        <w:rPr/>
        <w:t>2,400</w:t>
      </w:r>
      <w:r>
        <w:rPr>
          <w:spacing w:val="-38"/>
        </w:rPr>
        <w:t> </w:t>
      </w:r>
      <w:r>
        <w:rPr/>
        <w:t>万元，抵押情况详见附注五、16</w:t>
      </w:r>
      <w:r>
        <w:rPr>
          <w:spacing w:val="-38"/>
        </w:rPr>
        <w:t> </w:t>
      </w:r>
      <w:r>
        <w:rPr/>
        <w:t>所有权受到</w:t>
      </w:r>
      <w:r>
        <w:rPr>
          <w:w w:val="100"/>
        </w:rPr>
        <w:t> </w:t>
      </w:r>
      <w:r>
        <w:rPr>
          <w:spacing w:val="-11"/>
          <w:w w:val="100"/>
        </w:rPr>
        <w:t>限制的资产（2）、b。</w:t>
      </w:r>
    </w:p>
    <w:p>
      <w:pPr>
        <w:spacing w:line="240" w:lineRule="auto" w:before="6"/>
        <w:rPr>
          <w:rFonts w:ascii="宋体" w:hAnsi="宋体" w:cs="宋体" w:eastAsia="宋体" w:hint="default"/>
          <w:sz w:val="16"/>
          <w:szCs w:val="16"/>
        </w:rPr>
      </w:pPr>
    </w:p>
    <w:p>
      <w:pPr>
        <w:pStyle w:val="BodyText"/>
        <w:spacing w:line="240" w:lineRule="auto"/>
        <w:ind w:left="623" w:right="0"/>
        <w:jc w:val="both"/>
      </w:pPr>
      <w:r>
        <w:rPr/>
        <w:t>（4）子公司贵州六盘水吉源煤业有限公司向水城县阿戛农村信用合作社借入人民币 1500</w:t>
      </w:r>
      <w:r>
        <w:rPr>
          <w:spacing w:val="-9"/>
        </w:rPr>
        <w:t> </w:t>
      </w:r>
      <w:r>
        <w:rPr/>
        <w:t>万</w:t>
      </w:r>
    </w:p>
    <w:p>
      <w:pPr>
        <w:spacing w:after="0" w:line="240" w:lineRule="auto"/>
        <w:jc w:val="both"/>
        <w:sectPr>
          <w:pgSz w:w="11910" w:h="16840"/>
          <w:pgMar w:header="929" w:footer="981" w:top="1180" w:bottom="1180" w:left="108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3376;rotation:315" type="#_x0000_t136" fillcolor="#e0e0e0" stroked="f">
            <o:extrusion v:ext="view" autorotationcenter="t"/>
            <v:textpath style="font-family:&amp;quot;Arial&amp;quot;;font-size:64pt;v-text-kern:t;mso-text-shadow:auto" string="UnRegistered"/>
            <w10:wrap type="none"/>
          </v:shape>
        </w:pict>
      </w:r>
    </w:p>
    <w:p>
      <w:pPr>
        <w:spacing w:line="240" w:lineRule="auto" w:before="10"/>
        <w:rPr>
          <w:rFonts w:ascii="宋体" w:hAnsi="宋体" w:cs="宋体" w:eastAsia="宋体" w:hint="default"/>
          <w:sz w:val="14"/>
          <w:szCs w:val="14"/>
        </w:rPr>
      </w:pPr>
    </w:p>
    <w:p>
      <w:pPr>
        <w:pStyle w:val="BodyText"/>
        <w:spacing w:line="240" w:lineRule="auto" w:before="36"/>
        <w:ind w:left="143" w:right="473"/>
        <w:jc w:val="left"/>
      </w:pPr>
      <w:r>
        <w:rPr/>
        <w:t>元，已归还</w:t>
      </w:r>
      <w:r>
        <w:rPr>
          <w:spacing w:val="-55"/>
        </w:rPr>
        <w:t> </w:t>
      </w:r>
      <w:r>
        <w:rPr/>
        <w:t>500</w:t>
      </w:r>
      <w:r>
        <w:rPr>
          <w:spacing w:val="-57"/>
        </w:rPr>
        <w:t> </w:t>
      </w:r>
      <w:r>
        <w:rPr/>
        <w:t>万元，剩余</w:t>
      </w:r>
      <w:r>
        <w:rPr>
          <w:spacing w:val="-55"/>
        </w:rPr>
        <w:t> </w:t>
      </w:r>
      <w:r>
        <w:rPr/>
        <w:t>1000</w:t>
      </w:r>
      <w:r>
        <w:rPr>
          <w:spacing w:val="-55"/>
        </w:rPr>
        <w:t> </w:t>
      </w:r>
      <w:r>
        <w:rPr/>
        <w:t>万元未归还，系用该子公司采矿权证作质押，详见附注五、</w:t>
      </w:r>
    </w:p>
    <w:p>
      <w:pPr>
        <w:spacing w:line="240" w:lineRule="auto" w:before="8"/>
        <w:rPr>
          <w:rFonts w:ascii="宋体" w:hAnsi="宋体" w:cs="宋体" w:eastAsia="宋体" w:hint="default"/>
          <w:sz w:val="18"/>
          <w:szCs w:val="18"/>
        </w:rPr>
      </w:pPr>
    </w:p>
    <w:p>
      <w:pPr>
        <w:pStyle w:val="BodyText"/>
        <w:spacing w:line="240" w:lineRule="auto"/>
        <w:ind w:left="143" w:right="473"/>
        <w:jc w:val="left"/>
      </w:pPr>
      <w:r>
        <w:rPr>
          <w:w w:val="100"/>
        </w:rPr>
        <w:t>16</w:t>
      </w:r>
      <w:r>
        <w:rPr>
          <w:spacing w:val="-53"/>
        </w:rPr>
        <w:t> </w:t>
      </w:r>
      <w:r>
        <w:rPr>
          <w:spacing w:val="-3"/>
          <w:w w:val="100"/>
        </w:rPr>
        <w:t>所</w:t>
      </w:r>
      <w:r>
        <w:rPr>
          <w:w w:val="100"/>
        </w:rPr>
        <w:t>有</w:t>
      </w:r>
      <w:r>
        <w:rPr>
          <w:spacing w:val="-3"/>
          <w:w w:val="100"/>
        </w:rPr>
        <w:t>权</w:t>
      </w:r>
      <w:r>
        <w:rPr>
          <w:w w:val="100"/>
        </w:rPr>
        <w:t>受</w:t>
      </w:r>
      <w:r>
        <w:rPr>
          <w:spacing w:val="-3"/>
          <w:w w:val="100"/>
        </w:rPr>
        <w:t>到</w:t>
      </w:r>
      <w:r>
        <w:rPr>
          <w:w w:val="100"/>
        </w:rPr>
        <w:t>限</w:t>
      </w:r>
      <w:r>
        <w:rPr>
          <w:spacing w:val="-3"/>
          <w:w w:val="100"/>
        </w:rPr>
        <w:t>制</w:t>
      </w:r>
      <w:r>
        <w:rPr>
          <w:w w:val="100"/>
        </w:rPr>
        <w:t>的</w:t>
      </w:r>
      <w:r>
        <w:rPr>
          <w:spacing w:val="-3"/>
          <w:w w:val="100"/>
        </w:rPr>
        <w:t>资产</w:t>
      </w:r>
      <w:r>
        <w:rPr>
          <w:w w:val="100"/>
        </w:rPr>
        <w:t>（2</w:t>
      </w:r>
      <w:r>
        <w:rPr>
          <w:spacing w:val="-106"/>
          <w:w w:val="100"/>
        </w:rPr>
        <w:t>）</w:t>
      </w:r>
      <w:r>
        <w:rPr>
          <w:spacing w:val="-3"/>
          <w:w w:val="100"/>
        </w:rPr>
        <w:t>、</w:t>
      </w:r>
      <w:r>
        <w:rPr>
          <w:w w:val="100"/>
        </w:rPr>
        <w:t>c。</w:t>
      </w:r>
    </w:p>
    <w:p>
      <w:pPr>
        <w:spacing w:after="0" w:line="240" w:lineRule="auto"/>
        <w:jc w:val="left"/>
        <w:sectPr>
          <w:pgSz w:w="11910" w:h="16840"/>
          <w:pgMar w:header="929" w:footer="981" w:top="1180" w:bottom="118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1008" w:val="left" w:leader="none"/>
        </w:tabs>
        <w:spacing w:line="240" w:lineRule="auto"/>
        <w:ind w:left="163" w:right="2629"/>
        <w:jc w:val="left"/>
      </w:pPr>
      <w:r>
        <w:rPr/>
        <w:t>25、股</w:t>
        <w:tab/>
        <w:t>本</w:t>
      </w:r>
    </w:p>
    <w:p>
      <w:pPr>
        <w:spacing w:line="240" w:lineRule="auto" w:before="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922"/>
        <w:gridCol w:w="1212"/>
        <w:gridCol w:w="689"/>
        <w:gridCol w:w="756"/>
        <w:gridCol w:w="463"/>
        <w:gridCol w:w="816"/>
        <w:gridCol w:w="708"/>
        <w:gridCol w:w="677"/>
        <w:gridCol w:w="1210"/>
        <w:gridCol w:w="684"/>
      </w:tblGrid>
      <w:tr>
        <w:trPr>
          <w:trHeight w:val="478" w:hRule="exact"/>
        </w:trPr>
        <w:tc>
          <w:tcPr>
            <w:tcW w:w="192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tabs>
                <w:tab w:pos="1305" w:val="left" w:leader="none"/>
              </w:tabs>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190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342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93" w:right="0"/>
              <w:jc w:val="left"/>
              <w:rPr>
                <w:rFonts w:ascii="宋体" w:hAnsi="宋体" w:cs="宋体" w:eastAsia="宋体" w:hint="default"/>
                <w:sz w:val="15"/>
                <w:szCs w:val="15"/>
              </w:rPr>
            </w:pPr>
            <w:r>
              <w:rPr>
                <w:rFonts w:ascii="宋体" w:hAnsi="宋体" w:cs="宋体" w:eastAsia="宋体" w:hint="default"/>
                <w:sz w:val="15"/>
                <w:szCs w:val="15"/>
              </w:rPr>
              <w:t>本次变动增减（+，-）</w:t>
            </w:r>
          </w:p>
        </w:tc>
        <w:tc>
          <w:tcPr>
            <w:tcW w:w="189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742" w:hRule="exact"/>
        </w:trPr>
        <w:tc>
          <w:tcPr>
            <w:tcW w:w="1922" w:type="dxa"/>
            <w:vMerge/>
            <w:tcBorders>
              <w:left w:val="nil" w:sz="6" w:space="0" w:color="auto"/>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20"/>
              <w:jc w:val="left"/>
              <w:rPr>
                <w:rFonts w:ascii="宋体" w:hAnsi="宋体" w:cs="宋体" w:eastAsia="宋体" w:hint="default"/>
                <w:sz w:val="15"/>
                <w:szCs w:val="15"/>
              </w:rPr>
            </w:pPr>
            <w:r>
              <w:rPr>
                <w:rFonts w:ascii="宋体" w:hAnsi="宋体" w:cs="宋体" w:eastAsia="宋体" w:hint="default"/>
                <w:sz w:val="15"/>
                <w:szCs w:val="15"/>
              </w:rPr>
              <w:t>比例（%）</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72"/>
              <w:jc w:val="right"/>
              <w:rPr>
                <w:rFonts w:ascii="宋体" w:hAnsi="宋体" w:cs="宋体" w:eastAsia="宋体" w:hint="default"/>
                <w:sz w:val="15"/>
                <w:szCs w:val="15"/>
              </w:rPr>
            </w:pPr>
            <w:r>
              <w:rPr>
                <w:rFonts w:ascii="宋体" w:hAnsi="宋体" w:cs="宋体" w:eastAsia="宋体" w:hint="default"/>
                <w:spacing w:val="-1"/>
                <w:sz w:val="15"/>
                <w:szCs w:val="15"/>
              </w:rPr>
              <w:t>发行新股</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77"/>
              <w:jc w:val="right"/>
              <w:rPr>
                <w:rFonts w:ascii="宋体" w:hAnsi="宋体" w:cs="宋体" w:eastAsia="宋体" w:hint="default"/>
                <w:sz w:val="15"/>
                <w:szCs w:val="15"/>
              </w:rPr>
            </w:pPr>
            <w:r>
              <w:rPr>
                <w:rFonts w:ascii="宋体" w:hAnsi="宋体" w:cs="宋体" w:eastAsia="宋体" w:hint="default"/>
                <w:sz w:val="15"/>
                <w:szCs w:val="15"/>
              </w:rPr>
              <w:t>送股</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pacing w:val="-1"/>
                <w:sz w:val="15"/>
                <w:szCs w:val="15"/>
              </w:rPr>
              <w:t>公积金转股</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数量</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 w:right="-24"/>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3"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pacing w:val="-4"/>
                <w:sz w:val="15"/>
                <w:szCs w:val="15"/>
              </w:rPr>
              <w:t>其中：境内非国有法人持股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3"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4、外资持股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3"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sz w:val="15"/>
              </w:rPr>
              <w:t>100.00</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5"/>
                <w:szCs w:val="15"/>
              </w:rPr>
            </w:pPr>
            <w:r>
              <w:rPr>
                <w:rFonts w:ascii="宋体"/>
                <w:sz w:val="15"/>
              </w:rPr>
              <w:t>100.00</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sz w:val="15"/>
              </w:rPr>
              <w:t>100.00</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5"/>
                <w:szCs w:val="15"/>
              </w:rPr>
            </w:pPr>
            <w:r>
              <w:rPr>
                <w:rFonts w:ascii="宋体"/>
                <w:sz w:val="15"/>
              </w:rPr>
              <w:t>100.00</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2、境内上市的外资股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3、境外上市的外资股</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3" w:hRule="exact"/>
        </w:trPr>
        <w:tc>
          <w:tcPr>
            <w:tcW w:w="1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80" w:hRule="exact"/>
        </w:trPr>
        <w:tc>
          <w:tcPr>
            <w:tcW w:w="1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6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sz w:val="15"/>
              </w:rPr>
              <w:t>100.00</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8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6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6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5"/>
                <w:szCs w:val="15"/>
              </w:rPr>
            </w:pPr>
            <w:r>
              <w:rPr>
                <w:rFonts w:ascii="宋体"/>
                <w:sz w:val="15"/>
              </w:rPr>
              <w:t>100.00</w:t>
            </w:r>
          </w:p>
        </w:tc>
      </w:tr>
    </w:tbl>
    <w:p>
      <w:pPr>
        <w:spacing w:line="240" w:lineRule="auto" w:before="5"/>
        <w:rPr>
          <w:rFonts w:ascii="宋体" w:hAnsi="宋体" w:cs="宋体" w:eastAsia="宋体" w:hint="default"/>
          <w:sz w:val="17"/>
          <w:szCs w:val="17"/>
        </w:rPr>
      </w:pPr>
    </w:p>
    <w:p>
      <w:pPr>
        <w:pStyle w:val="BodyText"/>
        <w:spacing w:line="640" w:lineRule="auto" w:before="36"/>
        <w:ind w:left="163" w:right="2629" w:firstLine="420"/>
        <w:jc w:val="left"/>
      </w:pPr>
      <w:r>
        <w:rPr/>
        <w:pict>
          <v:shape style="position:absolute;margin-left:103.08847pt;margin-top:-147.158035pt;width:392.95pt;height:64.3pt;mso-position-horizontal-relative:page;mso-position-vertical-relative:paragraph;z-index:-553816;rotation:315" type="#_x0000_t136" fillcolor="#e0e0e0" stroked="f">
            <o:extrusion v:ext="view" autorotationcenter="t"/>
            <v:textpath style="font-family:&amp;quot;Arial&amp;quot;;font-size:64pt;v-text-kern:t;mso-text-shadow:auto" string="UnRegistered"/>
            <w10:wrap type="none"/>
          </v:shape>
        </w:pict>
      </w:r>
      <w:r>
        <w:rPr/>
        <w:pict>
          <v:shape style="position:absolute;margin-left:83.018257pt;margin-top:62.783676pt;width:428.9pt;height:94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3"/>
                    <w:gridCol w:w="1781"/>
                    <w:gridCol w:w="1421"/>
                    <w:gridCol w:w="1718"/>
                    <w:gridCol w:w="1882"/>
                  </w:tblGrid>
                  <w:tr>
                    <w:trPr>
                      <w:trHeight w:val="466" w:hRule="exact"/>
                    </w:trPr>
                    <w:tc>
                      <w:tcPr>
                        <w:tcW w:w="1733" w:type="dxa"/>
                        <w:tcBorders>
                          <w:top w:val="single" w:sz="12" w:space="0" w:color="000000"/>
                          <w:left w:val="nil" w:sz="6" w:space="0" w:color="auto"/>
                          <w:bottom w:val="single" w:sz="8" w:space="0" w:color="000000"/>
                          <w:right w:val="single" w:sz="8" w:space="0" w:color="000000"/>
                        </w:tcBorders>
                      </w:tcPr>
                      <w:p>
                        <w:pPr>
                          <w:pStyle w:val="TableParagraph"/>
                          <w:tabs>
                            <w:tab w:pos="647"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2010.12.31</w:t>
                        </w:r>
                      </w:p>
                    </w:tc>
                    <w:tc>
                      <w:tcPr>
                        <w:tcW w:w="142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7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88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0"/>
                          <w:ind w:right="108"/>
                          <w:jc w:val="right"/>
                          <w:rPr>
                            <w:rFonts w:ascii="宋体" w:hAnsi="宋体" w:cs="宋体" w:eastAsia="宋体" w:hint="default"/>
                            <w:sz w:val="21"/>
                            <w:szCs w:val="21"/>
                          </w:rPr>
                        </w:pPr>
                        <w:r>
                          <w:rPr>
                            <w:rFonts w:ascii="宋体"/>
                            <w:spacing w:val="-1"/>
                            <w:sz w:val="21"/>
                          </w:rPr>
                          <w:t>2011.12.31</w:t>
                        </w:r>
                      </w:p>
                    </w:tc>
                  </w:tr>
                  <w:tr>
                    <w:trPr>
                      <w:trHeight w:val="458" w:hRule="exact"/>
                    </w:trPr>
                    <w:tc>
                      <w:tcPr>
                        <w:tcW w:w="17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80,901,740.00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5"/>
                          <w:jc w:val="right"/>
                          <w:rPr>
                            <w:rFonts w:ascii="宋体" w:hAnsi="宋体" w:cs="宋体" w:eastAsia="宋体" w:hint="default"/>
                            <w:sz w:val="21"/>
                            <w:szCs w:val="21"/>
                          </w:rPr>
                        </w:pPr>
                        <w:r>
                          <w:rPr>
                            <w:rFonts w:ascii="宋体"/>
                            <w:w w:val="100"/>
                            <w:sz w:val="21"/>
                          </w:rPr>
                          <w:t>-</w:t>
                        </w:r>
                      </w:p>
                    </w:tc>
                    <w:tc>
                      <w:tcPr>
                        <w:tcW w:w="18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80,901,740.00</w:t>
                        </w:r>
                      </w:p>
                    </w:tc>
                  </w:tr>
                  <w:tr>
                    <w:trPr>
                      <w:trHeight w:val="461" w:hRule="exact"/>
                    </w:trPr>
                    <w:tc>
                      <w:tcPr>
                        <w:tcW w:w="1733" w:type="dxa"/>
                        <w:tcBorders>
                          <w:top w:val="single" w:sz="8" w:space="0" w:color="000000"/>
                          <w:left w:val="nil" w:sz="6" w:space="0" w:color="auto"/>
                          <w:bottom w:val="single" w:sz="8" w:space="0" w:color="000000"/>
                          <w:right w:val="single" w:sz="8" w:space="0" w:color="000000"/>
                        </w:tcBorders>
                      </w:tcPr>
                      <w:p>
                        <w:pPr>
                          <w:pStyle w:val="TableParagraph"/>
                          <w:tabs>
                            <w:tab w:pos="64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650,791.68</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5"/>
                          <w:jc w:val="right"/>
                          <w:rPr>
                            <w:rFonts w:ascii="宋体" w:hAnsi="宋体" w:cs="宋体" w:eastAsia="宋体" w:hint="default"/>
                            <w:sz w:val="21"/>
                            <w:szCs w:val="21"/>
                          </w:rPr>
                        </w:pPr>
                        <w:r>
                          <w:rPr>
                            <w:rFonts w:ascii="宋体"/>
                            <w:w w:val="100"/>
                            <w:sz w:val="21"/>
                          </w:rPr>
                          <w:t>-</w:t>
                        </w:r>
                      </w:p>
                    </w:tc>
                    <w:tc>
                      <w:tcPr>
                        <w:tcW w:w="18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650,791.68</w:t>
                        </w:r>
                      </w:p>
                    </w:tc>
                  </w:tr>
                  <w:tr>
                    <w:trPr>
                      <w:trHeight w:val="466" w:hRule="exact"/>
                    </w:trPr>
                    <w:tc>
                      <w:tcPr>
                        <w:tcW w:w="1733" w:type="dxa"/>
                        <w:tcBorders>
                          <w:top w:val="single" w:sz="8" w:space="0" w:color="000000"/>
                          <w:left w:val="nil" w:sz="6" w:space="0" w:color="auto"/>
                          <w:bottom w:val="single" w:sz="12" w:space="0" w:color="000000"/>
                          <w:right w:val="single" w:sz="8" w:space="0" w:color="000000"/>
                        </w:tcBorders>
                      </w:tcPr>
                      <w:p>
                        <w:pPr>
                          <w:pStyle w:val="TableParagraph"/>
                          <w:tabs>
                            <w:tab w:pos="64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81,552,531.68</w:t>
                        </w:r>
                      </w:p>
                    </w:tc>
                    <w:tc>
                      <w:tcPr>
                        <w:tcW w:w="142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71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7"/>
                          <w:ind w:right="95"/>
                          <w:jc w:val="right"/>
                          <w:rPr>
                            <w:rFonts w:ascii="宋体" w:hAnsi="宋体" w:cs="宋体" w:eastAsia="宋体" w:hint="default"/>
                            <w:sz w:val="21"/>
                            <w:szCs w:val="21"/>
                          </w:rPr>
                        </w:pPr>
                        <w:r>
                          <w:rPr>
                            <w:rFonts w:ascii="宋体"/>
                            <w:w w:val="100"/>
                            <w:sz w:val="21"/>
                          </w:rPr>
                          <w:t>-</w:t>
                        </w:r>
                      </w:p>
                    </w:tc>
                    <w:tc>
                      <w:tcPr>
                        <w:tcW w:w="188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81,552,531.68</w:t>
                        </w:r>
                      </w:p>
                    </w:tc>
                  </w:tr>
                </w:tbl>
                <w:p>
                  <w:pPr/>
                </w:p>
              </w:txbxContent>
            </v:textbox>
            <w10:wrap type="none"/>
          </v:shape>
        </w:pict>
      </w:r>
      <w:r>
        <w:rPr/>
        <w:t>本公司股本业经中庆会计师事务所中庆验字（1999）第</w:t>
      </w:r>
      <w:r>
        <w:rPr>
          <w:spacing w:val="-56"/>
        </w:rPr>
        <w:t> </w:t>
      </w:r>
      <w:r>
        <w:rPr/>
        <w:t>151</w:t>
      </w:r>
      <w:r>
        <w:rPr>
          <w:spacing w:val="-56"/>
        </w:rPr>
        <w:t> </w:t>
      </w:r>
      <w:r>
        <w:rPr/>
        <w:t>号验资报告验证。</w:t>
      </w:r>
      <w:r>
        <w:rPr>
          <w:w w:val="100"/>
        </w:rPr>
        <w:t> </w:t>
      </w:r>
      <w:r>
        <w:rPr/>
        <w:t>26、资本公积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6"/>
        <w:ind w:left="163" w:right="2629"/>
        <w:jc w:val="left"/>
      </w:pPr>
      <w:r>
        <w:rPr/>
        <w:t>27、盈余公积</w:t>
      </w:r>
    </w:p>
    <w:p>
      <w:pPr>
        <w:spacing w:after="0" w:line="240" w:lineRule="auto"/>
        <w:jc w:val="left"/>
        <w:sectPr>
          <w:pgSz w:w="11910" w:h="16840"/>
          <w:pgMar w:header="929" w:footer="981" w:top="1180" w:bottom="1180" w:left="1540" w:right="0"/>
        </w:sectPr>
      </w:pPr>
    </w:p>
    <w:p>
      <w:pPr>
        <w:spacing w:line="240" w:lineRule="auto" w:before="8"/>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1692"/>
        <w:gridCol w:w="1798"/>
        <w:gridCol w:w="1546"/>
        <w:gridCol w:w="1598"/>
        <w:gridCol w:w="1946"/>
      </w:tblGrid>
      <w:tr>
        <w:trPr>
          <w:trHeight w:val="497" w:hRule="exact"/>
        </w:trPr>
        <w:tc>
          <w:tcPr>
            <w:tcW w:w="1692" w:type="dxa"/>
            <w:tcBorders>
              <w:top w:val="single" w:sz="12" w:space="0" w:color="000000"/>
              <w:left w:val="nil" w:sz="6" w:space="0" w:color="auto"/>
              <w:bottom w:val="single" w:sz="2" w:space="0" w:color="000000"/>
              <w:right w:val="single" w:sz="2" w:space="0" w:color="000000"/>
            </w:tcBorders>
          </w:tcPr>
          <w:p>
            <w:pPr>
              <w:pStyle w:val="TableParagraph"/>
              <w:tabs>
                <w:tab w:pos="887" w:val="left" w:leader="none"/>
              </w:tabs>
              <w:spacing w:line="240" w:lineRule="auto" w:before="141"/>
              <w:ind w:left="2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left="268" w:right="0"/>
              <w:jc w:val="center"/>
              <w:rPr>
                <w:rFonts w:ascii="宋体" w:hAnsi="宋体" w:cs="宋体" w:eastAsia="宋体" w:hint="default"/>
                <w:sz w:val="21"/>
                <w:szCs w:val="21"/>
              </w:rPr>
            </w:pPr>
            <w:r>
              <w:rPr>
                <w:rFonts w:ascii="宋体"/>
                <w:sz w:val="21"/>
              </w:rPr>
              <w:t>2010.12.31</w:t>
            </w:r>
          </w:p>
        </w:tc>
        <w:tc>
          <w:tcPr>
            <w:tcW w:w="15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131"/>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131"/>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9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239"/>
              <w:jc w:val="right"/>
              <w:rPr>
                <w:rFonts w:ascii="宋体" w:hAnsi="宋体" w:cs="宋体" w:eastAsia="宋体" w:hint="default"/>
                <w:sz w:val="21"/>
                <w:szCs w:val="21"/>
              </w:rPr>
            </w:pPr>
            <w:r>
              <w:rPr>
                <w:rFonts w:ascii="宋体"/>
                <w:spacing w:val="-1"/>
                <w:sz w:val="21"/>
              </w:rPr>
              <w:t>2011.12.31</w:t>
            </w:r>
          </w:p>
        </w:tc>
      </w:tr>
      <w:tr>
        <w:trPr>
          <w:trHeight w:val="485" w:hRule="exact"/>
        </w:trPr>
        <w:tc>
          <w:tcPr>
            <w:tcW w:w="16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60" w:right="0"/>
              <w:jc w:val="center"/>
              <w:rPr>
                <w:rFonts w:ascii="宋体" w:hAnsi="宋体" w:cs="宋体" w:eastAsia="宋体" w:hint="default"/>
                <w:sz w:val="21"/>
                <w:szCs w:val="21"/>
              </w:rPr>
            </w:pPr>
            <w:r>
              <w:rPr>
                <w:rFonts w:ascii="宋体"/>
                <w:sz w:val="21"/>
              </w:rPr>
              <w:t>30,107,509.47</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31"/>
              <w:jc w:val="right"/>
              <w:rPr>
                <w:rFonts w:ascii="宋体" w:hAnsi="宋体" w:cs="宋体" w:eastAsia="宋体" w:hint="default"/>
                <w:sz w:val="21"/>
                <w:szCs w:val="21"/>
              </w:rPr>
            </w:pPr>
            <w:r>
              <w:rPr>
                <w:rFonts w:ascii="宋体"/>
                <w:spacing w:val="-1"/>
                <w:sz w:val="21"/>
              </w:rPr>
              <w:t>244,410.39</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31"/>
              <w:jc w:val="right"/>
              <w:rPr>
                <w:rFonts w:ascii="宋体" w:hAnsi="宋体" w:cs="宋体" w:eastAsia="宋体" w:hint="default"/>
                <w:sz w:val="21"/>
                <w:szCs w:val="21"/>
              </w:rPr>
            </w:pPr>
            <w:r>
              <w:rPr>
                <w:rFonts w:ascii="宋体"/>
                <w:w w:val="100"/>
                <w:sz w:val="21"/>
              </w:rPr>
              <w:t>-</w:t>
            </w:r>
          </w:p>
        </w:tc>
        <w:tc>
          <w:tcPr>
            <w:tcW w:w="1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32"/>
              <w:jc w:val="right"/>
              <w:rPr>
                <w:rFonts w:ascii="宋体" w:hAnsi="宋体" w:cs="宋体" w:eastAsia="宋体" w:hint="default"/>
                <w:sz w:val="21"/>
                <w:szCs w:val="21"/>
              </w:rPr>
            </w:pPr>
            <w:r>
              <w:rPr>
                <w:rFonts w:ascii="宋体"/>
                <w:spacing w:val="-1"/>
                <w:sz w:val="21"/>
              </w:rPr>
              <w:t>30,351,919.86</w:t>
            </w:r>
          </w:p>
        </w:tc>
      </w:tr>
      <w:tr>
        <w:trPr>
          <w:trHeight w:val="499" w:hRule="exact"/>
        </w:trPr>
        <w:tc>
          <w:tcPr>
            <w:tcW w:w="1692" w:type="dxa"/>
            <w:tcBorders>
              <w:top w:val="single" w:sz="2" w:space="0" w:color="000000"/>
              <w:left w:val="nil" w:sz="6" w:space="0" w:color="auto"/>
              <w:bottom w:val="single" w:sz="12" w:space="0" w:color="000000"/>
              <w:right w:val="single" w:sz="2" w:space="0" w:color="000000"/>
            </w:tcBorders>
          </w:tcPr>
          <w:p>
            <w:pPr>
              <w:pStyle w:val="TableParagraph"/>
              <w:tabs>
                <w:tab w:pos="467" w:val="left" w:leader="none"/>
              </w:tabs>
              <w:spacing w:line="240" w:lineRule="auto" w:before="138"/>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160" w:right="0"/>
              <w:jc w:val="center"/>
              <w:rPr>
                <w:rFonts w:ascii="宋体" w:hAnsi="宋体" w:cs="宋体" w:eastAsia="宋体" w:hint="default"/>
                <w:sz w:val="21"/>
                <w:szCs w:val="21"/>
              </w:rPr>
            </w:pPr>
            <w:r>
              <w:rPr>
                <w:rFonts w:ascii="宋体"/>
                <w:sz w:val="21"/>
              </w:rPr>
              <w:t>30,107,509.47</w:t>
            </w:r>
          </w:p>
        </w:tc>
        <w:tc>
          <w:tcPr>
            <w:tcW w:w="15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31"/>
              <w:jc w:val="right"/>
              <w:rPr>
                <w:rFonts w:ascii="宋体" w:hAnsi="宋体" w:cs="宋体" w:eastAsia="宋体" w:hint="default"/>
                <w:sz w:val="21"/>
                <w:szCs w:val="21"/>
              </w:rPr>
            </w:pPr>
            <w:r>
              <w:rPr>
                <w:rFonts w:ascii="宋体"/>
                <w:spacing w:val="-1"/>
                <w:sz w:val="21"/>
              </w:rPr>
              <w:t>244,410.39</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31"/>
              <w:jc w:val="right"/>
              <w:rPr>
                <w:rFonts w:ascii="宋体" w:hAnsi="宋体" w:cs="宋体" w:eastAsia="宋体" w:hint="default"/>
                <w:sz w:val="21"/>
                <w:szCs w:val="21"/>
              </w:rPr>
            </w:pPr>
            <w:r>
              <w:rPr>
                <w:rFonts w:ascii="宋体"/>
                <w:w w:val="100"/>
                <w:sz w:val="21"/>
              </w:rPr>
              <w:t>-</w:t>
            </w:r>
          </w:p>
        </w:tc>
        <w:tc>
          <w:tcPr>
            <w:tcW w:w="19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32"/>
              <w:jc w:val="right"/>
              <w:rPr>
                <w:rFonts w:ascii="宋体" w:hAnsi="宋体" w:cs="宋体" w:eastAsia="宋体" w:hint="default"/>
                <w:sz w:val="21"/>
                <w:szCs w:val="21"/>
              </w:rPr>
            </w:pPr>
            <w:r>
              <w:rPr>
                <w:rFonts w:ascii="宋体"/>
                <w:spacing w:val="-1"/>
                <w:sz w:val="21"/>
              </w:rPr>
              <w:t>30,351,919.86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43" w:right="1354"/>
        <w:jc w:val="left"/>
      </w:pPr>
      <w:r>
        <w:rPr/>
        <w:t>28、未分配利润</w:t>
      </w:r>
    </w:p>
    <w:p>
      <w:pPr>
        <w:spacing w:line="240" w:lineRule="auto" w:before="0"/>
        <w:rPr>
          <w:rFonts w:ascii="宋体" w:hAnsi="宋体" w:cs="宋体" w:eastAsia="宋体" w:hint="default"/>
          <w:sz w:val="17"/>
          <w:szCs w:val="17"/>
        </w:rPr>
      </w:pPr>
    </w:p>
    <w:tbl>
      <w:tblPr>
        <w:tblW w:w="0" w:type="auto"/>
        <w:jc w:val="left"/>
        <w:tblInd w:w="183" w:type="dxa"/>
        <w:tblLayout w:type="fixed"/>
        <w:tblCellMar>
          <w:top w:w="0" w:type="dxa"/>
          <w:left w:w="0" w:type="dxa"/>
          <w:bottom w:w="0" w:type="dxa"/>
          <w:right w:w="0" w:type="dxa"/>
        </w:tblCellMar>
        <w:tblLook w:val="01E0"/>
      </w:tblPr>
      <w:tblGrid>
        <w:gridCol w:w="3166"/>
        <w:gridCol w:w="2702"/>
        <w:gridCol w:w="2712"/>
      </w:tblGrid>
      <w:tr>
        <w:trPr>
          <w:trHeight w:val="497" w:hRule="exact"/>
        </w:trPr>
        <w:tc>
          <w:tcPr>
            <w:tcW w:w="3166" w:type="dxa"/>
            <w:tcBorders>
              <w:top w:val="single" w:sz="12" w:space="0" w:color="000000"/>
              <w:left w:val="nil" w:sz="6" w:space="0" w:color="auto"/>
              <w:bottom w:val="single" w:sz="2" w:space="0" w:color="000000"/>
              <w:right w:val="single" w:sz="2" w:space="0" w:color="000000"/>
            </w:tcBorders>
          </w:tcPr>
          <w:p>
            <w:pPr>
              <w:pStyle w:val="TableParagraph"/>
              <w:tabs>
                <w:tab w:pos="1516" w:val="left" w:leader="none"/>
              </w:tabs>
              <w:spacing w:line="240" w:lineRule="auto" w:before="141"/>
              <w:ind w:left="57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131"/>
              <w:jc w:val="right"/>
              <w:rPr>
                <w:rFonts w:ascii="宋体" w:hAnsi="宋体" w:cs="宋体" w:eastAsia="宋体" w:hint="default"/>
                <w:sz w:val="21"/>
                <w:szCs w:val="21"/>
              </w:rPr>
            </w:pPr>
            <w:r>
              <w:rPr>
                <w:rFonts w:ascii="宋体"/>
                <w:spacing w:val="-1"/>
                <w:sz w:val="21"/>
              </w:rPr>
              <w:t>2011.12.31</w:t>
            </w:r>
          </w:p>
        </w:tc>
        <w:tc>
          <w:tcPr>
            <w:tcW w:w="27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132"/>
              <w:jc w:val="right"/>
              <w:rPr>
                <w:rFonts w:ascii="宋体" w:hAnsi="宋体" w:cs="宋体" w:eastAsia="宋体" w:hint="default"/>
                <w:sz w:val="21"/>
                <w:szCs w:val="21"/>
              </w:rPr>
            </w:pPr>
            <w:r>
              <w:rPr>
                <w:rFonts w:ascii="宋体"/>
                <w:spacing w:val="-1"/>
                <w:sz w:val="21"/>
              </w:rPr>
              <w:t>2010.12.31</w:t>
            </w:r>
          </w:p>
        </w:tc>
      </w:tr>
      <w:tr>
        <w:trPr>
          <w:trHeight w:val="485" w:hRule="exact"/>
        </w:trPr>
        <w:tc>
          <w:tcPr>
            <w:tcW w:w="31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5" w:right="0"/>
              <w:jc w:val="left"/>
              <w:rPr>
                <w:rFonts w:ascii="宋体" w:hAnsi="宋体" w:cs="宋体" w:eastAsia="宋体" w:hint="default"/>
                <w:sz w:val="21"/>
                <w:szCs w:val="21"/>
              </w:rPr>
            </w:pPr>
            <w:r>
              <w:rPr>
                <w:rFonts w:ascii="宋体" w:hAnsi="宋体" w:cs="宋体" w:eastAsia="宋体" w:hint="default"/>
                <w:sz w:val="21"/>
                <w:szCs w:val="21"/>
              </w:rPr>
              <w:t>期初未分配利润</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29"/>
              <w:jc w:val="right"/>
              <w:rPr>
                <w:rFonts w:ascii="宋体" w:hAnsi="宋体" w:cs="宋体" w:eastAsia="宋体" w:hint="default"/>
                <w:sz w:val="21"/>
                <w:szCs w:val="21"/>
              </w:rPr>
            </w:pPr>
            <w:r>
              <w:rPr>
                <w:rFonts w:ascii="宋体"/>
                <w:spacing w:val="-1"/>
                <w:sz w:val="21"/>
              </w:rPr>
              <w:t>127,911,103.58</w:t>
            </w:r>
          </w:p>
        </w:tc>
        <w:tc>
          <w:tcPr>
            <w:tcW w:w="2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32"/>
              <w:jc w:val="right"/>
              <w:rPr>
                <w:rFonts w:ascii="宋体" w:hAnsi="宋体" w:cs="宋体" w:eastAsia="宋体" w:hint="default"/>
                <w:sz w:val="21"/>
                <w:szCs w:val="21"/>
              </w:rPr>
            </w:pPr>
            <w:r>
              <w:rPr>
                <w:rFonts w:ascii="宋体"/>
                <w:spacing w:val="-1"/>
                <w:sz w:val="21"/>
              </w:rPr>
              <w:t>118,435,715.37</w:t>
            </w:r>
          </w:p>
        </w:tc>
      </w:tr>
      <w:tr>
        <w:trPr>
          <w:trHeight w:val="485" w:hRule="exact"/>
        </w:trPr>
        <w:tc>
          <w:tcPr>
            <w:tcW w:w="31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5"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29"/>
              <w:jc w:val="right"/>
              <w:rPr>
                <w:rFonts w:ascii="宋体" w:hAnsi="宋体" w:cs="宋体" w:eastAsia="宋体" w:hint="default"/>
                <w:sz w:val="21"/>
                <w:szCs w:val="21"/>
              </w:rPr>
            </w:pPr>
            <w:r>
              <w:rPr>
                <w:rFonts w:ascii="宋体"/>
                <w:spacing w:val="-1"/>
                <w:sz w:val="21"/>
              </w:rPr>
              <w:t>18,632,180.09</w:t>
            </w:r>
          </w:p>
        </w:tc>
        <w:tc>
          <w:tcPr>
            <w:tcW w:w="2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32"/>
              <w:jc w:val="right"/>
              <w:rPr>
                <w:rFonts w:ascii="宋体" w:hAnsi="宋体" w:cs="宋体" w:eastAsia="宋体" w:hint="default"/>
                <w:sz w:val="21"/>
                <w:szCs w:val="21"/>
              </w:rPr>
            </w:pPr>
            <w:r>
              <w:rPr>
                <w:rFonts w:ascii="宋体"/>
                <w:spacing w:val="-1"/>
                <w:sz w:val="21"/>
              </w:rPr>
              <w:t>9,475,388.21</w:t>
            </w:r>
          </w:p>
        </w:tc>
      </w:tr>
      <w:tr>
        <w:trPr>
          <w:trHeight w:val="485" w:hRule="exact"/>
        </w:trPr>
        <w:tc>
          <w:tcPr>
            <w:tcW w:w="31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31"/>
              <w:jc w:val="right"/>
              <w:rPr>
                <w:rFonts w:ascii="宋体" w:hAnsi="宋体" w:cs="宋体" w:eastAsia="宋体" w:hint="default"/>
                <w:sz w:val="21"/>
                <w:szCs w:val="21"/>
              </w:rPr>
            </w:pPr>
            <w:r>
              <w:rPr>
                <w:rFonts w:ascii="宋体"/>
                <w:spacing w:val="-1"/>
                <w:sz w:val="21"/>
              </w:rPr>
              <w:t>244,410.39</w:t>
            </w:r>
          </w:p>
        </w:tc>
        <w:tc>
          <w:tcPr>
            <w:tcW w:w="2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32"/>
              <w:jc w:val="right"/>
              <w:rPr>
                <w:rFonts w:ascii="宋体" w:hAnsi="宋体" w:cs="宋体" w:eastAsia="宋体" w:hint="default"/>
                <w:sz w:val="21"/>
                <w:szCs w:val="21"/>
              </w:rPr>
            </w:pPr>
            <w:r>
              <w:rPr>
                <w:rFonts w:ascii="宋体"/>
                <w:w w:val="100"/>
                <w:sz w:val="21"/>
              </w:rPr>
              <w:t>-</w:t>
            </w:r>
          </w:p>
        </w:tc>
      </w:tr>
      <w:tr>
        <w:trPr>
          <w:trHeight w:val="487" w:hRule="exact"/>
        </w:trPr>
        <w:tc>
          <w:tcPr>
            <w:tcW w:w="31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46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29"/>
              <w:jc w:val="right"/>
              <w:rPr>
                <w:rFonts w:ascii="宋体" w:hAnsi="宋体" w:cs="宋体" w:eastAsia="宋体" w:hint="default"/>
                <w:sz w:val="21"/>
                <w:szCs w:val="21"/>
              </w:rPr>
            </w:pPr>
            <w:r>
              <w:rPr>
                <w:rFonts w:ascii="宋体"/>
                <w:spacing w:val="-1"/>
                <w:sz w:val="21"/>
              </w:rPr>
              <w:t>2,145,312.00</w:t>
            </w:r>
          </w:p>
        </w:tc>
        <w:tc>
          <w:tcPr>
            <w:tcW w:w="27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32"/>
              <w:jc w:val="right"/>
              <w:rPr>
                <w:rFonts w:ascii="宋体" w:hAnsi="宋体" w:cs="宋体" w:eastAsia="宋体" w:hint="default"/>
                <w:sz w:val="21"/>
                <w:szCs w:val="21"/>
              </w:rPr>
            </w:pPr>
            <w:r>
              <w:rPr>
                <w:rFonts w:ascii="宋体"/>
                <w:w w:val="100"/>
                <w:sz w:val="21"/>
              </w:rPr>
              <w:t>-</w:t>
            </w:r>
          </w:p>
        </w:tc>
      </w:tr>
      <w:tr>
        <w:trPr>
          <w:trHeight w:val="497" w:hRule="exact"/>
        </w:trPr>
        <w:tc>
          <w:tcPr>
            <w:tcW w:w="31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8"/>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29"/>
              <w:jc w:val="right"/>
              <w:rPr>
                <w:rFonts w:ascii="宋体" w:hAnsi="宋体" w:cs="宋体" w:eastAsia="宋体" w:hint="default"/>
                <w:sz w:val="21"/>
                <w:szCs w:val="21"/>
              </w:rPr>
            </w:pPr>
            <w:r>
              <w:rPr>
                <w:rFonts w:ascii="宋体"/>
                <w:spacing w:val="-1"/>
                <w:sz w:val="21"/>
              </w:rPr>
              <w:t>144,153,561.28</w:t>
            </w:r>
          </w:p>
        </w:tc>
        <w:tc>
          <w:tcPr>
            <w:tcW w:w="27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32"/>
              <w:jc w:val="right"/>
              <w:rPr>
                <w:rFonts w:ascii="宋体" w:hAnsi="宋体" w:cs="宋体" w:eastAsia="宋体" w:hint="default"/>
                <w:sz w:val="21"/>
                <w:szCs w:val="21"/>
              </w:rPr>
            </w:pPr>
            <w:r>
              <w:rPr>
                <w:rFonts w:ascii="宋体"/>
                <w:spacing w:val="-1"/>
                <w:sz w:val="21"/>
              </w:rPr>
              <w:t>127,911,103.58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43" w:right="1354"/>
        <w:jc w:val="left"/>
      </w:pPr>
      <w:r>
        <w:rPr/>
        <w:t>29、营业收入、营业成本</w:t>
      </w:r>
    </w:p>
    <w:p>
      <w:pPr>
        <w:spacing w:line="240" w:lineRule="auto" w:before="8"/>
        <w:rPr>
          <w:rFonts w:ascii="宋体" w:hAnsi="宋体" w:cs="宋体" w:eastAsia="宋体" w:hint="default"/>
          <w:sz w:val="27"/>
          <w:szCs w:val="27"/>
        </w:rPr>
      </w:pPr>
    </w:p>
    <w:p>
      <w:pPr>
        <w:pStyle w:val="BodyText"/>
        <w:spacing w:line="240" w:lineRule="auto"/>
        <w:ind w:left="243" w:right="1354"/>
        <w:jc w:val="left"/>
      </w:pPr>
      <w:r>
        <w:rPr/>
        <w:pict>
          <v:shape style="position:absolute;margin-left:103.08847pt;margin-top:-4.958039pt;width:392.95pt;height:64.3pt;mso-position-horizontal-relative:page;mso-position-vertical-relative:paragraph;z-index:-553768;rotation:315" type="#_x0000_t136" fillcolor="#e0e0e0" stroked="f">
            <o:extrusion v:ext="view" autorotationcenter="t"/>
            <v:textpath style="font-family:&amp;quot;Arial&amp;quot;;font-size:64pt;v-text-kern:t;mso-text-shadow:auto" string="UnRegistered"/>
            <w10:wrap type="none"/>
          </v:shape>
        </w:pict>
      </w:r>
      <w:r>
        <w:rPr/>
        <w:t>（1）营业收入</w:t>
      </w:r>
    </w:p>
    <w:p>
      <w:pPr>
        <w:spacing w:line="240" w:lineRule="auto" w:before="0"/>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245"/>
        <w:gridCol w:w="2700"/>
        <w:gridCol w:w="2789"/>
      </w:tblGrid>
      <w:tr>
        <w:trPr>
          <w:trHeight w:val="550" w:hRule="exact"/>
        </w:trPr>
        <w:tc>
          <w:tcPr>
            <w:tcW w:w="3245"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40"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59,263,610.02</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21"/>
                <w:szCs w:val="21"/>
              </w:rPr>
            </w:pPr>
            <w:r>
              <w:rPr>
                <w:rFonts w:ascii="宋体"/>
                <w:spacing w:val="-1"/>
                <w:sz w:val="21"/>
              </w:rPr>
              <w:t>64,082,839.12</w:t>
            </w:r>
          </w:p>
        </w:tc>
      </w:tr>
      <w:tr>
        <w:trPr>
          <w:trHeight w:val="540"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1641"/>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58,906,792.89</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21"/>
                <w:szCs w:val="21"/>
              </w:rPr>
            </w:pPr>
            <w:r>
              <w:rPr>
                <w:rFonts w:ascii="宋体"/>
                <w:spacing w:val="-1"/>
                <w:sz w:val="21"/>
              </w:rPr>
              <w:t>64,082,839.12</w:t>
            </w:r>
          </w:p>
        </w:tc>
      </w:tr>
      <w:tr>
        <w:trPr>
          <w:trHeight w:val="540"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1641"/>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356,817.13</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21"/>
                <w:szCs w:val="21"/>
              </w:rPr>
            </w:pPr>
            <w:r>
              <w:rPr>
                <w:rFonts w:ascii="宋体"/>
                <w:w w:val="100"/>
                <w:sz w:val="21"/>
              </w:rPr>
              <w:t>-</w:t>
            </w:r>
          </w:p>
        </w:tc>
      </w:tr>
      <w:tr>
        <w:trPr>
          <w:trHeight w:val="540"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15,329,994.78</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5"/>
              <w:jc w:val="right"/>
              <w:rPr>
                <w:rFonts w:ascii="宋体" w:hAnsi="宋体" w:cs="宋体" w:eastAsia="宋体" w:hint="default"/>
                <w:sz w:val="21"/>
                <w:szCs w:val="21"/>
              </w:rPr>
            </w:pPr>
            <w:r>
              <w:rPr>
                <w:rFonts w:ascii="宋体"/>
                <w:spacing w:val="-1"/>
                <w:sz w:val="21"/>
              </w:rPr>
              <w:t>19,535,368.20</w:t>
            </w:r>
          </w:p>
        </w:tc>
      </w:tr>
      <w:tr>
        <w:trPr>
          <w:trHeight w:val="540"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1641"/>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15,329,994.78</w:t>
            </w:r>
          </w:p>
        </w:tc>
        <w:tc>
          <w:tcPr>
            <w:tcW w:w="27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5"/>
              <w:jc w:val="right"/>
              <w:rPr>
                <w:rFonts w:ascii="宋体" w:hAnsi="宋体" w:cs="宋体" w:eastAsia="宋体" w:hint="default"/>
                <w:sz w:val="21"/>
                <w:szCs w:val="21"/>
              </w:rPr>
            </w:pPr>
            <w:r>
              <w:rPr>
                <w:rFonts w:ascii="宋体"/>
                <w:spacing w:val="-1"/>
                <w:sz w:val="21"/>
              </w:rPr>
              <w:t>19,535,368.20</w:t>
            </w:r>
          </w:p>
        </w:tc>
      </w:tr>
      <w:tr>
        <w:trPr>
          <w:trHeight w:val="552" w:hRule="exact"/>
        </w:trPr>
        <w:tc>
          <w:tcPr>
            <w:tcW w:w="32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6"/>
              <w:ind w:right="1641"/>
              <w:jc w:val="right"/>
              <w:rPr>
                <w:rFonts w:ascii="宋体" w:hAnsi="宋体" w:cs="宋体" w:eastAsia="宋体" w:hint="default"/>
                <w:sz w:val="21"/>
                <w:szCs w:val="21"/>
              </w:rPr>
            </w:pPr>
            <w:r>
              <w:rPr>
                <w:rFonts w:ascii="宋体" w:hAnsi="宋体" w:cs="宋体" w:eastAsia="宋体" w:hint="default"/>
                <w:spacing w:val="-1"/>
                <w:sz w:val="21"/>
                <w:szCs w:val="21"/>
              </w:rPr>
              <w:t>其他业务支出</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27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6"/>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929" w:footer="981" w:top="1180" w:bottom="1180" w:left="14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43" w:right="1354"/>
        <w:jc w:val="left"/>
      </w:pPr>
      <w:r>
        <w:rPr/>
        <w:t>（2）主营业务收入按业务列示如下：</w:t>
      </w:r>
    </w:p>
    <w:p>
      <w:pPr>
        <w:spacing w:line="240" w:lineRule="auto" w:before="0"/>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352"/>
        <w:gridCol w:w="1596"/>
        <w:gridCol w:w="1596"/>
        <w:gridCol w:w="1596"/>
        <w:gridCol w:w="1594"/>
      </w:tblGrid>
      <w:tr>
        <w:trPr>
          <w:trHeight w:val="499" w:hRule="exact"/>
        </w:trPr>
        <w:tc>
          <w:tcPr>
            <w:tcW w:w="235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1"/>
              <w:ind w:right="5"/>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19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41"/>
              <w:ind w:right="7"/>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0" w:hRule="exact"/>
        </w:trPr>
        <w:tc>
          <w:tcPr>
            <w:tcW w:w="2352" w:type="dxa"/>
            <w:vMerge/>
            <w:tcBorders>
              <w:left w:val="nil" w:sz="6" w:space="0" w:color="auto"/>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5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5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5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left="15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490"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物业租赁、咨询及管理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58,906,792.89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15,097,504.42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58,082,839.12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5"/>
              <w:jc w:val="right"/>
              <w:rPr>
                <w:rFonts w:ascii="宋体" w:hAnsi="宋体" w:cs="宋体" w:eastAsia="宋体" w:hint="default"/>
                <w:sz w:val="21"/>
                <w:szCs w:val="21"/>
              </w:rPr>
            </w:pPr>
            <w:r>
              <w:rPr>
                <w:rFonts w:ascii="宋体"/>
                <w:spacing w:val="-1"/>
                <w:sz w:val="21"/>
              </w:rPr>
              <w:t>13,673,283.84</w:t>
            </w:r>
          </w:p>
        </w:tc>
      </w:tr>
      <w:tr>
        <w:trPr>
          <w:trHeight w:val="492"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房产销售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6,000,000.00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5"/>
              <w:jc w:val="right"/>
              <w:rPr>
                <w:rFonts w:ascii="宋体" w:hAnsi="宋体" w:cs="宋体" w:eastAsia="宋体" w:hint="default"/>
                <w:sz w:val="21"/>
                <w:szCs w:val="21"/>
              </w:rPr>
            </w:pPr>
            <w:r>
              <w:rPr>
                <w:rFonts w:ascii="宋体"/>
                <w:spacing w:val="-1"/>
                <w:sz w:val="21"/>
              </w:rPr>
              <w:t>5,506,016.00</w:t>
            </w:r>
          </w:p>
        </w:tc>
      </w:tr>
      <w:tr>
        <w:trPr>
          <w:trHeight w:val="490"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煤炭销售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r>
      <w:tr>
        <w:trPr>
          <w:trHeight w:val="490"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232,490.36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spacing w:val="-1"/>
                <w:sz w:val="21"/>
              </w:rPr>
              <w:t>356,068.36</w:t>
            </w:r>
          </w:p>
        </w:tc>
      </w:tr>
      <w:tr>
        <w:trPr>
          <w:trHeight w:val="502" w:hRule="exact"/>
        </w:trPr>
        <w:tc>
          <w:tcPr>
            <w:tcW w:w="2352" w:type="dxa"/>
            <w:tcBorders>
              <w:top w:val="single" w:sz="4" w:space="0" w:color="000000"/>
              <w:left w:val="nil" w:sz="6" w:space="0" w:color="auto"/>
              <w:bottom w:val="single" w:sz="12" w:space="0" w:color="000000"/>
              <w:right w:val="single" w:sz="4" w:space="0" w:color="000000"/>
            </w:tcBorders>
          </w:tcPr>
          <w:p>
            <w:pPr>
              <w:pStyle w:val="TableParagraph"/>
              <w:tabs>
                <w:tab w:pos="753" w:val="left" w:leader="none"/>
              </w:tabs>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58,906,792.89</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15,329,994.78</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64,082,839.12</w:t>
            </w:r>
          </w:p>
        </w:tc>
        <w:tc>
          <w:tcPr>
            <w:tcW w:w="15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8"/>
              <w:ind w:right="105"/>
              <w:jc w:val="right"/>
              <w:rPr>
                <w:rFonts w:ascii="宋体" w:hAnsi="宋体" w:cs="宋体" w:eastAsia="宋体" w:hint="default"/>
                <w:sz w:val="21"/>
                <w:szCs w:val="21"/>
              </w:rPr>
            </w:pPr>
            <w:r>
              <w:rPr>
                <w:rFonts w:ascii="宋体"/>
                <w:spacing w:val="-1"/>
                <w:sz w:val="21"/>
              </w:rPr>
              <w:t>19,535,368.20</w:t>
            </w:r>
          </w:p>
        </w:tc>
      </w:tr>
    </w:tbl>
    <w:p>
      <w:pPr>
        <w:spacing w:line="240" w:lineRule="auto" w:before="10"/>
        <w:rPr>
          <w:rFonts w:ascii="宋体" w:hAnsi="宋体" w:cs="宋体" w:eastAsia="宋体" w:hint="default"/>
          <w:sz w:val="19"/>
          <w:szCs w:val="19"/>
        </w:rPr>
      </w:pPr>
    </w:p>
    <w:p>
      <w:pPr>
        <w:pStyle w:val="BodyText"/>
        <w:spacing w:line="240" w:lineRule="auto" w:before="36"/>
        <w:ind w:left="243" w:right="1354"/>
        <w:jc w:val="left"/>
      </w:pPr>
      <w:r>
        <w:rPr/>
        <w:t>（3）主营业务收入按地区列示如下：</w:t>
      </w:r>
    </w:p>
    <w:p>
      <w:pPr>
        <w:spacing w:line="240" w:lineRule="auto" w:before="0"/>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322"/>
        <w:gridCol w:w="1999"/>
        <w:gridCol w:w="1817"/>
        <w:gridCol w:w="1910"/>
        <w:gridCol w:w="1685"/>
      </w:tblGrid>
      <w:tr>
        <w:trPr>
          <w:trHeight w:val="499" w:hRule="exact"/>
        </w:trPr>
        <w:tc>
          <w:tcPr>
            <w:tcW w:w="132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2"/>
                <w:sz w:val="21"/>
                <w:szCs w:val="21"/>
              </w:rPr>
              <w:t> </w:t>
            </w:r>
            <w:r>
              <w:rPr>
                <w:rFonts w:ascii="宋体" w:hAnsi="宋体" w:cs="宋体" w:eastAsia="宋体" w:hint="default"/>
                <w:sz w:val="21"/>
                <w:szCs w:val="21"/>
              </w:rPr>
              <w:t>区</w:t>
            </w:r>
          </w:p>
        </w:tc>
        <w:tc>
          <w:tcPr>
            <w:tcW w:w="381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1"/>
              <w:ind w:right="5"/>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59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0" w:hRule="exact"/>
        </w:trPr>
        <w:tc>
          <w:tcPr>
            <w:tcW w:w="1322" w:type="dxa"/>
            <w:vMerge/>
            <w:tcBorders>
              <w:left w:val="nil" w:sz="6" w:space="0" w:color="auto"/>
              <w:bottom w:val="single" w:sz="4" w:space="0" w:color="000000"/>
              <w:right w:val="single" w:sz="4" w:space="0" w:color="000000"/>
            </w:tcBorders>
          </w:tcPr>
          <w:p>
            <w:pP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5"/>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8"/>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5"/>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10"/>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r>
      <w:tr>
        <w:trPr>
          <w:trHeight w:val="49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黑龙江省</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spacing w:val="-1"/>
                <w:sz w:val="21"/>
              </w:rPr>
              <w:t>6,165,000.00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3"/>
              <w:jc w:val="right"/>
              <w:rPr>
                <w:rFonts w:ascii="宋体" w:hAnsi="宋体" w:cs="宋体" w:eastAsia="宋体" w:hint="default"/>
                <w:sz w:val="21"/>
                <w:szCs w:val="21"/>
              </w:rPr>
            </w:pPr>
            <w:r>
              <w:rPr>
                <w:rFonts w:ascii="宋体"/>
                <w:spacing w:val="-1"/>
                <w:sz w:val="21"/>
              </w:rPr>
              <w:t>5,687,694.44</w:t>
            </w:r>
          </w:p>
        </w:tc>
      </w:tr>
      <w:tr>
        <w:trPr>
          <w:trHeight w:val="492"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58,906,792.89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15,097,504.42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57,917,839.12</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13,491,605.40</w:t>
            </w:r>
          </w:p>
        </w:tc>
      </w:tr>
      <w:tr>
        <w:trPr>
          <w:trHeight w:val="490" w:hRule="exact"/>
        </w:trPr>
        <w:tc>
          <w:tcPr>
            <w:tcW w:w="1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广西省</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232,490.36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356,068.36</w:t>
            </w:r>
          </w:p>
        </w:tc>
      </w:tr>
      <w:tr>
        <w:trPr>
          <w:trHeight w:val="499" w:hRule="exact"/>
        </w:trPr>
        <w:tc>
          <w:tcPr>
            <w:tcW w:w="1322"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38"/>
              <w:ind w:left="22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58,906,792.89</w:t>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15,329,994.78</w:t>
            </w:r>
          </w:p>
        </w:tc>
        <w:tc>
          <w:tcPr>
            <w:tcW w:w="1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64,082,839.12</w:t>
            </w:r>
          </w:p>
        </w:tc>
        <w:tc>
          <w:tcPr>
            <w:tcW w:w="16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19,535,368.20</w:t>
            </w:r>
          </w:p>
        </w:tc>
      </w:tr>
    </w:tbl>
    <w:p>
      <w:pPr>
        <w:spacing w:line="240" w:lineRule="auto" w:before="10"/>
        <w:rPr>
          <w:rFonts w:ascii="宋体" w:hAnsi="宋体" w:cs="宋体" w:eastAsia="宋体" w:hint="default"/>
          <w:sz w:val="19"/>
          <w:szCs w:val="19"/>
        </w:rPr>
      </w:pPr>
    </w:p>
    <w:p>
      <w:pPr>
        <w:pStyle w:val="BodyText"/>
        <w:spacing w:line="240" w:lineRule="auto" w:before="36"/>
        <w:ind w:left="243" w:right="1354"/>
        <w:jc w:val="left"/>
      </w:pPr>
      <w:r>
        <w:rPr/>
        <w:pict>
          <v:shape style="position:absolute;margin-left:103.08847pt;margin-top:-87.27803pt;width:392.95pt;height:64.3pt;mso-position-horizontal-relative:page;mso-position-vertical-relative:paragraph;z-index:-553744;rotation:315" type="#_x0000_t136" fillcolor="#e0e0e0" stroked="f">
            <o:extrusion v:ext="view" autorotationcenter="t"/>
            <v:textpath style="font-family:&amp;quot;Arial&amp;quot;;font-size:64pt;v-text-kern:t;mso-text-shadow:auto" string="UnRegistered"/>
            <w10:wrap type="none"/>
          </v:shape>
        </w:pict>
      </w:r>
      <w:r>
        <w:rPr/>
        <w:t>（4）公司前五名客户的营业收入情况如下：</w:t>
      </w:r>
    </w:p>
    <w:p>
      <w:pPr>
        <w:spacing w:line="240" w:lineRule="auto" w:before="2"/>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240"/>
        <w:gridCol w:w="2705"/>
        <w:gridCol w:w="2789"/>
      </w:tblGrid>
      <w:tr>
        <w:trPr>
          <w:trHeight w:val="502" w:hRule="exact"/>
        </w:trPr>
        <w:tc>
          <w:tcPr>
            <w:tcW w:w="3240" w:type="dxa"/>
            <w:tcBorders>
              <w:top w:val="single" w:sz="12" w:space="0" w:color="000000"/>
              <w:left w:val="nil" w:sz="6" w:space="0" w:color="auto"/>
              <w:bottom w:val="single" w:sz="6" w:space="0" w:color="000000"/>
              <w:right w:val="single" w:sz="6" w:space="0" w:color="000000"/>
            </w:tcBorders>
          </w:tcPr>
          <w:p>
            <w:pPr>
              <w:pStyle w:val="TableParagraph"/>
              <w:tabs>
                <w:tab w:pos="1384" w:val="left" w:leader="none"/>
              </w:tabs>
              <w:spacing w:line="240" w:lineRule="auto" w:before="141"/>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8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7" w:hRule="exact"/>
        </w:trPr>
        <w:tc>
          <w:tcPr>
            <w:tcW w:w="32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对前五名客户销售总额</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37,642,193.00</w:t>
            </w:r>
          </w:p>
        </w:tc>
        <w:tc>
          <w:tcPr>
            <w:tcW w:w="27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5"/>
              <w:jc w:val="right"/>
              <w:rPr>
                <w:rFonts w:ascii="宋体" w:hAnsi="宋体" w:cs="宋体" w:eastAsia="宋体" w:hint="default"/>
                <w:sz w:val="21"/>
                <w:szCs w:val="21"/>
              </w:rPr>
            </w:pPr>
            <w:r>
              <w:rPr>
                <w:rFonts w:ascii="宋体"/>
                <w:spacing w:val="-1"/>
                <w:sz w:val="21"/>
              </w:rPr>
              <w:t>36,622,577.00</w:t>
            </w:r>
          </w:p>
        </w:tc>
      </w:tr>
      <w:tr>
        <w:trPr>
          <w:trHeight w:val="503" w:hRule="exact"/>
        </w:trPr>
        <w:tc>
          <w:tcPr>
            <w:tcW w:w="3240" w:type="dxa"/>
            <w:tcBorders>
              <w:top w:val="single" w:sz="6" w:space="0" w:color="000000"/>
              <w:left w:val="nil" w:sz="6" w:space="0" w:color="auto"/>
              <w:bottom w:val="single" w:sz="11"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2705"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z w:val="21"/>
              </w:rPr>
              <w:t>63.52%</w:t>
            </w:r>
          </w:p>
        </w:tc>
        <w:tc>
          <w:tcPr>
            <w:tcW w:w="2789" w:type="dxa"/>
            <w:tcBorders>
              <w:top w:val="single" w:sz="6" w:space="0" w:color="000000"/>
              <w:left w:val="single" w:sz="6" w:space="0" w:color="000000"/>
              <w:bottom w:val="single" w:sz="11"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sz w:val="21"/>
              </w:rPr>
              <w:t>57.15%</w:t>
            </w:r>
          </w:p>
        </w:tc>
      </w:tr>
    </w:tbl>
    <w:p>
      <w:pPr>
        <w:spacing w:after="0" w:line="240" w:lineRule="auto"/>
        <w:jc w:val="right"/>
        <w:rPr>
          <w:rFonts w:ascii="宋体" w:hAnsi="宋体" w:cs="宋体" w:eastAsia="宋体" w:hint="default"/>
          <w:sz w:val="21"/>
          <w:szCs w:val="21"/>
        </w:rPr>
        <w:sectPr>
          <w:pgSz w:w="11910" w:h="16840"/>
          <w:pgMar w:header="929" w:footer="981" w:top="1180" w:bottom="1180" w:left="1460" w:right="0"/>
        </w:sectPr>
      </w:pPr>
    </w:p>
    <w:p>
      <w:pPr>
        <w:spacing w:line="240" w:lineRule="auto" w:before="6"/>
        <w:rPr>
          <w:rFonts w:ascii="宋体" w:hAnsi="宋体" w:cs="宋体" w:eastAsia="宋体" w:hint="default"/>
          <w:sz w:val="27"/>
          <w:szCs w:val="27"/>
        </w:rPr>
      </w:pPr>
    </w:p>
    <w:p>
      <w:pPr>
        <w:pStyle w:val="BodyText"/>
        <w:spacing w:line="240" w:lineRule="auto" w:before="36"/>
        <w:ind w:left="263" w:right="0"/>
        <w:jc w:val="left"/>
      </w:pPr>
      <w:r>
        <w:rPr/>
        <w:t>2011</w:t>
      </w:r>
      <w:r>
        <w:rPr>
          <w:spacing w:val="-57"/>
        </w:rPr>
        <w:t> </w:t>
      </w:r>
      <w:r>
        <w:rPr/>
        <w:t>年度公司前五名客户的营业收入情况：</w:t>
      </w:r>
    </w:p>
    <w:p>
      <w:pPr>
        <w:spacing w:line="240" w:lineRule="auto" w:before="9"/>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070"/>
        <w:gridCol w:w="2666"/>
        <w:gridCol w:w="2998"/>
      </w:tblGrid>
      <w:tr>
        <w:trPr>
          <w:trHeight w:val="470" w:hRule="exact"/>
        </w:trPr>
        <w:tc>
          <w:tcPr>
            <w:tcW w:w="3070" w:type="dxa"/>
            <w:tcBorders>
              <w:top w:val="single" w:sz="12" w:space="0" w:color="000000"/>
              <w:left w:val="nil" w:sz="6" w:space="0" w:color="auto"/>
              <w:bottom w:val="single" w:sz="4" w:space="0" w:color="000000"/>
              <w:right w:val="single" w:sz="4" w:space="0" w:color="000000"/>
            </w:tcBorders>
          </w:tcPr>
          <w:p>
            <w:pPr>
              <w:pStyle w:val="TableParagraph"/>
              <w:tabs>
                <w:tab w:pos="859" w:val="left" w:leader="none"/>
                <w:tab w:pos="1487" w:val="left" w:leader="none"/>
                <w:tab w:pos="2119" w:val="left" w:leader="none"/>
              </w:tabs>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客</w:t>
              <w:tab/>
              <w:t>户</w:t>
              <w:tab/>
              <w:t>名</w:t>
              <w:tab/>
              <w:t>称</w:t>
            </w:r>
          </w:p>
        </w:tc>
        <w:tc>
          <w:tcPr>
            <w:tcW w:w="2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07"/>
              <w:jc w:val="right"/>
              <w:rPr>
                <w:rFonts w:ascii="宋体" w:hAnsi="宋体" w:cs="宋体" w:eastAsia="宋体" w:hint="default"/>
                <w:sz w:val="21"/>
                <w:szCs w:val="21"/>
              </w:rPr>
            </w:pPr>
            <w:r>
              <w:rPr>
                <w:rFonts w:ascii="宋体" w:hAnsi="宋体" w:cs="宋体" w:eastAsia="宋体" w:hint="default"/>
                <w:spacing w:val="-1"/>
                <w:sz w:val="21"/>
                <w:szCs w:val="21"/>
              </w:rPr>
              <w:t>收入金额</w:t>
            </w:r>
          </w:p>
        </w:tc>
        <w:tc>
          <w:tcPr>
            <w:tcW w:w="29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hAnsi="宋体" w:cs="宋体" w:eastAsia="宋体" w:hint="default"/>
                <w:spacing w:val="-2"/>
                <w:sz w:val="21"/>
                <w:szCs w:val="21"/>
              </w:rPr>
              <w:t>占全部营业收入的比例（%）</w:t>
            </w:r>
          </w:p>
        </w:tc>
      </w:tr>
      <w:tr>
        <w:trPr>
          <w:trHeight w:val="461" w:hRule="exact"/>
        </w:trPr>
        <w:tc>
          <w:tcPr>
            <w:tcW w:w="3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15,928,599.00</w:t>
            </w:r>
          </w:p>
        </w:tc>
        <w:tc>
          <w:tcPr>
            <w:tcW w:w="2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26.68</w:t>
            </w:r>
          </w:p>
        </w:tc>
      </w:tr>
      <w:tr>
        <w:trPr>
          <w:trHeight w:val="461" w:hRule="exact"/>
        </w:trPr>
        <w:tc>
          <w:tcPr>
            <w:tcW w:w="3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恒大地产集团</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6,365,762.00</w:t>
            </w:r>
          </w:p>
        </w:tc>
        <w:tc>
          <w:tcPr>
            <w:tcW w:w="2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10.74</w:t>
            </w:r>
          </w:p>
        </w:tc>
      </w:tr>
      <w:tr>
        <w:trPr>
          <w:trHeight w:val="458" w:hRule="exact"/>
        </w:trPr>
        <w:tc>
          <w:tcPr>
            <w:tcW w:w="3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恒大盛宇</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5,624,492.00</w:t>
            </w:r>
          </w:p>
        </w:tc>
        <w:tc>
          <w:tcPr>
            <w:tcW w:w="2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9.49</w:t>
            </w:r>
          </w:p>
        </w:tc>
      </w:tr>
      <w:tr>
        <w:trPr>
          <w:trHeight w:val="461" w:hRule="exact"/>
        </w:trPr>
        <w:tc>
          <w:tcPr>
            <w:tcW w:w="3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广州市海朗餐饮有限公司</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5,083,336.00</w:t>
            </w:r>
          </w:p>
        </w:tc>
        <w:tc>
          <w:tcPr>
            <w:tcW w:w="2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8.58</w:t>
            </w:r>
          </w:p>
        </w:tc>
      </w:tr>
      <w:tr>
        <w:trPr>
          <w:trHeight w:val="461" w:hRule="exact"/>
        </w:trPr>
        <w:tc>
          <w:tcPr>
            <w:tcW w:w="3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广东恒健投资</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4,640,004.00</w:t>
            </w:r>
          </w:p>
        </w:tc>
        <w:tc>
          <w:tcPr>
            <w:tcW w:w="2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7.83</w:t>
            </w:r>
          </w:p>
        </w:tc>
      </w:tr>
      <w:tr>
        <w:trPr>
          <w:trHeight w:val="470" w:hRule="exact"/>
        </w:trPr>
        <w:tc>
          <w:tcPr>
            <w:tcW w:w="30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37,642,193.00</w:t>
            </w:r>
          </w:p>
        </w:tc>
        <w:tc>
          <w:tcPr>
            <w:tcW w:w="29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63.52</w:t>
            </w:r>
          </w:p>
        </w:tc>
      </w:tr>
    </w:tbl>
    <w:p>
      <w:pPr>
        <w:spacing w:line="240" w:lineRule="auto" w:before="0"/>
        <w:rPr>
          <w:rFonts w:ascii="宋体" w:hAnsi="宋体" w:cs="宋体" w:eastAsia="宋体" w:hint="default"/>
          <w:sz w:val="28"/>
          <w:szCs w:val="28"/>
        </w:rPr>
      </w:pPr>
    </w:p>
    <w:p>
      <w:pPr>
        <w:pStyle w:val="BodyText"/>
        <w:spacing w:line="240" w:lineRule="auto" w:before="36"/>
        <w:ind w:left="263" w:right="0"/>
        <w:jc w:val="left"/>
      </w:pPr>
      <w:r>
        <w:rPr/>
        <w:pict>
          <v:shape style="position:absolute;margin-left:103.08847pt;margin-top:110.841934pt;width:392.95pt;height:64.3pt;mso-position-horizontal-relative:page;mso-position-vertical-relative:paragraph;z-index:-553720;rotation:315" type="#_x0000_t136" fillcolor="#e0e0e0" stroked="f">
            <o:extrusion v:ext="view" autorotationcenter="t"/>
            <v:textpath style="font-family:&amp;quot;Arial&amp;quot;;font-size:64pt;v-text-kern:t;mso-text-shadow:auto" string="UnRegistered"/>
            <w10:wrap type="none"/>
          </v:shape>
        </w:pict>
      </w:r>
      <w:r>
        <w:rPr/>
        <w:t>30、营业税金及附加</w:t>
      </w:r>
    </w:p>
    <w:p>
      <w:pPr>
        <w:spacing w:line="240" w:lineRule="auto" w:before="1"/>
        <w:rPr>
          <w:rFonts w:ascii="宋体" w:hAnsi="宋体" w:cs="宋体" w:eastAsia="宋体" w:hint="default"/>
          <w:sz w:val="16"/>
          <w:szCs w:val="16"/>
        </w:rPr>
      </w:pPr>
    </w:p>
    <w:tbl>
      <w:tblPr>
        <w:tblW w:w="0" w:type="auto"/>
        <w:jc w:val="left"/>
        <w:tblInd w:w="162" w:type="dxa"/>
        <w:tblLayout w:type="fixed"/>
        <w:tblCellMar>
          <w:top w:w="0" w:type="dxa"/>
          <w:left w:w="0" w:type="dxa"/>
          <w:bottom w:w="0" w:type="dxa"/>
          <w:right w:w="0" w:type="dxa"/>
        </w:tblCellMar>
        <w:tblLook w:val="01E0"/>
      </w:tblPr>
      <w:tblGrid>
        <w:gridCol w:w="2894"/>
        <w:gridCol w:w="2808"/>
        <w:gridCol w:w="2959"/>
      </w:tblGrid>
      <w:tr>
        <w:trPr>
          <w:trHeight w:val="468" w:hRule="exact"/>
        </w:trPr>
        <w:tc>
          <w:tcPr>
            <w:tcW w:w="2894" w:type="dxa"/>
            <w:tcBorders>
              <w:top w:val="single" w:sz="12" w:space="0" w:color="000000"/>
              <w:left w:val="nil" w:sz="6" w:space="0" w:color="auto"/>
              <w:bottom w:val="single" w:sz="2" w:space="0" w:color="000000"/>
              <w:right w:val="single" w:sz="2" w:space="0" w:color="000000"/>
            </w:tcBorders>
          </w:tcPr>
          <w:p>
            <w:pPr>
              <w:pStyle w:val="TableParagraph"/>
              <w:tabs>
                <w:tab w:pos="782" w:val="left" w:leader="none"/>
              </w:tabs>
              <w:spacing w:line="240" w:lineRule="auto" w:before="76"/>
              <w:ind w:left="36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29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1"/>
              <w:ind w:right="132"/>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54"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27"/>
              <w:jc w:val="right"/>
              <w:rPr>
                <w:rFonts w:ascii="宋体" w:hAnsi="宋体" w:cs="宋体" w:eastAsia="宋体" w:hint="default"/>
                <w:sz w:val="21"/>
                <w:szCs w:val="21"/>
              </w:rPr>
            </w:pPr>
            <w:r>
              <w:rPr>
                <w:rFonts w:ascii="宋体"/>
                <w:spacing w:val="-1"/>
                <w:sz w:val="21"/>
              </w:rPr>
              <w:t>300,172.59</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spacing w:val="-1"/>
                <w:sz w:val="21"/>
              </w:rPr>
              <w:t>309,713.12</w:t>
            </w:r>
          </w:p>
        </w:tc>
      </w:tr>
      <w:tr>
        <w:trPr>
          <w:trHeight w:val="456"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27"/>
              <w:jc w:val="right"/>
              <w:rPr>
                <w:rFonts w:ascii="宋体" w:hAnsi="宋体" w:cs="宋体" w:eastAsia="宋体" w:hint="default"/>
                <w:sz w:val="21"/>
                <w:szCs w:val="21"/>
              </w:rPr>
            </w:pPr>
            <w:r>
              <w:rPr>
                <w:rFonts w:ascii="宋体"/>
                <w:spacing w:val="-1"/>
                <w:sz w:val="21"/>
              </w:rPr>
              <w:t>128,444.57</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spacing w:val="-1"/>
                <w:sz w:val="21"/>
              </w:rPr>
              <w:t>135,519.99</w:t>
            </w:r>
          </w:p>
        </w:tc>
      </w:tr>
      <w:tr>
        <w:trPr>
          <w:trHeight w:val="454"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2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31"/>
              <w:jc w:val="right"/>
              <w:rPr>
                <w:rFonts w:ascii="宋体" w:hAnsi="宋体" w:cs="宋体" w:eastAsia="宋体" w:hint="default"/>
                <w:sz w:val="21"/>
                <w:szCs w:val="21"/>
              </w:rPr>
            </w:pPr>
            <w:r>
              <w:rPr>
                <w:rFonts w:ascii="宋体"/>
                <w:spacing w:val="-1"/>
                <w:sz w:val="21"/>
              </w:rPr>
              <w:t>83,208.62</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w w:val="100"/>
                <w:sz w:val="21"/>
              </w:rPr>
              <w:t>-</w:t>
            </w:r>
          </w:p>
        </w:tc>
      </w:tr>
      <w:tr>
        <w:trPr>
          <w:trHeight w:val="456"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29"/>
              <w:jc w:val="right"/>
              <w:rPr>
                <w:rFonts w:ascii="宋体" w:hAnsi="宋体" w:cs="宋体" w:eastAsia="宋体" w:hint="default"/>
                <w:sz w:val="21"/>
                <w:szCs w:val="21"/>
              </w:rPr>
            </w:pPr>
            <w:r>
              <w:rPr>
                <w:rFonts w:ascii="宋体"/>
                <w:spacing w:val="-1"/>
                <w:sz w:val="21"/>
              </w:rPr>
              <w:t>85,763.64</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spacing w:val="-1"/>
                <w:sz w:val="21"/>
              </w:rPr>
              <w:t>105,117.30</w:t>
            </w:r>
          </w:p>
        </w:tc>
      </w:tr>
      <w:tr>
        <w:trPr>
          <w:trHeight w:val="456"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29"/>
              <w:jc w:val="right"/>
              <w:rPr>
                <w:rFonts w:ascii="宋体" w:hAnsi="宋体" w:cs="宋体" w:eastAsia="宋体" w:hint="default"/>
                <w:sz w:val="21"/>
                <w:szCs w:val="21"/>
              </w:rPr>
            </w:pPr>
            <w:r>
              <w:rPr>
                <w:rFonts w:ascii="宋体"/>
                <w:spacing w:val="-1"/>
                <w:sz w:val="21"/>
              </w:rPr>
              <w:t>4,288,180.49</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spacing w:val="-1"/>
                <w:sz w:val="21"/>
              </w:rPr>
              <w:t>4,424,473.35</w:t>
            </w:r>
          </w:p>
        </w:tc>
      </w:tr>
      <w:tr>
        <w:trPr>
          <w:trHeight w:val="454"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29"/>
              <w:jc w:val="right"/>
              <w:rPr>
                <w:rFonts w:ascii="宋体" w:hAnsi="宋体" w:cs="宋体" w:eastAsia="宋体" w:hint="default"/>
                <w:sz w:val="21"/>
                <w:szCs w:val="21"/>
              </w:rPr>
            </w:pPr>
            <w:r>
              <w:rPr>
                <w:rFonts w:ascii="宋体"/>
                <w:spacing w:val="-1"/>
                <w:sz w:val="21"/>
              </w:rPr>
              <w:t>3,141,955.83</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spacing w:val="-1"/>
                <w:sz w:val="21"/>
              </w:rPr>
              <w:t>3,171,515.15</w:t>
            </w:r>
          </w:p>
        </w:tc>
      </w:tr>
      <w:tr>
        <w:trPr>
          <w:trHeight w:val="456"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31"/>
              <w:jc w:val="right"/>
              <w:rPr>
                <w:rFonts w:ascii="宋体" w:hAnsi="宋体" w:cs="宋体" w:eastAsia="宋体" w:hint="default"/>
                <w:sz w:val="21"/>
                <w:szCs w:val="21"/>
              </w:rPr>
            </w:pPr>
            <w:r>
              <w:rPr>
                <w:rFonts w:ascii="宋体"/>
                <w:spacing w:val="-1"/>
                <w:sz w:val="21"/>
              </w:rPr>
              <w:t>5,221.44</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spacing w:val="-1"/>
                <w:sz w:val="21"/>
              </w:rPr>
              <w:t>5,244.94</w:t>
            </w:r>
          </w:p>
        </w:tc>
      </w:tr>
      <w:tr>
        <w:trPr>
          <w:trHeight w:val="454"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31"/>
              <w:jc w:val="right"/>
              <w:rPr>
                <w:rFonts w:ascii="宋体" w:hAnsi="宋体" w:cs="宋体" w:eastAsia="宋体" w:hint="default"/>
                <w:sz w:val="21"/>
                <w:szCs w:val="21"/>
              </w:rPr>
            </w:pPr>
            <w:r>
              <w:rPr>
                <w:rFonts w:ascii="宋体"/>
                <w:w w:val="100"/>
                <w:sz w:val="21"/>
              </w:rPr>
              <w:t>-</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spacing w:val="-1"/>
                <w:sz w:val="21"/>
              </w:rPr>
              <w:t>399,496.84</w:t>
            </w:r>
          </w:p>
        </w:tc>
      </w:tr>
      <w:tr>
        <w:trPr>
          <w:trHeight w:val="468" w:hRule="exact"/>
        </w:trPr>
        <w:tc>
          <w:tcPr>
            <w:tcW w:w="28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29"/>
              <w:jc w:val="right"/>
              <w:rPr>
                <w:rFonts w:ascii="宋体" w:hAnsi="宋体" w:cs="宋体" w:eastAsia="宋体" w:hint="default"/>
                <w:sz w:val="21"/>
                <w:szCs w:val="21"/>
              </w:rPr>
            </w:pPr>
            <w:r>
              <w:rPr>
                <w:rFonts w:ascii="宋体"/>
                <w:spacing w:val="-1"/>
                <w:sz w:val="21"/>
              </w:rPr>
              <w:t>8,032,947.18</w:t>
            </w:r>
          </w:p>
        </w:tc>
        <w:tc>
          <w:tcPr>
            <w:tcW w:w="29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32"/>
              <w:jc w:val="right"/>
              <w:rPr>
                <w:rFonts w:ascii="宋体" w:hAnsi="宋体" w:cs="宋体" w:eastAsia="宋体" w:hint="default"/>
                <w:sz w:val="21"/>
                <w:szCs w:val="21"/>
              </w:rPr>
            </w:pPr>
            <w:r>
              <w:rPr>
                <w:rFonts w:ascii="宋体"/>
                <w:spacing w:val="-1"/>
                <w:sz w:val="21"/>
              </w:rPr>
              <w:t>8,551,080.69</w:t>
            </w:r>
          </w:p>
        </w:tc>
      </w:tr>
    </w:tbl>
    <w:p>
      <w:pPr>
        <w:spacing w:line="240" w:lineRule="auto" w:before="0"/>
        <w:rPr>
          <w:rFonts w:ascii="宋体" w:hAnsi="宋体" w:cs="宋体" w:eastAsia="宋体" w:hint="default"/>
          <w:sz w:val="28"/>
          <w:szCs w:val="28"/>
        </w:rPr>
      </w:pPr>
    </w:p>
    <w:p>
      <w:pPr>
        <w:pStyle w:val="BodyText"/>
        <w:spacing w:line="240" w:lineRule="auto" w:before="36"/>
        <w:ind w:left="263" w:right="0"/>
        <w:jc w:val="left"/>
      </w:pPr>
      <w:r>
        <w:rPr/>
        <w:t>31、销售费用</w:t>
      </w:r>
    </w:p>
    <w:p>
      <w:pPr>
        <w:spacing w:line="240" w:lineRule="auto" w:before="1"/>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2520"/>
        <w:gridCol w:w="3067"/>
        <w:gridCol w:w="3175"/>
      </w:tblGrid>
      <w:tr>
        <w:trPr>
          <w:trHeight w:val="468" w:hRule="exact"/>
        </w:trPr>
        <w:tc>
          <w:tcPr>
            <w:tcW w:w="2520" w:type="dxa"/>
            <w:tcBorders>
              <w:top w:val="single" w:sz="12" w:space="0" w:color="000000"/>
              <w:left w:val="nil" w:sz="6" w:space="0" w:color="auto"/>
              <w:bottom w:val="single" w:sz="2" w:space="0" w:color="000000"/>
              <w:right w:val="single" w:sz="2" w:space="0" w:color="000000"/>
            </w:tcBorders>
          </w:tcPr>
          <w:p>
            <w:pPr>
              <w:pStyle w:val="TableParagraph"/>
              <w:tabs>
                <w:tab w:pos="782" w:val="left" w:leader="none"/>
              </w:tabs>
              <w:spacing w:line="240" w:lineRule="auto" w:before="76"/>
              <w:ind w:left="2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31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1"/>
              <w:ind w:right="134"/>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56" w:hRule="exact"/>
        </w:trPr>
        <w:tc>
          <w:tcPr>
            <w:tcW w:w="2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策划顾问费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31"/>
              <w:jc w:val="right"/>
              <w:rPr>
                <w:rFonts w:ascii="宋体" w:hAnsi="宋体" w:cs="宋体" w:eastAsia="宋体" w:hint="default"/>
                <w:sz w:val="21"/>
                <w:szCs w:val="21"/>
              </w:rPr>
            </w:pPr>
            <w:r>
              <w:rPr>
                <w:rFonts w:ascii="宋体"/>
                <w:w w:val="100"/>
                <w:sz w:val="21"/>
              </w:rPr>
              <w:t>-</w:t>
            </w:r>
          </w:p>
        </w:tc>
        <w:tc>
          <w:tcPr>
            <w:tcW w:w="31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34"/>
              <w:jc w:val="right"/>
              <w:rPr>
                <w:rFonts w:ascii="宋体" w:hAnsi="宋体" w:cs="宋体" w:eastAsia="宋体" w:hint="default"/>
                <w:sz w:val="21"/>
                <w:szCs w:val="21"/>
              </w:rPr>
            </w:pPr>
            <w:r>
              <w:rPr>
                <w:rFonts w:ascii="宋体"/>
                <w:spacing w:val="-1"/>
                <w:sz w:val="21"/>
              </w:rPr>
              <w:t>111,500.00</w:t>
            </w:r>
          </w:p>
        </w:tc>
      </w:tr>
      <w:tr>
        <w:trPr>
          <w:trHeight w:val="456" w:hRule="exact"/>
        </w:trPr>
        <w:tc>
          <w:tcPr>
            <w:tcW w:w="2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31"/>
              <w:jc w:val="right"/>
              <w:rPr>
                <w:rFonts w:ascii="宋体" w:hAnsi="宋体" w:cs="宋体" w:eastAsia="宋体" w:hint="default"/>
                <w:sz w:val="21"/>
                <w:szCs w:val="21"/>
              </w:rPr>
            </w:pPr>
            <w:r>
              <w:rPr>
                <w:rFonts w:ascii="宋体"/>
                <w:w w:val="100"/>
                <w:sz w:val="21"/>
              </w:rPr>
              <w:t>-</w:t>
            </w:r>
          </w:p>
        </w:tc>
        <w:tc>
          <w:tcPr>
            <w:tcW w:w="31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34"/>
              <w:jc w:val="right"/>
              <w:rPr>
                <w:rFonts w:ascii="宋体" w:hAnsi="宋体" w:cs="宋体" w:eastAsia="宋体" w:hint="default"/>
                <w:sz w:val="21"/>
                <w:szCs w:val="21"/>
              </w:rPr>
            </w:pPr>
            <w:r>
              <w:rPr>
                <w:rFonts w:ascii="宋体"/>
                <w:spacing w:val="-1"/>
                <w:sz w:val="21"/>
              </w:rPr>
              <w:t>103,910.00</w:t>
            </w:r>
          </w:p>
        </w:tc>
      </w:tr>
      <w:tr>
        <w:trPr>
          <w:trHeight w:val="454" w:hRule="exact"/>
        </w:trPr>
        <w:tc>
          <w:tcPr>
            <w:tcW w:w="2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31"/>
              <w:jc w:val="right"/>
              <w:rPr>
                <w:rFonts w:ascii="宋体" w:hAnsi="宋体" w:cs="宋体" w:eastAsia="宋体" w:hint="default"/>
                <w:sz w:val="21"/>
                <w:szCs w:val="21"/>
              </w:rPr>
            </w:pPr>
            <w:r>
              <w:rPr>
                <w:rFonts w:ascii="宋体"/>
                <w:spacing w:val="-1"/>
                <w:sz w:val="21"/>
              </w:rPr>
              <w:t>257,404.48</w:t>
            </w:r>
          </w:p>
        </w:tc>
        <w:tc>
          <w:tcPr>
            <w:tcW w:w="31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34"/>
              <w:jc w:val="right"/>
              <w:rPr>
                <w:rFonts w:ascii="宋体" w:hAnsi="宋体" w:cs="宋体" w:eastAsia="宋体" w:hint="default"/>
                <w:sz w:val="21"/>
                <w:szCs w:val="21"/>
              </w:rPr>
            </w:pPr>
            <w:r>
              <w:rPr>
                <w:rFonts w:ascii="宋体"/>
                <w:w w:val="100"/>
                <w:sz w:val="21"/>
              </w:rPr>
              <w:t>-</w:t>
            </w:r>
          </w:p>
        </w:tc>
      </w:tr>
      <w:tr>
        <w:trPr>
          <w:trHeight w:val="456" w:hRule="exact"/>
        </w:trPr>
        <w:tc>
          <w:tcPr>
            <w:tcW w:w="2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31"/>
              <w:jc w:val="right"/>
              <w:rPr>
                <w:rFonts w:ascii="宋体" w:hAnsi="宋体" w:cs="宋体" w:eastAsia="宋体" w:hint="default"/>
                <w:sz w:val="21"/>
                <w:szCs w:val="21"/>
              </w:rPr>
            </w:pPr>
            <w:r>
              <w:rPr>
                <w:rFonts w:ascii="宋体"/>
                <w:spacing w:val="-1"/>
                <w:sz w:val="21"/>
              </w:rPr>
              <w:t>33,695.00</w:t>
            </w:r>
          </w:p>
        </w:tc>
        <w:tc>
          <w:tcPr>
            <w:tcW w:w="31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34"/>
              <w:jc w:val="right"/>
              <w:rPr>
                <w:rFonts w:ascii="宋体" w:hAnsi="宋体" w:cs="宋体" w:eastAsia="宋体" w:hint="default"/>
                <w:sz w:val="21"/>
                <w:szCs w:val="21"/>
              </w:rPr>
            </w:pPr>
            <w:r>
              <w:rPr>
                <w:rFonts w:ascii="宋体"/>
                <w:spacing w:val="-1"/>
                <w:sz w:val="21"/>
              </w:rPr>
              <w:t>3,250.30</w:t>
            </w:r>
          </w:p>
        </w:tc>
      </w:tr>
      <w:tr>
        <w:trPr>
          <w:trHeight w:val="454" w:hRule="exact"/>
        </w:trPr>
        <w:tc>
          <w:tcPr>
            <w:tcW w:w="2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31"/>
              <w:jc w:val="right"/>
              <w:rPr>
                <w:rFonts w:ascii="宋体" w:hAnsi="宋体" w:cs="宋体" w:eastAsia="宋体" w:hint="default"/>
                <w:sz w:val="21"/>
                <w:szCs w:val="21"/>
              </w:rPr>
            </w:pPr>
            <w:r>
              <w:rPr>
                <w:rFonts w:ascii="宋体"/>
                <w:spacing w:val="-1"/>
                <w:sz w:val="21"/>
              </w:rPr>
              <w:t>4,608.00</w:t>
            </w:r>
          </w:p>
        </w:tc>
        <w:tc>
          <w:tcPr>
            <w:tcW w:w="31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34"/>
              <w:jc w:val="right"/>
              <w:rPr>
                <w:rFonts w:ascii="宋体" w:hAnsi="宋体" w:cs="宋体" w:eastAsia="宋体" w:hint="default"/>
                <w:sz w:val="21"/>
                <w:szCs w:val="21"/>
              </w:rPr>
            </w:pPr>
            <w:r>
              <w:rPr>
                <w:rFonts w:ascii="宋体"/>
                <w:spacing w:val="-1"/>
                <w:sz w:val="21"/>
              </w:rPr>
              <w:t>2,526.00</w:t>
            </w:r>
          </w:p>
        </w:tc>
      </w:tr>
      <w:tr>
        <w:trPr>
          <w:trHeight w:val="468" w:hRule="exact"/>
        </w:trPr>
        <w:tc>
          <w:tcPr>
            <w:tcW w:w="25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31"/>
              <w:jc w:val="right"/>
              <w:rPr>
                <w:rFonts w:ascii="宋体" w:hAnsi="宋体" w:cs="宋体" w:eastAsia="宋体" w:hint="default"/>
                <w:sz w:val="21"/>
                <w:szCs w:val="21"/>
              </w:rPr>
            </w:pPr>
            <w:r>
              <w:rPr>
                <w:rFonts w:ascii="宋体"/>
                <w:spacing w:val="-1"/>
                <w:sz w:val="21"/>
              </w:rPr>
              <w:t>63,607.50</w:t>
            </w:r>
          </w:p>
        </w:tc>
        <w:tc>
          <w:tcPr>
            <w:tcW w:w="31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34"/>
              <w:jc w:val="right"/>
              <w:rPr>
                <w:rFonts w:ascii="宋体" w:hAnsi="宋体" w:cs="宋体" w:eastAsia="宋体" w:hint="default"/>
                <w:sz w:val="21"/>
                <w:szCs w:val="21"/>
              </w:rPr>
            </w:pPr>
            <w:r>
              <w:rPr>
                <w:rFonts w:ascii="宋体"/>
                <w:spacing w:val="-1"/>
                <w:sz w:val="21"/>
              </w:rPr>
              <w:t>9,249.40</w:t>
            </w:r>
          </w:p>
        </w:tc>
      </w:tr>
    </w:tbl>
    <w:p>
      <w:pPr>
        <w:spacing w:after="0" w:line="240" w:lineRule="auto"/>
        <w:jc w:val="right"/>
        <w:rPr>
          <w:rFonts w:ascii="宋体" w:hAnsi="宋体" w:cs="宋体" w:eastAsia="宋体" w:hint="default"/>
          <w:sz w:val="21"/>
          <w:szCs w:val="21"/>
        </w:rPr>
        <w:sectPr>
          <w:pgSz w:w="11910" w:h="16840"/>
          <w:pgMar w:header="929" w:footer="981" w:top="1180" w:bottom="1180" w:left="1440" w:right="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55369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2" w:type="dxa"/>
        <w:tblLayout w:type="fixed"/>
        <w:tblCellMar>
          <w:top w:w="0" w:type="dxa"/>
          <w:left w:w="0" w:type="dxa"/>
          <w:bottom w:w="0" w:type="dxa"/>
          <w:right w:w="0" w:type="dxa"/>
        </w:tblCellMar>
        <w:tblLook w:val="01E0"/>
      </w:tblPr>
      <w:tblGrid>
        <w:gridCol w:w="2520"/>
        <w:gridCol w:w="3067"/>
        <w:gridCol w:w="3175"/>
      </w:tblGrid>
      <w:tr>
        <w:trPr>
          <w:trHeight w:val="480" w:hRule="exact"/>
        </w:trPr>
        <w:tc>
          <w:tcPr>
            <w:tcW w:w="2520" w:type="dxa"/>
            <w:tcBorders>
              <w:top w:val="single" w:sz="12" w:space="0" w:color="000000"/>
              <w:left w:val="nil" w:sz="6" w:space="0" w:color="auto"/>
              <w:bottom w:val="single" w:sz="12" w:space="0" w:color="000000"/>
              <w:right w:val="single" w:sz="2" w:space="0" w:color="000000"/>
            </w:tcBorders>
          </w:tcPr>
          <w:p>
            <w:pPr>
              <w:pStyle w:val="TableParagraph"/>
              <w:tabs>
                <w:tab w:pos="782" w:val="left" w:leader="none"/>
              </w:tabs>
              <w:spacing w:line="240" w:lineRule="auto" w:before="76"/>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67"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81"/>
              <w:ind w:left="1876" w:right="0"/>
              <w:jc w:val="left"/>
              <w:rPr>
                <w:rFonts w:ascii="宋体" w:hAnsi="宋体" w:cs="宋体" w:eastAsia="宋体" w:hint="default"/>
                <w:sz w:val="21"/>
                <w:szCs w:val="21"/>
              </w:rPr>
            </w:pPr>
            <w:r>
              <w:rPr>
                <w:rFonts w:ascii="宋体"/>
                <w:sz w:val="21"/>
              </w:rPr>
              <w:t>359,314.98</w:t>
            </w:r>
          </w:p>
        </w:tc>
        <w:tc>
          <w:tcPr>
            <w:tcW w:w="3175"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81"/>
              <w:ind w:left="1982" w:right="0"/>
              <w:jc w:val="left"/>
              <w:rPr>
                <w:rFonts w:ascii="宋体" w:hAnsi="宋体" w:cs="宋体" w:eastAsia="宋体" w:hint="default"/>
                <w:sz w:val="21"/>
                <w:szCs w:val="21"/>
              </w:rPr>
            </w:pPr>
            <w:r>
              <w:rPr>
                <w:rFonts w:ascii="宋体"/>
                <w:sz w:val="21"/>
              </w:rPr>
              <w:t>230,435.70</w:t>
            </w:r>
          </w:p>
        </w:tc>
      </w:tr>
    </w:tbl>
    <w:p>
      <w:pPr>
        <w:spacing w:line="240" w:lineRule="auto" w:before="0"/>
        <w:rPr>
          <w:rFonts w:ascii="宋体" w:hAnsi="宋体" w:cs="宋体" w:eastAsia="宋体" w:hint="default"/>
          <w:sz w:val="28"/>
          <w:szCs w:val="28"/>
        </w:rPr>
      </w:pPr>
    </w:p>
    <w:p>
      <w:pPr>
        <w:pStyle w:val="BodyText"/>
        <w:spacing w:line="240" w:lineRule="auto" w:before="36"/>
        <w:ind w:left="263" w:right="0"/>
        <w:jc w:val="left"/>
      </w:pPr>
      <w:r>
        <w:rPr/>
        <w:t>32、管理费用</w:t>
      </w:r>
    </w:p>
    <w:p>
      <w:pPr>
        <w:spacing w:line="240" w:lineRule="auto" w:before="1"/>
        <w:rPr>
          <w:rFonts w:ascii="宋体" w:hAnsi="宋体" w:cs="宋体" w:eastAsia="宋体" w:hint="default"/>
          <w:sz w:val="16"/>
          <w:szCs w:val="16"/>
        </w:rPr>
      </w:pPr>
    </w:p>
    <w:tbl>
      <w:tblPr>
        <w:tblW w:w="0" w:type="auto"/>
        <w:jc w:val="left"/>
        <w:tblInd w:w="145" w:type="dxa"/>
        <w:tblLayout w:type="fixed"/>
        <w:tblCellMar>
          <w:top w:w="0" w:type="dxa"/>
          <w:left w:w="0" w:type="dxa"/>
          <w:bottom w:w="0" w:type="dxa"/>
          <w:right w:w="0" w:type="dxa"/>
        </w:tblCellMar>
        <w:tblLook w:val="01E0"/>
      </w:tblPr>
      <w:tblGrid>
        <w:gridCol w:w="2515"/>
        <w:gridCol w:w="3067"/>
        <w:gridCol w:w="3113"/>
      </w:tblGrid>
      <w:tr>
        <w:trPr>
          <w:trHeight w:val="509" w:hRule="exact"/>
        </w:trPr>
        <w:tc>
          <w:tcPr>
            <w:tcW w:w="2515" w:type="dxa"/>
            <w:tcBorders>
              <w:top w:val="single" w:sz="12" w:space="0" w:color="000000"/>
              <w:left w:val="nil" w:sz="6" w:space="0" w:color="auto"/>
              <w:bottom w:val="single" w:sz="2" w:space="0" w:color="000000"/>
              <w:right w:val="single" w:sz="2" w:space="0" w:color="000000"/>
            </w:tcBorders>
          </w:tcPr>
          <w:p>
            <w:pPr>
              <w:pStyle w:val="TableParagraph"/>
              <w:tabs>
                <w:tab w:pos="779" w:val="left" w:leader="none"/>
              </w:tabs>
              <w:spacing w:line="240" w:lineRule="auto" w:before="95"/>
              <w:ind w:left="25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31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工资及职工福利</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5,992,132.01</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4,130,567.33</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1,193,190.82</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811,368.72</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971,628.47</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581,202.96</w:t>
            </w:r>
          </w:p>
        </w:tc>
      </w:tr>
      <w:tr>
        <w:trPr>
          <w:trHeight w:val="497"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2,420,402.92</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2,475,888.41</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小车费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696,606.78</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599,015.97</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审计及咨询费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1,026,711.58</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579,663.00</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1,755,371.50</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1,277,607.60</w:t>
            </w:r>
          </w:p>
        </w:tc>
      </w:tr>
      <w:tr>
        <w:trPr>
          <w:trHeight w:val="497"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160,407.66</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128,295.20</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董事会经费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295,631.25</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226,169.25</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劳动保护费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w w:val="100"/>
                <w:sz w:val="21"/>
              </w:rPr>
              <w:t>-</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75,543.23</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会议招聘费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120,183.20</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166,095.80</w:t>
            </w:r>
          </w:p>
        </w:tc>
      </w:tr>
      <w:tr>
        <w:trPr>
          <w:trHeight w:val="497"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信息披露费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126,000.00</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452,800.00</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67,600.00</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99,200.00</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369,907.83</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67,124.04</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67,998.01</w:t>
            </w:r>
          </w:p>
        </w:tc>
        <w:tc>
          <w:tcPr>
            <w:tcW w:w="31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271,954.12</w:t>
            </w:r>
          </w:p>
        </w:tc>
      </w:tr>
      <w:tr>
        <w:trPr>
          <w:trHeight w:val="509" w:hRule="exact"/>
        </w:trPr>
        <w:tc>
          <w:tcPr>
            <w:tcW w:w="2515" w:type="dxa"/>
            <w:tcBorders>
              <w:top w:val="single" w:sz="2" w:space="0" w:color="000000"/>
              <w:left w:val="nil" w:sz="6" w:space="0" w:color="auto"/>
              <w:bottom w:val="single" w:sz="12" w:space="0" w:color="000000"/>
              <w:right w:val="single" w:sz="2" w:space="0" w:color="000000"/>
            </w:tcBorders>
          </w:tcPr>
          <w:p>
            <w:pPr>
              <w:pStyle w:val="TableParagraph"/>
              <w:tabs>
                <w:tab w:pos="779" w:val="left" w:leader="none"/>
              </w:tabs>
              <w:spacing w:line="240" w:lineRule="auto" w:before="114"/>
              <w:ind w:left="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15,263,772.03</w:t>
            </w:r>
          </w:p>
        </w:tc>
        <w:tc>
          <w:tcPr>
            <w:tcW w:w="31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11,942,495.63</w:t>
            </w:r>
          </w:p>
        </w:tc>
      </w:tr>
    </w:tbl>
    <w:p>
      <w:pPr>
        <w:spacing w:line="240" w:lineRule="auto" w:before="0"/>
        <w:rPr>
          <w:rFonts w:ascii="宋体" w:hAnsi="宋体" w:cs="宋体" w:eastAsia="宋体" w:hint="default"/>
          <w:sz w:val="28"/>
          <w:szCs w:val="28"/>
        </w:rPr>
      </w:pPr>
    </w:p>
    <w:p>
      <w:pPr>
        <w:pStyle w:val="BodyText"/>
        <w:spacing w:line="240" w:lineRule="auto" w:before="36"/>
        <w:ind w:left="263" w:right="0"/>
        <w:jc w:val="left"/>
      </w:pPr>
      <w:r>
        <w:rPr/>
        <w:t>33、财务费用</w:t>
      </w:r>
    </w:p>
    <w:p>
      <w:pPr>
        <w:spacing w:line="240" w:lineRule="auto" w:before="1"/>
        <w:rPr>
          <w:rFonts w:ascii="宋体" w:hAnsi="宋体" w:cs="宋体" w:eastAsia="宋体"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2515"/>
        <w:gridCol w:w="3067"/>
        <w:gridCol w:w="3178"/>
      </w:tblGrid>
      <w:tr>
        <w:trPr>
          <w:trHeight w:val="468" w:hRule="exact"/>
        </w:trPr>
        <w:tc>
          <w:tcPr>
            <w:tcW w:w="2515" w:type="dxa"/>
            <w:tcBorders>
              <w:top w:val="single" w:sz="12" w:space="0" w:color="000000"/>
              <w:left w:val="nil" w:sz="6" w:space="0" w:color="auto"/>
              <w:bottom w:val="single" w:sz="2" w:space="0" w:color="000000"/>
              <w:right w:val="single" w:sz="2" w:space="0" w:color="000000"/>
            </w:tcBorders>
          </w:tcPr>
          <w:p>
            <w:pPr>
              <w:pStyle w:val="TableParagraph"/>
              <w:tabs>
                <w:tab w:pos="779" w:val="left" w:leader="none"/>
              </w:tabs>
              <w:spacing w:line="240" w:lineRule="auto" w:before="76"/>
              <w:ind w:left="25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31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32"/>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21,152,251.19</w:t>
            </w:r>
          </w:p>
        </w:tc>
        <w:tc>
          <w:tcPr>
            <w:tcW w:w="31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14,148,262.50</w:t>
            </w:r>
          </w:p>
        </w:tc>
      </w:tr>
      <w:tr>
        <w:trPr>
          <w:trHeight w:val="497"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4,303,454.93</w:t>
            </w:r>
          </w:p>
        </w:tc>
        <w:tc>
          <w:tcPr>
            <w:tcW w:w="31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993,523.52</w:t>
            </w:r>
          </w:p>
        </w:tc>
      </w:tr>
      <w:tr>
        <w:trPr>
          <w:trHeight w:val="494" w:hRule="exact"/>
        </w:trPr>
        <w:tc>
          <w:tcPr>
            <w:tcW w:w="25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加：其他</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20,630.42</w:t>
            </w:r>
          </w:p>
        </w:tc>
        <w:tc>
          <w:tcPr>
            <w:tcW w:w="31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12,932.50</w:t>
            </w:r>
          </w:p>
        </w:tc>
      </w:tr>
      <w:tr>
        <w:trPr>
          <w:trHeight w:val="509" w:hRule="exact"/>
        </w:trPr>
        <w:tc>
          <w:tcPr>
            <w:tcW w:w="2515" w:type="dxa"/>
            <w:tcBorders>
              <w:top w:val="single" w:sz="2" w:space="0" w:color="000000"/>
              <w:left w:val="nil" w:sz="6" w:space="0" w:color="auto"/>
              <w:bottom w:val="single" w:sz="12" w:space="0" w:color="000000"/>
              <w:right w:val="single" w:sz="2" w:space="0" w:color="000000"/>
            </w:tcBorders>
          </w:tcPr>
          <w:p>
            <w:pPr>
              <w:pStyle w:val="TableParagraph"/>
              <w:tabs>
                <w:tab w:pos="779" w:val="left" w:leader="none"/>
              </w:tabs>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16,869,426.68</w:t>
            </w:r>
          </w:p>
        </w:tc>
        <w:tc>
          <w:tcPr>
            <w:tcW w:w="31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13,167,671.48</w:t>
            </w:r>
          </w:p>
        </w:tc>
      </w:tr>
    </w:tbl>
    <w:p>
      <w:pPr>
        <w:spacing w:after="0" w:line="240" w:lineRule="auto"/>
        <w:jc w:val="right"/>
        <w:rPr>
          <w:rFonts w:ascii="宋体" w:hAnsi="宋体" w:cs="宋体" w:eastAsia="宋体" w:hint="default"/>
          <w:sz w:val="21"/>
          <w:szCs w:val="21"/>
        </w:rPr>
        <w:sectPr>
          <w:pgSz w:w="11910" w:h="16840"/>
          <w:pgMar w:header="929" w:footer="981" w:top="1180" w:bottom="1180" w:left="1440" w:right="0"/>
        </w:sectPr>
      </w:pPr>
    </w:p>
    <w:p>
      <w:pPr>
        <w:spacing w:line="240" w:lineRule="auto" w:before="4"/>
        <w:rPr>
          <w:rFonts w:ascii="宋体" w:hAnsi="宋体" w:cs="宋体" w:eastAsia="宋体" w:hint="default"/>
          <w:sz w:val="27"/>
          <w:szCs w:val="27"/>
        </w:rPr>
      </w:pPr>
    </w:p>
    <w:p>
      <w:pPr>
        <w:pStyle w:val="BodyText"/>
        <w:spacing w:line="240" w:lineRule="auto" w:before="36"/>
        <w:ind w:left="243" w:right="1354"/>
        <w:jc w:val="left"/>
      </w:pPr>
      <w:r>
        <w:rPr/>
        <w:t>34、资产减值损失</w:t>
      </w:r>
    </w:p>
    <w:p>
      <w:pPr>
        <w:spacing w:line="240" w:lineRule="auto" w:before="12"/>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34"/>
        <w:gridCol w:w="316"/>
        <w:gridCol w:w="1926"/>
        <w:gridCol w:w="3067"/>
        <w:gridCol w:w="3067"/>
      </w:tblGrid>
      <w:tr>
        <w:trPr>
          <w:trHeight w:val="418" w:hRule="exact"/>
        </w:trPr>
        <w:tc>
          <w:tcPr>
            <w:tcW w:w="334" w:type="dxa"/>
            <w:tcBorders>
              <w:top w:val="single" w:sz="12" w:space="0" w:color="000000"/>
              <w:left w:val="nil" w:sz="6" w:space="0" w:color="auto"/>
              <w:bottom w:val="single" w:sz="2" w:space="0" w:color="000000"/>
              <w:right w:val="nil" w:sz="6" w:space="0" w:color="auto"/>
            </w:tcBorders>
          </w:tcPr>
          <w:p>
            <w:pPr/>
          </w:p>
        </w:tc>
        <w:tc>
          <w:tcPr>
            <w:tcW w:w="316" w:type="dxa"/>
            <w:tcBorders>
              <w:top w:val="single" w:sz="12" w:space="0" w:color="000000"/>
              <w:left w:val="nil" w:sz="6" w:space="0" w:color="auto"/>
              <w:bottom w:val="single" w:sz="2" w:space="0" w:color="000000"/>
              <w:right w:val="nil" w:sz="6" w:space="0" w:color="auto"/>
            </w:tcBorders>
          </w:tcPr>
          <w:p>
            <w:pPr>
              <w:pStyle w:val="TableParagraph"/>
              <w:spacing w:line="240" w:lineRule="auto" w:before="76"/>
              <w:ind w:left="-1"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19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104"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3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0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2575"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110,049.95</w:t>
            </w:r>
          </w:p>
        </w:tc>
        <w:tc>
          <w:tcPr>
            <w:tcW w:w="30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pacing w:val="-1"/>
                <w:sz w:val="21"/>
              </w:rPr>
              <w:t>171,357.30</w:t>
            </w:r>
          </w:p>
        </w:tc>
      </w:tr>
      <w:tr>
        <w:trPr>
          <w:trHeight w:val="418" w:hRule="exact"/>
        </w:trPr>
        <w:tc>
          <w:tcPr>
            <w:tcW w:w="334" w:type="dxa"/>
            <w:tcBorders>
              <w:top w:val="single" w:sz="2" w:space="0" w:color="000000"/>
              <w:left w:val="nil" w:sz="6" w:space="0" w:color="auto"/>
              <w:bottom w:val="single" w:sz="12" w:space="0" w:color="000000"/>
              <w:right w:val="nil" w:sz="6" w:space="0" w:color="auto"/>
            </w:tcBorders>
          </w:tcPr>
          <w:p>
            <w:pPr>
              <w:pStyle w:val="TableParagraph"/>
              <w:spacing w:line="240" w:lineRule="auto" w:before="74"/>
              <w:ind w:left="122" w:right="-1"/>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316" w:type="dxa"/>
            <w:tcBorders>
              <w:top w:val="single" w:sz="2" w:space="0" w:color="000000"/>
              <w:left w:val="nil" w:sz="6" w:space="0" w:color="auto"/>
              <w:bottom w:val="single" w:sz="12" w:space="0" w:color="000000"/>
              <w:right w:val="nil" w:sz="6" w:space="0" w:color="auto"/>
            </w:tcBorders>
          </w:tcPr>
          <w:p>
            <w:pPr/>
          </w:p>
        </w:tc>
        <w:tc>
          <w:tcPr>
            <w:tcW w:w="19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0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3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110,049.95</w:t>
            </w:r>
          </w:p>
        </w:tc>
        <w:tc>
          <w:tcPr>
            <w:tcW w:w="30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pacing w:val="-1"/>
                <w:sz w:val="21"/>
              </w:rPr>
              <w:t>171,357.30</w:t>
            </w:r>
          </w:p>
        </w:tc>
      </w:tr>
    </w:tbl>
    <w:p>
      <w:pPr>
        <w:spacing w:line="240" w:lineRule="auto" w:before="9"/>
        <w:rPr>
          <w:rFonts w:ascii="宋体" w:hAnsi="宋体" w:cs="宋体" w:eastAsia="宋体" w:hint="default"/>
          <w:sz w:val="26"/>
          <w:szCs w:val="26"/>
        </w:rPr>
      </w:pPr>
    </w:p>
    <w:p>
      <w:pPr>
        <w:pStyle w:val="BodyText"/>
        <w:spacing w:line="240" w:lineRule="auto" w:before="36"/>
        <w:ind w:left="243" w:right="1354"/>
        <w:jc w:val="left"/>
      </w:pPr>
      <w:r>
        <w:rPr/>
        <w:t>35、公允价值变动收益</w:t>
      </w:r>
    </w:p>
    <w:p>
      <w:pPr>
        <w:spacing w:line="240" w:lineRule="auto" w:before="12"/>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704"/>
        <w:gridCol w:w="2016"/>
        <w:gridCol w:w="2014"/>
      </w:tblGrid>
      <w:tr>
        <w:trPr>
          <w:trHeight w:val="418" w:hRule="exact"/>
        </w:trPr>
        <w:tc>
          <w:tcPr>
            <w:tcW w:w="47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0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-481,150.79</w:t>
            </w:r>
          </w:p>
        </w:tc>
        <w:tc>
          <w:tcPr>
            <w:tcW w:w="2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pacing w:val="-1"/>
                <w:sz w:val="21"/>
              </w:rPr>
              <w:t>361,800.00</w:t>
            </w:r>
          </w:p>
        </w:tc>
      </w:tr>
      <w:tr>
        <w:trPr>
          <w:trHeight w:val="406"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c>
          <w:tcPr>
            <w:tcW w:w="2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18" w:hRule="exact"/>
        </w:trPr>
        <w:tc>
          <w:tcPr>
            <w:tcW w:w="47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-481,150.79</w:t>
            </w:r>
          </w:p>
        </w:tc>
        <w:tc>
          <w:tcPr>
            <w:tcW w:w="20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pacing w:val="-1"/>
                <w:sz w:val="21"/>
              </w:rPr>
              <w:t>361,800.00</w:t>
            </w:r>
          </w:p>
        </w:tc>
      </w:tr>
    </w:tbl>
    <w:p>
      <w:pPr>
        <w:spacing w:line="240" w:lineRule="auto" w:before="9"/>
        <w:rPr>
          <w:rFonts w:ascii="宋体" w:hAnsi="宋体" w:cs="宋体" w:eastAsia="宋体" w:hint="default"/>
          <w:sz w:val="26"/>
          <w:szCs w:val="26"/>
        </w:rPr>
      </w:pPr>
    </w:p>
    <w:p>
      <w:pPr>
        <w:pStyle w:val="BodyText"/>
        <w:spacing w:line="240" w:lineRule="auto" w:before="36"/>
        <w:ind w:left="243" w:right="1354"/>
        <w:jc w:val="left"/>
      </w:pPr>
      <w:r>
        <w:rPr/>
        <w:t>36、投资收益</w:t>
      </w:r>
    </w:p>
    <w:p>
      <w:pPr>
        <w:spacing w:line="240" w:lineRule="auto" w:before="7"/>
        <w:rPr>
          <w:rFonts w:ascii="宋体" w:hAnsi="宋体" w:cs="宋体" w:eastAsia="宋体" w:hint="default"/>
          <w:sz w:val="21"/>
          <w:szCs w:val="21"/>
        </w:rPr>
      </w:pPr>
    </w:p>
    <w:p>
      <w:pPr>
        <w:pStyle w:val="BodyText"/>
        <w:spacing w:line="240" w:lineRule="auto"/>
        <w:ind w:left="243" w:right="1354"/>
        <w:jc w:val="left"/>
      </w:pPr>
      <w:r>
        <w:rPr/>
        <w:t>（1）投资收益明细情况</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073"/>
        <w:gridCol w:w="2498"/>
        <w:gridCol w:w="2162"/>
      </w:tblGrid>
      <w:tr>
        <w:trPr>
          <w:trHeight w:val="418" w:hRule="exact"/>
        </w:trPr>
        <w:tc>
          <w:tcPr>
            <w:tcW w:w="4073" w:type="dxa"/>
            <w:tcBorders>
              <w:top w:val="single" w:sz="12" w:space="0" w:color="000000"/>
              <w:left w:val="nil" w:sz="6" w:space="0" w:color="auto"/>
              <w:bottom w:val="single" w:sz="2" w:space="0" w:color="000000"/>
              <w:right w:val="single" w:sz="2" w:space="0" w:color="000000"/>
            </w:tcBorders>
          </w:tcPr>
          <w:p>
            <w:pPr>
              <w:pStyle w:val="TableParagraph"/>
              <w:tabs>
                <w:tab w:pos="2567" w:val="left" w:leader="none"/>
              </w:tabs>
              <w:spacing w:line="240" w:lineRule="auto" w:before="76"/>
              <w:ind w:left="130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1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4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c>
          <w:tcPr>
            <w:tcW w:w="2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237,774.01</w:t>
            </w:r>
          </w:p>
        </w:tc>
      </w:tr>
      <w:tr>
        <w:trPr>
          <w:trHeight w:val="406" w:hRule="exact"/>
        </w:trPr>
        <w:tc>
          <w:tcPr>
            <w:tcW w:w="4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22,187,132.21</w:t>
            </w:r>
          </w:p>
        </w:tc>
        <w:tc>
          <w:tcPr>
            <w:tcW w:w="2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r>
      <w:tr>
        <w:trPr>
          <w:trHeight w:val="406" w:hRule="exact"/>
        </w:trPr>
        <w:tc>
          <w:tcPr>
            <w:tcW w:w="4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7"/>
              <w:jc w:val="right"/>
              <w:rPr>
                <w:rFonts w:ascii="宋体" w:hAnsi="宋体" w:cs="宋体" w:eastAsia="宋体" w:hint="default"/>
                <w:sz w:val="21"/>
                <w:szCs w:val="21"/>
              </w:rPr>
            </w:pPr>
            <w:r>
              <w:rPr>
                <w:rFonts w:ascii="宋体"/>
                <w:spacing w:val="-1"/>
                <w:sz w:val="21"/>
              </w:rPr>
              <w:t>-39,682.54</w:t>
            </w:r>
          </w:p>
        </w:tc>
        <w:tc>
          <w:tcPr>
            <w:tcW w:w="2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r>
      <w:tr>
        <w:trPr>
          <w:trHeight w:val="418" w:hRule="exact"/>
        </w:trPr>
        <w:tc>
          <w:tcPr>
            <w:tcW w:w="40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22,147,449.67</w:t>
            </w:r>
          </w:p>
        </w:tc>
        <w:tc>
          <w:tcPr>
            <w:tcW w:w="21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237,774.01</w:t>
            </w:r>
          </w:p>
        </w:tc>
      </w:tr>
    </w:tbl>
    <w:p>
      <w:pPr>
        <w:spacing w:line="240" w:lineRule="auto" w:before="9"/>
        <w:rPr>
          <w:rFonts w:ascii="宋体" w:hAnsi="宋体" w:cs="宋体" w:eastAsia="宋体" w:hint="default"/>
          <w:sz w:val="26"/>
          <w:szCs w:val="26"/>
        </w:rPr>
      </w:pPr>
    </w:p>
    <w:p>
      <w:pPr>
        <w:pStyle w:val="BodyText"/>
        <w:spacing w:line="240" w:lineRule="auto" w:before="36"/>
        <w:ind w:left="243" w:right="1354"/>
        <w:jc w:val="left"/>
      </w:pPr>
      <w:r>
        <w:rPr/>
        <w:pict>
          <v:shape style="position:absolute;margin-left:103.08847pt;margin-top:-85.358047pt;width:392.95pt;height:64.3pt;mso-position-horizontal-relative:page;mso-position-vertical-relative:paragraph;z-index:-553672;rotation:315" type="#_x0000_t136" fillcolor="#e0e0e0" stroked="f">
            <o:extrusion v:ext="view" autorotationcenter="t"/>
            <v:textpath style="font-family:&amp;quot;Arial&amp;quot;;font-size:64pt;v-text-kern:t;mso-text-shadow:auto" string="UnRegistered"/>
            <w10:wrap type="none"/>
          </v:shape>
        </w:pict>
      </w:r>
      <w:r>
        <w:rPr/>
        <w:t>37、营业外收入</w:t>
      </w:r>
    </w:p>
    <w:p>
      <w:pPr>
        <w:spacing w:line="240" w:lineRule="auto" w:before="9"/>
        <w:rPr>
          <w:rFonts w:ascii="宋体" w:hAnsi="宋体" w:cs="宋体" w:eastAsia="宋体" w:hint="default"/>
          <w:sz w:val="15"/>
          <w:szCs w:val="15"/>
        </w:rPr>
      </w:pPr>
    </w:p>
    <w:tbl>
      <w:tblPr>
        <w:tblW w:w="0" w:type="auto"/>
        <w:jc w:val="left"/>
        <w:tblInd w:w="185" w:type="dxa"/>
        <w:tblLayout w:type="fixed"/>
        <w:tblCellMar>
          <w:top w:w="0" w:type="dxa"/>
          <w:left w:w="0" w:type="dxa"/>
          <w:bottom w:w="0" w:type="dxa"/>
          <w:right w:w="0" w:type="dxa"/>
        </w:tblCellMar>
        <w:tblLook w:val="01E0"/>
      </w:tblPr>
      <w:tblGrid>
        <w:gridCol w:w="3473"/>
        <w:gridCol w:w="2498"/>
        <w:gridCol w:w="2604"/>
      </w:tblGrid>
      <w:tr>
        <w:trPr>
          <w:trHeight w:val="420" w:hRule="exact"/>
        </w:trPr>
        <w:tc>
          <w:tcPr>
            <w:tcW w:w="3473" w:type="dxa"/>
            <w:tcBorders>
              <w:top w:val="single" w:sz="12" w:space="0" w:color="000000"/>
              <w:left w:val="nil" w:sz="6" w:space="0" w:color="auto"/>
              <w:bottom w:val="single" w:sz="2" w:space="0" w:color="000000"/>
              <w:right w:val="single" w:sz="2" w:space="0" w:color="000000"/>
            </w:tcBorders>
          </w:tcPr>
          <w:p>
            <w:pPr>
              <w:pStyle w:val="TableParagraph"/>
              <w:tabs>
                <w:tab w:pos="1619" w:val="left" w:leader="none"/>
              </w:tabs>
              <w:spacing w:line="240" w:lineRule="auto" w:before="76"/>
              <w:ind w:left="67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26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32"/>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03"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223,219.36</w:t>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6,000.00</w:t>
            </w:r>
          </w:p>
        </w:tc>
      </w:tr>
      <w:tr>
        <w:trPr>
          <w:trHeight w:val="406"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25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223,219.36</w:t>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6,000.00</w:t>
            </w:r>
          </w:p>
        </w:tc>
      </w:tr>
      <w:tr>
        <w:trPr>
          <w:trHeight w:val="406"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无须支付的应付款项</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162,011.38</w:t>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209,849.18</w:t>
            </w:r>
          </w:p>
        </w:tc>
      </w:tr>
      <w:tr>
        <w:trPr>
          <w:trHeight w:val="406"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14,840.46</w:t>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w w:val="100"/>
                <w:sz w:val="21"/>
              </w:rPr>
              <w:t>-</w:t>
            </w:r>
          </w:p>
        </w:tc>
      </w:tr>
      <w:tr>
        <w:trPr>
          <w:trHeight w:val="418" w:hRule="exact"/>
        </w:trPr>
        <w:tc>
          <w:tcPr>
            <w:tcW w:w="3473" w:type="dxa"/>
            <w:tcBorders>
              <w:top w:val="single" w:sz="2" w:space="0" w:color="000000"/>
              <w:left w:val="nil" w:sz="6" w:space="0" w:color="auto"/>
              <w:bottom w:val="single" w:sz="12" w:space="0" w:color="000000"/>
              <w:right w:val="single" w:sz="2" w:space="0" w:color="000000"/>
            </w:tcBorders>
          </w:tcPr>
          <w:p>
            <w:pPr>
              <w:pStyle w:val="TableParagraph"/>
              <w:tabs>
                <w:tab w:pos="1411" w:val="left" w:leader="none"/>
              </w:tabs>
              <w:spacing w:line="240" w:lineRule="auto" w:before="74"/>
              <w:ind w:left="67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400,071.20</w:t>
            </w:r>
          </w:p>
        </w:tc>
        <w:tc>
          <w:tcPr>
            <w:tcW w:w="26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215,849.18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3473"/>
        <w:gridCol w:w="2498"/>
        <w:gridCol w:w="2604"/>
      </w:tblGrid>
      <w:tr>
        <w:trPr>
          <w:trHeight w:val="418" w:hRule="exact"/>
        </w:trPr>
        <w:tc>
          <w:tcPr>
            <w:tcW w:w="34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6"/>
              <w:ind w:left="43" w:right="0"/>
              <w:jc w:val="left"/>
              <w:rPr>
                <w:rFonts w:ascii="宋体" w:hAnsi="宋体" w:cs="宋体" w:eastAsia="宋体" w:hint="default"/>
                <w:sz w:val="21"/>
                <w:szCs w:val="21"/>
              </w:rPr>
            </w:pPr>
            <w:r>
              <w:rPr>
                <w:rFonts w:ascii="宋体" w:hAnsi="宋体" w:cs="宋体" w:eastAsia="宋体" w:hint="default"/>
                <w:sz w:val="21"/>
                <w:szCs w:val="21"/>
              </w:rPr>
              <w:t>计入当期非经常性损益项目</w:t>
            </w:r>
          </w:p>
        </w:tc>
        <w:tc>
          <w:tcPr>
            <w:tcW w:w="24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26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32"/>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03"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223,219.36</w:t>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6,000.00</w:t>
            </w:r>
          </w:p>
        </w:tc>
      </w:tr>
      <w:tr>
        <w:trPr>
          <w:trHeight w:val="406"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25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223,219.36</w:t>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6,000.00</w:t>
            </w:r>
          </w:p>
        </w:tc>
      </w:tr>
      <w:tr>
        <w:trPr>
          <w:trHeight w:val="406" w:hRule="exact"/>
        </w:trPr>
        <w:tc>
          <w:tcPr>
            <w:tcW w:w="34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无须支付的应付款项</w:t>
            </w:r>
          </w:p>
        </w:tc>
        <w:tc>
          <w:tcPr>
            <w:tcW w:w="2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162,011.38</w:t>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209,849.18</w:t>
            </w:r>
          </w:p>
        </w:tc>
      </w:tr>
      <w:tr>
        <w:trPr>
          <w:trHeight w:val="418" w:hRule="exact"/>
        </w:trPr>
        <w:tc>
          <w:tcPr>
            <w:tcW w:w="34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46"/>
              <w:jc w:val="right"/>
              <w:rPr>
                <w:rFonts w:ascii="宋体" w:hAnsi="宋体" w:cs="宋体" w:eastAsia="宋体" w:hint="default"/>
                <w:sz w:val="21"/>
                <w:szCs w:val="21"/>
              </w:rPr>
            </w:pPr>
            <w:r>
              <w:rPr>
                <w:rFonts w:ascii="宋体"/>
                <w:spacing w:val="-1"/>
                <w:sz w:val="21"/>
              </w:rPr>
              <w:t>14,840.46</w:t>
            </w:r>
          </w:p>
        </w:tc>
        <w:tc>
          <w:tcPr>
            <w:tcW w:w="26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46"/>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footerReference w:type="default" r:id="rId26"/>
          <w:pgSz w:w="11910" w:h="16840"/>
          <w:pgMar w:footer="981" w:header="929" w:top="1180" w:bottom="1180" w:left="1460" w:right="0"/>
          <w:pgNumType w:start="80"/>
        </w:sectPr>
      </w:pPr>
    </w:p>
    <w:p>
      <w:pPr>
        <w:spacing w:line="240" w:lineRule="auto" w:before="8"/>
        <w:rPr>
          <w:rFonts w:ascii="宋体" w:hAnsi="宋体" w:cs="宋体" w:eastAsia="宋体" w:hint="default"/>
          <w:sz w:val="24"/>
          <w:szCs w:val="24"/>
        </w:rPr>
      </w:pPr>
    </w:p>
    <w:p>
      <w:pPr>
        <w:spacing w:line="458" w:lineRule="exact"/>
        <w:ind w:left="10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0.2pt;height:22.95pt;mso-position-horizontal-relative:char;mso-position-vertical-relative:line" coordorigin="0,0" coordsize="8604,459">
            <v:group style="position:absolute;left:29;top:14;width:3456;height:2" coordorigin="29,14" coordsize="3456,2">
              <v:shape style="position:absolute;left:29;top:14;width:3456;height:2" coordorigin="29,14" coordsize="3456,0" path="m29,14l3485,14e" filled="false" stroked="true" strokeweight="1.44pt" strokecolor="#000000">
                <v:path arrowok="t"/>
              </v:shape>
            </v:group>
            <v:group style="position:absolute;left:3485;top:14;width:29;height:2" coordorigin="3485,14" coordsize="29,2">
              <v:shape style="position:absolute;left:3485;top:14;width:29;height:2" coordorigin="3485,14" coordsize="29,0" path="m3485,14l3514,14e" filled="false" stroked="true" strokeweight="1.44pt" strokecolor="#000000">
                <v:path arrowok="t"/>
              </v:shape>
            </v:group>
            <v:group style="position:absolute;left:3514;top:14;width:2470;height:2" coordorigin="3514,14" coordsize="2470,2">
              <v:shape style="position:absolute;left:3514;top:14;width:2470;height:2" coordorigin="3514,14" coordsize="2470,0" path="m3514,14l5983,14e" filled="false" stroked="true" strokeweight="1.44pt" strokecolor="#000000">
                <v:path arrowok="t"/>
              </v:shape>
            </v:group>
            <v:group style="position:absolute;left:5983;top:14;width:29;height:2" coordorigin="5983,14" coordsize="29,2">
              <v:shape style="position:absolute;left:5983;top:14;width:29;height:2" coordorigin="5983,14" coordsize="29,0" path="m5983,14l6012,14e" filled="false" stroked="true" strokeweight="1.44pt" strokecolor="#000000">
                <v:path arrowok="t"/>
              </v:shape>
            </v:group>
            <v:group style="position:absolute;left:6012;top:14;width:2571;height:2" coordorigin="6012,14" coordsize="2571,2">
              <v:shape style="position:absolute;left:6012;top:14;width:2571;height:2" coordorigin="6012,14" coordsize="2571,0" path="m6012,14l8582,14e" filled="false" stroked="true" strokeweight="1.44pt" strokecolor="#000000">
                <v:path arrowok="t"/>
              </v:shape>
            </v:group>
            <v:group style="position:absolute;left:14;top:444;width:3471;height:2" coordorigin="14,444" coordsize="3471,2">
              <v:shape style="position:absolute;left:14;top:444;width:3471;height:2" coordorigin="14,444" coordsize="3471,0" path="m14,444l3485,444e" filled="false" stroked="true" strokeweight="1.44pt" strokecolor="#000000">
                <v:path arrowok="t"/>
              </v:shape>
            </v:group>
            <v:group style="position:absolute;left:3487;top:29;width:2;height:401" coordorigin="3487,29" coordsize="2,401">
              <v:shape style="position:absolute;left:3487;top:29;width:2;height:401" coordorigin="3487,29" coordsize="0,401" path="m3487,29l3487,430e" filled="false" stroked="true" strokeweight=".24pt" strokecolor="#000000">
                <v:path arrowok="t"/>
              </v:shape>
            </v:group>
            <v:group style="position:absolute;left:3485;top:444;width:29;height:2" coordorigin="3485,444" coordsize="29,2">
              <v:shape style="position:absolute;left:3485;top:444;width:29;height:2" coordorigin="3485,444" coordsize="29,0" path="m3485,444l3514,444e" filled="false" stroked="true" strokeweight="1.44pt" strokecolor="#000000">
                <v:path arrowok="t"/>
              </v:shape>
            </v:group>
            <v:group style="position:absolute;left:3514;top:444;width:2470;height:2" coordorigin="3514,444" coordsize="2470,2">
              <v:shape style="position:absolute;left:3514;top:444;width:2470;height:2" coordorigin="3514,444" coordsize="2470,0" path="m3514,444l5983,444e" filled="false" stroked="true" strokeweight="1.44pt" strokecolor="#000000">
                <v:path arrowok="t"/>
              </v:shape>
            </v:group>
            <v:group style="position:absolute;left:5986;top:29;width:2;height:401" coordorigin="5986,29" coordsize="2,401">
              <v:shape style="position:absolute;left:5986;top:29;width:2;height:401" coordorigin="5986,29" coordsize="0,401" path="m5986,29l5986,430e" filled="false" stroked="true" strokeweight=".24pt" strokecolor="#000000">
                <v:path arrowok="t"/>
              </v:shape>
            </v:group>
            <v:group style="position:absolute;left:5983;top:444;width:29;height:2" coordorigin="5983,444" coordsize="29,2">
              <v:shape style="position:absolute;left:5983;top:444;width:29;height:2" coordorigin="5983,444" coordsize="29,0" path="m5983,444l6012,444e" filled="false" stroked="true" strokeweight="1.44pt" strokecolor="#000000">
                <v:path arrowok="t"/>
              </v:shape>
            </v:group>
            <v:group style="position:absolute;left:6012;top:444;width:2578;height:2" coordorigin="6012,444" coordsize="2578,2">
              <v:shape style="position:absolute;left:6012;top:444;width:2578;height:2" coordorigin="6012,444" coordsize="2578,0" path="m6012,444l8590,444e" filled="false" stroked="true" strokeweight="1.44pt" strokecolor="#000000">
                <v:path arrowok="t"/>
              </v:shape>
              <v:shape style="position:absolute;left:3487;top:14;width:2499;height:430" type="#_x0000_t202" filled="false" stroked="false">
                <v:textbox inset="0,0,0,0">
                  <w:txbxContent>
                    <w:p>
                      <w:pPr>
                        <w:spacing w:before="90"/>
                        <w:ind w:left="1293" w:right="0" w:firstLine="0"/>
                        <w:jc w:val="left"/>
                        <w:rPr>
                          <w:rFonts w:ascii="宋体" w:hAnsi="宋体" w:cs="宋体" w:eastAsia="宋体" w:hint="default"/>
                          <w:sz w:val="21"/>
                          <w:szCs w:val="21"/>
                        </w:rPr>
                      </w:pPr>
                      <w:r>
                        <w:rPr>
                          <w:rFonts w:ascii="宋体"/>
                          <w:sz w:val="21"/>
                        </w:rPr>
                        <w:t>400,071.20</w:t>
                      </w:r>
                    </w:p>
                  </w:txbxContent>
                </v:textbox>
                <w10:wrap type="none"/>
              </v:shape>
              <v:shape style="position:absolute;left:689;top:169;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合</w:t>
                      </w:r>
                    </w:p>
                  </w:txbxContent>
                </v:textbox>
                <w10:wrap type="none"/>
              </v:shape>
              <v:shape style="position:absolute;left:1426;top:169;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计</w:t>
                      </w:r>
                    </w:p>
                  </w:txbxContent>
                </v:textbox>
                <w10:wrap type="none"/>
              </v:shape>
              <v:shape style="position:absolute;left:7387;top:169;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215,849.18</w:t>
                      </w:r>
                    </w:p>
                  </w:txbxContent>
                </v:textbox>
                <w10:wrap type="none"/>
              </v:shape>
            </v:group>
          </v:group>
        </w:pict>
      </w:r>
      <w:r>
        <w:rPr>
          <w:rFonts w:ascii="宋体" w:hAnsi="宋体" w:cs="宋体" w:eastAsia="宋体" w:hint="default"/>
          <w:position w:val="-8"/>
          <w:sz w:val="20"/>
          <w:szCs w:val="20"/>
        </w:rPr>
      </w:r>
    </w:p>
    <w:p>
      <w:pPr>
        <w:spacing w:line="240" w:lineRule="auto" w:before="10"/>
        <w:rPr>
          <w:rFonts w:ascii="宋体" w:hAnsi="宋体" w:cs="宋体" w:eastAsia="宋体" w:hint="default"/>
          <w:sz w:val="26"/>
          <w:szCs w:val="26"/>
        </w:rPr>
      </w:pPr>
    </w:p>
    <w:p>
      <w:pPr>
        <w:pStyle w:val="BodyText"/>
        <w:spacing w:line="240" w:lineRule="auto" w:before="36"/>
        <w:ind w:left="163" w:right="2629"/>
        <w:jc w:val="left"/>
      </w:pPr>
      <w:r>
        <w:rPr/>
        <w:t>38、营业外支出</w:t>
      </w:r>
    </w:p>
    <w:p>
      <w:pPr>
        <w:spacing w:line="240" w:lineRule="auto" w:before="12"/>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3485"/>
        <w:gridCol w:w="2486"/>
        <w:gridCol w:w="2609"/>
      </w:tblGrid>
      <w:tr>
        <w:trPr>
          <w:trHeight w:val="478" w:hRule="exact"/>
        </w:trPr>
        <w:tc>
          <w:tcPr>
            <w:tcW w:w="3485" w:type="dxa"/>
            <w:tcBorders>
              <w:top w:val="single" w:sz="12" w:space="0" w:color="000000"/>
              <w:left w:val="nil" w:sz="6" w:space="0" w:color="auto"/>
              <w:bottom w:val="single" w:sz="2" w:space="0" w:color="000000"/>
              <w:right w:val="single" w:sz="2" w:space="0" w:color="000000"/>
            </w:tcBorders>
          </w:tcPr>
          <w:p>
            <w:pPr>
              <w:pStyle w:val="TableParagraph"/>
              <w:tabs>
                <w:tab w:pos="991" w:val="left" w:leader="none"/>
              </w:tabs>
              <w:spacing w:line="240" w:lineRule="auto" w:before="105"/>
              <w:ind w:left="36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26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32"/>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66"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319,624.85</w:t>
            </w: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18,325.92</w:t>
            </w:r>
          </w:p>
        </w:tc>
      </w:tr>
      <w:tr>
        <w:trPr>
          <w:trHeight w:val="466"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4"/>
              <w:ind w:left="256"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319,624.85</w:t>
            </w: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18,325.92</w:t>
            </w:r>
          </w:p>
        </w:tc>
      </w:tr>
      <w:tr>
        <w:trPr>
          <w:trHeight w:val="463"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33,000.00</w:t>
            </w: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3,000.00</w:t>
            </w:r>
          </w:p>
        </w:tc>
      </w:tr>
      <w:tr>
        <w:trPr>
          <w:trHeight w:val="466"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44"/>
              <w:jc w:val="right"/>
              <w:rPr>
                <w:rFonts w:ascii="宋体" w:hAnsi="宋体" w:cs="宋体" w:eastAsia="宋体" w:hint="default"/>
                <w:sz w:val="21"/>
                <w:szCs w:val="21"/>
              </w:rPr>
            </w:pPr>
            <w:r>
              <w:rPr>
                <w:rFonts w:ascii="宋体"/>
                <w:sz w:val="21"/>
              </w:rPr>
              <w:t>740.42</w:t>
            </w: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46"/>
              <w:jc w:val="right"/>
              <w:rPr>
                <w:rFonts w:ascii="宋体" w:hAnsi="宋体" w:cs="宋体" w:eastAsia="宋体" w:hint="default"/>
                <w:sz w:val="21"/>
                <w:szCs w:val="21"/>
              </w:rPr>
            </w:pPr>
            <w:r>
              <w:rPr>
                <w:rFonts w:ascii="宋体"/>
                <w:spacing w:val="-1"/>
                <w:sz w:val="21"/>
              </w:rPr>
              <w:t>38,331.08</w:t>
            </w:r>
          </w:p>
        </w:tc>
      </w:tr>
      <w:tr>
        <w:trPr>
          <w:trHeight w:val="478" w:hRule="exact"/>
        </w:trPr>
        <w:tc>
          <w:tcPr>
            <w:tcW w:w="34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4"/>
              <w:ind w:left="4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353,365.27</w:t>
            </w:r>
          </w:p>
        </w:tc>
        <w:tc>
          <w:tcPr>
            <w:tcW w:w="26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59,657.00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485"/>
        <w:gridCol w:w="2486"/>
        <w:gridCol w:w="2609"/>
      </w:tblGrid>
      <w:tr>
        <w:trPr>
          <w:trHeight w:val="478" w:hRule="exact"/>
        </w:trPr>
        <w:tc>
          <w:tcPr>
            <w:tcW w:w="34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45" w:right="0"/>
              <w:jc w:val="left"/>
              <w:rPr>
                <w:rFonts w:ascii="宋体" w:hAnsi="宋体" w:cs="宋体" w:eastAsia="宋体" w:hint="default"/>
                <w:sz w:val="21"/>
                <w:szCs w:val="21"/>
              </w:rPr>
            </w:pPr>
            <w:r>
              <w:rPr>
                <w:rFonts w:ascii="宋体" w:hAnsi="宋体" w:cs="宋体" w:eastAsia="宋体" w:hint="default"/>
                <w:sz w:val="21"/>
                <w:szCs w:val="21"/>
              </w:rPr>
              <w:t>计入当期非经常性损益项目</w:t>
            </w:r>
          </w:p>
        </w:tc>
        <w:tc>
          <w:tcPr>
            <w:tcW w:w="24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26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32"/>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66"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319,624.85</w:t>
            </w: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18,325.92</w:t>
            </w:r>
          </w:p>
        </w:tc>
      </w:tr>
      <w:tr>
        <w:trPr>
          <w:trHeight w:val="463"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4"/>
              <w:ind w:left="256"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319,624.85</w:t>
            </w: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18,325.92</w:t>
            </w:r>
          </w:p>
        </w:tc>
      </w:tr>
      <w:tr>
        <w:trPr>
          <w:trHeight w:val="466"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33,000.00</w:t>
            </w: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3,000.00</w:t>
            </w:r>
          </w:p>
        </w:tc>
      </w:tr>
      <w:tr>
        <w:trPr>
          <w:trHeight w:val="466"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144"/>
              <w:jc w:val="right"/>
              <w:rPr>
                <w:rFonts w:ascii="宋体" w:hAnsi="宋体" w:cs="宋体" w:eastAsia="宋体" w:hint="default"/>
                <w:sz w:val="21"/>
                <w:szCs w:val="21"/>
              </w:rPr>
            </w:pPr>
            <w:r>
              <w:rPr>
                <w:rFonts w:ascii="宋体"/>
                <w:sz w:val="21"/>
              </w:rPr>
              <w:t>740.42</w:t>
            </w:r>
          </w:p>
        </w:tc>
        <w:tc>
          <w:tcPr>
            <w:tcW w:w="26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46"/>
              <w:jc w:val="right"/>
              <w:rPr>
                <w:rFonts w:ascii="宋体" w:hAnsi="宋体" w:cs="宋体" w:eastAsia="宋体" w:hint="default"/>
                <w:sz w:val="21"/>
                <w:szCs w:val="21"/>
              </w:rPr>
            </w:pPr>
            <w:r>
              <w:rPr>
                <w:rFonts w:ascii="宋体"/>
                <w:spacing w:val="-1"/>
                <w:sz w:val="21"/>
              </w:rPr>
              <w:t>38,331.08</w:t>
            </w:r>
          </w:p>
        </w:tc>
      </w:tr>
      <w:tr>
        <w:trPr>
          <w:trHeight w:val="478" w:hRule="exact"/>
        </w:trPr>
        <w:tc>
          <w:tcPr>
            <w:tcW w:w="34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4"/>
              <w:ind w:left="4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31"/>
              <w:jc w:val="right"/>
              <w:rPr>
                <w:rFonts w:ascii="宋体" w:hAnsi="宋体" w:cs="宋体" w:eastAsia="宋体" w:hint="default"/>
                <w:sz w:val="21"/>
                <w:szCs w:val="21"/>
              </w:rPr>
            </w:pPr>
            <w:r>
              <w:rPr>
                <w:rFonts w:ascii="宋体"/>
                <w:spacing w:val="-1"/>
                <w:sz w:val="21"/>
              </w:rPr>
              <w:t>353,365.27</w:t>
            </w:r>
          </w:p>
        </w:tc>
        <w:tc>
          <w:tcPr>
            <w:tcW w:w="26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32"/>
              <w:jc w:val="right"/>
              <w:rPr>
                <w:rFonts w:ascii="宋体" w:hAnsi="宋体" w:cs="宋体" w:eastAsia="宋体" w:hint="default"/>
                <w:sz w:val="21"/>
                <w:szCs w:val="21"/>
              </w:rPr>
            </w:pPr>
            <w:r>
              <w:rPr>
                <w:rFonts w:ascii="宋体"/>
                <w:spacing w:val="-1"/>
                <w:sz w:val="21"/>
              </w:rPr>
              <w:t>59,657.00</w:t>
            </w:r>
          </w:p>
        </w:tc>
      </w:tr>
    </w:tbl>
    <w:p>
      <w:pPr>
        <w:spacing w:line="240" w:lineRule="auto" w:before="4"/>
        <w:rPr>
          <w:rFonts w:ascii="宋体" w:hAnsi="宋体" w:cs="宋体" w:eastAsia="宋体" w:hint="default"/>
          <w:sz w:val="29"/>
          <w:szCs w:val="29"/>
        </w:rPr>
      </w:pPr>
    </w:p>
    <w:p>
      <w:pPr>
        <w:pStyle w:val="BodyText"/>
        <w:spacing w:line="240" w:lineRule="auto" w:before="36"/>
        <w:ind w:left="163" w:right="2629"/>
        <w:jc w:val="left"/>
      </w:pPr>
      <w:r>
        <w:rPr/>
        <w:pict>
          <v:shape style="position:absolute;margin-left:103.08847pt;margin-top:-71.558029pt;width:392.95pt;height:64.3pt;mso-position-horizontal-relative:page;mso-position-vertical-relative:paragraph;z-index:-553528;rotation:315" type="#_x0000_t136" fillcolor="#e0e0e0" stroked="f">
            <o:extrusion v:ext="view" autorotationcenter="t"/>
            <v:textpath style="font-family:&amp;quot;Arial&amp;quot;;font-size:64pt;v-text-kern:t;mso-text-shadow:auto" string="UnRegistered"/>
            <w10:wrap type="none"/>
          </v:shape>
        </w:pict>
      </w:r>
      <w:r>
        <w:rPr/>
        <w:t>39、所得税费用</w:t>
      </w:r>
    </w:p>
    <w:p>
      <w:pPr>
        <w:spacing w:line="240" w:lineRule="auto" w:before="3"/>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570"/>
        <w:gridCol w:w="3055"/>
        <w:gridCol w:w="2954"/>
      </w:tblGrid>
      <w:tr>
        <w:trPr>
          <w:trHeight w:val="480" w:hRule="exact"/>
        </w:trPr>
        <w:tc>
          <w:tcPr>
            <w:tcW w:w="2570" w:type="dxa"/>
            <w:tcBorders>
              <w:top w:val="single" w:sz="12" w:space="0" w:color="000000"/>
              <w:left w:val="nil" w:sz="6" w:space="0" w:color="auto"/>
              <w:bottom w:val="single" w:sz="2" w:space="0" w:color="000000"/>
              <w:right w:val="single" w:sz="2" w:space="0" w:color="000000"/>
            </w:tcBorders>
          </w:tcPr>
          <w:p>
            <w:pPr>
              <w:pStyle w:val="TableParagraph"/>
              <w:tabs>
                <w:tab w:pos="887" w:val="left" w:leader="none"/>
              </w:tabs>
              <w:spacing w:line="240" w:lineRule="auto" w:before="129"/>
              <w:ind w:left="2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32"/>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63" w:hRule="exact"/>
        </w:trPr>
        <w:tc>
          <w:tcPr>
            <w:tcW w:w="2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45"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0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70"/>
              <w:jc w:val="right"/>
              <w:rPr>
                <w:rFonts w:ascii="宋体" w:hAnsi="宋体" w:cs="宋体" w:eastAsia="宋体" w:hint="default"/>
                <w:sz w:val="21"/>
                <w:szCs w:val="21"/>
              </w:rPr>
            </w:pPr>
            <w:r>
              <w:rPr>
                <w:rFonts w:ascii="宋体"/>
                <w:spacing w:val="-1"/>
                <w:sz w:val="21"/>
              </w:rPr>
              <w:t>7,226,215.92</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75"/>
              <w:jc w:val="right"/>
              <w:rPr>
                <w:rFonts w:ascii="宋体" w:hAnsi="宋体" w:cs="宋体" w:eastAsia="宋体" w:hint="default"/>
                <w:sz w:val="21"/>
                <w:szCs w:val="21"/>
              </w:rPr>
            </w:pPr>
            <w:r>
              <w:rPr>
                <w:rFonts w:ascii="宋体"/>
                <w:spacing w:val="-1"/>
                <w:sz w:val="21"/>
              </w:rPr>
              <w:t>4,109,975.57</w:t>
            </w:r>
          </w:p>
        </w:tc>
      </w:tr>
      <w:tr>
        <w:trPr>
          <w:trHeight w:val="466" w:hRule="exact"/>
        </w:trPr>
        <w:tc>
          <w:tcPr>
            <w:tcW w:w="2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4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0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70"/>
              <w:jc w:val="right"/>
              <w:rPr>
                <w:rFonts w:ascii="宋体" w:hAnsi="宋体" w:cs="宋体" w:eastAsia="宋体" w:hint="default"/>
                <w:sz w:val="21"/>
                <w:szCs w:val="21"/>
              </w:rPr>
            </w:pPr>
            <w:r>
              <w:rPr>
                <w:rFonts w:ascii="宋体"/>
                <w:spacing w:val="-1"/>
                <w:sz w:val="21"/>
              </w:rPr>
              <w:t>1,306,010.73</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75"/>
              <w:jc w:val="right"/>
              <w:rPr>
                <w:rFonts w:ascii="宋体" w:hAnsi="宋体" w:cs="宋体" w:eastAsia="宋体" w:hint="default"/>
                <w:sz w:val="21"/>
                <w:szCs w:val="21"/>
              </w:rPr>
            </w:pPr>
            <w:r>
              <w:rPr>
                <w:rFonts w:ascii="宋体"/>
                <w:spacing w:val="-1"/>
                <w:sz w:val="21"/>
              </w:rPr>
              <w:t>-34,893.12</w:t>
            </w:r>
          </w:p>
        </w:tc>
      </w:tr>
      <w:tr>
        <w:trPr>
          <w:trHeight w:val="478" w:hRule="exact"/>
        </w:trPr>
        <w:tc>
          <w:tcPr>
            <w:tcW w:w="2570" w:type="dxa"/>
            <w:tcBorders>
              <w:top w:val="single" w:sz="2" w:space="0" w:color="000000"/>
              <w:left w:val="nil" w:sz="6" w:space="0" w:color="auto"/>
              <w:bottom w:val="single" w:sz="12" w:space="0" w:color="000000"/>
              <w:right w:val="single" w:sz="2" w:space="0" w:color="000000"/>
            </w:tcBorders>
          </w:tcPr>
          <w:p>
            <w:pPr>
              <w:pStyle w:val="TableParagraph"/>
              <w:tabs>
                <w:tab w:pos="467" w:val="left" w:leader="none"/>
              </w:tabs>
              <w:spacing w:line="240" w:lineRule="auto" w:before="126"/>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70"/>
              <w:jc w:val="right"/>
              <w:rPr>
                <w:rFonts w:ascii="宋体" w:hAnsi="宋体" w:cs="宋体" w:eastAsia="宋体" w:hint="default"/>
                <w:sz w:val="21"/>
                <w:szCs w:val="21"/>
              </w:rPr>
            </w:pPr>
            <w:r>
              <w:rPr>
                <w:rFonts w:ascii="宋体"/>
                <w:spacing w:val="-1"/>
                <w:sz w:val="21"/>
              </w:rPr>
              <w:t>8,532,226.65</w:t>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75"/>
              <w:jc w:val="right"/>
              <w:rPr>
                <w:rFonts w:ascii="宋体" w:hAnsi="宋体" w:cs="宋体" w:eastAsia="宋体" w:hint="default"/>
                <w:sz w:val="21"/>
                <w:szCs w:val="21"/>
              </w:rPr>
            </w:pPr>
            <w:r>
              <w:rPr>
                <w:rFonts w:ascii="宋体"/>
                <w:spacing w:val="-1"/>
                <w:sz w:val="21"/>
              </w:rPr>
              <w:t>4,075,082.45</w:t>
            </w:r>
          </w:p>
        </w:tc>
      </w:tr>
    </w:tbl>
    <w:p>
      <w:pPr>
        <w:spacing w:line="240" w:lineRule="auto" w:before="4"/>
        <w:rPr>
          <w:rFonts w:ascii="宋体" w:hAnsi="宋体" w:cs="宋体" w:eastAsia="宋体" w:hint="default"/>
          <w:sz w:val="29"/>
          <w:szCs w:val="29"/>
        </w:rPr>
      </w:pPr>
    </w:p>
    <w:p>
      <w:pPr>
        <w:pStyle w:val="BodyText"/>
        <w:spacing w:line="240" w:lineRule="auto" w:before="36"/>
        <w:ind w:left="163" w:right="2629"/>
        <w:jc w:val="left"/>
      </w:pPr>
      <w:r>
        <w:rPr/>
        <w:t>40、每股收益</w:t>
      </w:r>
    </w:p>
    <w:p>
      <w:pPr>
        <w:spacing w:line="240" w:lineRule="auto" w:before="6"/>
        <w:rPr>
          <w:rFonts w:ascii="宋体" w:hAnsi="宋体" w:cs="宋体" w:eastAsia="宋体" w:hint="default"/>
          <w:sz w:val="16"/>
          <w:szCs w:val="16"/>
        </w:rPr>
      </w:pPr>
    </w:p>
    <w:tbl>
      <w:tblPr>
        <w:tblW w:w="0" w:type="auto"/>
        <w:jc w:val="left"/>
        <w:tblInd w:w="134" w:type="dxa"/>
        <w:tblLayout w:type="fixed"/>
        <w:tblCellMar>
          <w:top w:w="0" w:type="dxa"/>
          <w:left w:w="0" w:type="dxa"/>
          <w:bottom w:w="0" w:type="dxa"/>
          <w:right w:w="0" w:type="dxa"/>
        </w:tblCellMar>
        <w:tblLook w:val="01E0"/>
      </w:tblPr>
      <w:tblGrid>
        <w:gridCol w:w="2650"/>
        <w:gridCol w:w="2986"/>
        <w:gridCol w:w="2947"/>
      </w:tblGrid>
      <w:tr>
        <w:trPr>
          <w:trHeight w:val="478" w:hRule="exact"/>
        </w:trPr>
        <w:tc>
          <w:tcPr>
            <w:tcW w:w="2650" w:type="dxa"/>
            <w:tcBorders>
              <w:top w:val="single" w:sz="12" w:space="0" w:color="000000"/>
              <w:left w:val="nil" w:sz="6" w:space="0" w:color="auto"/>
              <w:bottom w:val="single" w:sz="2" w:space="0" w:color="000000"/>
              <w:right w:val="single" w:sz="2" w:space="0" w:color="000000"/>
            </w:tcBorders>
          </w:tcPr>
          <w:p>
            <w:pPr>
              <w:pStyle w:val="TableParagraph"/>
              <w:tabs>
                <w:tab w:pos="631" w:val="left" w:leader="none"/>
              </w:tabs>
              <w:spacing w:line="240" w:lineRule="auto" w:before="110"/>
              <w:ind w:right="113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206"/>
              <w:jc w:val="right"/>
              <w:rPr>
                <w:rFonts w:ascii="宋体" w:hAnsi="宋体" w:cs="宋体" w:eastAsia="宋体" w:hint="default"/>
                <w:sz w:val="21"/>
                <w:szCs w:val="21"/>
              </w:rPr>
            </w:pPr>
            <w:r>
              <w:rPr>
                <w:rFonts w:ascii="宋体" w:hAnsi="宋体" w:cs="宋体" w:eastAsia="宋体" w:hint="default"/>
                <w:spacing w:val="-1"/>
                <w:sz w:val="21"/>
                <w:szCs w:val="21"/>
              </w:rPr>
              <w:t>2011年度</w:t>
            </w:r>
          </w:p>
        </w:tc>
        <w:tc>
          <w:tcPr>
            <w:tcW w:w="29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211"/>
              <w:jc w:val="right"/>
              <w:rPr>
                <w:rFonts w:ascii="宋体" w:hAnsi="宋体" w:cs="宋体" w:eastAsia="宋体" w:hint="default"/>
                <w:sz w:val="21"/>
                <w:szCs w:val="21"/>
              </w:rPr>
            </w:pPr>
            <w:r>
              <w:rPr>
                <w:rFonts w:ascii="宋体" w:hAnsi="宋体" w:cs="宋体" w:eastAsia="宋体" w:hint="default"/>
                <w:spacing w:val="-1"/>
                <w:sz w:val="21"/>
                <w:szCs w:val="21"/>
              </w:rPr>
              <w:t>2010年度</w:t>
            </w:r>
          </w:p>
        </w:tc>
      </w:tr>
      <w:tr>
        <w:trPr>
          <w:trHeight w:val="466" w:hRule="exact"/>
        </w:trPr>
        <w:tc>
          <w:tcPr>
            <w:tcW w:w="26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right="1137"/>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z w:val="21"/>
              </w:rPr>
              <w:t>0.17</w:t>
            </w:r>
          </w:p>
        </w:tc>
        <w:tc>
          <w:tcPr>
            <w:tcW w:w="29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z w:val="21"/>
              </w:rPr>
              <w:t>0.09</w:t>
            </w:r>
          </w:p>
        </w:tc>
      </w:tr>
      <w:tr>
        <w:trPr>
          <w:trHeight w:val="478" w:hRule="exact"/>
        </w:trPr>
        <w:tc>
          <w:tcPr>
            <w:tcW w:w="26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6"/>
              <w:ind w:right="1137"/>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2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z w:val="21"/>
              </w:rPr>
              <w:t>0.17</w:t>
            </w:r>
          </w:p>
        </w:tc>
        <w:tc>
          <w:tcPr>
            <w:tcW w:w="29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z w:val="21"/>
              </w:rPr>
              <w:t>0.09</w:t>
            </w:r>
          </w:p>
        </w:tc>
      </w:tr>
    </w:tbl>
    <w:p>
      <w:pPr>
        <w:spacing w:line="240" w:lineRule="auto" w:before="5"/>
        <w:rPr>
          <w:rFonts w:ascii="宋体" w:hAnsi="宋体" w:cs="宋体" w:eastAsia="宋体" w:hint="default"/>
          <w:sz w:val="17"/>
          <w:szCs w:val="17"/>
        </w:rPr>
      </w:pPr>
    </w:p>
    <w:p>
      <w:pPr>
        <w:pStyle w:val="BodyText"/>
        <w:spacing w:line="240" w:lineRule="auto" w:before="36"/>
        <w:ind w:left="163" w:right="2629"/>
        <w:jc w:val="left"/>
      </w:pPr>
      <w:r>
        <w:rPr>
          <w:w w:val="100"/>
        </w:rPr>
        <w:t>*基</w:t>
      </w:r>
      <w:r>
        <w:rPr>
          <w:spacing w:val="-3"/>
          <w:w w:val="100"/>
        </w:rPr>
        <w:t>本</w:t>
      </w:r>
      <w:r>
        <w:rPr>
          <w:w w:val="100"/>
        </w:rPr>
        <w:t>每</w:t>
      </w:r>
      <w:r>
        <w:rPr>
          <w:spacing w:val="-3"/>
          <w:w w:val="100"/>
        </w:rPr>
        <w:t>股</w:t>
      </w:r>
      <w:r>
        <w:rPr>
          <w:w w:val="100"/>
        </w:rPr>
        <w:t>收</w:t>
      </w:r>
      <w:r>
        <w:rPr>
          <w:spacing w:val="-3"/>
          <w:w w:val="100"/>
        </w:rPr>
        <w:t>益</w:t>
      </w:r>
      <w:r>
        <w:rPr>
          <w:w w:val="100"/>
        </w:rPr>
        <w:t>的</w:t>
      </w:r>
      <w:r>
        <w:rPr>
          <w:spacing w:val="-3"/>
          <w:w w:val="100"/>
        </w:rPr>
        <w:t>计</w:t>
      </w:r>
      <w:r>
        <w:rPr>
          <w:w w:val="100"/>
        </w:rPr>
        <w:t>算</w:t>
      </w:r>
      <w:r>
        <w:rPr>
          <w:spacing w:val="-3"/>
          <w:w w:val="100"/>
        </w:rPr>
        <w:t>参见</w:t>
      </w:r>
      <w:r>
        <w:rPr>
          <w:w w:val="100"/>
        </w:rPr>
        <w:t>“附</w:t>
      </w:r>
      <w:r>
        <w:rPr>
          <w:spacing w:val="-3"/>
          <w:w w:val="100"/>
        </w:rPr>
        <w:t>注</w:t>
      </w:r>
      <w:r>
        <w:rPr>
          <w:w w:val="100"/>
        </w:rPr>
        <w:t>十</w:t>
      </w:r>
      <w:r>
        <w:rPr>
          <w:spacing w:val="-3"/>
          <w:w w:val="100"/>
        </w:rPr>
        <w:t>二</w:t>
      </w:r>
      <w:r>
        <w:rPr>
          <w:spacing w:val="-106"/>
          <w:w w:val="100"/>
        </w:rPr>
        <w:t>、</w:t>
      </w:r>
      <w:r>
        <w:rPr>
          <w:spacing w:val="-3"/>
          <w:w w:val="100"/>
        </w:rPr>
        <w:t>（</w:t>
      </w:r>
      <w:r>
        <w:rPr>
          <w:w w:val="100"/>
        </w:rPr>
        <w:t>二</w:t>
      </w:r>
      <w:r>
        <w:rPr>
          <w:spacing w:val="-106"/>
          <w:w w:val="100"/>
        </w:rPr>
        <w:t>）</w:t>
      </w:r>
      <w:r>
        <w:rPr>
          <w:spacing w:val="-108"/>
          <w:w w:val="100"/>
        </w:rPr>
        <w:t>”</w:t>
      </w:r>
      <w:r>
        <w:rPr>
          <w:w w:val="100"/>
        </w:rPr>
        <w:t>。</w:t>
      </w:r>
    </w:p>
    <w:p>
      <w:pPr>
        <w:spacing w:after="0" w:line="240" w:lineRule="auto"/>
        <w:jc w:val="left"/>
        <w:sectPr>
          <w:pgSz w:w="11910" w:h="16840"/>
          <w:pgMar w:header="929" w:footer="981" w:top="1180" w:bottom="1180" w:left="1540" w:right="0"/>
        </w:sectPr>
      </w:pPr>
    </w:p>
    <w:p>
      <w:pPr>
        <w:spacing w:line="240" w:lineRule="auto" w:before="11"/>
        <w:rPr>
          <w:rFonts w:ascii="宋体" w:hAnsi="宋体" w:cs="宋体" w:eastAsia="宋体" w:hint="default"/>
          <w:sz w:val="29"/>
          <w:szCs w:val="29"/>
        </w:rPr>
      </w:pPr>
    </w:p>
    <w:p>
      <w:pPr>
        <w:pStyle w:val="BodyText"/>
        <w:spacing w:line="240" w:lineRule="auto" w:before="36"/>
        <w:ind w:left="243" w:right="1354"/>
        <w:jc w:val="left"/>
      </w:pPr>
      <w:r>
        <w:rPr/>
        <w:t>41、现金流量表项目注释</w:t>
      </w:r>
    </w:p>
    <w:p>
      <w:pPr>
        <w:spacing w:line="240" w:lineRule="auto" w:before="9"/>
        <w:rPr>
          <w:rFonts w:ascii="宋体" w:hAnsi="宋体" w:cs="宋体" w:eastAsia="宋体" w:hint="default"/>
          <w:sz w:val="24"/>
          <w:szCs w:val="24"/>
        </w:rPr>
      </w:pPr>
    </w:p>
    <w:p>
      <w:pPr>
        <w:pStyle w:val="BodyText"/>
        <w:spacing w:line="240" w:lineRule="auto"/>
        <w:ind w:left="243" w:right="1354"/>
        <w:jc w:val="left"/>
      </w:pPr>
      <w:r>
        <w:rPr/>
        <w:t>（1）收到的其他与经营活动有关的现金</w:t>
      </w:r>
    </w:p>
    <w:p>
      <w:pPr>
        <w:spacing w:line="240" w:lineRule="auto" w:before="5"/>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3864"/>
        <w:gridCol w:w="2395"/>
        <w:gridCol w:w="2479"/>
      </w:tblGrid>
      <w:tr>
        <w:trPr>
          <w:trHeight w:val="458" w:hRule="exact"/>
        </w:trPr>
        <w:tc>
          <w:tcPr>
            <w:tcW w:w="3864" w:type="dxa"/>
            <w:tcBorders>
              <w:top w:val="single" w:sz="12" w:space="0" w:color="000000"/>
              <w:left w:val="nil" w:sz="6" w:space="0" w:color="auto"/>
              <w:bottom w:val="single" w:sz="2" w:space="0" w:color="000000"/>
              <w:right w:val="single" w:sz="2" w:space="0" w:color="000000"/>
            </w:tcBorders>
          </w:tcPr>
          <w:p>
            <w:pPr>
              <w:pStyle w:val="TableParagraph"/>
              <w:tabs>
                <w:tab w:pos="1384" w:val="left" w:leader="none"/>
              </w:tabs>
              <w:spacing w:line="240" w:lineRule="auto" w:before="110"/>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0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物业租赁收取的保证金</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79,264.65</w:t>
            </w:r>
          </w:p>
        </w:tc>
        <w:tc>
          <w:tcPr>
            <w:tcW w:w="24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46"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收到其他单位往来</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55,312,239.66</w:t>
            </w:r>
          </w:p>
        </w:tc>
        <w:tc>
          <w:tcPr>
            <w:tcW w:w="24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208,184.09</w:t>
            </w:r>
          </w:p>
        </w:tc>
      </w:tr>
      <w:tr>
        <w:trPr>
          <w:trHeight w:val="444"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4,303,454.93</w:t>
            </w:r>
          </w:p>
        </w:tc>
        <w:tc>
          <w:tcPr>
            <w:tcW w:w="24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993,523.52</w:t>
            </w:r>
          </w:p>
        </w:tc>
      </w:tr>
      <w:tr>
        <w:trPr>
          <w:trHeight w:val="446" w:hRule="exact"/>
        </w:trPr>
        <w:tc>
          <w:tcPr>
            <w:tcW w:w="3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14,840.46</w:t>
            </w:r>
          </w:p>
        </w:tc>
        <w:tc>
          <w:tcPr>
            <w:tcW w:w="24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8" w:hRule="exact"/>
        </w:trPr>
        <w:tc>
          <w:tcPr>
            <w:tcW w:w="3864" w:type="dxa"/>
            <w:tcBorders>
              <w:top w:val="single" w:sz="2" w:space="0" w:color="000000"/>
              <w:left w:val="nil" w:sz="6" w:space="0" w:color="auto"/>
              <w:bottom w:val="single" w:sz="12" w:space="0" w:color="000000"/>
              <w:right w:val="single" w:sz="2" w:space="0" w:color="000000"/>
            </w:tcBorders>
          </w:tcPr>
          <w:p>
            <w:pPr>
              <w:pStyle w:val="TableParagraph"/>
              <w:tabs>
                <w:tab w:pos="1173" w:val="left" w:leader="none"/>
              </w:tabs>
              <w:spacing w:line="240" w:lineRule="auto" w:before="107"/>
              <w:ind w:left="64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59,709,799.70</w:t>
            </w:r>
          </w:p>
        </w:tc>
        <w:tc>
          <w:tcPr>
            <w:tcW w:w="24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1,201,707.61</w:t>
            </w:r>
          </w:p>
        </w:tc>
      </w:tr>
    </w:tbl>
    <w:p>
      <w:pPr>
        <w:spacing w:line="240" w:lineRule="auto" w:before="5"/>
        <w:rPr>
          <w:rFonts w:ascii="宋体" w:hAnsi="宋体" w:cs="宋体" w:eastAsia="宋体" w:hint="default"/>
          <w:sz w:val="17"/>
          <w:szCs w:val="17"/>
        </w:rPr>
      </w:pPr>
    </w:p>
    <w:p>
      <w:pPr>
        <w:pStyle w:val="BodyText"/>
        <w:spacing w:line="240" w:lineRule="auto" w:before="36"/>
        <w:ind w:left="243" w:right="1354"/>
        <w:jc w:val="left"/>
      </w:pPr>
      <w:r>
        <w:rPr/>
        <w:t>（2）支付的其他与经营活动有关的现金</w:t>
      </w:r>
    </w:p>
    <w:p>
      <w:pPr>
        <w:spacing w:line="240" w:lineRule="auto" w:before="3"/>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3854"/>
        <w:gridCol w:w="2443"/>
        <w:gridCol w:w="2441"/>
      </w:tblGrid>
      <w:tr>
        <w:trPr>
          <w:trHeight w:val="458" w:hRule="exact"/>
        </w:trPr>
        <w:tc>
          <w:tcPr>
            <w:tcW w:w="3854" w:type="dxa"/>
            <w:tcBorders>
              <w:top w:val="single" w:sz="12" w:space="0" w:color="000000"/>
              <w:left w:val="nil" w:sz="6" w:space="0" w:color="auto"/>
              <w:bottom w:val="single" w:sz="2" w:space="0" w:color="000000"/>
              <w:right w:val="single" w:sz="2" w:space="0" w:color="000000"/>
            </w:tcBorders>
          </w:tcPr>
          <w:p>
            <w:pPr>
              <w:pStyle w:val="TableParagraph"/>
              <w:tabs>
                <w:tab w:pos="1384"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3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支付的销售费用</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99,051.10</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230,435.70</w:t>
            </w:r>
          </w:p>
        </w:tc>
      </w:tr>
      <w:tr>
        <w:trPr>
          <w:trHeight w:val="446" w:hRule="exact"/>
        </w:trPr>
        <w:tc>
          <w:tcPr>
            <w:tcW w:w="3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支付的管理费用</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6,108,814.67</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4,993,789.65</w:t>
            </w:r>
          </w:p>
        </w:tc>
      </w:tr>
      <w:tr>
        <w:trPr>
          <w:trHeight w:val="444" w:hRule="exact"/>
        </w:trPr>
        <w:tc>
          <w:tcPr>
            <w:tcW w:w="3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物业租赁支付的保证金</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1,341,031.33</w:t>
            </w:r>
          </w:p>
        </w:tc>
      </w:tr>
      <w:tr>
        <w:trPr>
          <w:trHeight w:val="444" w:hRule="exact"/>
        </w:trPr>
        <w:tc>
          <w:tcPr>
            <w:tcW w:w="3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支付的其他单位往来</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88,051.93</w:t>
            </w:r>
          </w:p>
        </w:tc>
      </w:tr>
      <w:tr>
        <w:trPr>
          <w:trHeight w:val="446" w:hRule="exact"/>
        </w:trPr>
        <w:tc>
          <w:tcPr>
            <w:tcW w:w="38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847,954.74</w:t>
            </w:r>
          </w:p>
        </w:tc>
        <w:tc>
          <w:tcPr>
            <w:tcW w:w="2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675,606.63</w:t>
            </w:r>
          </w:p>
        </w:tc>
      </w:tr>
      <w:tr>
        <w:trPr>
          <w:trHeight w:val="458" w:hRule="exact"/>
        </w:trPr>
        <w:tc>
          <w:tcPr>
            <w:tcW w:w="3854" w:type="dxa"/>
            <w:tcBorders>
              <w:top w:val="single" w:sz="2" w:space="0" w:color="000000"/>
              <w:left w:val="nil" w:sz="6" w:space="0" w:color="auto"/>
              <w:bottom w:val="single" w:sz="12" w:space="0" w:color="000000"/>
              <w:right w:val="single" w:sz="2" w:space="0" w:color="000000"/>
            </w:tcBorders>
          </w:tcPr>
          <w:p>
            <w:pPr>
              <w:pStyle w:val="TableParagraph"/>
              <w:tabs>
                <w:tab w:pos="1173" w:val="left" w:leader="none"/>
              </w:tabs>
              <w:spacing w:line="240" w:lineRule="auto" w:before="107"/>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7,055,820.51</w:t>
            </w:r>
          </w:p>
        </w:tc>
        <w:tc>
          <w:tcPr>
            <w:tcW w:w="24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7,328,915.24</w:t>
            </w:r>
          </w:p>
        </w:tc>
      </w:tr>
    </w:tbl>
    <w:p>
      <w:pPr>
        <w:spacing w:line="240" w:lineRule="auto" w:before="4"/>
        <w:rPr>
          <w:rFonts w:ascii="宋体" w:hAnsi="宋体" w:cs="宋体" w:eastAsia="宋体" w:hint="default"/>
          <w:sz w:val="29"/>
          <w:szCs w:val="29"/>
        </w:rPr>
      </w:pPr>
    </w:p>
    <w:p>
      <w:pPr>
        <w:pStyle w:val="BodyText"/>
        <w:spacing w:line="240" w:lineRule="auto" w:before="36"/>
        <w:ind w:left="243" w:right="1354"/>
        <w:jc w:val="left"/>
      </w:pPr>
      <w:r>
        <w:rPr/>
        <w:pict>
          <v:shape style="position:absolute;margin-left:103.08847pt;margin-top:-82.838028pt;width:392.95pt;height:64.3pt;mso-position-horizontal-relative:page;mso-position-vertical-relative:paragraph;z-index:-553504;rotation:315" type="#_x0000_t136" fillcolor="#e0e0e0" stroked="f">
            <o:extrusion v:ext="view" autorotationcenter="t"/>
            <v:textpath style="font-family:&amp;quot;Arial&amp;quot;;font-size:64pt;v-text-kern:t;mso-text-shadow:auto" string="UnRegistered"/>
            <w10:wrap type="none"/>
          </v:shape>
        </w:pict>
      </w:r>
      <w:r>
        <w:rPr/>
        <w:t>42、现金流量表补充资料</w:t>
      </w:r>
    </w:p>
    <w:p>
      <w:pPr>
        <w:spacing w:line="240" w:lineRule="auto" w:before="6"/>
        <w:rPr>
          <w:rFonts w:ascii="宋体" w:hAnsi="宋体" w:cs="宋体" w:eastAsia="宋体" w:hint="default"/>
          <w:sz w:val="24"/>
          <w:szCs w:val="24"/>
        </w:rPr>
      </w:pPr>
    </w:p>
    <w:p>
      <w:pPr>
        <w:pStyle w:val="BodyText"/>
        <w:spacing w:line="240" w:lineRule="auto"/>
        <w:ind w:left="243" w:right="1354"/>
        <w:jc w:val="left"/>
      </w:pPr>
      <w:r>
        <w:rPr/>
        <w:t>（1）现金流量表补充资料</w:t>
      </w:r>
    </w:p>
    <w:p>
      <w:pPr>
        <w:spacing w:line="240" w:lineRule="auto" w:before="3"/>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5263"/>
        <w:gridCol w:w="1956"/>
        <w:gridCol w:w="1812"/>
      </w:tblGrid>
      <w:tr>
        <w:trPr>
          <w:trHeight w:val="511" w:hRule="exact"/>
        </w:trPr>
        <w:tc>
          <w:tcPr>
            <w:tcW w:w="5263" w:type="dxa"/>
            <w:tcBorders>
              <w:top w:val="single" w:sz="12" w:space="0" w:color="000000"/>
              <w:left w:val="nil" w:sz="6" w:space="0" w:color="auto"/>
              <w:bottom w:val="single" w:sz="4" w:space="0" w:color="000000"/>
              <w:right w:val="single" w:sz="4" w:space="0" w:color="000000"/>
            </w:tcBorders>
          </w:tcPr>
          <w:p>
            <w:pPr>
              <w:pStyle w:val="TableParagraph"/>
              <w:tabs>
                <w:tab w:pos="2167" w:val="left" w:leader="none"/>
                <w:tab w:pos="3007" w:val="left" w:leader="none"/>
                <w:tab w:pos="3739" w:val="left" w:leader="none"/>
              </w:tabs>
              <w:spacing w:line="240" w:lineRule="auto" w:before="134"/>
              <w:ind w:left="1324"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1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left="5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5"/>
              <w:ind w:left="45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9"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195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16,478,882.58</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7,165,113.86</w:t>
            </w:r>
          </w:p>
        </w:tc>
      </w:tr>
      <w:tr>
        <w:trPr>
          <w:trHeight w:val="461"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110,049.95</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7"/>
              <w:jc w:val="right"/>
              <w:rPr>
                <w:rFonts w:ascii="宋体" w:hAnsi="宋体" w:cs="宋体" w:eastAsia="宋体" w:hint="default"/>
                <w:sz w:val="21"/>
                <w:szCs w:val="21"/>
              </w:rPr>
            </w:pPr>
            <w:r>
              <w:rPr>
                <w:rFonts w:ascii="宋体"/>
                <w:spacing w:val="-1"/>
                <w:sz w:val="21"/>
              </w:rPr>
              <w:t>171,357.30</w:t>
            </w:r>
          </w:p>
        </w:tc>
      </w:tr>
      <w:tr>
        <w:trPr>
          <w:trHeight w:val="458"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11,414,847.59</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宋体" w:hAnsi="宋体" w:cs="宋体" w:eastAsia="宋体" w:hint="default"/>
                <w:sz w:val="21"/>
                <w:szCs w:val="21"/>
              </w:rPr>
            </w:pPr>
            <w:r>
              <w:rPr>
                <w:rFonts w:ascii="宋体"/>
                <w:spacing w:val="-1"/>
                <w:sz w:val="21"/>
              </w:rPr>
              <w:t>11,587,210.89</w:t>
            </w:r>
          </w:p>
        </w:tc>
      </w:tr>
      <w:tr>
        <w:trPr>
          <w:trHeight w:val="461"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1,397,893.64</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宋体" w:hAnsi="宋体" w:cs="宋体" w:eastAsia="宋体" w:hint="default"/>
                <w:sz w:val="21"/>
                <w:szCs w:val="21"/>
              </w:rPr>
            </w:pPr>
            <w:r>
              <w:rPr>
                <w:rFonts w:ascii="宋体"/>
                <w:spacing w:val="-1"/>
                <w:sz w:val="21"/>
              </w:rPr>
              <w:t>1,415,902.16</w:t>
            </w:r>
          </w:p>
        </w:tc>
      </w:tr>
      <w:tr>
        <w:trPr>
          <w:trHeight w:val="461"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180,000.00</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7"/>
              <w:jc w:val="right"/>
              <w:rPr>
                <w:rFonts w:ascii="宋体" w:hAnsi="宋体" w:cs="宋体" w:eastAsia="宋体" w:hint="default"/>
                <w:sz w:val="21"/>
                <w:szCs w:val="21"/>
              </w:rPr>
            </w:pPr>
            <w:r>
              <w:rPr>
                <w:rFonts w:ascii="宋体"/>
                <w:spacing w:val="-1"/>
                <w:sz w:val="21"/>
              </w:rPr>
              <w:t>217,600.00</w:t>
            </w:r>
          </w:p>
        </w:tc>
      </w:tr>
      <w:tr>
        <w:trPr>
          <w:trHeight w:val="758" w:hRule="exact"/>
        </w:trPr>
        <w:tc>
          <w:tcPr>
            <w:tcW w:w="5263" w:type="dxa"/>
            <w:tcBorders>
              <w:top w:val="single" w:sz="4" w:space="0" w:color="000000"/>
              <w:left w:val="nil" w:sz="6" w:space="0" w:color="auto"/>
              <w:bottom w:val="single" w:sz="12" w:space="0" w:color="000000"/>
              <w:right w:val="single" w:sz="4" w:space="0" w:color="000000"/>
            </w:tcBorders>
          </w:tcPr>
          <w:p>
            <w:pPr>
              <w:pStyle w:val="TableParagraph"/>
              <w:spacing w:line="267" w:lineRule="exact" w:before="71"/>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1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96,405.49</w:t>
            </w:r>
          </w:p>
        </w:tc>
        <w:tc>
          <w:tcPr>
            <w:tcW w:w="18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spacing w:val="-1"/>
                <w:sz w:val="21"/>
              </w:rPr>
              <w:t>-6,000.00</w:t>
            </w:r>
          </w:p>
        </w:tc>
      </w:tr>
    </w:tbl>
    <w:p>
      <w:pPr>
        <w:spacing w:after="0" w:line="240" w:lineRule="auto"/>
        <w:jc w:val="right"/>
        <w:rPr>
          <w:rFonts w:ascii="宋体" w:hAnsi="宋体" w:cs="宋体" w:eastAsia="宋体" w:hint="default"/>
          <w:sz w:val="21"/>
          <w:szCs w:val="21"/>
        </w:rPr>
        <w:sectPr>
          <w:pgSz w:w="11910" w:h="16840"/>
          <w:pgMar w:header="929" w:footer="981" w:top="1180" w:bottom="1180" w:left="1460" w:right="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553480;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06" w:type="dxa"/>
        <w:tblLayout w:type="fixed"/>
        <w:tblCellMar>
          <w:top w:w="0" w:type="dxa"/>
          <w:left w:w="0" w:type="dxa"/>
          <w:bottom w:w="0" w:type="dxa"/>
          <w:right w:w="0" w:type="dxa"/>
        </w:tblCellMar>
        <w:tblLook w:val="01E0"/>
      </w:tblPr>
      <w:tblGrid>
        <w:gridCol w:w="5263"/>
        <w:gridCol w:w="1956"/>
        <w:gridCol w:w="1812"/>
      </w:tblGrid>
      <w:tr>
        <w:trPr>
          <w:trHeight w:val="509" w:hRule="exact"/>
        </w:trPr>
        <w:tc>
          <w:tcPr>
            <w:tcW w:w="5263" w:type="dxa"/>
            <w:tcBorders>
              <w:top w:val="single" w:sz="12" w:space="0" w:color="000000"/>
              <w:left w:val="nil" w:sz="6" w:space="0" w:color="auto"/>
              <w:bottom w:val="single" w:sz="4" w:space="0" w:color="000000"/>
              <w:right w:val="single" w:sz="4" w:space="0" w:color="000000"/>
            </w:tcBorders>
          </w:tcPr>
          <w:p>
            <w:pPr>
              <w:pStyle w:val="TableParagraph"/>
              <w:tabs>
                <w:tab w:pos="2167" w:val="left" w:leader="none"/>
                <w:tab w:pos="3007" w:val="left" w:leader="none"/>
                <w:tab w:pos="3739" w:val="left" w:leader="none"/>
              </w:tabs>
              <w:spacing w:line="240" w:lineRule="auto" w:before="134"/>
              <w:ind w:left="1324"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1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left="5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5"/>
              <w:ind w:left="45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18,325.92</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481,150.79</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-361,800.00</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21,152,251.19</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14,148,262.50</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-22,147,449.67</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-237,774.01</w:t>
            </w:r>
          </w:p>
        </w:tc>
      </w:tr>
      <w:tr>
        <w:trPr>
          <w:trHeight w:val="468"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1,448,129.37</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宋体" w:hAnsi="宋体" w:cs="宋体" w:eastAsia="宋体" w:hint="default"/>
                <w:sz w:val="21"/>
                <w:szCs w:val="21"/>
              </w:rPr>
            </w:pPr>
            <w:r>
              <w:rPr>
                <w:rFonts w:ascii="宋体"/>
                <w:spacing w:val="-1"/>
                <w:sz w:val="21"/>
              </w:rPr>
              <w:t>107,225.52</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-142,118.64</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-142,118.64</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-1,323,466.80</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-9,257,264.08</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-387,825.62</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-16,300,026.41</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1,621,322.65</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-3,191,565.45</w:t>
            </w: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52,000,000.00</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5,468,866.00</w:t>
            </w:r>
          </w:p>
        </w:tc>
      </w:tr>
      <w:tr>
        <w:trPr>
          <w:trHeight w:val="468"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82,380,072.52</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宋体" w:hAnsi="宋体" w:cs="宋体" w:eastAsia="宋体" w:hint="default"/>
                <w:sz w:val="21"/>
                <w:szCs w:val="21"/>
              </w:rPr>
            </w:pPr>
            <w:r>
              <w:rPr>
                <w:rFonts w:ascii="宋体"/>
                <w:spacing w:val="-1"/>
                <w:sz w:val="21"/>
              </w:rPr>
              <w:t>10,803,315.56</w:t>
            </w:r>
          </w:p>
        </w:tc>
      </w:tr>
      <w:tr>
        <w:trPr>
          <w:trHeight w:val="492"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95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49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w w:val="100"/>
                <w:sz w:val="21"/>
              </w:rPr>
              <w:t>-</w:t>
            </w:r>
          </w:p>
        </w:tc>
      </w:tr>
      <w:tr>
        <w:trPr>
          <w:trHeight w:val="49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w w:val="100"/>
                <w:sz w:val="21"/>
              </w:rPr>
              <w:t>-</w:t>
            </w:r>
          </w:p>
        </w:tc>
      </w:tr>
      <w:tr>
        <w:trPr>
          <w:trHeight w:val="49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95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249,817,554.06</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spacing w:val="-1"/>
                <w:sz w:val="21"/>
              </w:rPr>
              <w:t>69,376,699.81</w:t>
            </w:r>
          </w:p>
        </w:tc>
      </w:tr>
      <w:tr>
        <w:trPr>
          <w:trHeight w:val="49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spacing w:val="-1"/>
                <w:sz w:val="21"/>
              </w:rPr>
              <w:t>69,376,699.81</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5"/>
              <w:jc w:val="right"/>
              <w:rPr>
                <w:rFonts w:ascii="宋体" w:hAnsi="宋体" w:cs="宋体" w:eastAsia="宋体" w:hint="default"/>
                <w:sz w:val="21"/>
                <w:szCs w:val="21"/>
              </w:rPr>
            </w:pPr>
            <w:r>
              <w:rPr>
                <w:rFonts w:ascii="宋体"/>
                <w:spacing w:val="-1"/>
                <w:sz w:val="21"/>
              </w:rPr>
              <w:t>120,957,971.73</w:t>
            </w:r>
          </w:p>
        </w:tc>
      </w:tr>
      <w:tr>
        <w:trPr>
          <w:trHeight w:val="490"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w w:val="100"/>
                <w:sz w:val="21"/>
              </w:rPr>
              <w:t>-</w:t>
            </w:r>
          </w:p>
        </w:tc>
      </w:tr>
      <w:tr>
        <w:trPr>
          <w:trHeight w:val="492" w:hRule="exact"/>
        </w:trPr>
        <w:tc>
          <w:tcPr>
            <w:tcW w:w="5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w w:val="100"/>
                <w:sz w:val="21"/>
              </w:rPr>
              <w:t>-</w:t>
            </w:r>
          </w:p>
        </w:tc>
      </w:tr>
      <w:tr>
        <w:trPr>
          <w:trHeight w:val="480" w:hRule="exact"/>
        </w:trPr>
        <w:tc>
          <w:tcPr>
            <w:tcW w:w="52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180,440,854.25</w:t>
            </w:r>
          </w:p>
        </w:tc>
        <w:tc>
          <w:tcPr>
            <w:tcW w:w="18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-51,581,271.92</w:t>
            </w:r>
          </w:p>
        </w:tc>
      </w:tr>
    </w:tbl>
    <w:p>
      <w:pPr>
        <w:spacing w:line="240" w:lineRule="auto" w:before="10"/>
        <w:rPr>
          <w:rFonts w:ascii="宋体" w:hAnsi="宋体" w:cs="宋体" w:eastAsia="宋体" w:hint="default"/>
          <w:sz w:val="19"/>
          <w:szCs w:val="19"/>
        </w:rPr>
      </w:pPr>
    </w:p>
    <w:p>
      <w:pPr>
        <w:pStyle w:val="BodyText"/>
        <w:spacing w:line="240" w:lineRule="auto" w:before="36"/>
        <w:ind w:left="243" w:right="1354"/>
        <w:jc w:val="left"/>
      </w:pPr>
      <w:r>
        <w:rPr/>
        <w:t>（2）取得或处置子公司及其他营业单位的有关信息：</w:t>
      </w:r>
    </w:p>
    <w:p>
      <w:pPr>
        <w:spacing w:line="240" w:lineRule="auto" w:before="0"/>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5424"/>
        <w:gridCol w:w="1769"/>
        <w:gridCol w:w="1870"/>
      </w:tblGrid>
      <w:tr>
        <w:trPr>
          <w:trHeight w:val="550" w:hRule="exact"/>
        </w:trPr>
        <w:tc>
          <w:tcPr>
            <w:tcW w:w="5424" w:type="dxa"/>
            <w:tcBorders>
              <w:top w:val="single" w:sz="12" w:space="0" w:color="000000"/>
              <w:left w:val="nil" w:sz="6" w:space="0" w:color="auto"/>
              <w:bottom w:val="single" w:sz="4" w:space="0" w:color="000000"/>
              <w:right w:val="single" w:sz="4" w:space="0" w:color="000000"/>
            </w:tcBorders>
          </w:tcPr>
          <w:p>
            <w:pPr>
              <w:pStyle w:val="TableParagraph"/>
              <w:tabs>
                <w:tab w:pos="3607" w:val="left" w:leader="none"/>
              </w:tabs>
              <w:spacing w:line="240" w:lineRule="auto" w:before="138"/>
              <w:ind w:left="171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43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left="4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1．取得子公司及其他营业单位的价格</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52" w:hRule="exact"/>
        </w:trPr>
        <w:tc>
          <w:tcPr>
            <w:tcW w:w="5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2．取得子公司及其他营业单位支付的现金和现金等价物</w:t>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929" w:footer="981" w:top="1180" w:bottom="1180" w:left="1460" w:right="0"/>
        </w:sectPr>
      </w:pPr>
    </w:p>
    <w:p>
      <w:pPr>
        <w:spacing w:line="240" w:lineRule="auto" w:before="8"/>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55345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09" w:type="dxa"/>
        <w:tblLayout w:type="fixed"/>
        <w:tblCellMar>
          <w:top w:w="0" w:type="dxa"/>
          <w:left w:w="0" w:type="dxa"/>
          <w:bottom w:w="0" w:type="dxa"/>
          <w:right w:w="0" w:type="dxa"/>
        </w:tblCellMar>
        <w:tblLook w:val="01E0"/>
      </w:tblPr>
      <w:tblGrid>
        <w:gridCol w:w="5424"/>
        <w:gridCol w:w="1769"/>
        <w:gridCol w:w="1870"/>
      </w:tblGrid>
      <w:tr>
        <w:trPr>
          <w:trHeight w:val="550" w:hRule="exact"/>
        </w:trPr>
        <w:tc>
          <w:tcPr>
            <w:tcW w:w="5424" w:type="dxa"/>
            <w:tcBorders>
              <w:top w:val="single" w:sz="12" w:space="0" w:color="000000"/>
              <w:left w:val="nil" w:sz="6" w:space="0" w:color="auto"/>
              <w:bottom w:val="single" w:sz="4" w:space="0" w:color="000000"/>
              <w:right w:val="single" w:sz="4" w:space="0" w:color="000000"/>
            </w:tcBorders>
          </w:tcPr>
          <w:p>
            <w:pPr>
              <w:pStyle w:val="TableParagraph"/>
              <w:tabs>
                <w:tab w:pos="3607" w:val="left" w:leader="none"/>
              </w:tabs>
              <w:spacing w:line="240" w:lineRule="auto" w:before="138"/>
              <w:ind w:left="171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43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left="4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3．取得子公司及其他营业单位支付的现金净额</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2,200,000.00</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spacing w:val="-1"/>
                <w:sz w:val="21"/>
              </w:rPr>
              <w:t>2,000,000.00</w:t>
            </w: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4．取得子公司的净资产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w w:val="100"/>
                <w:sz w:val="21"/>
              </w:rPr>
              <w:t>-</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76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1．处置子公司及其他营业单位的价格</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104,000,000.00</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2．处置子公司及其他营业单位收到的现金和现金等价物</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104,000,000.00</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41,472.46</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1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3．处置子公司及其他营业单位收到的现金净额</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103,958,527.54</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4．处置子公司的净资产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116,875,525.39</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202,899,125.76</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18"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2,770,425.78</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56,418,001.02</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30" w:hRule="exact"/>
        </w:trPr>
        <w:tc>
          <w:tcPr>
            <w:tcW w:w="5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32,376,025.13</w:t>
            </w:r>
          </w:p>
        </w:tc>
        <w:tc>
          <w:tcPr>
            <w:tcW w:w="18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18"/>
          <w:szCs w:val="18"/>
        </w:rPr>
      </w:pPr>
    </w:p>
    <w:p>
      <w:pPr>
        <w:pStyle w:val="BodyText"/>
        <w:spacing w:line="240" w:lineRule="auto" w:before="36"/>
        <w:ind w:left="243" w:right="1354"/>
        <w:jc w:val="left"/>
      </w:pPr>
      <w:r>
        <w:rPr/>
        <w:t>（3）现金和现金等价物</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4490"/>
        <w:gridCol w:w="2184"/>
        <w:gridCol w:w="2059"/>
      </w:tblGrid>
      <w:tr>
        <w:trPr>
          <w:trHeight w:val="550" w:hRule="exact"/>
        </w:trPr>
        <w:tc>
          <w:tcPr>
            <w:tcW w:w="4490" w:type="dxa"/>
            <w:tcBorders>
              <w:top w:val="single" w:sz="12" w:space="0" w:color="000000"/>
              <w:left w:val="nil" w:sz="6" w:space="0" w:color="auto"/>
              <w:bottom w:val="single" w:sz="4" w:space="0" w:color="000000"/>
              <w:right w:val="single" w:sz="4" w:space="0" w:color="000000"/>
            </w:tcBorders>
          </w:tcPr>
          <w:p>
            <w:pPr>
              <w:pStyle w:val="TableParagraph"/>
              <w:tabs>
                <w:tab w:pos="2822" w:val="left" w:leader="none"/>
              </w:tabs>
              <w:spacing w:line="240" w:lineRule="auto" w:before="158"/>
              <w:ind w:left="155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63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left="57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40"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宋体" w:hAnsi="宋体" w:cs="宋体" w:eastAsia="宋体" w:hint="default"/>
                <w:sz w:val="21"/>
                <w:szCs w:val="21"/>
              </w:rPr>
            </w:pPr>
            <w:r>
              <w:rPr>
                <w:rFonts w:ascii="宋体"/>
                <w:spacing w:val="-1"/>
                <w:sz w:val="21"/>
              </w:rPr>
              <w:t>249,817,554.06</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spacing w:val="-1"/>
                <w:sz w:val="21"/>
              </w:rPr>
              <w:t>69,376,699.81</w:t>
            </w:r>
          </w:p>
        </w:tc>
      </w:tr>
      <w:tr>
        <w:trPr>
          <w:trHeight w:val="540"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宋体" w:hAnsi="宋体" w:cs="宋体" w:eastAsia="宋体" w:hint="default"/>
                <w:sz w:val="21"/>
                <w:szCs w:val="21"/>
              </w:rPr>
            </w:pPr>
            <w:r>
              <w:rPr>
                <w:rFonts w:ascii="宋体"/>
                <w:spacing w:val="-1"/>
                <w:sz w:val="21"/>
              </w:rPr>
              <w:t>29,032.83</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spacing w:val="-1"/>
                <w:sz w:val="21"/>
              </w:rPr>
              <w:t>345,893.71</w:t>
            </w:r>
          </w:p>
        </w:tc>
      </w:tr>
      <w:tr>
        <w:trPr>
          <w:trHeight w:val="499"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249,788,521.23</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69,030,806.10</w:t>
            </w:r>
          </w:p>
        </w:tc>
      </w:tr>
      <w:tr>
        <w:trPr>
          <w:trHeight w:val="540"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52" w:hRule="exact"/>
        </w:trPr>
        <w:tc>
          <w:tcPr>
            <w:tcW w:w="4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c>
          <w:tcPr>
            <w:tcW w:w="20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929" w:footer="981" w:top="1180" w:bottom="1180" w:left="1460" w:right="0"/>
        </w:sectPr>
      </w:pPr>
    </w:p>
    <w:p>
      <w:pPr>
        <w:spacing w:line="240" w:lineRule="auto" w:before="8"/>
        <w:rPr>
          <w:rFonts w:ascii="宋体" w:hAnsi="宋体" w:cs="宋体" w:eastAsia="宋体" w:hint="default"/>
          <w:sz w:val="24"/>
          <w:szCs w:val="24"/>
        </w:rPr>
      </w:pPr>
    </w:p>
    <w:tbl>
      <w:tblPr>
        <w:tblW w:w="0" w:type="auto"/>
        <w:jc w:val="left"/>
        <w:tblInd w:w="526" w:type="dxa"/>
        <w:tblLayout w:type="fixed"/>
        <w:tblCellMar>
          <w:top w:w="0" w:type="dxa"/>
          <w:left w:w="0" w:type="dxa"/>
          <w:bottom w:w="0" w:type="dxa"/>
          <w:right w:w="0" w:type="dxa"/>
        </w:tblCellMar>
        <w:tblLook w:val="01E0"/>
      </w:tblPr>
      <w:tblGrid>
        <w:gridCol w:w="4490"/>
        <w:gridCol w:w="2184"/>
        <w:gridCol w:w="2059"/>
      </w:tblGrid>
      <w:tr>
        <w:trPr>
          <w:trHeight w:val="550" w:hRule="exact"/>
        </w:trPr>
        <w:tc>
          <w:tcPr>
            <w:tcW w:w="44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w w:val="100"/>
                <w:sz w:val="21"/>
              </w:rPr>
              <w:t>-</w:t>
            </w:r>
          </w:p>
        </w:tc>
        <w:tc>
          <w:tcPr>
            <w:tcW w:w="20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w w:val="100"/>
                <w:sz w:val="21"/>
              </w:rPr>
              <w:t>-</w:t>
            </w:r>
          </w:p>
        </w:tc>
      </w:tr>
      <w:tr>
        <w:trPr>
          <w:trHeight w:val="540"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宋体" w:hAnsi="宋体" w:cs="宋体" w:eastAsia="宋体" w:hint="default"/>
                <w:sz w:val="21"/>
                <w:szCs w:val="21"/>
              </w:rPr>
            </w:pPr>
            <w:r>
              <w:rPr>
                <w:rFonts w:ascii="宋体"/>
                <w:spacing w:val="-1"/>
                <w:sz w:val="21"/>
              </w:rPr>
              <w:t>249,817,554.06</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宋体"/>
                <w:spacing w:val="-1"/>
                <w:sz w:val="21"/>
              </w:rPr>
              <w:t>69,376,699.81</w:t>
            </w:r>
          </w:p>
        </w:tc>
      </w:tr>
      <w:tr>
        <w:trPr>
          <w:trHeight w:val="758" w:hRule="exact"/>
        </w:trPr>
        <w:tc>
          <w:tcPr>
            <w:tcW w:w="4490"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82"/>
              <w:ind w:left="122" w:right="98"/>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金和现金等价物</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20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28"/>
          <w:szCs w:val="28"/>
        </w:rPr>
      </w:pPr>
    </w:p>
    <w:p>
      <w:pPr>
        <w:pStyle w:val="Heading3"/>
        <w:spacing w:line="240" w:lineRule="auto" w:before="26"/>
        <w:ind w:left="649" w:right="7535"/>
        <w:jc w:val="center"/>
      </w:pPr>
      <w:r>
        <w:rPr/>
        <w:t>六、关联方关系及其交易</w:t>
      </w:r>
    </w:p>
    <w:p>
      <w:pPr>
        <w:spacing w:line="240" w:lineRule="auto" w:before="8"/>
        <w:rPr>
          <w:rFonts w:ascii="宋体" w:hAnsi="宋体" w:cs="宋体" w:eastAsia="宋体" w:hint="default"/>
          <w:sz w:val="25"/>
          <w:szCs w:val="25"/>
        </w:rPr>
      </w:pPr>
    </w:p>
    <w:p>
      <w:pPr>
        <w:pStyle w:val="BodyText"/>
        <w:spacing w:line="240" w:lineRule="auto"/>
        <w:ind w:left="649" w:right="7340"/>
        <w:jc w:val="center"/>
      </w:pPr>
      <w:r>
        <w:rPr/>
        <w:t>1、公司的母公司情况</w:t>
      </w:r>
    </w:p>
    <w:p>
      <w:pPr>
        <w:spacing w:line="240" w:lineRule="auto" w:before="1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943"/>
        <w:gridCol w:w="958"/>
        <w:gridCol w:w="2875"/>
        <w:gridCol w:w="878"/>
        <w:gridCol w:w="756"/>
        <w:gridCol w:w="845"/>
        <w:gridCol w:w="847"/>
        <w:gridCol w:w="751"/>
        <w:gridCol w:w="1116"/>
      </w:tblGrid>
      <w:tr>
        <w:trPr>
          <w:trHeight w:val="1030" w:hRule="exact"/>
        </w:trPr>
        <w:tc>
          <w:tcPr>
            <w:tcW w:w="9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4" w:lineRule="auto"/>
              <w:ind w:left="297" w:right="191" w:hanging="92"/>
              <w:jc w:val="left"/>
              <w:rPr>
                <w:rFonts w:ascii="宋体" w:hAnsi="宋体" w:cs="宋体" w:eastAsia="宋体" w:hint="default"/>
                <w:sz w:val="18"/>
                <w:szCs w:val="18"/>
              </w:rPr>
            </w:pPr>
            <w:r>
              <w:rPr>
                <w:rFonts w:ascii="宋体" w:hAnsi="宋体" w:cs="宋体" w:eastAsia="宋体" w:hint="default"/>
                <w:sz w:val="18"/>
                <w:szCs w:val="18"/>
              </w:rPr>
              <w:t>母公司 名称</w:t>
            </w:r>
          </w:p>
        </w:tc>
        <w:tc>
          <w:tcPr>
            <w:tcW w:w="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8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5" w:lineRule="auto"/>
              <w:ind w:left="160" w:right="167" w:firstLine="91"/>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7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5" w:lineRule="auto"/>
              <w:ind w:left="192" w:right="19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5" w:lineRule="auto"/>
              <w:ind w:left="237" w:right="2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7" w:type="dxa"/>
            <w:tcBorders>
              <w:top w:val="single" w:sz="12" w:space="0" w:color="000000"/>
              <w:left w:val="single" w:sz="4" w:space="0" w:color="000000"/>
              <w:bottom w:val="single" w:sz="4" w:space="0" w:color="000000"/>
              <w:right w:val="single" w:sz="4" w:space="0" w:color="000000"/>
            </w:tcBorders>
          </w:tcPr>
          <w:p>
            <w:pPr>
              <w:pStyle w:val="TableParagraph"/>
              <w:spacing w:line="242" w:lineRule="auto" w:before="101"/>
              <w:ind w:left="148" w:right="146"/>
              <w:jc w:val="both"/>
              <w:rPr>
                <w:rFonts w:ascii="宋体" w:hAnsi="宋体" w:cs="宋体" w:eastAsia="宋体" w:hint="default"/>
                <w:sz w:val="18"/>
                <w:szCs w:val="18"/>
              </w:rPr>
            </w:pPr>
            <w:r>
              <w:rPr>
                <w:rFonts w:ascii="宋体" w:hAnsi="宋体" w:cs="宋体" w:eastAsia="宋体" w:hint="default"/>
                <w:sz w:val="18"/>
                <w:szCs w:val="18"/>
              </w:rPr>
              <w:t>享有的 表决权 比例</w:t>
            </w:r>
          </w:p>
        </w:tc>
        <w:tc>
          <w:tcPr>
            <w:tcW w:w="751"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2"/>
              <w:ind w:left="189" w:right="191"/>
              <w:jc w:val="left"/>
              <w:rPr>
                <w:rFonts w:ascii="宋体" w:hAnsi="宋体" w:cs="宋体" w:eastAsia="宋体" w:hint="default"/>
                <w:sz w:val="18"/>
                <w:szCs w:val="18"/>
              </w:rPr>
            </w:pPr>
            <w:r>
              <w:rPr>
                <w:rFonts w:ascii="宋体" w:hAnsi="宋体" w:cs="宋体" w:eastAsia="宋体" w:hint="default"/>
                <w:sz w:val="18"/>
                <w:szCs w:val="18"/>
              </w:rPr>
              <w:t>公司 最终</w:t>
            </w:r>
          </w:p>
          <w:p>
            <w:pPr>
              <w:pStyle w:val="TableParagraph"/>
              <w:spacing w:line="238" w:lineRule="exact" w:before="1"/>
              <w:ind w:left="278" w:right="191" w:hanging="89"/>
              <w:jc w:val="left"/>
              <w:rPr>
                <w:rFonts w:ascii="宋体" w:hAnsi="宋体" w:cs="宋体" w:eastAsia="宋体" w:hint="default"/>
                <w:sz w:val="18"/>
                <w:szCs w:val="18"/>
              </w:rPr>
            </w:pPr>
            <w:r>
              <w:rPr>
                <w:rFonts w:ascii="宋体" w:hAnsi="宋体" w:cs="宋体" w:eastAsia="宋体" w:hint="default"/>
                <w:sz w:val="18"/>
                <w:szCs w:val="18"/>
              </w:rPr>
              <w:t>控制 方</w:t>
            </w:r>
          </w:p>
        </w:tc>
        <w:tc>
          <w:tcPr>
            <w:tcW w:w="11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95" w:lineRule="auto"/>
              <w:ind w:left="371" w:right="19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48" w:hRule="exact"/>
        </w:trPr>
        <w:tc>
          <w:tcPr>
            <w:tcW w:w="943" w:type="dxa"/>
            <w:tcBorders>
              <w:top w:val="single" w:sz="4" w:space="0" w:color="000000"/>
              <w:left w:val="nil" w:sz="6" w:space="0" w:color="auto"/>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28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2"/>
                <w:sz w:val="18"/>
                <w:szCs w:val="18"/>
              </w:rPr>
              <w:t>地</w:t>
            </w:r>
            <w:r>
              <w:rPr>
                <w:rFonts w:ascii="宋体" w:hAnsi="宋体" w:cs="宋体" w:eastAsia="宋体" w:hint="default"/>
                <w:spacing w:val="4"/>
                <w:sz w:val="18"/>
                <w:szCs w:val="18"/>
              </w:rPr>
              <w:t>产</w:t>
            </w:r>
            <w:r>
              <w:rPr>
                <w:rFonts w:ascii="宋体" w:hAnsi="宋体" w:cs="宋体" w:eastAsia="宋体" w:hint="default"/>
                <w:spacing w:val="2"/>
                <w:sz w:val="18"/>
                <w:szCs w:val="18"/>
              </w:rPr>
              <w:t>开</w:t>
            </w:r>
            <w:r>
              <w:rPr>
                <w:rFonts w:ascii="宋体" w:hAnsi="宋体" w:cs="宋体" w:eastAsia="宋体" w:hint="default"/>
                <w:spacing w:val="4"/>
                <w:sz w:val="18"/>
                <w:szCs w:val="18"/>
              </w:rPr>
              <w:t>发</w:t>
            </w:r>
            <w:r>
              <w:rPr>
                <w:rFonts w:ascii="宋体" w:hAnsi="宋体" w:cs="宋体" w:eastAsia="宋体" w:hint="default"/>
                <w:spacing w:val="2"/>
                <w:sz w:val="18"/>
                <w:szCs w:val="18"/>
              </w:rPr>
              <w:t>经</w:t>
            </w:r>
            <w:r>
              <w:rPr>
                <w:rFonts w:ascii="宋体" w:hAnsi="宋体" w:cs="宋体" w:eastAsia="宋体" w:hint="default"/>
                <w:spacing w:val="4"/>
                <w:sz w:val="18"/>
                <w:szCs w:val="18"/>
              </w:rPr>
              <w:t>营</w:t>
            </w:r>
            <w:r>
              <w:rPr>
                <w:rFonts w:ascii="宋体" w:hAnsi="宋体" w:cs="宋体" w:eastAsia="宋体" w:hint="default"/>
                <w:spacing w:val="2"/>
                <w:sz w:val="18"/>
                <w:szCs w:val="18"/>
              </w:rPr>
              <w:t>（</w:t>
            </w:r>
            <w:r>
              <w:rPr>
                <w:rFonts w:ascii="宋体" w:hAnsi="宋体" w:cs="宋体" w:eastAsia="宋体" w:hint="default"/>
                <w:spacing w:val="4"/>
                <w:sz w:val="18"/>
                <w:szCs w:val="18"/>
              </w:rPr>
              <w:t>二</w:t>
            </w:r>
            <w:r>
              <w:rPr>
                <w:rFonts w:ascii="宋体" w:hAnsi="宋体" w:cs="宋体" w:eastAsia="宋体" w:hint="default"/>
                <w:spacing w:val="2"/>
                <w:sz w:val="18"/>
                <w:szCs w:val="18"/>
              </w:rPr>
              <w:t>级</w:t>
            </w:r>
            <w:r>
              <w:rPr>
                <w:rFonts w:ascii="宋体" w:hAnsi="宋体" w:cs="宋体" w:eastAsia="宋体" w:hint="default"/>
                <w:spacing w:val="-87"/>
                <w:sz w:val="18"/>
                <w:szCs w:val="18"/>
              </w:rPr>
              <w:t>）</w:t>
            </w:r>
            <w:r>
              <w:rPr>
                <w:rFonts w:ascii="宋体" w:hAnsi="宋体" w:cs="宋体" w:eastAsia="宋体" w:hint="default"/>
                <w:spacing w:val="4"/>
                <w:sz w:val="18"/>
                <w:szCs w:val="18"/>
              </w:rPr>
              <w:t>。</w:t>
            </w:r>
            <w:r>
              <w:rPr>
                <w:rFonts w:ascii="宋体" w:hAnsi="宋体" w:cs="宋体" w:eastAsia="宋体" w:hint="default"/>
                <w:spacing w:val="2"/>
                <w:sz w:val="18"/>
                <w:szCs w:val="18"/>
              </w:rPr>
              <w:t>物业</w:t>
            </w:r>
            <w:r>
              <w:rPr>
                <w:rFonts w:ascii="宋体" w:hAnsi="宋体" w:cs="宋体" w:eastAsia="宋体" w:hint="default"/>
                <w:sz w:val="18"/>
                <w:szCs w:val="18"/>
              </w:rPr>
              <w:t>管</w:t>
            </w:r>
          </w:p>
        </w:tc>
        <w:tc>
          <w:tcPr>
            <w:tcW w:w="878"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847" w:type="dxa"/>
            <w:tcBorders>
              <w:top w:val="single" w:sz="4" w:space="0" w:color="000000"/>
              <w:left w:val="single" w:sz="4" w:space="0" w:color="000000"/>
              <w:bottom w:val="nil" w:sz="6" w:space="0" w:color="auto"/>
              <w:right w:val="single" w:sz="4" w:space="0" w:color="000000"/>
            </w:tcBorders>
          </w:tcPr>
          <w:p>
            <w:pPr/>
          </w:p>
        </w:tc>
        <w:tc>
          <w:tcPr>
            <w:tcW w:w="751"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943" w:type="dxa"/>
            <w:tcBorders>
              <w:top w:val="nil" w:sz="6" w:space="0" w:color="auto"/>
              <w:left w:val="nil" w:sz="6" w:space="0" w:color="auto"/>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广州市天</w:t>
            </w:r>
          </w:p>
        </w:tc>
        <w:tc>
          <w:tcPr>
            <w:tcW w:w="2875"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理。实业投资开发，高科技产品开</w:t>
            </w:r>
          </w:p>
        </w:tc>
        <w:tc>
          <w:tcPr>
            <w:tcW w:w="878"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751"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720" w:hRule="exact"/>
        </w:trPr>
        <w:tc>
          <w:tcPr>
            <w:tcW w:w="943" w:type="dxa"/>
            <w:tcBorders>
              <w:top w:val="nil" w:sz="6" w:space="0" w:color="auto"/>
              <w:left w:val="nil" w:sz="6" w:space="0" w:color="auto"/>
              <w:bottom w:val="nil" w:sz="6" w:space="0" w:color="auto"/>
              <w:right w:val="single" w:sz="4" w:space="0" w:color="000000"/>
            </w:tcBorders>
          </w:tcPr>
          <w:p>
            <w:pPr>
              <w:pStyle w:val="TableParagraph"/>
              <w:spacing w:line="210" w:lineRule="exact"/>
              <w:ind w:left="208" w:right="0"/>
              <w:jc w:val="left"/>
              <w:rPr>
                <w:rFonts w:ascii="宋体" w:hAnsi="宋体" w:cs="宋体" w:eastAsia="宋体" w:hint="default"/>
                <w:sz w:val="18"/>
                <w:szCs w:val="18"/>
              </w:rPr>
            </w:pPr>
            <w:r>
              <w:rPr>
                <w:rFonts w:ascii="宋体" w:hAnsi="宋体" w:cs="宋体" w:eastAsia="宋体" w:hint="default"/>
                <w:sz w:val="18"/>
                <w:szCs w:val="18"/>
              </w:rPr>
              <w:t>天伦控</w:t>
            </w:r>
          </w:p>
          <w:p>
            <w:pPr>
              <w:pStyle w:val="TableParagraph"/>
              <w:spacing w:line="244" w:lineRule="auto" w:before="4"/>
              <w:ind w:left="297" w:right="187" w:hanging="89"/>
              <w:jc w:val="left"/>
              <w:rPr>
                <w:rFonts w:ascii="宋体" w:hAnsi="宋体" w:cs="宋体" w:eastAsia="宋体" w:hint="default"/>
                <w:sz w:val="18"/>
                <w:szCs w:val="18"/>
              </w:rPr>
            </w:pPr>
            <w:r>
              <w:rPr>
                <w:rFonts w:ascii="宋体" w:hAnsi="宋体" w:cs="宋体" w:eastAsia="宋体" w:hint="default"/>
                <w:sz w:val="18"/>
                <w:szCs w:val="18"/>
              </w:rPr>
              <w:t>股有限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河区林和</w:t>
            </w:r>
          </w:p>
          <w:p>
            <w:pPr>
              <w:pStyle w:val="TableParagraph"/>
              <w:spacing w:line="244" w:lineRule="auto" w:before="4"/>
              <w:ind w:left="103" w:right="101"/>
              <w:jc w:val="left"/>
              <w:rPr>
                <w:rFonts w:ascii="宋体" w:hAnsi="宋体" w:cs="宋体" w:eastAsia="宋体" w:hint="default"/>
                <w:sz w:val="18"/>
                <w:szCs w:val="18"/>
              </w:rPr>
            </w:pPr>
            <w:r>
              <w:rPr>
                <w:rFonts w:ascii="宋体" w:hAnsi="宋体" w:cs="宋体" w:eastAsia="宋体" w:hint="default"/>
                <w:spacing w:val="4"/>
                <w:sz w:val="18"/>
                <w:szCs w:val="18"/>
              </w:rPr>
              <w:t>中路</w:t>
            </w:r>
            <w:r>
              <w:rPr>
                <w:rFonts w:ascii="宋体" w:hAnsi="宋体" w:cs="宋体" w:eastAsia="宋体" w:hint="default"/>
                <w:spacing w:val="12"/>
                <w:sz w:val="18"/>
                <w:szCs w:val="18"/>
              </w:rPr>
              <w:t> </w:t>
            </w:r>
            <w:r>
              <w:rPr>
                <w:rFonts w:ascii="宋体" w:hAnsi="宋体" w:cs="宋体" w:eastAsia="宋体" w:hint="default"/>
                <w:sz w:val="18"/>
                <w:szCs w:val="18"/>
              </w:rPr>
              <w:t>168</w:t>
            </w:r>
            <w:r>
              <w:rPr>
                <w:rFonts w:ascii="宋体" w:hAnsi="宋体" w:cs="宋体" w:eastAsia="宋体" w:hint="default"/>
                <w:sz w:val="18"/>
                <w:szCs w:val="18"/>
              </w:rPr>
              <w:t> </w:t>
            </w:r>
            <w:r>
              <w:rPr>
                <w:rFonts w:ascii="宋体" w:hAnsi="宋体" w:cs="宋体" w:eastAsia="宋体" w:hint="default"/>
                <w:spacing w:val="5"/>
                <w:sz w:val="18"/>
                <w:szCs w:val="18"/>
              </w:rPr>
              <w:t>号明林大</w:t>
            </w:r>
          </w:p>
        </w:tc>
        <w:tc>
          <w:tcPr>
            <w:tcW w:w="2875"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发。场地出租（限于天河区林和中</w:t>
            </w:r>
          </w:p>
          <w:p>
            <w:pPr>
              <w:pStyle w:val="TableParagraph"/>
              <w:spacing w:line="244" w:lineRule="auto" w:before="4"/>
              <w:ind w:left="103" w:right="7"/>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18"/>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5</w:t>
            </w:r>
            <w:r>
              <w:rPr>
                <w:rFonts w:ascii="宋体" w:hAnsi="宋体" w:cs="宋体" w:eastAsia="宋体" w:hint="default"/>
                <w:sz w:val="18"/>
                <w:szCs w:val="18"/>
              </w:rPr>
              <w:t>6</w:t>
            </w:r>
            <w:r>
              <w:rPr>
                <w:rFonts w:ascii="宋体" w:hAnsi="宋体" w:cs="宋体" w:eastAsia="宋体" w:hint="default"/>
                <w:spacing w:val="-2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。销售：金属材料（贵</w:t>
            </w:r>
            <w:r>
              <w:rPr>
                <w:rFonts w:ascii="宋体" w:hAnsi="宋体" w:cs="宋体" w:eastAsia="宋体" w:hint="default"/>
                <w:sz w:val="18"/>
                <w:szCs w:val="18"/>
              </w:rPr>
              <w:t> 金属除</w:t>
            </w:r>
            <w:r>
              <w:rPr>
                <w:rFonts w:ascii="宋体" w:hAnsi="宋体" w:cs="宋体" w:eastAsia="宋体" w:hint="default"/>
                <w:spacing w:val="2"/>
                <w:sz w:val="18"/>
                <w:szCs w:val="18"/>
              </w:rPr>
              <w:t>外</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建筑材料</w:t>
            </w:r>
            <w:r>
              <w:rPr>
                <w:rFonts w:ascii="宋体" w:hAnsi="宋体" w:cs="宋体" w:eastAsia="宋体" w:hint="default"/>
                <w:spacing w:val="-20"/>
                <w:sz w:val="18"/>
                <w:szCs w:val="18"/>
              </w:rPr>
              <w:t>、</w:t>
            </w:r>
            <w:r>
              <w:rPr>
                <w:rFonts w:ascii="宋体" w:hAnsi="宋体" w:cs="宋体" w:eastAsia="宋体" w:hint="default"/>
                <w:sz w:val="18"/>
                <w:szCs w:val="18"/>
              </w:rPr>
              <w:t>机电</w:t>
            </w:r>
            <w:r>
              <w:rPr>
                <w:rFonts w:ascii="宋体" w:hAnsi="宋体" w:cs="宋体" w:eastAsia="宋体" w:hint="default"/>
                <w:spacing w:val="-3"/>
                <w:sz w:val="18"/>
                <w:szCs w:val="18"/>
              </w:rPr>
              <w:t>设</w:t>
            </w:r>
            <w:r>
              <w:rPr>
                <w:rFonts w:ascii="宋体" w:hAnsi="宋体" w:cs="宋体" w:eastAsia="宋体" w:hint="default"/>
                <w:spacing w:val="2"/>
                <w:sz w:val="18"/>
                <w:szCs w:val="18"/>
              </w:rPr>
              <w:t>备</w:t>
            </w:r>
            <w:r>
              <w:rPr>
                <w:rFonts w:ascii="宋体" w:hAnsi="宋体" w:cs="宋体" w:eastAsia="宋体" w:hint="default"/>
                <w:sz w:val="18"/>
                <w:szCs w:val="18"/>
              </w:rPr>
              <w:t>、</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许环曜</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sz w:val="18"/>
              </w:rPr>
              <w:t>25,000</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万</w:t>
            </w: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26.635%</w:t>
            </w:r>
          </w:p>
        </w:tc>
        <w:tc>
          <w:tcPr>
            <w:tcW w:w="8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26.635%</w:t>
            </w:r>
          </w:p>
        </w:tc>
        <w:tc>
          <w:tcPr>
            <w:tcW w:w="751"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278" w:right="191" w:hanging="89"/>
              <w:jc w:val="left"/>
              <w:rPr>
                <w:rFonts w:ascii="宋体" w:hAnsi="宋体" w:cs="宋体" w:eastAsia="宋体" w:hint="default"/>
                <w:sz w:val="18"/>
                <w:szCs w:val="18"/>
              </w:rPr>
            </w:pPr>
            <w:r>
              <w:rPr>
                <w:rFonts w:ascii="宋体" w:hAnsi="宋体" w:cs="宋体" w:eastAsia="宋体" w:hint="default"/>
                <w:sz w:val="18"/>
                <w:szCs w:val="18"/>
              </w:rPr>
              <w:t>张国 明</w:t>
            </w:r>
          </w:p>
        </w:tc>
        <w:tc>
          <w:tcPr>
            <w:tcW w:w="111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12697697-3</w:t>
            </w:r>
          </w:p>
        </w:tc>
      </w:tr>
      <w:tr>
        <w:trPr>
          <w:trHeight w:val="240" w:hRule="exact"/>
        </w:trPr>
        <w:tc>
          <w:tcPr>
            <w:tcW w:w="943" w:type="dxa"/>
            <w:tcBorders>
              <w:top w:val="nil" w:sz="6" w:space="0" w:color="auto"/>
              <w:left w:val="nil" w:sz="6" w:space="0" w:color="auto"/>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楼</w:t>
            </w:r>
          </w:p>
        </w:tc>
        <w:tc>
          <w:tcPr>
            <w:tcW w:w="2875"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日用百货、五金、交电、电子计算</w:t>
            </w:r>
          </w:p>
        </w:tc>
        <w:tc>
          <w:tcPr>
            <w:tcW w:w="878"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
        </w:tc>
        <w:tc>
          <w:tcPr>
            <w:tcW w:w="847" w:type="dxa"/>
            <w:tcBorders>
              <w:top w:val="nil" w:sz="6" w:space="0" w:color="auto"/>
              <w:left w:val="single" w:sz="4" w:space="0" w:color="000000"/>
              <w:bottom w:val="nil" w:sz="6" w:space="0" w:color="auto"/>
              <w:right w:val="single" w:sz="4" w:space="0" w:color="000000"/>
            </w:tcBorders>
          </w:tcPr>
          <w:p>
            <w:pPr/>
          </w:p>
        </w:tc>
        <w:tc>
          <w:tcPr>
            <w:tcW w:w="751"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nil" w:sz="6" w:space="0" w:color="auto"/>
            </w:tcBorders>
          </w:tcPr>
          <w:p>
            <w:pPr/>
          </w:p>
        </w:tc>
      </w:tr>
      <w:tr>
        <w:trPr>
          <w:trHeight w:val="345" w:hRule="exact"/>
        </w:trPr>
        <w:tc>
          <w:tcPr>
            <w:tcW w:w="943" w:type="dxa"/>
            <w:tcBorders>
              <w:top w:val="nil" w:sz="6" w:space="0" w:color="auto"/>
              <w:left w:val="nil" w:sz="6" w:space="0" w:color="auto"/>
              <w:bottom w:val="single" w:sz="12" w:space="0" w:color="000000"/>
              <w:right w:val="single" w:sz="4" w:space="0" w:color="000000"/>
            </w:tcBorders>
          </w:tcPr>
          <w:p>
            <w:pPr/>
          </w:p>
        </w:tc>
        <w:tc>
          <w:tcPr>
            <w:tcW w:w="958" w:type="dxa"/>
            <w:tcBorders>
              <w:top w:val="nil" w:sz="6" w:space="0" w:color="auto"/>
              <w:left w:val="single" w:sz="4" w:space="0" w:color="000000"/>
              <w:bottom w:val="single" w:sz="12" w:space="0" w:color="000000"/>
              <w:right w:val="single" w:sz="4" w:space="0" w:color="000000"/>
            </w:tcBorders>
          </w:tcPr>
          <w:p>
            <w:pPr/>
          </w:p>
        </w:tc>
        <w:tc>
          <w:tcPr>
            <w:tcW w:w="2875" w:type="dxa"/>
            <w:tcBorders>
              <w:top w:val="nil" w:sz="6" w:space="0" w:color="auto"/>
              <w:left w:val="single" w:sz="4" w:space="0" w:color="000000"/>
              <w:bottom w:val="single" w:sz="12"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机及配件、办公自动化设备。</w:t>
            </w:r>
          </w:p>
        </w:tc>
        <w:tc>
          <w:tcPr>
            <w:tcW w:w="878" w:type="dxa"/>
            <w:tcBorders>
              <w:top w:val="nil" w:sz="6" w:space="0" w:color="auto"/>
              <w:left w:val="single" w:sz="4" w:space="0" w:color="000000"/>
              <w:bottom w:val="single" w:sz="12" w:space="0" w:color="000000"/>
              <w:right w:val="single" w:sz="4" w:space="0" w:color="000000"/>
            </w:tcBorders>
          </w:tcPr>
          <w:p>
            <w:pPr/>
          </w:p>
        </w:tc>
        <w:tc>
          <w:tcPr>
            <w:tcW w:w="756" w:type="dxa"/>
            <w:tcBorders>
              <w:top w:val="nil" w:sz="6" w:space="0" w:color="auto"/>
              <w:left w:val="single" w:sz="4" w:space="0" w:color="000000"/>
              <w:bottom w:val="single" w:sz="12" w:space="0" w:color="000000"/>
              <w:right w:val="single" w:sz="4" w:space="0" w:color="000000"/>
            </w:tcBorders>
          </w:tcPr>
          <w:p>
            <w:pPr/>
          </w:p>
        </w:tc>
        <w:tc>
          <w:tcPr>
            <w:tcW w:w="845" w:type="dxa"/>
            <w:tcBorders>
              <w:top w:val="nil" w:sz="6" w:space="0" w:color="auto"/>
              <w:left w:val="single" w:sz="4" w:space="0" w:color="000000"/>
              <w:bottom w:val="single" w:sz="12" w:space="0" w:color="000000"/>
              <w:right w:val="single" w:sz="4" w:space="0" w:color="000000"/>
            </w:tcBorders>
          </w:tcPr>
          <w:p>
            <w:pPr/>
          </w:p>
        </w:tc>
        <w:tc>
          <w:tcPr>
            <w:tcW w:w="847" w:type="dxa"/>
            <w:tcBorders>
              <w:top w:val="nil" w:sz="6" w:space="0" w:color="auto"/>
              <w:left w:val="single" w:sz="4" w:space="0" w:color="000000"/>
              <w:bottom w:val="single" w:sz="12" w:space="0" w:color="000000"/>
              <w:right w:val="single" w:sz="4" w:space="0" w:color="000000"/>
            </w:tcBorders>
          </w:tcPr>
          <w:p>
            <w:pPr/>
          </w:p>
        </w:tc>
        <w:tc>
          <w:tcPr>
            <w:tcW w:w="751" w:type="dxa"/>
            <w:tcBorders>
              <w:top w:val="nil" w:sz="6" w:space="0" w:color="auto"/>
              <w:left w:val="single" w:sz="4" w:space="0" w:color="000000"/>
              <w:bottom w:val="single" w:sz="12" w:space="0" w:color="000000"/>
              <w:right w:val="single" w:sz="4" w:space="0" w:color="000000"/>
            </w:tcBorders>
          </w:tcPr>
          <w:p>
            <w:pPr/>
          </w:p>
        </w:tc>
        <w:tc>
          <w:tcPr>
            <w:tcW w:w="1116" w:type="dxa"/>
            <w:tcBorders>
              <w:top w:val="nil" w:sz="6" w:space="0" w:color="auto"/>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8"/>
          <w:szCs w:val="18"/>
        </w:rPr>
      </w:pPr>
    </w:p>
    <w:p>
      <w:pPr>
        <w:pStyle w:val="BodyText"/>
        <w:spacing w:line="240" w:lineRule="auto" w:before="36"/>
        <w:ind w:left="1083" w:right="0"/>
        <w:jc w:val="left"/>
      </w:pPr>
      <w:r>
        <w:rPr/>
        <w:pict>
          <v:shape style="position:absolute;margin-left:103.08847pt;margin-top:-91.238052pt;width:392.95pt;height:64.3pt;mso-position-horizontal-relative:page;mso-position-vertical-relative:paragraph;z-index:-553432;rotation:315" type="#_x0000_t136" fillcolor="#e0e0e0" stroked="f">
            <o:extrusion v:ext="view" autorotationcenter="t"/>
            <v:textpath style="font-family:&amp;quot;Arial&amp;quot;;font-size:64pt;v-text-kern:t;mso-text-shadow:auto" string="UnRegistered"/>
            <w10:wrap type="none"/>
          </v:shape>
        </w:pict>
      </w:r>
      <w:r>
        <w:rPr/>
        <w:t>2、公司的子公司情况</w:t>
      </w:r>
    </w:p>
    <w:p>
      <w:pPr>
        <w:spacing w:line="240" w:lineRule="auto" w:before="8"/>
        <w:rPr>
          <w:rFonts w:ascii="宋体" w:hAnsi="宋体" w:cs="宋体" w:eastAsia="宋体" w:hint="default"/>
          <w:sz w:val="16"/>
          <w:szCs w:val="16"/>
        </w:rPr>
      </w:pPr>
    </w:p>
    <w:tbl>
      <w:tblPr>
        <w:tblW w:w="0" w:type="auto"/>
        <w:jc w:val="left"/>
        <w:tblInd w:w="152" w:type="dxa"/>
        <w:tblLayout w:type="fixed"/>
        <w:tblCellMar>
          <w:top w:w="0" w:type="dxa"/>
          <w:left w:w="0" w:type="dxa"/>
          <w:bottom w:w="0" w:type="dxa"/>
          <w:right w:w="0" w:type="dxa"/>
        </w:tblCellMar>
        <w:tblLook w:val="01E0"/>
      </w:tblPr>
      <w:tblGrid>
        <w:gridCol w:w="1589"/>
        <w:gridCol w:w="763"/>
        <w:gridCol w:w="782"/>
        <w:gridCol w:w="766"/>
        <w:gridCol w:w="1918"/>
        <w:gridCol w:w="888"/>
        <w:gridCol w:w="756"/>
        <w:gridCol w:w="907"/>
        <w:gridCol w:w="1116"/>
      </w:tblGrid>
      <w:tr>
        <w:trPr>
          <w:trHeight w:val="931" w:hRule="exact"/>
        </w:trPr>
        <w:tc>
          <w:tcPr>
            <w:tcW w:w="15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2"/>
              <w:ind w:left="350"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55"/>
              <w:ind w:left="439"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2" w:lineRule="auto"/>
              <w:ind w:left="194" w:right="101"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66" w:type="dxa"/>
            <w:tcBorders>
              <w:top w:val="single" w:sz="12" w:space="0" w:color="000000"/>
              <w:left w:val="single" w:sz="6" w:space="0" w:color="000000"/>
              <w:bottom w:val="single" w:sz="6" w:space="0" w:color="000000"/>
              <w:right w:val="single" w:sz="6" w:space="0" w:color="000000"/>
            </w:tcBorders>
          </w:tcPr>
          <w:p>
            <w:pPr>
              <w:pStyle w:val="TableParagraph"/>
              <w:spacing w:line="295" w:lineRule="auto" w:before="142"/>
              <w:ind w:left="103" w:right="107" w:firstLine="91"/>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9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88" w:type="dxa"/>
            <w:tcBorders>
              <w:top w:val="single" w:sz="12" w:space="0" w:color="000000"/>
              <w:left w:val="single" w:sz="6" w:space="0" w:color="000000"/>
              <w:bottom w:val="single" w:sz="6" w:space="0" w:color="000000"/>
              <w:right w:val="single" w:sz="6" w:space="0" w:color="000000"/>
            </w:tcBorders>
          </w:tcPr>
          <w:p>
            <w:pPr>
              <w:pStyle w:val="TableParagraph"/>
              <w:spacing w:line="295" w:lineRule="auto" w:before="142"/>
              <w:ind w:left="254" w:right="25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2" w:lineRule="auto"/>
              <w:ind w:left="278" w:right="98" w:hanging="178"/>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7" w:type="dxa"/>
            <w:tcBorders>
              <w:top w:val="single" w:sz="12" w:space="0" w:color="000000"/>
              <w:left w:val="single" w:sz="6" w:space="0" w:color="000000"/>
              <w:bottom w:val="single" w:sz="6" w:space="0" w:color="000000"/>
              <w:right w:val="single" w:sz="6" w:space="0" w:color="000000"/>
            </w:tcBorders>
          </w:tcPr>
          <w:p>
            <w:pPr>
              <w:pStyle w:val="TableParagraph"/>
              <w:spacing w:line="242" w:lineRule="auto" w:before="51"/>
              <w:ind w:left="175" w:right="175"/>
              <w:jc w:val="both"/>
              <w:rPr>
                <w:rFonts w:ascii="宋体" w:hAnsi="宋体" w:cs="宋体" w:eastAsia="宋体" w:hint="default"/>
                <w:sz w:val="18"/>
                <w:szCs w:val="18"/>
              </w:rPr>
            </w:pPr>
            <w:r>
              <w:rPr>
                <w:rFonts w:ascii="宋体" w:hAnsi="宋体" w:cs="宋体" w:eastAsia="宋体" w:hint="default"/>
                <w:sz w:val="18"/>
                <w:szCs w:val="18"/>
              </w:rPr>
              <w:t>享有的 表决权 比例</w:t>
            </w:r>
          </w:p>
        </w:tc>
        <w:tc>
          <w:tcPr>
            <w:tcW w:w="1116" w:type="dxa"/>
            <w:tcBorders>
              <w:top w:val="single" w:sz="12" w:space="0" w:color="000000"/>
              <w:left w:val="single" w:sz="6" w:space="0" w:color="000000"/>
              <w:bottom w:val="single" w:sz="6" w:space="0" w:color="000000"/>
              <w:right w:val="nil" w:sz="6" w:space="0" w:color="auto"/>
            </w:tcBorders>
          </w:tcPr>
          <w:p>
            <w:pPr>
              <w:pStyle w:val="TableParagraph"/>
              <w:spacing w:line="295" w:lineRule="auto" w:before="142"/>
              <w:ind w:left="369" w:right="19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68" w:hRule="exact"/>
        </w:trPr>
        <w:tc>
          <w:tcPr>
            <w:tcW w:w="1589" w:type="dxa"/>
            <w:tcBorders>
              <w:top w:val="single" w:sz="6" w:space="0" w:color="000000"/>
              <w:left w:val="nil" w:sz="6" w:space="0" w:color="auto"/>
              <w:bottom w:val="nil" w:sz="6" w:space="0" w:color="auto"/>
              <w:right w:val="single" w:sz="6" w:space="0" w:color="000000"/>
            </w:tcBorders>
          </w:tcPr>
          <w:p>
            <w:pPr/>
          </w:p>
        </w:tc>
        <w:tc>
          <w:tcPr>
            <w:tcW w:w="763"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66" w:type="dxa"/>
            <w:tcBorders>
              <w:top w:val="single" w:sz="6" w:space="0" w:color="000000"/>
              <w:left w:val="single" w:sz="6" w:space="0" w:color="000000"/>
              <w:bottom w:val="nil" w:sz="6" w:space="0" w:color="auto"/>
              <w:right w:val="single" w:sz="6" w:space="0" w:color="000000"/>
            </w:tcBorders>
          </w:tcPr>
          <w:p>
            <w:pPr/>
          </w:p>
        </w:tc>
        <w:tc>
          <w:tcPr>
            <w:tcW w:w="1918" w:type="dxa"/>
            <w:tcBorders>
              <w:top w:val="single" w:sz="6" w:space="0" w:color="000000"/>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利用自有资金投资房</w:t>
            </w:r>
          </w:p>
        </w:tc>
        <w:tc>
          <w:tcPr>
            <w:tcW w:w="888"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nil" w:sz="6" w:space="0" w:color="auto"/>
            </w:tcBorders>
          </w:tcPr>
          <w:p>
            <w:pPr/>
          </w:p>
        </w:tc>
      </w:tr>
      <w:tr>
        <w:trPr>
          <w:trHeight w:val="546" w:hRule="exact"/>
        </w:trPr>
        <w:tc>
          <w:tcPr>
            <w:tcW w:w="1589" w:type="dxa"/>
            <w:tcBorders>
              <w:top w:val="nil" w:sz="6" w:space="0" w:color="auto"/>
              <w:left w:val="nil" w:sz="6" w:space="0" w:color="auto"/>
              <w:bottom w:val="nil" w:sz="6" w:space="0" w:color="auto"/>
              <w:right w:val="single" w:sz="6"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广州润龙房地产</w:t>
            </w:r>
          </w:p>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63" w:type="dxa"/>
            <w:tcBorders>
              <w:top w:val="nil" w:sz="6" w:space="0" w:color="auto"/>
              <w:left w:val="single" w:sz="6" w:space="0" w:color="000000"/>
              <w:bottom w:val="nil" w:sz="6" w:space="0" w:color="auto"/>
              <w:right w:val="single" w:sz="6" w:space="0" w:color="000000"/>
            </w:tcBorders>
          </w:tcPr>
          <w:p>
            <w:pPr>
              <w:pStyle w:val="TableParagraph"/>
              <w:spacing w:line="232" w:lineRule="exact" w:before="19"/>
              <w:ind w:left="103" w:right="101" w:firstLine="2"/>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2"/>
              <w:jc w:val="center"/>
              <w:rPr>
                <w:rFonts w:ascii="宋体" w:hAnsi="宋体" w:cs="宋体" w:eastAsia="宋体" w:hint="default"/>
                <w:sz w:val="18"/>
                <w:szCs w:val="18"/>
              </w:rPr>
            </w:pPr>
            <w:r>
              <w:rPr>
                <w:rFonts w:ascii="宋体" w:hAnsi="宋体" w:cs="宋体" w:eastAsia="宋体" w:hint="default"/>
                <w:sz w:val="18"/>
                <w:szCs w:val="18"/>
              </w:rPr>
              <w:t>广州</w:t>
            </w:r>
          </w:p>
        </w:tc>
        <w:tc>
          <w:tcPr>
            <w:tcW w:w="7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00" w:right="98"/>
              <w:jc w:val="left"/>
              <w:rPr>
                <w:rFonts w:ascii="宋体" w:hAnsi="宋体" w:cs="宋体" w:eastAsia="宋体" w:hint="default"/>
                <w:sz w:val="18"/>
                <w:szCs w:val="18"/>
              </w:rPr>
            </w:pPr>
            <w:r>
              <w:rPr>
                <w:rFonts w:ascii="宋体" w:hAnsi="宋体" w:cs="宋体" w:eastAsia="宋体" w:hint="default"/>
                <w:spacing w:val="8"/>
                <w:sz w:val="18"/>
                <w:szCs w:val="18"/>
              </w:rPr>
              <w:t>地产。销售：建筑材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料。房地产信息咨询</w:t>
            </w:r>
          </w:p>
        </w:tc>
        <w:tc>
          <w:tcPr>
            <w:tcW w:w="88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08" w:right="0"/>
              <w:jc w:val="left"/>
              <w:rPr>
                <w:rFonts w:ascii="宋体" w:hAnsi="宋体" w:cs="宋体" w:eastAsia="宋体" w:hint="default"/>
                <w:sz w:val="18"/>
                <w:szCs w:val="18"/>
              </w:rPr>
            </w:pPr>
            <w:r>
              <w:rPr>
                <w:rFonts w:ascii="宋体"/>
                <w:sz w:val="18"/>
              </w:rPr>
              <w:t>8,000</w:t>
            </w:r>
          </w:p>
          <w:p>
            <w:pPr>
              <w:pStyle w:val="TableParagraph"/>
              <w:spacing w:line="240" w:lineRule="auto" w:before="47"/>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100%</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100%</w:t>
            </w:r>
          </w:p>
        </w:tc>
        <w:tc>
          <w:tcPr>
            <w:tcW w:w="1116" w:type="dxa"/>
            <w:tcBorders>
              <w:top w:val="nil" w:sz="6" w:space="0" w:color="auto"/>
              <w:left w:val="single" w:sz="6" w:space="0" w:color="000000"/>
              <w:bottom w:val="nil" w:sz="6" w:space="0" w:color="auto"/>
              <w:right w:val="nil" w:sz="6" w:space="0" w:color="auto"/>
            </w:tcBorders>
          </w:tcPr>
          <w:p>
            <w:pPr>
              <w:pStyle w:val="TableParagraph"/>
              <w:spacing w:line="240" w:lineRule="auto" w:before="112"/>
              <w:ind w:left="100" w:right="0"/>
              <w:jc w:val="left"/>
              <w:rPr>
                <w:rFonts w:ascii="宋体" w:hAnsi="宋体" w:cs="宋体" w:eastAsia="宋体" w:hint="default"/>
                <w:sz w:val="18"/>
                <w:szCs w:val="18"/>
              </w:rPr>
            </w:pPr>
            <w:r>
              <w:rPr>
                <w:rFonts w:ascii="宋体"/>
                <w:sz w:val="18"/>
              </w:rPr>
              <w:t>74186801-8</w:t>
            </w:r>
          </w:p>
        </w:tc>
      </w:tr>
      <w:tr>
        <w:trPr>
          <w:trHeight w:val="290" w:hRule="exact"/>
        </w:trPr>
        <w:tc>
          <w:tcPr>
            <w:tcW w:w="1589" w:type="dxa"/>
            <w:tcBorders>
              <w:top w:val="nil" w:sz="6" w:space="0" w:color="auto"/>
              <w:left w:val="nil" w:sz="6" w:space="0" w:color="auto"/>
              <w:bottom w:val="single" w:sz="6" w:space="0" w:color="000000"/>
              <w:right w:val="single" w:sz="6" w:space="0" w:color="000000"/>
            </w:tcBorders>
          </w:tcPr>
          <w:p>
            <w:pPr/>
          </w:p>
        </w:tc>
        <w:tc>
          <w:tcPr>
            <w:tcW w:w="763"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66" w:type="dxa"/>
            <w:tcBorders>
              <w:top w:val="nil" w:sz="6" w:space="0" w:color="auto"/>
              <w:left w:val="single" w:sz="6" w:space="0" w:color="000000"/>
              <w:bottom w:val="single" w:sz="6" w:space="0" w:color="000000"/>
              <w:right w:val="single" w:sz="6" w:space="0" w:color="000000"/>
            </w:tcBorders>
          </w:tcPr>
          <w:p>
            <w:pPr/>
          </w:p>
        </w:tc>
        <w:tc>
          <w:tcPr>
            <w:tcW w:w="1918"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88"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nil" w:sz="6" w:space="0" w:color="auto"/>
            </w:tcBorders>
          </w:tcPr>
          <w:p>
            <w:pPr/>
          </w:p>
        </w:tc>
      </w:tr>
      <w:tr>
        <w:trPr>
          <w:trHeight w:val="341" w:hRule="exact"/>
        </w:trPr>
        <w:tc>
          <w:tcPr>
            <w:tcW w:w="1589" w:type="dxa"/>
            <w:tcBorders>
              <w:top w:val="single" w:sz="6" w:space="0" w:color="000000"/>
              <w:left w:val="nil" w:sz="6" w:space="0" w:color="auto"/>
              <w:bottom w:val="nil" w:sz="6" w:space="0" w:color="auto"/>
              <w:right w:val="single" w:sz="6" w:space="0" w:color="000000"/>
            </w:tcBorders>
          </w:tcPr>
          <w:p>
            <w:pPr/>
          </w:p>
        </w:tc>
        <w:tc>
          <w:tcPr>
            <w:tcW w:w="763"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66" w:type="dxa"/>
            <w:tcBorders>
              <w:top w:val="single" w:sz="6" w:space="0" w:color="000000"/>
              <w:left w:val="single" w:sz="6" w:space="0" w:color="000000"/>
              <w:bottom w:val="nil" w:sz="6" w:space="0" w:color="auto"/>
              <w:right w:val="single" w:sz="6" w:space="0" w:color="000000"/>
            </w:tcBorders>
          </w:tcPr>
          <w:p>
            <w:pPr/>
          </w:p>
        </w:tc>
        <w:tc>
          <w:tcPr>
            <w:tcW w:w="19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8"/>
                <w:sz w:val="18"/>
                <w:szCs w:val="18"/>
              </w:rPr>
              <w:t>利用自有资金投资。</w:t>
            </w:r>
          </w:p>
        </w:tc>
        <w:tc>
          <w:tcPr>
            <w:tcW w:w="888"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nil" w:sz="6" w:space="0" w:color="auto"/>
            </w:tcBorders>
          </w:tcPr>
          <w:p>
            <w:pPr/>
          </w:p>
        </w:tc>
      </w:tr>
      <w:tr>
        <w:trPr>
          <w:trHeight w:val="780" w:hRule="exact"/>
        </w:trPr>
        <w:tc>
          <w:tcPr>
            <w:tcW w:w="1589" w:type="dxa"/>
            <w:tcBorders>
              <w:top w:val="nil" w:sz="6" w:space="0" w:color="auto"/>
              <w:left w:val="nil" w:sz="6" w:space="0" w:color="auto"/>
              <w:bottom w:val="nil" w:sz="6" w:space="0" w:color="auto"/>
              <w:right w:val="single" w:sz="6" w:space="0" w:color="000000"/>
            </w:tcBorders>
          </w:tcPr>
          <w:p>
            <w:pPr>
              <w:pStyle w:val="TableParagraph"/>
              <w:spacing w:line="314" w:lineRule="auto" w:before="92"/>
              <w:ind w:left="122" w:right="197"/>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763" w:type="dxa"/>
            <w:tcBorders>
              <w:top w:val="nil" w:sz="6" w:space="0" w:color="auto"/>
              <w:left w:val="single" w:sz="6" w:space="0" w:color="000000"/>
              <w:bottom w:val="nil" w:sz="6" w:space="0" w:color="auto"/>
              <w:right w:val="single" w:sz="6" w:space="0" w:color="000000"/>
            </w:tcBorders>
          </w:tcPr>
          <w:p>
            <w:pPr>
              <w:pStyle w:val="TableParagraph"/>
              <w:spacing w:line="232" w:lineRule="exact" w:before="138"/>
              <w:ind w:left="103" w:right="101" w:firstLine="2"/>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广州</w:t>
            </w:r>
          </w:p>
        </w:tc>
        <w:tc>
          <w:tcPr>
            <w:tcW w:w="7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加工、生产：建筑材</w:t>
            </w:r>
          </w:p>
          <w:p>
            <w:pPr>
              <w:pStyle w:val="TableParagraph"/>
              <w:spacing w:line="264" w:lineRule="auto" w:before="26"/>
              <w:ind w:left="100" w:right="98"/>
              <w:jc w:val="left"/>
              <w:rPr>
                <w:rFonts w:ascii="宋体" w:hAnsi="宋体" w:cs="宋体" w:eastAsia="宋体" w:hint="default"/>
                <w:sz w:val="18"/>
                <w:szCs w:val="18"/>
              </w:rPr>
            </w:pPr>
            <w:r>
              <w:rPr>
                <w:rFonts w:ascii="宋体" w:hAnsi="宋体" w:cs="宋体" w:eastAsia="宋体" w:hint="default"/>
                <w:spacing w:val="8"/>
                <w:sz w:val="18"/>
                <w:szCs w:val="18"/>
              </w:rPr>
              <w:t>料，装饰材料（另设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7"/>
                <w:sz w:val="18"/>
                <w:szCs w:val="18"/>
              </w:rPr>
              <w:t>分支机构经营</w:t>
            </w:r>
            <w:r>
              <w:rPr>
                <w:rFonts w:ascii="宋体" w:hAnsi="宋体" w:cs="宋体" w:eastAsia="宋体" w:hint="default"/>
                <w:spacing w:val="-68"/>
                <w:sz w:val="18"/>
                <w:szCs w:val="18"/>
              </w:rPr>
              <w:t> </w:t>
            </w:r>
            <w:r>
              <w:rPr>
                <w:rFonts w:ascii="宋体" w:hAnsi="宋体" w:cs="宋体" w:eastAsia="宋体" w:hint="default"/>
                <w:spacing w:val="-35"/>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销</w:t>
            </w:r>
          </w:p>
        </w:tc>
        <w:tc>
          <w:tcPr>
            <w:tcW w:w="888" w:type="dxa"/>
            <w:tcBorders>
              <w:top w:val="nil" w:sz="6" w:space="0" w:color="auto"/>
              <w:left w:val="single" w:sz="6" w:space="0" w:color="000000"/>
              <w:bottom w:val="nil" w:sz="6" w:space="0" w:color="auto"/>
              <w:right w:val="single" w:sz="6" w:space="0" w:color="000000"/>
            </w:tcBorders>
          </w:tcPr>
          <w:p>
            <w:pPr>
              <w:pStyle w:val="TableParagraph"/>
              <w:spacing w:line="240" w:lineRule="auto" w:before="89"/>
              <w:ind w:left="208" w:right="0"/>
              <w:jc w:val="left"/>
              <w:rPr>
                <w:rFonts w:ascii="宋体" w:hAnsi="宋体" w:cs="宋体" w:eastAsia="宋体" w:hint="default"/>
                <w:sz w:val="18"/>
                <w:szCs w:val="18"/>
              </w:rPr>
            </w:pPr>
            <w:r>
              <w:rPr>
                <w:rFonts w:ascii="宋体"/>
                <w:sz w:val="18"/>
              </w:rPr>
              <w:t>2,200</w:t>
            </w:r>
          </w:p>
          <w:p>
            <w:pPr>
              <w:pStyle w:val="TableParagraph"/>
              <w:spacing w:line="240" w:lineRule="auto" w:before="47"/>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1116"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sz w:val="18"/>
              </w:rPr>
              <w:t>7118096-X</w:t>
            </w:r>
          </w:p>
        </w:tc>
      </w:tr>
      <w:tr>
        <w:trPr>
          <w:trHeight w:val="367" w:hRule="exact"/>
        </w:trPr>
        <w:tc>
          <w:tcPr>
            <w:tcW w:w="1589" w:type="dxa"/>
            <w:tcBorders>
              <w:top w:val="nil" w:sz="6" w:space="0" w:color="auto"/>
              <w:left w:val="nil" w:sz="6" w:space="0" w:color="auto"/>
              <w:bottom w:val="single" w:sz="6" w:space="0" w:color="000000"/>
              <w:right w:val="single" w:sz="6" w:space="0" w:color="000000"/>
            </w:tcBorders>
          </w:tcPr>
          <w:p>
            <w:pPr/>
          </w:p>
        </w:tc>
        <w:tc>
          <w:tcPr>
            <w:tcW w:w="763"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766" w:type="dxa"/>
            <w:tcBorders>
              <w:top w:val="nil" w:sz="6" w:space="0" w:color="auto"/>
              <w:left w:val="single" w:sz="6" w:space="0" w:color="000000"/>
              <w:bottom w:val="single" w:sz="6" w:space="0" w:color="000000"/>
              <w:right w:val="single" w:sz="6" w:space="0" w:color="000000"/>
            </w:tcBorders>
          </w:tcPr>
          <w:p>
            <w:pPr/>
          </w:p>
        </w:tc>
        <w:tc>
          <w:tcPr>
            <w:tcW w:w="1918"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售：建筑材料。</w:t>
            </w:r>
          </w:p>
        </w:tc>
        <w:tc>
          <w:tcPr>
            <w:tcW w:w="888"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nil" w:sz="6" w:space="0" w:color="auto"/>
            </w:tcBorders>
          </w:tcPr>
          <w:p>
            <w:pPr/>
          </w:p>
        </w:tc>
      </w:tr>
      <w:tr>
        <w:trPr>
          <w:trHeight w:val="348" w:hRule="exact"/>
        </w:trPr>
        <w:tc>
          <w:tcPr>
            <w:tcW w:w="1589" w:type="dxa"/>
            <w:tcBorders>
              <w:top w:val="single" w:sz="6" w:space="0" w:color="000000"/>
              <w:left w:val="nil" w:sz="6" w:space="0" w:color="auto"/>
              <w:bottom w:val="nil" w:sz="6" w:space="0" w:color="auto"/>
              <w:right w:val="single" w:sz="6" w:space="0" w:color="000000"/>
            </w:tcBorders>
          </w:tcPr>
          <w:p>
            <w:pPr/>
          </w:p>
        </w:tc>
        <w:tc>
          <w:tcPr>
            <w:tcW w:w="763"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766" w:type="dxa"/>
            <w:tcBorders>
              <w:top w:val="single" w:sz="6" w:space="0" w:color="000000"/>
              <w:left w:val="single" w:sz="6" w:space="0" w:color="000000"/>
              <w:bottom w:val="nil" w:sz="6" w:space="0" w:color="auto"/>
              <w:right w:val="single" w:sz="6" w:space="0" w:color="000000"/>
            </w:tcBorders>
          </w:tcPr>
          <w:p>
            <w:pPr/>
          </w:p>
        </w:tc>
        <w:tc>
          <w:tcPr>
            <w:tcW w:w="19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物业管理，房屋租赁，</w:t>
            </w:r>
          </w:p>
        </w:tc>
        <w:tc>
          <w:tcPr>
            <w:tcW w:w="888"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907"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nil" w:sz="6" w:space="0" w:color="auto"/>
            </w:tcBorders>
          </w:tcPr>
          <w:p>
            <w:pPr/>
          </w:p>
        </w:tc>
      </w:tr>
      <w:tr>
        <w:trPr>
          <w:trHeight w:val="546" w:hRule="exact"/>
        </w:trPr>
        <w:tc>
          <w:tcPr>
            <w:tcW w:w="1589" w:type="dxa"/>
            <w:tcBorders>
              <w:top w:val="nil" w:sz="6" w:space="0" w:color="auto"/>
              <w:left w:val="nil" w:sz="6" w:space="0" w:color="auto"/>
              <w:bottom w:val="nil" w:sz="6" w:space="0" w:color="auto"/>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广州为众物业管</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763" w:type="dxa"/>
            <w:tcBorders>
              <w:top w:val="nil" w:sz="6" w:space="0" w:color="auto"/>
              <w:left w:val="single" w:sz="6" w:space="0" w:color="000000"/>
              <w:bottom w:val="nil" w:sz="6" w:space="0" w:color="auto"/>
              <w:right w:val="single" w:sz="6" w:space="0" w:color="000000"/>
            </w:tcBorders>
          </w:tcPr>
          <w:p>
            <w:pPr>
              <w:pStyle w:val="TableParagraph"/>
              <w:spacing w:line="236" w:lineRule="exact" w:before="15"/>
              <w:ind w:left="103" w:right="101" w:firstLine="2"/>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广州</w:t>
            </w:r>
          </w:p>
        </w:tc>
        <w:tc>
          <w:tcPr>
            <w:tcW w:w="766"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00" w:right="98"/>
              <w:jc w:val="left"/>
              <w:rPr>
                <w:rFonts w:ascii="宋体" w:hAnsi="宋体" w:cs="宋体" w:eastAsia="宋体" w:hint="default"/>
                <w:sz w:val="18"/>
                <w:szCs w:val="18"/>
              </w:rPr>
            </w:pPr>
            <w:r>
              <w:rPr>
                <w:rFonts w:ascii="宋体" w:hAnsi="宋体" w:cs="宋体" w:eastAsia="宋体" w:hint="default"/>
                <w:spacing w:val="8"/>
                <w:sz w:val="18"/>
                <w:szCs w:val="18"/>
              </w:rPr>
              <w:t>停车场管理，室内水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电安装，室内装饰，</w:t>
            </w:r>
          </w:p>
        </w:tc>
        <w:tc>
          <w:tcPr>
            <w:tcW w:w="888"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left="14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100%</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100%</w:t>
            </w:r>
          </w:p>
        </w:tc>
        <w:tc>
          <w:tcPr>
            <w:tcW w:w="1116" w:type="dxa"/>
            <w:tcBorders>
              <w:top w:val="nil" w:sz="6" w:space="0" w:color="auto"/>
              <w:left w:val="single" w:sz="6" w:space="0" w:color="000000"/>
              <w:bottom w:val="nil" w:sz="6" w:space="0" w:color="auto"/>
              <w:right w:val="nil" w:sz="6" w:space="0" w:color="auto"/>
            </w:tcBorders>
          </w:tcPr>
          <w:p>
            <w:pPr>
              <w:pStyle w:val="TableParagraph"/>
              <w:spacing w:line="240" w:lineRule="auto" w:before="111"/>
              <w:ind w:left="100" w:right="0"/>
              <w:jc w:val="left"/>
              <w:rPr>
                <w:rFonts w:ascii="宋体" w:hAnsi="宋体" w:cs="宋体" w:eastAsia="宋体" w:hint="default"/>
                <w:sz w:val="18"/>
                <w:szCs w:val="18"/>
              </w:rPr>
            </w:pPr>
            <w:r>
              <w:rPr>
                <w:rFonts w:ascii="宋体"/>
                <w:sz w:val="18"/>
              </w:rPr>
              <w:t>79349316-6</w:t>
            </w:r>
          </w:p>
        </w:tc>
      </w:tr>
      <w:tr>
        <w:trPr>
          <w:trHeight w:val="378" w:hRule="exact"/>
        </w:trPr>
        <w:tc>
          <w:tcPr>
            <w:tcW w:w="1589" w:type="dxa"/>
            <w:tcBorders>
              <w:top w:val="nil" w:sz="6" w:space="0" w:color="auto"/>
              <w:left w:val="nil" w:sz="6" w:space="0" w:color="auto"/>
              <w:bottom w:val="single" w:sz="12" w:space="0" w:color="000000"/>
              <w:right w:val="single" w:sz="6" w:space="0" w:color="000000"/>
            </w:tcBorders>
          </w:tcPr>
          <w:p>
            <w:pPr/>
          </w:p>
        </w:tc>
        <w:tc>
          <w:tcPr>
            <w:tcW w:w="763" w:type="dxa"/>
            <w:tcBorders>
              <w:top w:val="nil" w:sz="6" w:space="0" w:color="auto"/>
              <w:left w:val="single" w:sz="6" w:space="0" w:color="000000"/>
              <w:bottom w:val="single" w:sz="12" w:space="0" w:color="000000"/>
              <w:right w:val="single" w:sz="6" w:space="0" w:color="000000"/>
            </w:tcBorders>
          </w:tcPr>
          <w:p>
            <w:pPr/>
          </w:p>
        </w:tc>
        <w:tc>
          <w:tcPr>
            <w:tcW w:w="782" w:type="dxa"/>
            <w:tcBorders>
              <w:top w:val="nil" w:sz="6" w:space="0" w:color="auto"/>
              <w:left w:val="single" w:sz="6" w:space="0" w:color="000000"/>
              <w:bottom w:val="single" w:sz="12" w:space="0" w:color="000000"/>
              <w:right w:val="single" w:sz="6" w:space="0" w:color="000000"/>
            </w:tcBorders>
          </w:tcPr>
          <w:p>
            <w:pPr/>
          </w:p>
        </w:tc>
        <w:tc>
          <w:tcPr>
            <w:tcW w:w="766" w:type="dxa"/>
            <w:tcBorders>
              <w:top w:val="nil" w:sz="6" w:space="0" w:color="auto"/>
              <w:left w:val="single" w:sz="6" w:space="0" w:color="000000"/>
              <w:bottom w:val="single" w:sz="12" w:space="0" w:color="000000"/>
              <w:right w:val="single" w:sz="6" w:space="0" w:color="000000"/>
            </w:tcBorders>
          </w:tcPr>
          <w:p>
            <w:pPr/>
          </w:p>
        </w:tc>
        <w:tc>
          <w:tcPr>
            <w:tcW w:w="1918" w:type="dxa"/>
            <w:tcBorders>
              <w:top w:val="nil" w:sz="6" w:space="0" w:color="auto"/>
              <w:left w:val="single" w:sz="6" w:space="0" w:color="000000"/>
              <w:bottom w:val="single" w:sz="12"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清洁服务</w:t>
            </w:r>
          </w:p>
        </w:tc>
        <w:tc>
          <w:tcPr>
            <w:tcW w:w="888" w:type="dxa"/>
            <w:tcBorders>
              <w:top w:val="nil" w:sz="6" w:space="0" w:color="auto"/>
              <w:left w:val="single" w:sz="6" w:space="0" w:color="000000"/>
              <w:bottom w:val="single" w:sz="12" w:space="0" w:color="000000"/>
              <w:right w:val="single" w:sz="6" w:space="0" w:color="000000"/>
            </w:tcBorders>
          </w:tcPr>
          <w:p>
            <w:pPr/>
          </w:p>
        </w:tc>
        <w:tc>
          <w:tcPr>
            <w:tcW w:w="756" w:type="dxa"/>
            <w:tcBorders>
              <w:top w:val="nil" w:sz="6" w:space="0" w:color="auto"/>
              <w:left w:val="single" w:sz="6" w:space="0" w:color="000000"/>
              <w:bottom w:val="single" w:sz="12" w:space="0" w:color="000000"/>
              <w:right w:val="single" w:sz="6" w:space="0" w:color="000000"/>
            </w:tcBorders>
          </w:tcPr>
          <w:p>
            <w:pPr/>
          </w:p>
        </w:tc>
        <w:tc>
          <w:tcPr>
            <w:tcW w:w="907" w:type="dxa"/>
            <w:tcBorders>
              <w:top w:val="nil" w:sz="6" w:space="0" w:color="auto"/>
              <w:left w:val="single" w:sz="6" w:space="0" w:color="000000"/>
              <w:bottom w:val="single" w:sz="12" w:space="0" w:color="000000"/>
              <w:right w:val="single" w:sz="6" w:space="0" w:color="000000"/>
            </w:tcBorders>
          </w:tcPr>
          <w:p>
            <w:pPr/>
          </w:p>
        </w:tc>
        <w:tc>
          <w:tcPr>
            <w:tcW w:w="1116" w:type="dxa"/>
            <w:tcBorders>
              <w:top w:val="nil" w:sz="6" w:space="0" w:color="auto"/>
              <w:left w:val="single" w:sz="6" w:space="0" w:color="000000"/>
              <w:bottom w:val="single" w:sz="12" w:space="0" w:color="000000"/>
              <w:right w:val="nil" w:sz="6" w:space="0" w:color="auto"/>
            </w:tcBorders>
          </w:tcPr>
          <w:p>
            <w:pPr/>
          </w:p>
        </w:tc>
      </w:tr>
    </w:tbl>
    <w:p>
      <w:pPr>
        <w:spacing w:after="0"/>
        <w:sectPr>
          <w:pgSz w:w="11910" w:h="16840"/>
          <w:pgMar w:header="929" w:footer="981" w:top="1180" w:bottom="1180" w:left="1040" w:right="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589"/>
        <w:gridCol w:w="763"/>
        <w:gridCol w:w="782"/>
        <w:gridCol w:w="766"/>
        <w:gridCol w:w="1918"/>
        <w:gridCol w:w="888"/>
        <w:gridCol w:w="756"/>
        <w:gridCol w:w="907"/>
        <w:gridCol w:w="1116"/>
      </w:tblGrid>
      <w:tr>
        <w:trPr>
          <w:trHeight w:val="929" w:hRule="exact"/>
        </w:trPr>
        <w:tc>
          <w:tcPr>
            <w:tcW w:w="15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2"/>
              <w:ind w:left="350"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2" w:lineRule="auto"/>
              <w:ind w:left="194" w:right="101"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66" w:type="dxa"/>
            <w:tcBorders>
              <w:top w:val="single" w:sz="12" w:space="0" w:color="000000"/>
              <w:left w:val="single" w:sz="6" w:space="0" w:color="000000"/>
              <w:bottom w:val="single" w:sz="6" w:space="0" w:color="000000"/>
              <w:right w:val="single" w:sz="6" w:space="0" w:color="000000"/>
            </w:tcBorders>
          </w:tcPr>
          <w:p>
            <w:pPr>
              <w:pStyle w:val="TableParagraph"/>
              <w:spacing w:line="292" w:lineRule="auto" w:before="142"/>
              <w:ind w:left="103" w:right="107" w:firstLine="91"/>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9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88" w:type="dxa"/>
            <w:tcBorders>
              <w:top w:val="single" w:sz="12" w:space="0" w:color="000000"/>
              <w:left w:val="single" w:sz="6" w:space="0" w:color="000000"/>
              <w:bottom w:val="single" w:sz="6" w:space="0" w:color="000000"/>
              <w:right w:val="single" w:sz="6" w:space="0" w:color="000000"/>
            </w:tcBorders>
          </w:tcPr>
          <w:p>
            <w:pPr>
              <w:pStyle w:val="TableParagraph"/>
              <w:spacing w:line="292" w:lineRule="auto" w:before="142"/>
              <w:ind w:left="254" w:right="25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2" w:lineRule="auto"/>
              <w:ind w:left="278" w:right="98" w:hanging="178"/>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7" w:type="dxa"/>
            <w:tcBorders>
              <w:top w:val="single" w:sz="12" w:space="0" w:color="000000"/>
              <w:left w:val="single" w:sz="6" w:space="0" w:color="000000"/>
              <w:bottom w:val="single" w:sz="6" w:space="0" w:color="000000"/>
              <w:right w:val="single" w:sz="6" w:space="0" w:color="000000"/>
            </w:tcBorders>
          </w:tcPr>
          <w:p>
            <w:pPr>
              <w:pStyle w:val="TableParagraph"/>
              <w:spacing w:line="242" w:lineRule="auto" w:before="49"/>
              <w:ind w:left="175" w:right="175"/>
              <w:jc w:val="both"/>
              <w:rPr>
                <w:rFonts w:ascii="宋体" w:hAnsi="宋体" w:cs="宋体" w:eastAsia="宋体" w:hint="default"/>
                <w:sz w:val="18"/>
                <w:szCs w:val="18"/>
              </w:rPr>
            </w:pPr>
            <w:r>
              <w:rPr>
                <w:rFonts w:ascii="宋体" w:hAnsi="宋体" w:cs="宋体" w:eastAsia="宋体" w:hint="default"/>
                <w:sz w:val="18"/>
                <w:szCs w:val="18"/>
              </w:rPr>
              <w:t>享有的 表决权 比例</w:t>
            </w:r>
          </w:p>
        </w:tc>
        <w:tc>
          <w:tcPr>
            <w:tcW w:w="1116" w:type="dxa"/>
            <w:tcBorders>
              <w:top w:val="single" w:sz="12" w:space="0" w:color="000000"/>
              <w:left w:val="single" w:sz="6" w:space="0" w:color="000000"/>
              <w:bottom w:val="single" w:sz="6" w:space="0" w:color="000000"/>
              <w:right w:val="nil" w:sz="6" w:space="0" w:color="auto"/>
            </w:tcBorders>
          </w:tcPr>
          <w:p>
            <w:pPr>
              <w:pStyle w:val="TableParagraph"/>
              <w:spacing w:line="292" w:lineRule="auto" w:before="142"/>
              <w:ind w:left="369" w:right="19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751" w:hRule="exact"/>
        </w:trPr>
        <w:tc>
          <w:tcPr>
            <w:tcW w:w="158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9"/>
              <w:ind w:left="122" w:right="96"/>
              <w:jc w:val="left"/>
              <w:rPr>
                <w:rFonts w:ascii="宋体" w:hAnsi="宋体" w:cs="宋体" w:eastAsia="宋体" w:hint="default"/>
                <w:sz w:val="18"/>
                <w:szCs w:val="18"/>
              </w:rPr>
            </w:pPr>
            <w:r>
              <w:rPr>
                <w:rFonts w:ascii="宋体" w:hAnsi="宋体" w:cs="宋体" w:eastAsia="宋体" w:hint="default"/>
                <w:spacing w:val="13"/>
                <w:sz w:val="18"/>
                <w:szCs w:val="18"/>
              </w:rPr>
              <w:t>广西田阳天伦矿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业有限公司</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9"/>
              <w:ind w:left="103" w:right="101" w:firstLine="2"/>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9"/>
              <w:ind w:left="201" w:right="204"/>
              <w:jc w:val="left"/>
              <w:rPr>
                <w:rFonts w:ascii="宋体" w:hAnsi="宋体" w:cs="宋体" w:eastAsia="宋体" w:hint="default"/>
                <w:sz w:val="18"/>
                <w:szCs w:val="18"/>
              </w:rPr>
            </w:pPr>
            <w:r>
              <w:rPr>
                <w:rFonts w:ascii="宋体" w:hAnsi="宋体" w:cs="宋体" w:eastAsia="宋体" w:hint="default"/>
                <w:sz w:val="18"/>
                <w:szCs w:val="18"/>
              </w:rPr>
              <w:t>广西 田阳</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张雄</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9"/>
              <w:ind w:left="100" w:right="98"/>
              <w:jc w:val="left"/>
              <w:rPr>
                <w:rFonts w:ascii="宋体" w:hAnsi="宋体" w:cs="宋体" w:eastAsia="宋体" w:hint="default"/>
                <w:sz w:val="18"/>
                <w:szCs w:val="18"/>
              </w:rPr>
            </w:pPr>
            <w:r>
              <w:rPr>
                <w:rFonts w:ascii="宋体" w:hAnsi="宋体" w:cs="宋体" w:eastAsia="宋体" w:hint="default"/>
                <w:spacing w:val="8"/>
                <w:sz w:val="18"/>
                <w:szCs w:val="18"/>
              </w:rPr>
              <w:t>矿山勘探、矿产品购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销</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9"/>
                <w:sz w:val="18"/>
                <w:szCs w:val="18"/>
              </w:rPr>
              <w:t> </w:t>
            </w: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11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78212463-X</w:t>
            </w:r>
          </w:p>
        </w:tc>
      </w:tr>
      <w:tr>
        <w:trPr>
          <w:trHeight w:val="754" w:hRule="exact"/>
        </w:trPr>
        <w:tc>
          <w:tcPr>
            <w:tcW w:w="158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9"/>
              <w:ind w:left="122" w:right="377"/>
              <w:jc w:val="left"/>
              <w:rPr>
                <w:rFonts w:ascii="宋体" w:hAnsi="宋体" w:cs="宋体" w:eastAsia="宋体" w:hint="default"/>
                <w:sz w:val="18"/>
                <w:szCs w:val="18"/>
              </w:rPr>
            </w:pPr>
            <w:r>
              <w:rPr>
                <w:rFonts w:ascii="宋体" w:hAnsi="宋体" w:cs="宋体" w:eastAsia="宋体" w:hint="default"/>
                <w:sz w:val="18"/>
                <w:szCs w:val="18"/>
              </w:rPr>
              <w:t>广西凤山天伦 矿业有限公司</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9"/>
              <w:ind w:left="103" w:right="101" w:firstLine="2"/>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9"/>
              <w:ind w:left="201" w:right="204"/>
              <w:jc w:val="left"/>
              <w:rPr>
                <w:rFonts w:ascii="宋体" w:hAnsi="宋体" w:cs="宋体" w:eastAsia="宋体" w:hint="default"/>
                <w:sz w:val="18"/>
                <w:szCs w:val="18"/>
              </w:rPr>
            </w:pPr>
            <w:r>
              <w:rPr>
                <w:rFonts w:ascii="宋体" w:hAnsi="宋体" w:cs="宋体" w:eastAsia="宋体" w:hint="default"/>
                <w:sz w:val="18"/>
                <w:szCs w:val="18"/>
              </w:rPr>
              <w:t>广西 凤山</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张雄</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9"/>
              <w:ind w:left="100" w:right="98"/>
              <w:jc w:val="left"/>
              <w:rPr>
                <w:rFonts w:ascii="宋体" w:hAnsi="宋体" w:cs="宋体" w:eastAsia="宋体" w:hint="default"/>
                <w:sz w:val="18"/>
                <w:szCs w:val="18"/>
              </w:rPr>
            </w:pPr>
            <w:r>
              <w:rPr>
                <w:rFonts w:ascii="宋体" w:hAnsi="宋体" w:cs="宋体" w:eastAsia="宋体" w:hint="default"/>
                <w:spacing w:val="8"/>
                <w:sz w:val="18"/>
                <w:szCs w:val="18"/>
              </w:rPr>
              <w:t>矿山勘探、矿产品购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销</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9"/>
                <w:sz w:val="18"/>
                <w:szCs w:val="18"/>
              </w:rPr>
              <w:t> </w:t>
            </w: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11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66703814-6</w:t>
            </w:r>
          </w:p>
        </w:tc>
      </w:tr>
      <w:tr>
        <w:trPr>
          <w:trHeight w:val="751" w:hRule="exact"/>
        </w:trPr>
        <w:tc>
          <w:tcPr>
            <w:tcW w:w="158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9"/>
              <w:ind w:left="122" w:right="197"/>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9"/>
              <w:ind w:left="103" w:right="101" w:firstLine="2"/>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9"/>
              <w:ind w:left="110" w:right="115" w:firstLine="91"/>
              <w:jc w:val="left"/>
              <w:rPr>
                <w:rFonts w:ascii="宋体" w:hAnsi="宋体" w:cs="宋体" w:eastAsia="宋体" w:hint="default"/>
                <w:sz w:val="18"/>
                <w:szCs w:val="18"/>
              </w:rPr>
            </w:pPr>
            <w:r>
              <w:rPr>
                <w:rFonts w:ascii="宋体" w:hAnsi="宋体" w:cs="宋体" w:eastAsia="宋体" w:hint="default"/>
                <w:sz w:val="18"/>
                <w:szCs w:val="18"/>
              </w:rPr>
              <w:t>贵州 六盘水</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龙红阳</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煤炭的开采及销售</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08" w:right="0"/>
              <w:jc w:val="left"/>
              <w:rPr>
                <w:rFonts w:ascii="宋体" w:hAnsi="宋体" w:cs="宋体" w:eastAsia="宋体" w:hint="default"/>
                <w:sz w:val="18"/>
                <w:szCs w:val="18"/>
              </w:rPr>
            </w:pPr>
            <w:r>
              <w:rPr>
                <w:rFonts w:ascii="宋体"/>
                <w:sz w:val="18"/>
              </w:rPr>
              <w:t>1,000</w:t>
            </w:r>
          </w:p>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60%</w:t>
            </w:r>
          </w:p>
        </w:tc>
        <w:tc>
          <w:tcPr>
            <w:tcW w:w="11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78019823-X</w:t>
            </w:r>
          </w:p>
        </w:tc>
      </w:tr>
      <w:tr>
        <w:trPr>
          <w:trHeight w:val="761" w:hRule="exact"/>
        </w:trPr>
        <w:tc>
          <w:tcPr>
            <w:tcW w:w="1589"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109"/>
              <w:ind w:left="122" w:right="17"/>
              <w:jc w:val="left"/>
              <w:rPr>
                <w:rFonts w:ascii="宋体" w:hAnsi="宋体" w:cs="宋体" w:eastAsia="宋体" w:hint="default"/>
                <w:sz w:val="18"/>
                <w:szCs w:val="18"/>
              </w:rPr>
            </w:pPr>
            <w:r>
              <w:rPr>
                <w:rFonts w:ascii="宋体" w:hAnsi="宋体" w:cs="宋体" w:eastAsia="宋体" w:hint="default"/>
                <w:sz w:val="18"/>
                <w:szCs w:val="18"/>
              </w:rPr>
              <w:t>天和创展（北京） 投资有限公司</w:t>
            </w:r>
          </w:p>
        </w:tc>
        <w:tc>
          <w:tcPr>
            <w:tcW w:w="763"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9"/>
              <w:ind w:left="103" w:right="101" w:firstLine="2"/>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918"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9"/>
              <w:ind w:left="100" w:right="7"/>
              <w:jc w:val="left"/>
              <w:rPr>
                <w:rFonts w:ascii="宋体" w:hAnsi="宋体" w:cs="宋体" w:eastAsia="宋体" w:hint="default"/>
                <w:sz w:val="18"/>
                <w:szCs w:val="18"/>
              </w:rPr>
            </w:pPr>
            <w:r>
              <w:rPr>
                <w:rFonts w:ascii="宋体" w:hAnsi="宋体" w:cs="宋体" w:eastAsia="宋体" w:hint="default"/>
                <w:sz w:val="18"/>
                <w:szCs w:val="18"/>
              </w:rPr>
              <w:t>项目投资；投资咨询； 投资管理；资产管理</w:t>
            </w:r>
          </w:p>
        </w:tc>
        <w:tc>
          <w:tcPr>
            <w:tcW w:w="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208" w:right="0"/>
              <w:jc w:val="left"/>
              <w:rPr>
                <w:rFonts w:ascii="宋体" w:hAnsi="宋体" w:cs="宋体" w:eastAsia="宋体" w:hint="default"/>
                <w:sz w:val="18"/>
                <w:szCs w:val="18"/>
              </w:rPr>
            </w:pPr>
            <w:r>
              <w:rPr>
                <w:rFonts w:ascii="宋体"/>
                <w:sz w:val="18"/>
              </w:rPr>
              <w:t>1,000</w:t>
            </w:r>
          </w:p>
          <w:p>
            <w:pPr>
              <w:pStyle w:val="TableParagraph"/>
              <w:spacing w:line="240" w:lineRule="auto" w:before="55"/>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72.60%</w:t>
            </w:r>
          </w:p>
        </w:tc>
        <w:tc>
          <w:tcPr>
            <w:tcW w:w="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72.60%</w:t>
            </w:r>
          </w:p>
        </w:tc>
        <w:tc>
          <w:tcPr>
            <w:tcW w:w="11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58771407-9</w:t>
            </w:r>
          </w:p>
        </w:tc>
      </w:tr>
    </w:tbl>
    <w:p>
      <w:pPr>
        <w:spacing w:line="240" w:lineRule="auto" w:before="6"/>
        <w:rPr>
          <w:rFonts w:ascii="宋体" w:hAnsi="宋体" w:cs="宋体" w:eastAsia="宋体" w:hint="default"/>
          <w:sz w:val="18"/>
          <w:szCs w:val="18"/>
        </w:rPr>
      </w:pPr>
    </w:p>
    <w:p>
      <w:pPr>
        <w:pStyle w:val="BodyText"/>
        <w:spacing w:line="391" w:lineRule="auto" w:before="36"/>
        <w:ind w:left="623" w:right="1691"/>
        <w:jc w:val="both"/>
      </w:pPr>
      <w:r>
        <w:rPr>
          <w:rFonts w:ascii="Times New Roman" w:hAnsi="Times New Roman" w:cs="Times New Roman" w:eastAsia="Times New Roman" w:hint="default"/>
        </w:rPr>
        <w:t>*</w:t>
      </w:r>
      <w:r>
        <w:rPr>
          <w:rFonts w:ascii="宋体" w:hAnsi="宋体" w:cs="宋体" w:eastAsia="宋体" w:hint="default"/>
        </w:rPr>
        <w:t>：</w:t>
      </w:r>
      <w:r>
        <w:rPr/>
        <w:t>2011</w:t>
      </w:r>
      <w:r>
        <w:rPr>
          <w:spacing w:val="-55"/>
        </w:rPr>
        <w:t> </w:t>
      </w:r>
      <w:r>
        <w:rPr/>
        <w:t>年</w:t>
      </w:r>
      <w:r>
        <w:rPr>
          <w:spacing w:val="-55"/>
        </w:rPr>
        <w:t> </w:t>
      </w:r>
      <w:r>
        <w:rPr/>
        <w:t>3</w:t>
      </w:r>
      <w:r>
        <w:rPr>
          <w:spacing w:val="-57"/>
        </w:rPr>
        <w:t> </w:t>
      </w:r>
      <w:r>
        <w:rPr/>
        <w:t>月，子公司广州润龙房地产有限公司将持有的河南新景致房地产有限公司</w:t>
      </w:r>
      <w:r>
        <w:rPr>
          <w:spacing w:val="-55"/>
        </w:rPr>
        <w:t> </w:t>
      </w:r>
      <w:r>
        <w:rPr/>
        <w:t>70%的</w:t>
      </w:r>
      <w:r>
        <w:rPr>
          <w:w w:val="100"/>
        </w:rPr>
        <w:t> </w:t>
      </w:r>
      <w:r>
        <w:rPr/>
        <w:t>股权转让予河南飞航投资有限公司和郑州是益源成商贸有限公司。河南新景致房地产有限公</w:t>
      </w:r>
      <w:r>
        <w:rPr>
          <w:spacing w:val="-8"/>
        </w:rPr>
        <w:t> </w:t>
      </w:r>
      <w:r>
        <w:rPr>
          <w:spacing w:val="-8"/>
        </w:rPr>
      </w:r>
      <w:r>
        <w:rPr/>
        <w:t>司自</w:t>
      </w:r>
      <w:r>
        <w:rPr>
          <w:spacing w:val="-54"/>
        </w:rPr>
        <w:t> </w:t>
      </w:r>
      <w:r>
        <w:rPr/>
        <w:t>2011</w:t>
      </w:r>
      <w:r>
        <w:rPr>
          <w:spacing w:val="-56"/>
        </w:rPr>
        <w:t> </w:t>
      </w:r>
      <w:r>
        <w:rPr/>
        <w:t>年</w:t>
      </w:r>
      <w:r>
        <w:rPr>
          <w:spacing w:val="-54"/>
        </w:rPr>
        <w:t> </w:t>
      </w:r>
      <w:r>
        <w:rPr/>
        <w:t>7</w:t>
      </w:r>
      <w:r>
        <w:rPr>
          <w:spacing w:val="-56"/>
        </w:rPr>
        <w:t> </w:t>
      </w:r>
      <w:r>
        <w:rPr/>
        <w:t>月起不再纳入合并范围。详见附注四、2、②新纳入合并范围的公司说明。</w:t>
      </w:r>
    </w:p>
    <w:p>
      <w:pPr>
        <w:spacing w:line="240" w:lineRule="auto" w:before="0"/>
        <w:rPr>
          <w:rFonts w:ascii="宋体" w:hAnsi="宋体" w:cs="宋体" w:eastAsia="宋体" w:hint="default"/>
          <w:sz w:val="16"/>
          <w:szCs w:val="16"/>
        </w:rPr>
      </w:pPr>
    </w:p>
    <w:p>
      <w:pPr>
        <w:pStyle w:val="BodyText"/>
        <w:spacing w:line="607" w:lineRule="auto"/>
        <w:ind w:left="623" w:right="7977" w:firstLine="420"/>
        <w:jc w:val="left"/>
      </w:pPr>
      <w:r>
        <w:rPr/>
        <w:pict>
          <v:shape style="position:absolute;margin-left:103.08847pt;margin-top:31.041962pt;width:392.95pt;height:64.3pt;mso-position-horizontal-relative:page;mso-position-vertical-relative:paragraph;z-index:-553408;rotation:315" type="#_x0000_t136" fillcolor="#e0e0e0" stroked="f">
            <o:extrusion v:ext="view" autorotationcenter="t"/>
            <v:textpath style="font-family:&amp;quot;Arial&amp;quot;;font-size:64pt;v-text-kern:t;mso-text-shadow:auto" string="UnRegistered"/>
            <w10:wrap type="none"/>
          </v:shape>
        </w:pict>
      </w:r>
      <w:r>
        <w:rPr/>
        <w:pict>
          <v:shape style="position:absolute;margin-left:78.338257pt;margin-top:60.503677pt;width:438.85pt;height:97.3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8"/>
                    <w:gridCol w:w="1601"/>
                    <w:gridCol w:w="1022"/>
                    <w:gridCol w:w="1745"/>
                    <w:gridCol w:w="1178"/>
                    <w:gridCol w:w="809"/>
                  </w:tblGrid>
                  <w:tr>
                    <w:trPr>
                      <w:trHeight w:val="986" w:hRule="exact"/>
                    </w:trPr>
                    <w:tc>
                      <w:tcPr>
                        <w:tcW w:w="23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1103" w:val="left" w:leader="none"/>
                            <w:tab w:pos="1643" w:val="left" w:leader="none"/>
                          </w:tabs>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担</w:t>
                          <w:tab/>
                          <w:t>保</w:t>
                          <w:tab/>
                          <w:t>方</w:t>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0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担保期间</w:t>
                        </w:r>
                      </w:p>
                    </w:tc>
                    <w:tc>
                      <w:tcPr>
                        <w:tcW w:w="11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担保权人</w:t>
                        </w:r>
                      </w:p>
                    </w:tc>
                    <w:tc>
                      <w:tcPr>
                        <w:tcW w:w="809"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104"/>
                          <w:ind w:left="127" w:right="132"/>
                          <w:jc w:val="both"/>
                          <w:rPr>
                            <w:rFonts w:ascii="宋体" w:hAnsi="宋体" w:cs="宋体" w:eastAsia="宋体" w:hint="default"/>
                            <w:sz w:val="18"/>
                            <w:szCs w:val="18"/>
                          </w:rPr>
                        </w:pPr>
                        <w:r>
                          <w:rPr>
                            <w:rFonts w:ascii="宋体" w:hAnsi="宋体" w:cs="宋体" w:eastAsia="宋体" w:hint="default"/>
                            <w:sz w:val="18"/>
                            <w:szCs w:val="18"/>
                          </w:rPr>
                          <w:t>担保是 否履行 完毕</w:t>
                        </w:r>
                      </w:p>
                    </w:tc>
                  </w:tr>
                  <w:tr>
                    <w:trPr>
                      <w:trHeight w:val="931" w:hRule="exact"/>
                    </w:trPr>
                    <w:tc>
                      <w:tcPr>
                        <w:tcW w:w="23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122" w:right="98"/>
                          <w:jc w:val="left"/>
                          <w:rPr>
                            <w:rFonts w:ascii="宋体" w:hAnsi="宋体" w:cs="宋体" w:eastAsia="宋体" w:hint="default"/>
                            <w:sz w:val="18"/>
                            <w:szCs w:val="18"/>
                          </w:rPr>
                        </w:pPr>
                        <w:r>
                          <w:rPr>
                            <w:rFonts w:ascii="宋体" w:hAnsi="宋体" w:cs="宋体" w:eastAsia="宋体" w:hint="default"/>
                            <w:spacing w:val="-1"/>
                            <w:sz w:val="18"/>
                            <w:szCs w:val="18"/>
                          </w:rPr>
                          <w:t>天伦控股有限公司、广州为</w:t>
                        </w:r>
                        <w:r>
                          <w:rPr>
                            <w:rFonts w:ascii="宋体" w:hAnsi="宋体" w:cs="宋体" w:eastAsia="宋体" w:hint="default"/>
                            <w:sz w:val="18"/>
                            <w:szCs w:val="18"/>
                          </w:rPr>
                          <w:t> 众物业管理有限公司</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432" w:right="161" w:hanging="269"/>
                          <w:jc w:val="left"/>
                          <w:rPr>
                            <w:rFonts w:ascii="宋体" w:hAnsi="宋体" w:cs="宋体" w:eastAsia="宋体" w:hint="default"/>
                            <w:sz w:val="18"/>
                            <w:szCs w:val="18"/>
                          </w:rPr>
                        </w:pPr>
                        <w:r>
                          <w:rPr>
                            <w:rFonts w:ascii="宋体" w:hAnsi="宋体" w:cs="宋体" w:eastAsia="宋体" w:hint="default"/>
                            <w:sz w:val="18"/>
                            <w:szCs w:val="18"/>
                          </w:rPr>
                          <w:t>广州润龙房地产 有限公司</w:t>
                        </w:r>
                      </w:p>
                    </w:tc>
                    <w:tc>
                      <w:tcPr>
                        <w:tcW w:w="10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sz w:val="18"/>
                          </w:rPr>
                          <w:t>35,000</w:t>
                        </w:r>
                      </w:p>
                      <w:p>
                        <w:pPr>
                          <w:pStyle w:val="TableParagraph"/>
                          <w:spacing w:line="240" w:lineRule="auto" w:before="4"/>
                          <w:ind w:left="3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2011.1.4-2021.1.3</w:t>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75"/>
                          <w:ind w:left="131" w:right="131"/>
                          <w:jc w:val="center"/>
                          <w:rPr>
                            <w:rFonts w:ascii="宋体" w:hAnsi="宋体" w:cs="宋体" w:eastAsia="宋体" w:hint="default"/>
                            <w:sz w:val="18"/>
                            <w:szCs w:val="18"/>
                          </w:rPr>
                        </w:pPr>
                        <w:r>
                          <w:rPr>
                            <w:rFonts w:ascii="宋体" w:hAnsi="宋体" w:cs="宋体" w:eastAsia="宋体" w:hint="default"/>
                            <w:sz w:val="18"/>
                            <w:szCs w:val="18"/>
                          </w:rPr>
                          <w:t>深圳发展银 行广州信源 支行</w:t>
                        </w:r>
                      </w:p>
                    </w:tc>
                    <w:tc>
                      <w:tcPr>
                        <w:tcW w:w="8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3、关联方交易情况</w:t>
      </w:r>
      <w:r>
        <w:rPr>
          <w:w w:val="100"/>
        </w:rPr>
        <w:t> </w:t>
      </w:r>
      <w:r>
        <w:rPr/>
        <w:t>关联担保情况：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203"/>
        <w:ind w:left="623" w:right="0"/>
        <w:jc w:val="left"/>
      </w:pPr>
      <w:r>
        <w:rPr/>
        <w:t>七、或有事项</w:t>
      </w:r>
    </w:p>
    <w:p>
      <w:pPr>
        <w:spacing w:line="240" w:lineRule="auto" w:before="2"/>
        <w:rPr>
          <w:rFonts w:ascii="宋体" w:hAnsi="宋体" w:cs="宋体" w:eastAsia="宋体" w:hint="default"/>
          <w:sz w:val="26"/>
          <w:szCs w:val="26"/>
        </w:rPr>
      </w:pPr>
    </w:p>
    <w:p>
      <w:pPr>
        <w:pStyle w:val="BodyText"/>
        <w:spacing w:line="240" w:lineRule="auto"/>
        <w:ind w:left="1043" w:right="0"/>
        <w:jc w:val="left"/>
      </w:pPr>
      <w:r>
        <w:rPr/>
        <w:t>本公司本报告期内无需披露的或有事项。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left="623" w:right="0"/>
        <w:jc w:val="left"/>
      </w:pPr>
      <w:r>
        <w:rPr/>
        <w:t>八、承诺事项</w:t>
      </w:r>
    </w:p>
    <w:p>
      <w:pPr>
        <w:spacing w:line="240" w:lineRule="auto" w:before="8"/>
        <w:rPr>
          <w:rFonts w:ascii="宋体" w:hAnsi="宋体" w:cs="宋体" w:eastAsia="宋体" w:hint="default"/>
          <w:sz w:val="25"/>
          <w:szCs w:val="25"/>
        </w:rPr>
      </w:pPr>
    </w:p>
    <w:p>
      <w:pPr>
        <w:pStyle w:val="BodyText"/>
        <w:spacing w:line="240" w:lineRule="auto"/>
        <w:ind w:left="1055" w:right="0"/>
        <w:jc w:val="left"/>
      </w:pPr>
      <w:r>
        <w:rPr/>
        <w:t>本公司本报告期内无需披露的承诺事项。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left="623" w:right="0"/>
        <w:jc w:val="left"/>
      </w:pPr>
      <w:r>
        <w:rPr/>
        <w:t>九、资产负债表日后事项</w:t>
      </w:r>
    </w:p>
    <w:p>
      <w:pPr>
        <w:spacing w:line="240" w:lineRule="auto" w:before="11"/>
        <w:rPr>
          <w:rFonts w:ascii="宋体" w:hAnsi="宋体" w:cs="宋体" w:eastAsia="宋体" w:hint="default"/>
          <w:sz w:val="25"/>
          <w:szCs w:val="25"/>
        </w:rPr>
      </w:pPr>
    </w:p>
    <w:p>
      <w:pPr>
        <w:pStyle w:val="BodyText"/>
        <w:spacing w:line="240" w:lineRule="auto"/>
        <w:ind w:left="1055" w:right="0"/>
        <w:jc w:val="left"/>
      </w:pPr>
      <w:r>
        <w:rPr/>
        <w:t>本公司本报告期内无需披露的资产负债表日后事项的非调整事项。</w:t>
      </w:r>
    </w:p>
    <w:p>
      <w:pPr>
        <w:spacing w:after="0" w:line="240" w:lineRule="auto"/>
        <w:jc w:val="left"/>
        <w:sectPr>
          <w:pgSz w:w="11910" w:h="16840"/>
          <w:pgMar w:header="929" w:footer="981" w:top="1180" w:bottom="1180" w:left="1080" w:right="0"/>
        </w:sectPr>
      </w:pPr>
    </w:p>
    <w:p>
      <w:pPr>
        <w:spacing w:line="240" w:lineRule="auto" w:before="1"/>
        <w:rPr>
          <w:rFonts w:ascii="宋体" w:hAnsi="宋体" w:cs="宋体" w:eastAsia="宋体" w:hint="default"/>
          <w:sz w:val="29"/>
          <w:szCs w:val="29"/>
        </w:rPr>
      </w:pPr>
    </w:p>
    <w:p>
      <w:pPr>
        <w:pStyle w:val="Heading3"/>
        <w:spacing w:line="240" w:lineRule="auto" w:before="26"/>
        <w:ind w:left="143" w:right="0"/>
        <w:jc w:val="both"/>
      </w:pPr>
      <w:r>
        <w:rPr/>
        <w:t>十、其他重要事项</w:t>
      </w:r>
    </w:p>
    <w:p>
      <w:pPr>
        <w:spacing w:line="240" w:lineRule="auto" w:before="5"/>
        <w:rPr>
          <w:rFonts w:ascii="宋体" w:hAnsi="宋体" w:cs="宋体" w:eastAsia="宋体" w:hint="default"/>
          <w:sz w:val="28"/>
          <w:szCs w:val="28"/>
        </w:rPr>
      </w:pPr>
    </w:p>
    <w:p>
      <w:pPr>
        <w:pStyle w:val="BodyText"/>
        <w:spacing w:line="439" w:lineRule="auto"/>
        <w:ind w:left="143" w:right="1687" w:firstLine="420"/>
        <w:jc w:val="left"/>
      </w:pPr>
      <w:r>
        <w:rPr>
          <w:spacing w:val="-2"/>
        </w:rPr>
        <w:t>1、本公司子公司广西田阳天伦矿业有限公司（原名称为田阳叫曼矿业有限责任公司，以</w:t>
      </w:r>
      <w:r>
        <w:rPr>
          <w:w w:val="100"/>
        </w:rPr>
        <w:t> </w:t>
      </w:r>
      <w:r>
        <w:rPr/>
        <w:t>下简称叫曼公司）原股东陈琳卡因不服被告田阳县工商行政管理局于</w:t>
      </w:r>
      <w:r>
        <w:rPr>
          <w:spacing w:val="-36"/>
        </w:rPr>
        <w:t> </w:t>
      </w:r>
      <w:r>
        <w:rPr/>
        <w:t>2008</w:t>
      </w:r>
      <w:r>
        <w:rPr>
          <w:spacing w:val="-38"/>
        </w:rPr>
        <w:t> </w:t>
      </w:r>
      <w:r>
        <w:rPr/>
        <w:t>年</w:t>
      </w:r>
      <w:r>
        <w:rPr>
          <w:spacing w:val="-36"/>
        </w:rPr>
        <w:t> </w:t>
      </w:r>
      <w:r>
        <w:rPr/>
        <w:t>11</w:t>
      </w:r>
      <w:r>
        <w:rPr>
          <w:spacing w:val="-36"/>
        </w:rPr>
        <w:t> </w:t>
      </w:r>
      <w:r>
        <w:rPr/>
        <w:t>月</w:t>
      </w:r>
      <w:r>
        <w:rPr>
          <w:spacing w:val="-36"/>
        </w:rPr>
        <w:t> </w:t>
      </w:r>
      <w:r>
        <w:rPr/>
        <w:t>6</w:t>
      </w:r>
      <w:r>
        <w:rPr>
          <w:spacing w:val="-38"/>
        </w:rPr>
        <w:t> </w:t>
      </w:r>
      <w:r>
        <w:rPr/>
        <w:t>日作出</w:t>
      </w:r>
    </w:p>
    <w:p>
      <w:pPr>
        <w:pStyle w:val="BodyText"/>
        <w:spacing w:line="240" w:lineRule="auto" w:before="50"/>
        <w:ind w:left="143" w:right="0"/>
        <w:jc w:val="both"/>
      </w:pPr>
      <w:r>
        <w:rPr/>
        <w:t>阳工商决字（2008）第</w:t>
      </w:r>
      <w:r>
        <w:rPr>
          <w:spacing w:val="-56"/>
        </w:rPr>
        <w:t> </w:t>
      </w:r>
      <w:r>
        <w:rPr/>
        <w:t>1</w:t>
      </w:r>
      <w:r>
        <w:rPr>
          <w:spacing w:val="-56"/>
        </w:rPr>
        <w:t> </w:t>
      </w:r>
      <w:r>
        <w:rPr/>
        <w:t>号《维持田阳叫曼矿业有限责任公司</w:t>
      </w:r>
      <w:r>
        <w:rPr>
          <w:spacing w:val="-54"/>
        </w:rPr>
        <w:t> </w:t>
      </w:r>
      <w:r>
        <w:rPr/>
        <w:t>2005</w:t>
      </w:r>
      <w:r>
        <w:rPr>
          <w:spacing w:val="-54"/>
        </w:rPr>
        <w:t> </w:t>
      </w:r>
      <w:r>
        <w:rPr/>
        <w:t>年</w:t>
      </w:r>
      <w:r>
        <w:rPr>
          <w:spacing w:val="-56"/>
        </w:rPr>
        <w:t> </w:t>
      </w:r>
      <w:r>
        <w:rPr/>
        <w:t>11</w:t>
      </w:r>
      <w:r>
        <w:rPr>
          <w:spacing w:val="-56"/>
        </w:rPr>
        <w:t> </w:t>
      </w:r>
      <w:r>
        <w:rPr/>
        <w:t>月</w:t>
      </w:r>
      <w:r>
        <w:rPr>
          <w:spacing w:val="-56"/>
        </w:rPr>
        <w:t> </w:t>
      </w:r>
      <w:r>
        <w:rPr/>
        <w:t>23</w:t>
      </w:r>
      <w:r>
        <w:rPr>
          <w:spacing w:val="-54"/>
        </w:rPr>
        <w:t> </w:t>
      </w:r>
      <w:r>
        <w:rPr/>
        <w:t>日变更登记决</w:t>
      </w:r>
    </w:p>
    <w:p>
      <w:pPr>
        <w:spacing w:line="240" w:lineRule="auto" w:before="2"/>
        <w:rPr>
          <w:rFonts w:ascii="宋体" w:hAnsi="宋体" w:cs="宋体" w:eastAsia="宋体" w:hint="default"/>
          <w:sz w:val="17"/>
          <w:szCs w:val="17"/>
        </w:rPr>
      </w:pPr>
    </w:p>
    <w:p>
      <w:pPr>
        <w:pStyle w:val="BodyText"/>
        <w:spacing w:line="436" w:lineRule="auto"/>
        <w:ind w:left="143" w:right="1691"/>
        <w:jc w:val="both"/>
      </w:pPr>
      <w:r>
        <w:rPr>
          <w:w w:val="100"/>
        </w:rPr>
        <w:t>定书</w:t>
      </w:r>
      <w:r>
        <w:rPr>
          <w:spacing w:val="-108"/>
          <w:w w:val="100"/>
        </w:rPr>
        <w:t>》</w:t>
      </w:r>
      <w:r>
        <w:rPr>
          <w:w w:val="100"/>
        </w:rPr>
        <w:t>，于</w:t>
      </w:r>
      <w:r>
        <w:rPr>
          <w:spacing w:val="-50"/>
        </w:rPr>
        <w:t> </w:t>
      </w:r>
      <w:r>
        <w:rPr>
          <w:w w:val="100"/>
        </w:rPr>
        <w:t>20</w:t>
      </w:r>
      <w:r>
        <w:rPr>
          <w:spacing w:val="-3"/>
          <w:w w:val="100"/>
        </w:rPr>
        <w:t>0</w:t>
      </w:r>
      <w:r>
        <w:rPr>
          <w:w w:val="100"/>
        </w:rPr>
        <w:t>9</w:t>
      </w:r>
      <w:r>
        <w:rPr>
          <w:spacing w:val="-48"/>
        </w:rPr>
        <w:t> </w:t>
      </w:r>
      <w:r>
        <w:rPr>
          <w:w w:val="100"/>
        </w:rPr>
        <w:t>年</w:t>
      </w:r>
      <w:r>
        <w:rPr>
          <w:spacing w:val="-50"/>
        </w:rPr>
        <w:t> </w:t>
      </w:r>
      <w:r>
        <w:rPr>
          <w:w w:val="100"/>
        </w:rPr>
        <w:t>1</w:t>
      </w:r>
      <w:r>
        <w:rPr>
          <w:spacing w:val="-48"/>
        </w:rPr>
        <w:t> </w:t>
      </w:r>
      <w:r>
        <w:rPr>
          <w:w w:val="100"/>
        </w:rPr>
        <w:t>月</w:t>
      </w:r>
      <w:r>
        <w:rPr>
          <w:spacing w:val="-50"/>
        </w:rPr>
        <w:t> </w:t>
      </w:r>
      <w:r>
        <w:rPr>
          <w:w w:val="100"/>
        </w:rPr>
        <w:t>19</w:t>
      </w:r>
      <w:r>
        <w:rPr>
          <w:spacing w:val="-50"/>
        </w:rPr>
        <w:t> </w:t>
      </w:r>
      <w:r>
        <w:rPr>
          <w:w w:val="100"/>
        </w:rPr>
        <w:t>日向</w:t>
      </w:r>
      <w:r>
        <w:rPr>
          <w:spacing w:val="-3"/>
          <w:w w:val="100"/>
        </w:rPr>
        <w:t>广</w:t>
      </w:r>
      <w:r>
        <w:rPr>
          <w:w w:val="100"/>
        </w:rPr>
        <w:t>西</w:t>
      </w:r>
      <w:r>
        <w:rPr>
          <w:spacing w:val="-3"/>
          <w:w w:val="100"/>
        </w:rPr>
        <w:t>田</w:t>
      </w:r>
      <w:r>
        <w:rPr>
          <w:w w:val="100"/>
        </w:rPr>
        <w:t>阳</w:t>
      </w:r>
      <w:r>
        <w:rPr>
          <w:spacing w:val="-3"/>
          <w:w w:val="100"/>
        </w:rPr>
        <w:t>县</w:t>
      </w:r>
      <w:r>
        <w:rPr>
          <w:w w:val="100"/>
        </w:rPr>
        <w:t>人</w:t>
      </w:r>
      <w:r>
        <w:rPr>
          <w:spacing w:val="-3"/>
          <w:w w:val="100"/>
        </w:rPr>
        <w:t>民</w:t>
      </w:r>
      <w:r>
        <w:rPr>
          <w:w w:val="100"/>
        </w:rPr>
        <w:t>法</w:t>
      </w:r>
      <w:r>
        <w:rPr>
          <w:spacing w:val="-3"/>
          <w:w w:val="100"/>
        </w:rPr>
        <w:t>院</w:t>
      </w:r>
      <w:r>
        <w:rPr>
          <w:w w:val="100"/>
        </w:rPr>
        <w:t>起</w:t>
      </w:r>
      <w:r>
        <w:rPr>
          <w:spacing w:val="-1"/>
          <w:w w:val="100"/>
        </w:rPr>
        <w:t>诉</w:t>
      </w:r>
      <w:r>
        <w:rPr>
          <w:spacing w:val="-3"/>
          <w:w w:val="100"/>
        </w:rPr>
        <w:t>；</w:t>
      </w:r>
      <w:r>
        <w:rPr>
          <w:w w:val="100"/>
        </w:rPr>
        <w:t>20</w:t>
      </w:r>
      <w:r>
        <w:rPr>
          <w:spacing w:val="-3"/>
          <w:w w:val="100"/>
        </w:rPr>
        <w:t>0</w:t>
      </w:r>
      <w:r>
        <w:rPr>
          <w:w w:val="100"/>
        </w:rPr>
        <w:t>9</w:t>
      </w:r>
      <w:r>
        <w:rPr>
          <w:spacing w:val="-48"/>
        </w:rPr>
        <w:t> </w:t>
      </w:r>
      <w:r>
        <w:rPr>
          <w:w w:val="100"/>
        </w:rPr>
        <w:t>年</w:t>
      </w:r>
      <w:r>
        <w:rPr>
          <w:spacing w:val="-50"/>
        </w:rPr>
        <w:t> </w:t>
      </w:r>
      <w:r>
        <w:rPr>
          <w:w w:val="100"/>
        </w:rPr>
        <w:t>4</w:t>
      </w:r>
      <w:r>
        <w:rPr>
          <w:spacing w:val="-48"/>
        </w:rPr>
        <w:t> </w:t>
      </w:r>
      <w:r>
        <w:rPr>
          <w:w w:val="100"/>
        </w:rPr>
        <w:t>月</w:t>
      </w:r>
      <w:r>
        <w:rPr>
          <w:spacing w:val="-50"/>
        </w:rPr>
        <w:t> </w:t>
      </w:r>
      <w:r>
        <w:rPr>
          <w:w w:val="100"/>
        </w:rPr>
        <w:t>17</w:t>
      </w:r>
      <w:r>
        <w:rPr>
          <w:spacing w:val="-50"/>
        </w:rPr>
        <w:t> </w:t>
      </w:r>
      <w:r>
        <w:rPr>
          <w:spacing w:val="-3"/>
          <w:w w:val="100"/>
        </w:rPr>
        <w:t>日</w:t>
      </w:r>
      <w:r>
        <w:rPr>
          <w:w w:val="100"/>
        </w:rPr>
        <w:t>，叫</w:t>
      </w:r>
      <w:r>
        <w:rPr>
          <w:spacing w:val="-3"/>
          <w:w w:val="100"/>
        </w:rPr>
        <w:t>曼</w:t>
      </w:r>
      <w:r>
        <w:rPr>
          <w:w w:val="100"/>
        </w:rPr>
        <w:t>公</w:t>
      </w:r>
      <w:r>
        <w:rPr>
          <w:spacing w:val="-3"/>
          <w:w w:val="100"/>
        </w:rPr>
        <w:t>司</w:t>
      </w:r>
      <w:r>
        <w:rPr>
          <w:w w:val="100"/>
        </w:rPr>
        <w:t>收到</w:t>
      </w:r>
      <w:r>
        <w:rPr>
          <w:w w:val="100"/>
        </w:rPr>
        <w:t> 田阳</w:t>
      </w:r>
      <w:r>
        <w:rPr>
          <w:spacing w:val="-3"/>
          <w:w w:val="100"/>
        </w:rPr>
        <w:t>县</w:t>
      </w:r>
      <w:r>
        <w:rPr>
          <w:w w:val="100"/>
        </w:rPr>
        <w:t>工</w:t>
      </w:r>
      <w:r>
        <w:rPr>
          <w:spacing w:val="-3"/>
          <w:w w:val="100"/>
        </w:rPr>
        <w:t>商</w:t>
      </w:r>
      <w:r>
        <w:rPr>
          <w:w w:val="100"/>
        </w:rPr>
        <w:t>局</w:t>
      </w:r>
      <w:r>
        <w:rPr>
          <w:spacing w:val="-3"/>
          <w:w w:val="100"/>
        </w:rPr>
        <w:t>送</w:t>
      </w:r>
      <w:r>
        <w:rPr>
          <w:w w:val="100"/>
        </w:rPr>
        <w:t>达</w:t>
      </w:r>
      <w:r>
        <w:rPr>
          <w:spacing w:val="-3"/>
          <w:w w:val="100"/>
        </w:rPr>
        <w:t>的《田</w:t>
      </w:r>
      <w:r>
        <w:rPr>
          <w:w w:val="100"/>
        </w:rPr>
        <w:t>阳县</w:t>
      </w:r>
      <w:r>
        <w:rPr>
          <w:spacing w:val="-3"/>
          <w:w w:val="100"/>
        </w:rPr>
        <w:t>工</w:t>
      </w:r>
      <w:r>
        <w:rPr>
          <w:w w:val="100"/>
        </w:rPr>
        <w:t>商</w:t>
      </w:r>
      <w:r>
        <w:rPr>
          <w:spacing w:val="-3"/>
          <w:w w:val="100"/>
        </w:rPr>
        <w:t>行</w:t>
      </w:r>
      <w:r>
        <w:rPr>
          <w:w w:val="100"/>
        </w:rPr>
        <w:t>政</w:t>
      </w:r>
      <w:r>
        <w:rPr>
          <w:spacing w:val="-3"/>
          <w:w w:val="100"/>
        </w:rPr>
        <w:t>管</w:t>
      </w:r>
      <w:r>
        <w:rPr>
          <w:w w:val="100"/>
        </w:rPr>
        <w:t>理</w:t>
      </w:r>
      <w:r>
        <w:rPr>
          <w:spacing w:val="-3"/>
          <w:w w:val="100"/>
        </w:rPr>
        <w:t>局</w:t>
      </w:r>
      <w:r>
        <w:rPr>
          <w:w w:val="100"/>
        </w:rPr>
        <w:t>撤</w:t>
      </w:r>
      <w:r>
        <w:rPr>
          <w:spacing w:val="-3"/>
          <w:w w:val="100"/>
        </w:rPr>
        <w:t>销</w:t>
      </w:r>
      <w:r>
        <w:rPr>
          <w:w w:val="100"/>
        </w:rPr>
        <w:t>变更</w:t>
      </w:r>
      <w:r>
        <w:rPr>
          <w:spacing w:val="-3"/>
          <w:w w:val="100"/>
        </w:rPr>
        <w:t>登</w:t>
      </w:r>
      <w:r>
        <w:rPr>
          <w:w w:val="100"/>
        </w:rPr>
        <w:t>记</w:t>
      </w:r>
      <w:r>
        <w:rPr>
          <w:spacing w:val="-3"/>
          <w:w w:val="100"/>
        </w:rPr>
        <w:t>通</w:t>
      </w:r>
      <w:r>
        <w:rPr>
          <w:w w:val="100"/>
        </w:rPr>
        <w:t>知</w:t>
      </w:r>
      <w:r>
        <w:rPr>
          <w:spacing w:val="-3"/>
          <w:w w:val="100"/>
        </w:rPr>
        <w:t>书</w:t>
      </w:r>
      <w:r>
        <w:rPr>
          <w:spacing w:val="-106"/>
          <w:w w:val="100"/>
        </w:rPr>
        <w:t>》</w:t>
      </w:r>
      <w:r>
        <w:rPr>
          <w:spacing w:val="-3"/>
          <w:w w:val="100"/>
        </w:rPr>
        <w:t>，</w:t>
      </w:r>
      <w:r>
        <w:rPr>
          <w:w w:val="100"/>
        </w:rPr>
        <w:t>并</w:t>
      </w:r>
      <w:r>
        <w:rPr>
          <w:spacing w:val="-3"/>
          <w:w w:val="100"/>
        </w:rPr>
        <w:t>附有</w:t>
      </w:r>
      <w:r>
        <w:rPr>
          <w:w w:val="100"/>
        </w:rPr>
        <w:t>《</w:t>
      </w:r>
      <w:r>
        <w:rPr>
          <w:spacing w:val="-3"/>
          <w:w w:val="100"/>
        </w:rPr>
        <w:t>广</w:t>
      </w:r>
      <w:r>
        <w:rPr>
          <w:w w:val="100"/>
        </w:rPr>
        <w:t>西</w:t>
      </w:r>
      <w:r>
        <w:rPr>
          <w:spacing w:val="-3"/>
          <w:w w:val="100"/>
        </w:rPr>
        <w:t>田</w:t>
      </w:r>
      <w:r>
        <w:rPr>
          <w:w w:val="100"/>
        </w:rPr>
        <w:t>阳</w:t>
      </w:r>
      <w:r>
        <w:rPr>
          <w:spacing w:val="-3"/>
          <w:w w:val="100"/>
        </w:rPr>
        <w:t>县</w:t>
      </w:r>
      <w:r>
        <w:rPr>
          <w:w w:val="100"/>
        </w:rPr>
        <w:t>人</w:t>
      </w:r>
      <w:r>
        <w:rPr>
          <w:w w:val="100"/>
        </w:rPr>
        <w:t> 民法</w:t>
      </w:r>
      <w:r>
        <w:rPr>
          <w:spacing w:val="-3"/>
          <w:w w:val="100"/>
        </w:rPr>
        <w:t>院</w:t>
      </w:r>
      <w:r>
        <w:rPr>
          <w:w w:val="100"/>
        </w:rPr>
        <w:t>行</w:t>
      </w:r>
      <w:r>
        <w:rPr>
          <w:spacing w:val="-3"/>
          <w:w w:val="100"/>
        </w:rPr>
        <w:t>政</w:t>
      </w:r>
      <w:r>
        <w:rPr>
          <w:w w:val="100"/>
        </w:rPr>
        <w:t>判</w:t>
      </w:r>
      <w:r>
        <w:rPr>
          <w:spacing w:val="-3"/>
          <w:w w:val="100"/>
        </w:rPr>
        <w:t>决</w:t>
      </w:r>
      <w:r>
        <w:rPr>
          <w:spacing w:val="-1"/>
          <w:w w:val="100"/>
        </w:rPr>
        <w:t>书</w:t>
      </w:r>
      <w:r>
        <w:rPr>
          <w:spacing w:val="-108"/>
          <w:w w:val="100"/>
        </w:rPr>
        <w:t>》</w:t>
      </w:r>
      <w:r>
        <w:rPr>
          <w:spacing w:val="-106"/>
          <w:w w:val="100"/>
        </w:rPr>
        <w:t>（</w:t>
      </w:r>
      <w:r>
        <w:rPr>
          <w:w w:val="100"/>
        </w:rPr>
        <w:t>（</w:t>
      </w:r>
      <w:r>
        <w:rPr>
          <w:spacing w:val="-3"/>
          <w:w w:val="100"/>
        </w:rPr>
        <w:t>2</w:t>
      </w:r>
      <w:r>
        <w:rPr>
          <w:w w:val="100"/>
        </w:rPr>
        <w:t>0</w:t>
      </w:r>
      <w:r>
        <w:rPr>
          <w:spacing w:val="-3"/>
          <w:w w:val="100"/>
        </w:rPr>
        <w:t>0</w:t>
      </w:r>
      <w:r>
        <w:rPr>
          <w:spacing w:val="-1"/>
          <w:w w:val="100"/>
        </w:rPr>
        <w:t>9</w:t>
      </w:r>
      <w:r>
        <w:rPr>
          <w:w w:val="100"/>
        </w:rPr>
        <w:t>）</w:t>
      </w:r>
      <w:r>
        <w:rPr>
          <w:spacing w:val="-3"/>
          <w:w w:val="100"/>
        </w:rPr>
        <w:t>阳</w:t>
      </w:r>
      <w:r>
        <w:rPr>
          <w:w w:val="100"/>
        </w:rPr>
        <w:t>行</w:t>
      </w:r>
      <w:r>
        <w:rPr>
          <w:spacing w:val="-3"/>
          <w:w w:val="100"/>
        </w:rPr>
        <w:t>初</w:t>
      </w:r>
      <w:r>
        <w:rPr>
          <w:w w:val="100"/>
        </w:rPr>
        <w:t>字第</w:t>
      </w:r>
      <w:r>
        <w:rPr>
          <w:spacing w:val="-55"/>
        </w:rPr>
        <w:t> </w:t>
      </w:r>
      <w:r>
        <w:rPr>
          <w:w w:val="100"/>
        </w:rPr>
        <w:t>53</w:t>
      </w:r>
      <w:r>
        <w:rPr>
          <w:spacing w:val="-55"/>
        </w:rPr>
        <w:t> </w:t>
      </w:r>
      <w:r>
        <w:rPr>
          <w:w w:val="100"/>
        </w:rPr>
        <w:t>号</w:t>
      </w:r>
      <w:r>
        <w:rPr>
          <w:spacing w:val="-106"/>
          <w:w w:val="100"/>
        </w:rPr>
        <w:t>）</w:t>
      </w:r>
      <w:r>
        <w:rPr>
          <w:spacing w:val="-3"/>
          <w:w w:val="100"/>
        </w:rPr>
        <w:t>，根</w:t>
      </w:r>
      <w:r>
        <w:rPr>
          <w:w w:val="100"/>
        </w:rPr>
        <w:t>据该</w:t>
      </w:r>
      <w:r>
        <w:rPr>
          <w:spacing w:val="-3"/>
          <w:w w:val="100"/>
        </w:rPr>
        <w:t>判</w:t>
      </w:r>
      <w:r>
        <w:rPr>
          <w:w w:val="100"/>
        </w:rPr>
        <w:t>决</w:t>
      </w:r>
      <w:r>
        <w:rPr>
          <w:spacing w:val="-3"/>
          <w:w w:val="100"/>
        </w:rPr>
        <w:t>书</w:t>
      </w:r>
      <w:r>
        <w:rPr>
          <w:w w:val="100"/>
        </w:rPr>
        <w:t>判</w:t>
      </w:r>
      <w:r>
        <w:rPr>
          <w:spacing w:val="-3"/>
          <w:w w:val="100"/>
        </w:rPr>
        <w:t>决</w:t>
      </w:r>
      <w:r>
        <w:rPr>
          <w:w w:val="100"/>
        </w:rPr>
        <w:t>如</w:t>
      </w:r>
      <w:r>
        <w:rPr>
          <w:spacing w:val="-3"/>
          <w:w w:val="100"/>
        </w:rPr>
        <w:t>下</w:t>
      </w:r>
      <w:r>
        <w:rPr>
          <w:w w:val="100"/>
        </w:rPr>
        <w:t>：</w:t>
      </w:r>
      <w:r>
        <w:rPr>
          <w:spacing w:val="-3"/>
          <w:w w:val="100"/>
        </w:rPr>
        <w:t>1、</w:t>
      </w:r>
      <w:r>
        <w:rPr>
          <w:w w:val="100"/>
        </w:rPr>
        <w:t>撤销</w:t>
      </w:r>
      <w:r>
        <w:rPr>
          <w:spacing w:val="-3"/>
          <w:w w:val="100"/>
        </w:rPr>
        <w:t>被</w:t>
      </w:r>
      <w:r>
        <w:rPr>
          <w:w w:val="100"/>
        </w:rPr>
        <w:t>告</w:t>
      </w:r>
      <w:r>
        <w:rPr>
          <w:spacing w:val="-3"/>
          <w:w w:val="100"/>
        </w:rPr>
        <w:t>田</w:t>
      </w:r>
      <w:r>
        <w:rPr>
          <w:w w:val="100"/>
        </w:rPr>
        <w:t>阳</w:t>
      </w:r>
    </w:p>
    <w:p>
      <w:pPr>
        <w:pStyle w:val="BodyText"/>
        <w:spacing w:line="240" w:lineRule="auto" w:before="52"/>
        <w:ind w:left="143" w:right="0"/>
        <w:jc w:val="both"/>
      </w:pPr>
      <w:r>
        <w:rPr/>
        <w:t>县工商行政管理局于</w:t>
      </w:r>
      <w:r>
        <w:rPr>
          <w:spacing w:val="-41"/>
        </w:rPr>
        <w:t> </w:t>
      </w:r>
      <w:r>
        <w:rPr/>
        <w:t>2008</w:t>
      </w:r>
      <w:r>
        <w:rPr>
          <w:spacing w:val="-43"/>
        </w:rPr>
        <w:t> </w:t>
      </w:r>
      <w:r>
        <w:rPr/>
        <w:t>年</w:t>
      </w:r>
      <w:r>
        <w:rPr>
          <w:spacing w:val="-41"/>
        </w:rPr>
        <w:t> </w:t>
      </w:r>
      <w:r>
        <w:rPr/>
        <w:t>11</w:t>
      </w:r>
      <w:r>
        <w:rPr>
          <w:spacing w:val="-41"/>
        </w:rPr>
        <w:t> </w:t>
      </w:r>
      <w:r>
        <w:rPr/>
        <w:t>月</w:t>
      </w:r>
      <w:r>
        <w:rPr>
          <w:spacing w:val="-41"/>
        </w:rPr>
        <w:t> </w:t>
      </w:r>
      <w:r>
        <w:rPr/>
        <w:t>6</w:t>
      </w:r>
      <w:r>
        <w:rPr>
          <w:spacing w:val="-41"/>
        </w:rPr>
        <w:t> </w:t>
      </w:r>
      <w:r>
        <w:rPr/>
        <w:t>日作出的阳工商决字（2008）第</w:t>
      </w:r>
      <w:r>
        <w:rPr>
          <w:spacing w:val="-41"/>
        </w:rPr>
        <w:t> </w:t>
      </w:r>
      <w:r>
        <w:rPr/>
        <w:t>1</w:t>
      </w:r>
      <w:r>
        <w:rPr>
          <w:spacing w:val="-41"/>
        </w:rPr>
        <w:t> </w:t>
      </w:r>
      <w:r>
        <w:rPr/>
        <w:t>号维持田阳叫曼矿业</w:t>
      </w:r>
    </w:p>
    <w:p>
      <w:pPr>
        <w:spacing w:line="240" w:lineRule="auto" w:before="4"/>
        <w:rPr>
          <w:rFonts w:ascii="宋体" w:hAnsi="宋体" w:cs="宋体" w:eastAsia="宋体" w:hint="default"/>
          <w:sz w:val="17"/>
          <w:szCs w:val="17"/>
        </w:rPr>
      </w:pPr>
    </w:p>
    <w:p>
      <w:pPr>
        <w:pStyle w:val="BodyText"/>
        <w:spacing w:line="240" w:lineRule="auto"/>
        <w:ind w:left="143" w:right="0"/>
        <w:jc w:val="both"/>
      </w:pPr>
      <w:r>
        <w:rPr/>
        <w:t>有限责任公司</w:t>
      </w:r>
      <w:r>
        <w:rPr>
          <w:spacing w:val="-46"/>
        </w:rPr>
        <w:t> </w:t>
      </w:r>
      <w:r>
        <w:rPr/>
        <w:t>2005</w:t>
      </w:r>
      <w:r>
        <w:rPr>
          <w:spacing w:val="-48"/>
        </w:rPr>
        <w:t> </w:t>
      </w:r>
      <w:r>
        <w:rPr/>
        <w:t>年</w:t>
      </w:r>
      <w:r>
        <w:rPr>
          <w:spacing w:val="-45"/>
        </w:rPr>
        <w:t> </w:t>
      </w:r>
      <w:r>
        <w:rPr/>
        <w:t>11</w:t>
      </w:r>
      <w:r>
        <w:rPr>
          <w:spacing w:val="-48"/>
        </w:rPr>
        <w:t> </w:t>
      </w:r>
      <w:r>
        <w:rPr/>
        <w:t>月</w:t>
      </w:r>
      <w:r>
        <w:rPr>
          <w:spacing w:val="-45"/>
        </w:rPr>
        <w:t> </w:t>
      </w:r>
      <w:r>
        <w:rPr/>
        <w:t>23</w:t>
      </w:r>
      <w:r>
        <w:rPr>
          <w:spacing w:val="-48"/>
        </w:rPr>
        <w:t> </w:t>
      </w:r>
      <w:r>
        <w:rPr/>
        <w:t>日变更登记决定；2、撤销被告田阳县工商行政管理局于</w:t>
      </w:r>
      <w:r>
        <w:rPr>
          <w:spacing w:val="-46"/>
        </w:rPr>
        <w:t> </w:t>
      </w:r>
      <w:r>
        <w:rPr/>
        <w:t>2005</w:t>
      </w:r>
    </w:p>
    <w:p>
      <w:pPr>
        <w:spacing w:line="240" w:lineRule="auto" w:before="2"/>
        <w:rPr>
          <w:rFonts w:ascii="宋体" w:hAnsi="宋体" w:cs="宋体" w:eastAsia="宋体" w:hint="default"/>
          <w:sz w:val="17"/>
          <w:szCs w:val="17"/>
        </w:rPr>
      </w:pPr>
    </w:p>
    <w:p>
      <w:pPr>
        <w:pStyle w:val="BodyText"/>
        <w:spacing w:line="436" w:lineRule="auto"/>
        <w:ind w:left="143" w:right="1691"/>
        <w:jc w:val="both"/>
      </w:pPr>
      <w:r>
        <w:rPr/>
        <w:t>年</w:t>
      </w:r>
      <w:r>
        <w:rPr>
          <w:spacing w:val="-27"/>
        </w:rPr>
        <w:t> </w:t>
      </w:r>
      <w:r>
        <w:rPr/>
        <w:t>11</w:t>
      </w:r>
      <w:r>
        <w:rPr>
          <w:spacing w:val="-27"/>
        </w:rPr>
        <w:t> </w:t>
      </w:r>
      <w:r>
        <w:rPr/>
        <w:t>月</w:t>
      </w:r>
      <w:r>
        <w:rPr>
          <w:spacing w:val="-30"/>
        </w:rPr>
        <w:t> </w:t>
      </w:r>
      <w:r>
        <w:rPr/>
        <w:t>23</w:t>
      </w:r>
      <w:r>
        <w:rPr>
          <w:spacing w:val="-30"/>
        </w:rPr>
        <w:t> </w:t>
      </w:r>
      <w:r>
        <w:rPr/>
        <w:t>日核准的田阳叫曼矿业有限责任公司变更登记，限被告在法定的限期内回复原告</w:t>
      </w:r>
      <w:r>
        <w:rPr>
          <w:w w:val="100"/>
        </w:rPr>
        <w:t> </w:t>
      </w:r>
      <w:r>
        <w:rPr/>
        <w:t>陈琳卡为田阳叫曼矿业有限责任公司股东、法定代表人等事项的公司登记。</w:t>
      </w:r>
    </w:p>
    <w:p>
      <w:pPr>
        <w:spacing w:line="240" w:lineRule="auto" w:before="12"/>
        <w:rPr>
          <w:rFonts w:ascii="宋体" w:hAnsi="宋体" w:cs="宋体" w:eastAsia="宋体" w:hint="default"/>
          <w:sz w:val="15"/>
          <w:szCs w:val="15"/>
        </w:rPr>
      </w:pPr>
    </w:p>
    <w:p>
      <w:pPr>
        <w:pStyle w:val="BodyText"/>
        <w:spacing w:line="439" w:lineRule="auto"/>
        <w:ind w:left="143" w:right="1687" w:firstLine="420"/>
        <w:jc w:val="left"/>
      </w:pPr>
      <w:r>
        <w:rPr/>
        <w:pict>
          <v:shape style="position:absolute;margin-left:103.08847pt;margin-top:24.201965pt;width:392.95pt;height:64.3pt;mso-position-horizontal-relative:page;mso-position-vertical-relative:paragraph;z-index:-553360;rotation:315" type="#_x0000_t136" fillcolor="#e0e0e0" stroked="f">
            <o:extrusion v:ext="view" autorotationcenter="t"/>
            <v:textpath style="font-family:&amp;quot;Arial&amp;quot;;font-size:64pt;v-text-kern:t;mso-text-shadow:auto" string="UnRegistered"/>
            <w10:wrap type="none"/>
          </v:shape>
        </w:pict>
      </w:r>
      <w:r>
        <w:rPr/>
        <w:t>2009</w:t>
      </w:r>
      <w:r>
        <w:rPr>
          <w:spacing w:val="-38"/>
        </w:rPr>
        <w:t> </w:t>
      </w:r>
      <w:r>
        <w:rPr/>
        <w:t>年</w:t>
      </w:r>
      <w:r>
        <w:rPr>
          <w:spacing w:val="-40"/>
        </w:rPr>
        <w:t> </w:t>
      </w:r>
      <w:r>
        <w:rPr/>
        <w:t>5</w:t>
      </w:r>
      <w:r>
        <w:rPr>
          <w:spacing w:val="-38"/>
        </w:rPr>
        <w:t> </w:t>
      </w:r>
      <w:r>
        <w:rPr/>
        <w:t>月，本公司聘请的法律顾问分别向田阳县工商行政管理局递交了《关于请求暂</w:t>
      </w:r>
      <w:r>
        <w:rPr>
          <w:w w:val="100"/>
        </w:rPr>
        <w:t> 缓执行阳工商撤字[2009]01</w:t>
      </w:r>
      <w:r>
        <w:rPr>
          <w:spacing w:val="25"/>
          <w:w w:val="100"/>
        </w:rPr>
        <w:t> </w:t>
      </w:r>
      <w:r>
        <w:rPr>
          <w:spacing w:val="-3"/>
          <w:w w:val="100"/>
        </w:rPr>
        <w:t>号〈撤销变更登记通知书〉的申请》、向田阳县人民法院递交了</w:t>
      </w:r>
    </w:p>
    <w:p>
      <w:pPr>
        <w:pStyle w:val="BodyText"/>
        <w:spacing w:line="436" w:lineRule="auto" w:before="50"/>
        <w:ind w:left="143" w:right="1691"/>
        <w:jc w:val="both"/>
      </w:pPr>
      <w:r>
        <w:rPr>
          <w:w w:val="100"/>
        </w:rPr>
        <w:t>《行</w:t>
      </w:r>
      <w:r>
        <w:rPr>
          <w:spacing w:val="-3"/>
          <w:w w:val="100"/>
        </w:rPr>
        <w:t>政</w:t>
      </w:r>
      <w:r>
        <w:rPr>
          <w:w w:val="100"/>
        </w:rPr>
        <w:t>再</w:t>
      </w:r>
      <w:r>
        <w:rPr>
          <w:spacing w:val="-3"/>
          <w:w w:val="100"/>
        </w:rPr>
        <w:t>审</w:t>
      </w:r>
      <w:r>
        <w:rPr>
          <w:w w:val="100"/>
        </w:rPr>
        <w:t>申</w:t>
      </w:r>
      <w:r>
        <w:rPr>
          <w:spacing w:val="-3"/>
          <w:w w:val="100"/>
        </w:rPr>
        <w:t>诉</w:t>
      </w:r>
      <w:r>
        <w:rPr>
          <w:spacing w:val="-1"/>
          <w:w w:val="100"/>
        </w:rPr>
        <w:t>书</w:t>
      </w:r>
      <w:r>
        <w:rPr>
          <w:spacing w:val="-108"/>
          <w:w w:val="100"/>
        </w:rPr>
        <w:t>》</w:t>
      </w:r>
      <w:r>
        <w:rPr>
          <w:spacing w:val="-12"/>
          <w:w w:val="100"/>
        </w:rPr>
        <w:t>、</w:t>
      </w:r>
      <w:r>
        <w:rPr>
          <w:w w:val="100"/>
        </w:rPr>
        <w:t>向</w:t>
      </w:r>
      <w:r>
        <w:rPr>
          <w:spacing w:val="-3"/>
          <w:w w:val="100"/>
        </w:rPr>
        <w:t>田</w:t>
      </w:r>
      <w:r>
        <w:rPr>
          <w:w w:val="100"/>
        </w:rPr>
        <w:t>阳县</w:t>
      </w:r>
      <w:r>
        <w:rPr>
          <w:spacing w:val="-3"/>
          <w:w w:val="100"/>
        </w:rPr>
        <w:t>人</w:t>
      </w:r>
      <w:r>
        <w:rPr>
          <w:w w:val="100"/>
        </w:rPr>
        <w:t>民</w:t>
      </w:r>
      <w:r>
        <w:rPr>
          <w:spacing w:val="-3"/>
          <w:w w:val="100"/>
        </w:rPr>
        <w:t>检</w:t>
      </w:r>
      <w:r>
        <w:rPr>
          <w:w w:val="100"/>
        </w:rPr>
        <w:t>察</w:t>
      </w:r>
      <w:r>
        <w:rPr>
          <w:spacing w:val="-3"/>
          <w:w w:val="100"/>
        </w:rPr>
        <w:t>院</w:t>
      </w:r>
      <w:r>
        <w:rPr>
          <w:w w:val="100"/>
        </w:rPr>
        <w:t>递</w:t>
      </w:r>
      <w:r>
        <w:rPr>
          <w:spacing w:val="-3"/>
          <w:w w:val="100"/>
        </w:rPr>
        <w:t>交</w:t>
      </w:r>
      <w:r>
        <w:rPr>
          <w:spacing w:val="-13"/>
          <w:w w:val="100"/>
        </w:rPr>
        <w:t>了</w:t>
      </w:r>
      <w:r>
        <w:rPr>
          <w:spacing w:val="-3"/>
          <w:w w:val="100"/>
        </w:rPr>
        <w:t>《</w:t>
      </w:r>
      <w:r>
        <w:rPr>
          <w:w w:val="100"/>
        </w:rPr>
        <w:t>申诉</w:t>
      </w:r>
      <w:r>
        <w:rPr>
          <w:spacing w:val="-3"/>
          <w:w w:val="100"/>
        </w:rPr>
        <w:t>书</w:t>
      </w:r>
      <w:r>
        <w:rPr>
          <w:spacing w:val="-12"/>
          <w:w w:val="100"/>
        </w:rPr>
        <w:t>》</w:t>
      </w:r>
      <w:r>
        <w:rPr>
          <w:spacing w:val="-3"/>
          <w:w w:val="100"/>
        </w:rPr>
        <w:t>等</w:t>
      </w:r>
      <w:r>
        <w:rPr>
          <w:spacing w:val="-10"/>
          <w:w w:val="100"/>
        </w:rPr>
        <w:t>。</w:t>
      </w:r>
      <w:r>
        <w:rPr>
          <w:w w:val="100"/>
        </w:rPr>
        <w:t>2</w:t>
      </w:r>
      <w:r>
        <w:rPr>
          <w:spacing w:val="-3"/>
          <w:w w:val="100"/>
        </w:rPr>
        <w:t>0</w:t>
      </w:r>
      <w:r>
        <w:rPr>
          <w:w w:val="100"/>
        </w:rPr>
        <w:t>09</w:t>
      </w:r>
      <w:r>
        <w:rPr>
          <w:spacing w:val="-55"/>
        </w:rPr>
        <w:t> </w:t>
      </w:r>
      <w:r>
        <w:rPr>
          <w:w w:val="100"/>
        </w:rPr>
        <w:t>年</w:t>
      </w:r>
      <w:r>
        <w:rPr>
          <w:spacing w:val="-53"/>
        </w:rPr>
        <w:t> </w:t>
      </w:r>
      <w:r>
        <w:rPr>
          <w:w w:val="100"/>
        </w:rPr>
        <w:t>8</w:t>
      </w:r>
      <w:r>
        <w:rPr>
          <w:spacing w:val="-2"/>
        </w:rPr>
        <w:t> </w:t>
      </w:r>
      <w:r>
        <w:rPr>
          <w:w w:val="100"/>
        </w:rPr>
        <w:t>月</w:t>
      </w:r>
      <w:r>
        <w:rPr>
          <w:spacing w:val="-55"/>
        </w:rPr>
        <w:t> </w:t>
      </w:r>
      <w:r>
        <w:rPr>
          <w:w w:val="100"/>
        </w:rPr>
        <w:t>24</w:t>
      </w:r>
      <w:r>
        <w:rPr/>
        <w:t> </w:t>
      </w:r>
      <w:r>
        <w:rPr>
          <w:spacing w:val="-3"/>
          <w:w w:val="100"/>
        </w:rPr>
        <w:t>日</w:t>
      </w:r>
      <w:r>
        <w:rPr>
          <w:spacing w:val="-12"/>
          <w:w w:val="100"/>
        </w:rPr>
        <w:t>，</w:t>
      </w:r>
      <w:r>
        <w:rPr>
          <w:w w:val="100"/>
        </w:rPr>
        <w:t>田</w:t>
      </w:r>
      <w:r>
        <w:rPr>
          <w:spacing w:val="-3"/>
          <w:w w:val="100"/>
        </w:rPr>
        <w:t>阳</w:t>
      </w:r>
      <w:r>
        <w:rPr>
          <w:w w:val="100"/>
        </w:rPr>
        <w:t>县</w:t>
      </w:r>
      <w:r>
        <w:rPr>
          <w:w w:val="100"/>
        </w:rPr>
        <w:t> 人民</w:t>
      </w:r>
      <w:r>
        <w:rPr>
          <w:spacing w:val="-3"/>
          <w:w w:val="100"/>
        </w:rPr>
        <w:t>检</w:t>
      </w:r>
      <w:r>
        <w:rPr>
          <w:w w:val="100"/>
        </w:rPr>
        <w:t>察</w:t>
      </w:r>
      <w:r>
        <w:rPr>
          <w:spacing w:val="-3"/>
          <w:w w:val="100"/>
        </w:rPr>
        <w:t>院</w:t>
      </w:r>
      <w:r>
        <w:rPr>
          <w:w w:val="100"/>
        </w:rPr>
        <w:t>向</w:t>
      </w:r>
      <w:r>
        <w:rPr>
          <w:spacing w:val="-3"/>
          <w:w w:val="100"/>
        </w:rPr>
        <w:t>田</w:t>
      </w:r>
      <w:r>
        <w:rPr>
          <w:w w:val="100"/>
        </w:rPr>
        <w:t>阳</w:t>
      </w:r>
      <w:r>
        <w:rPr>
          <w:spacing w:val="-3"/>
          <w:w w:val="100"/>
        </w:rPr>
        <w:t>县</w:t>
      </w:r>
      <w:r>
        <w:rPr>
          <w:w w:val="100"/>
        </w:rPr>
        <w:t>人</w:t>
      </w:r>
      <w:r>
        <w:rPr>
          <w:spacing w:val="-3"/>
          <w:w w:val="100"/>
        </w:rPr>
        <w:t>民</w:t>
      </w:r>
      <w:r>
        <w:rPr>
          <w:w w:val="100"/>
        </w:rPr>
        <w:t>法院</w:t>
      </w:r>
      <w:r>
        <w:rPr>
          <w:spacing w:val="-3"/>
          <w:w w:val="100"/>
        </w:rPr>
        <w:t>出</w:t>
      </w:r>
      <w:r>
        <w:rPr>
          <w:w w:val="100"/>
        </w:rPr>
        <w:t>具</w:t>
      </w:r>
      <w:r>
        <w:rPr>
          <w:spacing w:val="-3"/>
          <w:w w:val="100"/>
        </w:rPr>
        <w:t>了</w:t>
      </w:r>
      <w:r>
        <w:rPr>
          <w:w w:val="100"/>
        </w:rPr>
        <w:t>《</w:t>
      </w:r>
      <w:r>
        <w:rPr>
          <w:spacing w:val="-3"/>
          <w:w w:val="100"/>
        </w:rPr>
        <w:t>广</w:t>
      </w:r>
      <w:r>
        <w:rPr>
          <w:w w:val="100"/>
        </w:rPr>
        <w:t>西</w:t>
      </w:r>
      <w:r>
        <w:rPr>
          <w:spacing w:val="-3"/>
          <w:w w:val="100"/>
        </w:rPr>
        <w:t>壮</w:t>
      </w:r>
      <w:r>
        <w:rPr>
          <w:w w:val="100"/>
        </w:rPr>
        <w:t>族</w:t>
      </w:r>
      <w:r>
        <w:rPr>
          <w:spacing w:val="-3"/>
          <w:w w:val="100"/>
        </w:rPr>
        <w:t>自</w:t>
      </w:r>
      <w:r>
        <w:rPr>
          <w:w w:val="100"/>
        </w:rPr>
        <w:t>治区</w:t>
      </w:r>
      <w:r>
        <w:rPr>
          <w:spacing w:val="-3"/>
          <w:w w:val="100"/>
        </w:rPr>
        <w:t>田</w:t>
      </w:r>
      <w:r>
        <w:rPr>
          <w:w w:val="100"/>
        </w:rPr>
        <w:t>阳</w:t>
      </w:r>
      <w:r>
        <w:rPr>
          <w:spacing w:val="-3"/>
          <w:w w:val="100"/>
        </w:rPr>
        <w:t>县</w:t>
      </w:r>
      <w:r>
        <w:rPr>
          <w:w w:val="100"/>
        </w:rPr>
        <w:t>人</w:t>
      </w:r>
      <w:r>
        <w:rPr>
          <w:spacing w:val="-3"/>
          <w:w w:val="100"/>
        </w:rPr>
        <w:t>民</w:t>
      </w:r>
      <w:r>
        <w:rPr>
          <w:w w:val="100"/>
        </w:rPr>
        <w:t>检</w:t>
      </w:r>
      <w:r>
        <w:rPr>
          <w:spacing w:val="-3"/>
          <w:w w:val="100"/>
        </w:rPr>
        <w:t>察</w:t>
      </w:r>
      <w:r>
        <w:rPr>
          <w:w w:val="100"/>
        </w:rPr>
        <w:t>院</w:t>
      </w:r>
      <w:r>
        <w:rPr>
          <w:spacing w:val="-3"/>
          <w:w w:val="100"/>
        </w:rPr>
        <w:t>再</w:t>
      </w:r>
      <w:r>
        <w:rPr>
          <w:w w:val="100"/>
        </w:rPr>
        <w:t>审检</w:t>
      </w:r>
      <w:r>
        <w:rPr>
          <w:spacing w:val="-3"/>
          <w:w w:val="100"/>
        </w:rPr>
        <w:t>察</w:t>
      </w:r>
      <w:r>
        <w:rPr>
          <w:w w:val="100"/>
        </w:rPr>
        <w:t>建</w:t>
      </w:r>
      <w:r>
        <w:rPr>
          <w:spacing w:val="-3"/>
          <w:w w:val="100"/>
        </w:rPr>
        <w:t>议</w:t>
      </w:r>
      <w:r>
        <w:rPr>
          <w:spacing w:val="-1"/>
          <w:w w:val="100"/>
        </w:rPr>
        <w:t>书</w:t>
      </w:r>
      <w:r>
        <w:rPr>
          <w:spacing w:val="-111"/>
          <w:w w:val="100"/>
        </w:rPr>
        <w:t>》</w:t>
      </w:r>
      <w:r>
        <w:rPr>
          <w:w w:val="100"/>
        </w:rPr>
        <w:t>，</w:t>
      </w:r>
      <w:r>
        <w:rPr>
          <w:w w:val="100"/>
        </w:rPr>
        <w:t> 2009</w:t>
      </w:r>
      <w:r>
        <w:rPr>
          <w:spacing w:val="-55"/>
        </w:rPr>
        <w:t> </w:t>
      </w:r>
      <w:r>
        <w:rPr>
          <w:w w:val="100"/>
        </w:rPr>
        <w:t>年</w:t>
      </w:r>
      <w:r>
        <w:rPr>
          <w:spacing w:val="-53"/>
        </w:rPr>
        <w:t> </w:t>
      </w:r>
      <w:r>
        <w:rPr>
          <w:w w:val="100"/>
        </w:rPr>
        <w:t>10</w:t>
      </w:r>
      <w:r>
        <w:rPr>
          <w:spacing w:val="-2"/>
        </w:rPr>
        <w:t> </w:t>
      </w:r>
      <w:r>
        <w:rPr>
          <w:w w:val="100"/>
        </w:rPr>
        <w:t>月</w:t>
      </w:r>
      <w:r>
        <w:rPr>
          <w:spacing w:val="-53"/>
        </w:rPr>
        <w:t> </w:t>
      </w:r>
      <w:r>
        <w:rPr>
          <w:spacing w:val="-3"/>
          <w:w w:val="100"/>
        </w:rPr>
        <w:t>2</w:t>
      </w:r>
      <w:r>
        <w:rPr>
          <w:w w:val="100"/>
        </w:rPr>
        <w:t>1</w:t>
      </w:r>
      <w:r>
        <w:rPr/>
        <w:t> </w:t>
      </w:r>
      <w:r>
        <w:rPr>
          <w:spacing w:val="-3"/>
          <w:w w:val="100"/>
        </w:rPr>
        <w:t>日</w:t>
      </w:r>
      <w:r>
        <w:rPr>
          <w:w w:val="100"/>
        </w:rPr>
        <w:t>，</w:t>
      </w:r>
      <w:r>
        <w:rPr>
          <w:spacing w:val="-3"/>
          <w:w w:val="100"/>
        </w:rPr>
        <w:t>广</w:t>
      </w:r>
      <w:r>
        <w:rPr>
          <w:w w:val="100"/>
        </w:rPr>
        <w:t>西田</w:t>
      </w:r>
      <w:r>
        <w:rPr>
          <w:spacing w:val="-3"/>
          <w:w w:val="100"/>
        </w:rPr>
        <w:t>阳</w:t>
      </w:r>
      <w:r>
        <w:rPr>
          <w:w w:val="100"/>
        </w:rPr>
        <w:t>县</w:t>
      </w:r>
      <w:r>
        <w:rPr>
          <w:spacing w:val="-3"/>
          <w:w w:val="100"/>
        </w:rPr>
        <w:t>人</w:t>
      </w:r>
      <w:r>
        <w:rPr>
          <w:w w:val="100"/>
        </w:rPr>
        <w:t>民</w:t>
      </w:r>
      <w:r>
        <w:rPr>
          <w:spacing w:val="-3"/>
          <w:w w:val="100"/>
        </w:rPr>
        <w:t>法</w:t>
      </w:r>
      <w:r>
        <w:rPr>
          <w:w w:val="100"/>
        </w:rPr>
        <w:t>院</w:t>
      </w:r>
      <w:r>
        <w:rPr>
          <w:spacing w:val="-3"/>
          <w:w w:val="100"/>
        </w:rPr>
        <w:t>出</w:t>
      </w:r>
      <w:r>
        <w:rPr>
          <w:w w:val="100"/>
        </w:rPr>
        <w:t>具</w:t>
      </w:r>
      <w:r>
        <w:rPr>
          <w:spacing w:val="-3"/>
          <w:w w:val="100"/>
        </w:rPr>
        <w:t>了</w:t>
      </w:r>
      <w:r>
        <w:rPr>
          <w:w w:val="100"/>
        </w:rPr>
        <w:t>（200</w:t>
      </w:r>
      <w:r>
        <w:rPr>
          <w:spacing w:val="-3"/>
          <w:w w:val="100"/>
        </w:rPr>
        <w:t>9</w:t>
      </w:r>
      <w:r>
        <w:rPr>
          <w:w w:val="100"/>
        </w:rPr>
        <w:t>）</w:t>
      </w:r>
      <w:r>
        <w:rPr>
          <w:spacing w:val="-3"/>
          <w:w w:val="100"/>
        </w:rPr>
        <w:t>阳</w:t>
      </w:r>
      <w:r>
        <w:rPr>
          <w:w w:val="100"/>
        </w:rPr>
        <w:t>行</w:t>
      </w:r>
      <w:r>
        <w:rPr>
          <w:spacing w:val="-3"/>
          <w:w w:val="100"/>
        </w:rPr>
        <w:t>监字</w:t>
      </w:r>
      <w:r>
        <w:rPr>
          <w:w w:val="100"/>
        </w:rPr>
        <w:t>第</w:t>
      </w:r>
      <w:r>
        <w:rPr>
          <w:spacing w:val="-53"/>
        </w:rPr>
        <w:t> </w:t>
      </w:r>
      <w:r>
        <w:rPr>
          <w:w w:val="100"/>
        </w:rPr>
        <w:t>1</w:t>
      </w:r>
      <w:r>
        <w:rPr>
          <w:spacing w:val="-2"/>
        </w:rPr>
        <w:t> </w:t>
      </w:r>
      <w:r>
        <w:rPr>
          <w:spacing w:val="-3"/>
          <w:w w:val="100"/>
        </w:rPr>
        <w:t>号</w:t>
      </w:r>
      <w:r>
        <w:rPr>
          <w:w w:val="100"/>
        </w:rPr>
        <w:t>《行</w:t>
      </w:r>
      <w:r>
        <w:rPr>
          <w:spacing w:val="-3"/>
          <w:w w:val="100"/>
        </w:rPr>
        <w:t>政</w:t>
      </w:r>
      <w:r>
        <w:rPr>
          <w:w w:val="100"/>
        </w:rPr>
        <w:t>裁</w:t>
      </w:r>
      <w:r>
        <w:rPr>
          <w:spacing w:val="-3"/>
          <w:w w:val="100"/>
        </w:rPr>
        <w:t>定</w:t>
      </w:r>
      <w:r>
        <w:rPr>
          <w:spacing w:val="-1"/>
          <w:w w:val="100"/>
        </w:rPr>
        <w:t>书</w:t>
      </w:r>
      <w:r>
        <w:rPr>
          <w:spacing w:val="-108"/>
          <w:w w:val="100"/>
        </w:rPr>
        <w:t>》</w:t>
      </w:r>
      <w:r>
        <w:rPr>
          <w:w w:val="100"/>
        </w:rPr>
        <w:t>：</w:t>
      </w:r>
    </w:p>
    <w:p>
      <w:pPr>
        <w:pStyle w:val="BodyText"/>
        <w:spacing w:line="240" w:lineRule="auto" w:before="52"/>
        <w:ind w:left="143" w:right="0"/>
        <w:jc w:val="both"/>
      </w:pPr>
      <w:r>
        <w:rPr/>
        <w:t>1、本案由本院依法另行组成合议庭进行再审；2、再审期间，中止原判决的执行。</w:t>
      </w:r>
    </w:p>
    <w:p>
      <w:pPr>
        <w:spacing w:line="240" w:lineRule="auto" w:before="9"/>
        <w:rPr>
          <w:rFonts w:ascii="宋体" w:hAnsi="宋体" w:cs="宋体" w:eastAsia="宋体" w:hint="default"/>
          <w:sz w:val="26"/>
          <w:szCs w:val="26"/>
        </w:rPr>
      </w:pPr>
    </w:p>
    <w:p>
      <w:pPr>
        <w:pStyle w:val="BodyText"/>
        <w:spacing w:line="240" w:lineRule="auto"/>
        <w:ind w:left="563" w:right="473"/>
        <w:jc w:val="left"/>
      </w:pPr>
      <w:r>
        <w:rPr/>
        <w:t>2009</w:t>
      </w:r>
      <w:r>
        <w:rPr>
          <w:spacing w:val="-29"/>
        </w:rPr>
        <w:t> </w:t>
      </w:r>
      <w:r>
        <w:rPr/>
        <w:t>年</w:t>
      </w:r>
      <w:r>
        <w:rPr>
          <w:spacing w:val="-26"/>
        </w:rPr>
        <w:t> </w:t>
      </w:r>
      <w:r>
        <w:rPr/>
        <w:t>12</w:t>
      </w:r>
      <w:r>
        <w:rPr>
          <w:spacing w:val="-2"/>
        </w:rPr>
        <w:t> </w:t>
      </w:r>
      <w:r>
        <w:rPr/>
        <w:t>月</w:t>
      </w:r>
      <w:r>
        <w:rPr>
          <w:spacing w:val="-26"/>
        </w:rPr>
        <w:t> </w:t>
      </w:r>
      <w:r>
        <w:rPr/>
        <w:t>19</w:t>
      </w:r>
      <w:r>
        <w:rPr>
          <w:spacing w:val="-2"/>
        </w:rPr>
        <w:t> </w:t>
      </w:r>
      <w:r>
        <w:rPr/>
        <w:t>日，广西田阳县人民法院出具了（2009）阳行再字第</w:t>
      </w:r>
      <w:r>
        <w:rPr>
          <w:spacing w:val="-26"/>
        </w:rPr>
        <w:t> </w:t>
      </w:r>
      <w:r>
        <w:rPr/>
        <w:t>1</w:t>
      </w:r>
      <w:r>
        <w:rPr>
          <w:spacing w:val="-2"/>
        </w:rPr>
        <w:t> </w:t>
      </w:r>
      <w:r>
        <w:rPr/>
        <w:t>号《行政判决</w:t>
      </w:r>
    </w:p>
    <w:p>
      <w:pPr>
        <w:spacing w:line="240" w:lineRule="auto" w:before="0"/>
        <w:rPr>
          <w:rFonts w:ascii="宋体" w:hAnsi="宋体" w:cs="宋体" w:eastAsia="宋体" w:hint="default"/>
          <w:sz w:val="14"/>
          <w:szCs w:val="14"/>
        </w:rPr>
      </w:pPr>
    </w:p>
    <w:p>
      <w:pPr>
        <w:pStyle w:val="BodyText"/>
        <w:spacing w:line="400" w:lineRule="auto"/>
        <w:ind w:left="143" w:right="473"/>
        <w:jc w:val="left"/>
      </w:pPr>
      <w:r>
        <w:rPr>
          <w:spacing w:val="-6"/>
          <w:w w:val="100"/>
        </w:rPr>
        <w:t>书》。该《行政判决书》称：田阳县人民法院认为：2005</w:t>
      </w:r>
      <w:r>
        <w:rPr>
          <w:spacing w:val="2"/>
          <w:w w:val="100"/>
        </w:rPr>
        <w:t> </w:t>
      </w:r>
      <w:r>
        <w:rPr>
          <w:w w:val="100"/>
        </w:rPr>
        <w:t>年</w:t>
      </w:r>
      <w:r>
        <w:rPr>
          <w:spacing w:val="-52"/>
          <w:w w:val="100"/>
        </w:rPr>
        <w:t> </w:t>
      </w:r>
      <w:r>
        <w:rPr>
          <w:w w:val="100"/>
        </w:rPr>
        <w:t>11</w:t>
      </w:r>
      <w:r>
        <w:rPr>
          <w:spacing w:val="2"/>
          <w:w w:val="100"/>
        </w:rPr>
        <w:t> </w:t>
      </w:r>
      <w:r>
        <w:rPr>
          <w:w w:val="100"/>
        </w:rPr>
        <w:t>月</w:t>
      </w:r>
      <w:r>
        <w:rPr>
          <w:spacing w:val="-52"/>
          <w:w w:val="100"/>
        </w:rPr>
        <w:t> </w:t>
      </w:r>
      <w:r>
        <w:rPr>
          <w:w w:val="100"/>
        </w:rPr>
        <w:t>23</w:t>
      </w:r>
      <w:r>
        <w:rPr>
          <w:spacing w:val="2"/>
          <w:w w:val="100"/>
        </w:rPr>
        <w:t> </w:t>
      </w:r>
      <w:r>
        <w:rPr>
          <w:spacing w:val="-2"/>
          <w:w w:val="100"/>
        </w:rPr>
        <w:t>日的叫曼公司的变更登</w:t>
      </w:r>
      <w:r>
        <w:rPr>
          <w:spacing w:val="-100"/>
          <w:w w:val="100"/>
        </w:rPr>
        <w:t> </w:t>
      </w:r>
      <w:r>
        <w:rPr>
          <w:spacing w:val="-100"/>
          <w:w w:val="100"/>
        </w:rPr>
      </w:r>
      <w:r>
        <w:rPr/>
        <w:t>记中，由于是田阳叫曼矿业有限责任公司提交虚假的申请变更登记材料，因此该核准登记行</w:t>
      </w:r>
      <w:r>
        <w:rPr>
          <w:spacing w:val="-8"/>
        </w:rPr>
        <w:t> </w:t>
      </w:r>
      <w:r>
        <w:rPr>
          <w:spacing w:val="-8"/>
        </w:rPr>
      </w:r>
      <w:r>
        <w:rPr/>
        <w:t>为是基于虚假的变更登记材料而作出的，故该登记行为是以欺骗手段而取得的，欠缺合法的</w:t>
      </w:r>
      <w:r>
        <w:rPr>
          <w:spacing w:val="-8"/>
        </w:rPr>
        <w:t> </w:t>
      </w:r>
      <w:r>
        <w:rPr>
          <w:spacing w:val="-8"/>
        </w:rPr>
      </w:r>
      <w:r>
        <w:rPr>
          <w:spacing w:val="-2"/>
        </w:rPr>
        <w:t>基础，应当予以撤消；原审第一项判决是正确的应予维持。原审第二项判决超越了原审权限，</w:t>
      </w:r>
      <w:r>
        <w:rPr>
          <w:spacing w:val="-35"/>
        </w:rPr>
        <w:t> </w:t>
      </w:r>
      <w:r>
        <w:rPr>
          <w:spacing w:val="-35"/>
        </w:rPr>
      </w:r>
      <w:r>
        <w:rPr/>
        <w:t>应予撤消。根据该判决书判决如下：1、维持本院</w:t>
      </w:r>
      <w:r>
        <w:rPr>
          <w:spacing w:val="-56"/>
        </w:rPr>
        <w:t> </w:t>
      </w:r>
      <w:r>
        <w:rPr/>
        <w:t>2009</w:t>
      </w:r>
      <w:r>
        <w:rPr>
          <w:spacing w:val="-4"/>
        </w:rPr>
        <w:t> </w:t>
      </w:r>
      <w:r>
        <w:rPr/>
        <w:t>年</w:t>
      </w:r>
      <w:r>
        <w:rPr>
          <w:spacing w:val="-54"/>
        </w:rPr>
        <w:t> </w:t>
      </w:r>
      <w:r>
        <w:rPr/>
        <w:t>3</w:t>
      </w:r>
      <w:r>
        <w:rPr>
          <w:spacing w:val="-4"/>
        </w:rPr>
        <w:t> </w:t>
      </w:r>
      <w:r>
        <w:rPr/>
        <w:t>月</w:t>
      </w:r>
      <w:r>
        <w:rPr>
          <w:spacing w:val="-54"/>
        </w:rPr>
        <w:t> </w:t>
      </w:r>
      <w:r>
        <w:rPr/>
        <w:t>12</w:t>
      </w:r>
      <w:r>
        <w:rPr>
          <w:spacing w:val="-4"/>
        </w:rPr>
        <w:t> </w:t>
      </w:r>
      <w:r>
        <w:rPr/>
        <w:t>日（2009）阳行初字第</w:t>
      </w:r>
      <w:r>
        <w:rPr>
          <w:spacing w:val="-54"/>
        </w:rPr>
        <w:t> </w:t>
      </w:r>
      <w:r>
        <w:rPr/>
        <w:t>53</w:t>
      </w:r>
    </w:p>
    <w:p>
      <w:pPr>
        <w:pStyle w:val="BodyText"/>
        <w:spacing w:line="240" w:lineRule="auto" w:before="45"/>
        <w:ind w:left="143" w:right="0"/>
        <w:jc w:val="both"/>
      </w:pPr>
      <w:r>
        <w:rPr/>
        <w:t>号行政判决第一项，即撤消田阳县工商行政管理局于 2008 年 11 月 6</w:t>
      </w:r>
      <w:r>
        <w:rPr>
          <w:spacing w:val="-10"/>
        </w:rPr>
        <w:t> </w:t>
      </w:r>
      <w:r>
        <w:rPr/>
        <w:t>日作出的阳工商决字</w:t>
      </w:r>
    </w:p>
    <w:p>
      <w:pPr>
        <w:spacing w:line="240" w:lineRule="auto" w:before="0"/>
        <w:rPr>
          <w:rFonts w:ascii="宋体" w:hAnsi="宋体" w:cs="宋体" w:eastAsia="宋体" w:hint="default"/>
          <w:sz w:val="14"/>
          <w:szCs w:val="14"/>
        </w:rPr>
      </w:pPr>
    </w:p>
    <w:p>
      <w:pPr>
        <w:pStyle w:val="BodyText"/>
        <w:spacing w:line="240" w:lineRule="auto"/>
        <w:ind w:left="143" w:right="0"/>
        <w:jc w:val="both"/>
      </w:pPr>
      <w:r>
        <w:rPr/>
        <w:t>「2008」第</w:t>
      </w:r>
      <w:r>
        <w:rPr>
          <w:spacing w:val="-27"/>
        </w:rPr>
        <w:t> </w:t>
      </w:r>
      <w:r>
        <w:rPr/>
        <w:t>1</w:t>
      </w:r>
      <w:r>
        <w:rPr>
          <w:spacing w:val="-3"/>
        </w:rPr>
        <w:t> </w:t>
      </w:r>
      <w:r>
        <w:rPr/>
        <w:t>号维持田阳叫曼矿业有限责任公司</w:t>
      </w:r>
      <w:r>
        <w:rPr>
          <w:spacing w:val="-27"/>
        </w:rPr>
        <w:t> </w:t>
      </w:r>
      <w:r>
        <w:rPr/>
        <w:t>2005</w:t>
      </w:r>
      <w:r>
        <w:rPr>
          <w:spacing w:val="-3"/>
        </w:rPr>
        <w:t> </w:t>
      </w:r>
      <w:r>
        <w:rPr/>
        <w:t>年</w:t>
      </w:r>
      <w:r>
        <w:rPr>
          <w:spacing w:val="-27"/>
        </w:rPr>
        <w:t> </w:t>
      </w:r>
      <w:r>
        <w:rPr/>
        <w:t>11</w:t>
      </w:r>
      <w:r>
        <w:rPr>
          <w:spacing w:val="-3"/>
        </w:rPr>
        <w:t> </w:t>
      </w:r>
      <w:r>
        <w:rPr/>
        <w:t>月</w:t>
      </w:r>
      <w:r>
        <w:rPr>
          <w:spacing w:val="-27"/>
        </w:rPr>
        <w:t> </w:t>
      </w:r>
      <w:r>
        <w:rPr/>
        <w:t>23</w:t>
      </w:r>
      <w:r>
        <w:rPr>
          <w:spacing w:val="-1"/>
        </w:rPr>
        <w:t> </w:t>
      </w:r>
      <w:r>
        <w:rPr/>
        <w:t>日变更登记决定；2、撤</w:t>
      </w:r>
    </w:p>
    <w:p>
      <w:pPr>
        <w:spacing w:line="240" w:lineRule="auto" w:before="3"/>
        <w:rPr>
          <w:rFonts w:ascii="宋体" w:hAnsi="宋体" w:cs="宋体" w:eastAsia="宋体" w:hint="default"/>
          <w:sz w:val="14"/>
          <w:szCs w:val="14"/>
        </w:rPr>
      </w:pPr>
    </w:p>
    <w:p>
      <w:pPr>
        <w:pStyle w:val="BodyText"/>
        <w:spacing w:line="240" w:lineRule="auto"/>
        <w:ind w:left="143" w:right="0"/>
        <w:jc w:val="both"/>
      </w:pPr>
      <w:r>
        <w:rPr/>
        <w:t>消本院</w:t>
      </w:r>
      <w:r>
        <w:rPr>
          <w:spacing w:val="-53"/>
        </w:rPr>
        <w:t> </w:t>
      </w:r>
      <w:r>
        <w:rPr/>
        <w:t>2009 年</w:t>
      </w:r>
      <w:r>
        <w:rPr>
          <w:spacing w:val="-55"/>
        </w:rPr>
        <w:t> </w:t>
      </w:r>
      <w:r>
        <w:rPr/>
        <w:t>3</w:t>
      </w:r>
      <w:r>
        <w:rPr>
          <w:spacing w:val="-2"/>
        </w:rPr>
        <w:t> </w:t>
      </w:r>
      <w:r>
        <w:rPr/>
        <w:t>月</w:t>
      </w:r>
      <w:r>
        <w:rPr>
          <w:spacing w:val="-53"/>
        </w:rPr>
        <w:t> </w:t>
      </w:r>
      <w:r>
        <w:rPr/>
        <w:t>12</w:t>
      </w:r>
      <w:r>
        <w:rPr>
          <w:spacing w:val="-2"/>
        </w:rPr>
        <w:t> </w:t>
      </w:r>
      <w:r>
        <w:rPr/>
        <w:t>日（2009）阳行初字第</w:t>
      </w:r>
      <w:r>
        <w:rPr>
          <w:spacing w:val="-55"/>
        </w:rPr>
        <w:t> </w:t>
      </w:r>
      <w:r>
        <w:rPr/>
        <w:t>53</w:t>
      </w:r>
      <w:r>
        <w:rPr>
          <w:spacing w:val="-2"/>
        </w:rPr>
        <w:t> </w:t>
      </w:r>
      <w:r>
        <w:rPr/>
        <w:t>号行政判决第二项，即撤消田阳县工商行</w:t>
      </w:r>
    </w:p>
    <w:p>
      <w:pPr>
        <w:spacing w:line="240" w:lineRule="auto" w:before="3"/>
        <w:rPr>
          <w:rFonts w:ascii="宋体" w:hAnsi="宋体" w:cs="宋体" w:eastAsia="宋体" w:hint="default"/>
          <w:sz w:val="14"/>
          <w:szCs w:val="14"/>
        </w:rPr>
      </w:pPr>
    </w:p>
    <w:p>
      <w:pPr>
        <w:pStyle w:val="BodyText"/>
        <w:spacing w:line="240" w:lineRule="auto"/>
        <w:ind w:left="143" w:right="0"/>
        <w:jc w:val="both"/>
      </w:pPr>
      <w:r>
        <w:rPr/>
        <w:t>政管理局于</w:t>
      </w:r>
      <w:r>
        <w:rPr>
          <w:spacing w:val="-27"/>
        </w:rPr>
        <w:t> </w:t>
      </w:r>
      <w:r>
        <w:rPr/>
        <w:t>2005</w:t>
      </w:r>
      <w:r>
        <w:rPr>
          <w:spacing w:val="-3"/>
        </w:rPr>
        <w:t> </w:t>
      </w:r>
      <w:r>
        <w:rPr/>
        <w:t>年</w:t>
      </w:r>
      <w:r>
        <w:rPr>
          <w:spacing w:val="-27"/>
        </w:rPr>
        <w:t> </w:t>
      </w:r>
      <w:r>
        <w:rPr/>
        <w:t>11</w:t>
      </w:r>
      <w:r>
        <w:rPr>
          <w:spacing w:val="-30"/>
        </w:rPr>
        <w:t> </w:t>
      </w:r>
      <w:r>
        <w:rPr/>
        <w:t>月</w:t>
      </w:r>
      <w:r>
        <w:rPr>
          <w:spacing w:val="-27"/>
        </w:rPr>
        <w:t> </w:t>
      </w:r>
      <w:r>
        <w:rPr/>
        <w:t>23</w:t>
      </w:r>
      <w:r>
        <w:rPr>
          <w:spacing w:val="-3"/>
        </w:rPr>
        <w:t> </w:t>
      </w:r>
      <w:r>
        <w:rPr/>
        <w:t>日核准的田阳叫曼矿业有限责任公司变更登记，限田阳县工商</w:t>
      </w:r>
    </w:p>
    <w:p>
      <w:pPr>
        <w:spacing w:after="0" w:line="240" w:lineRule="auto"/>
        <w:jc w:val="both"/>
        <w:sectPr>
          <w:pgSz w:w="11910" w:h="16840"/>
          <w:pgMar w:header="929" w:footer="981" w:top="1180" w:bottom="1180" w:left="15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0" w:lineRule="auto"/>
        <w:ind w:left="243" w:right="1354"/>
        <w:jc w:val="left"/>
      </w:pPr>
      <w:r>
        <w:rPr/>
        <w:t>行政管理局在法定的期限内恢复陈琳卡为田阳叫曼矿业有限责任公司股东及法定代表人等事</w:t>
      </w:r>
      <w:r>
        <w:rPr>
          <w:spacing w:val="-8"/>
        </w:rPr>
        <w:t> </w:t>
      </w:r>
      <w:r>
        <w:rPr>
          <w:spacing w:val="-8"/>
        </w:rPr>
      </w:r>
      <w:r>
        <w:rPr/>
        <w:t>项的公司登记。</w:t>
      </w:r>
    </w:p>
    <w:p>
      <w:pPr>
        <w:pStyle w:val="BodyText"/>
        <w:spacing w:line="240" w:lineRule="auto" w:before="45"/>
        <w:ind w:left="675" w:right="1354"/>
        <w:jc w:val="left"/>
      </w:pPr>
      <w:r>
        <w:rPr/>
        <w:t>该股权纠纷案涉及的陈燕、本公司及广西和贵矿业投资有限公司已分别于</w:t>
      </w:r>
      <w:r>
        <w:rPr>
          <w:spacing w:val="-34"/>
        </w:rPr>
        <w:t> </w:t>
      </w:r>
      <w:r>
        <w:rPr/>
        <w:t>2009</w:t>
      </w:r>
      <w:r>
        <w:rPr>
          <w:spacing w:val="-31"/>
        </w:rPr>
        <w:t> </w:t>
      </w:r>
      <w:r>
        <w:rPr/>
        <w:t>年</w:t>
      </w:r>
      <w:r>
        <w:rPr>
          <w:spacing w:val="-31"/>
        </w:rPr>
        <w:t> </w:t>
      </w:r>
      <w:r>
        <w:rPr/>
        <w:t>12</w:t>
      </w:r>
      <w:r>
        <w:rPr>
          <w:spacing w:val="-31"/>
        </w:rPr>
        <w:t> </w:t>
      </w:r>
      <w:r>
        <w:rPr/>
        <w:t>月</w:t>
      </w:r>
    </w:p>
    <w:p>
      <w:pPr>
        <w:spacing w:line="240" w:lineRule="auto" w:before="3"/>
        <w:rPr>
          <w:rFonts w:ascii="宋体" w:hAnsi="宋体" w:cs="宋体" w:eastAsia="宋体" w:hint="default"/>
          <w:sz w:val="14"/>
          <w:szCs w:val="14"/>
        </w:rPr>
      </w:pPr>
    </w:p>
    <w:p>
      <w:pPr>
        <w:pStyle w:val="BodyText"/>
        <w:spacing w:line="240" w:lineRule="auto"/>
        <w:ind w:left="243" w:right="0"/>
        <w:jc w:val="both"/>
      </w:pPr>
      <w:r>
        <w:rPr/>
        <w:t>25</w:t>
      </w:r>
      <w:r>
        <w:rPr>
          <w:spacing w:val="-38"/>
        </w:rPr>
        <w:t> </w:t>
      </w:r>
      <w:r>
        <w:rPr/>
        <w:t>日、2009</w:t>
      </w:r>
      <w:r>
        <w:rPr>
          <w:spacing w:val="-41"/>
        </w:rPr>
        <w:t> </w:t>
      </w:r>
      <w:r>
        <w:rPr/>
        <w:t>年</w:t>
      </w:r>
      <w:r>
        <w:rPr>
          <w:spacing w:val="-38"/>
        </w:rPr>
        <w:t> </w:t>
      </w:r>
      <w:r>
        <w:rPr/>
        <w:t>12</w:t>
      </w:r>
      <w:r>
        <w:rPr>
          <w:spacing w:val="-41"/>
        </w:rPr>
        <w:t> </w:t>
      </w:r>
      <w:r>
        <w:rPr/>
        <w:t>月</w:t>
      </w:r>
      <w:r>
        <w:rPr>
          <w:spacing w:val="-38"/>
        </w:rPr>
        <w:t> </w:t>
      </w:r>
      <w:r>
        <w:rPr/>
        <w:t>29</w:t>
      </w:r>
      <w:r>
        <w:rPr>
          <w:spacing w:val="-41"/>
        </w:rPr>
        <w:t> </w:t>
      </w:r>
      <w:r>
        <w:rPr/>
        <w:t>日、2010</w:t>
      </w:r>
      <w:r>
        <w:rPr>
          <w:spacing w:val="-41"/>
        </w:rPr>
        <w:t> </w:t>
      </w:r>
      <w:r>
        <w:rPr/>
        <w:t>年</w:t>
      </w:r>
      <w:r>
        <w:rPr>
          <w:spacing w:val="-38"/>
        </w:rPr>
        <w:t> </w:t>
      </w:r>
      <w:r>
        <w:rPr/>
        <w:t>1</w:t>
      </w:r>
      <w:r>
        <w:rPr>
          <w:spacing w:val="-41"/>
        </w:rPr>
        <w:t> </w:t>
      </w:r>
      <w:r>
        <w:rPr/>
        <w:t>月</w:t>
      </w:r>
      <w:r>
        <w:rPr>
          <w:spacing w:val="-38"/>
        </w:rPr>
        <w:t> </w:t>
      </w:r>
      <w:r>
        <w:rPr/>
        <w:t>3</w:t>
      </w:r>
      <w:r>
        <w:rPr>
          <w:spacing w:val="-41"/>
        </w:rPr>
        <w:t> </w:t>
      </w:r>
      <w:r>
        <w:rPr/>
        <w:t>日向广西百色市中级人民法院提出了上诉。2011</w:t>
      </w:r>
    </w:p>
    <w:p>
      <w:pPr>
        <w:spacing w:line="240" w:lineRule="auto" w:before="0"/>
        <w:rPr>
          <w:rFonts w:ascii="宋体" w:hAnsi="宋体" w:cs="宋体" w:eastAsia="宋体" w:hint="default"/>
          <w:sz w:val="14"/>
          <w:szCs w:val="14"/>
        </w:rPr>
      </w:pPr>
    </w:p>
    <w:p>
      <w:pPr>
        <w:pStyle w:val="BodyText"/>
        <w:spacing w:line="403" w:lineRule="auto"/>
        <w:ind w:left="243" w:right="1691"/>
        <w:jc w:val="both"/>
      </w:pPr>
      <w:r>
        <w:rPr>
          <w:w w:val="100"/>
        </w:rPr>
        <w:t>年</w:t>
      </w:r>
      <w:r>
        <w:rPr>
          <w:spacing w:val="-52"/>
          <w:w w:val="100"/>
        </w:rPr>
        <w:t> </w:t>
      </w:r>
      <w:r>
        <w:rPr>
          <w:w w:val="100"/>
        </w:rPr>
        <w:t>9</w:t>
      </w:r>
      <w:r>
        <w:rPr>
          <w:spacing w:val="-54"/>
          <w:w w:val="100"/>
        </w:rPr>
        <w:t> </w:t>
      </w:r>
      <w:r>
        <w:rPr>
          <w:w w:val="100"/>
        </w:rPr>
        <w:t>月</w:t>
      </w:r>
      <w:r>
        <w:rPr>
          <w:spacing w:val="-52"/>
          <w:w w:val="100"/>
        </w:rPr>
        <w:t> </w:t>
      </w:r>
      <w:r>
        <w:rPr>
          <w:w w:val="100"/>
        </w:rPr>
        <w:t>26</w:t>
      </w:r>
      <w:r>
        <w:rPr>
          <w:spacing w:val="-54"/>
          <w:w w:val="100"/>
        </w:rPr>
        <w:t> </w:t>
      </w:r>
      <w:r>
        <w:rPr>
          <w:spacing w:val="-2"/>
          <w:w w:val="100"/>
        </w:rPr>
        <w:t>日广西百色市中级人民法院出具了（2010）百中行终字第</w:t>
      </w:r>
      <w:r>
        <w:rPr>
          <w:spacing w:val="-52"/>
          <w:w w:val="100"/>
        </w:rPr>
        <w:t> </w:t>
      </w:r>
      <w:r>
        <w:rPr>
          <w:w w:val="100"/>
        </w:rPr>
        <w:t>29</w:t>
      </w:r>
      <w:r>
        <w:rPr>
          <w:spacing w:val="-54"/>
          <w:w w:val="100"/>
        </w:rPr>
        <w:t> </w:t>
      </w:r>
      <w:r>
        <w:rPr>
          <w:spacing w:val="-12"/>
          <w:w w:val="100"/>
        </w:rPr>
        <w:t>号《行政判决书》，判</w:t>
      </w:r>
      <w:r>
        <w:rPr>
          <w:w w:val="100"/>
        </w:rPr>
        <w:t> </w:t>
      </w:r>
      <w:r>
        <w:rPr/>
        <w:t>定上诉人陈燕、本公司及广西和贵矿业投资有限公司的上诉理由有事实和法律依据，予以支</w:t>
      </w:r>
      <w:r>
        <w:rPr>
          <w:spacing w:val="-8"/>
        </w:rPr>
        <w:t> </w:t>
      </w:r>
      <w:r>
        <w:rPr>
          <w:spacing w:val="-8"/>
        </w:rPr>
      </w:r>
      <w:r>
        <w:rPr/>
        <w:t>持；判决为终审判决。</w:t>
      </w:r>
    </w:p>
    <w:p>
      <w:pPr>
        <w:pStyle w:val="BodyText"/>
        <w:spacing w:line="240" w:lineRule="auto" w:before="91"/>
        <w:ind w:left="769" w:right="1354"/>
        <w:jc w:val="left"/>
      </w:pPr>
      <w:r>
        <w:rPr/>
        <w:t>2、2011</w:t>
      </w:r>
      <w:r>
        <w:rPr>
          <w:spacing w:val="-38"/>
        </w:rPr>
        <w:t> </w:t>
      </w:r>
      <w:r>
        <w:rPr/>
        <w:t>年</w:t>
      </w:r>
      <w:r>
        <w:rPr>
          <w:spacing w:val="-38"/>
        </w:rPr>
        <w:t> </w:t>
      </w:r>
      <w:r>
        <w:rPr/>
        <w:t>3</w:t>
      </w:r>
      <w:r>
        <w:rPr>
          <w:spacing w:val="-40"/>
        </w:rPr>
        <w:t> </w:t>
      </w:r>
      <w:r>
        <w:rPr/>
        <w:t>月，子公司广州润龙房地产有限公司将持有的河南新景致房地产有限公司</w:t>
      </w:r>
    </w:p>
    <w:p>
      <w:pPr>
        <w:spacing w:line="240" w:lineRule="auto" w:before="3"/>
        <w:rPr>
          <w:rFonts w:ascii="宋体" w:hAnsi="宋体" w:cs="宋体" w:eastAsia="宋体" w:hint="default"/>
          <w:sz w:val="14"/>
          <w:szCs w:val="14"/>
        </w:rPr>
      </w:pPr>
    </w:p>
    <w:p>
      <w:pPr>
        <w:pStyle w:val="BodyText"/>
        <w:spacing w:line="400" w:lineRule="auto"/>
        <w:ind w:left="243" w:right="1586"/>
        <w:jc w:val="left"/>
      </w:pPr>
      <w:r>
        <w:rPr/>
        <w:t>70%的股权转让予河南飞航投资有限公司和郑州是益源成商贸有限公司。河南新景致房地产有</w:t>
      </w:r>
      <w:r>
        <w:rPr>
          <w:w w:val="100"/>
        </w:rPr>
        <w:t> </w:t>
      </w:r>
      <w:r>
        <w:rPr/>
        <w:t>限公司自</w:t>
      </w:r>
      <w:r>
        <w:rPr>
          <w:spacing w:val="-55"/>
        </w:rPr>
        <w:t> </w:t>
      </w:r>
      <w:r>
        <w:rPr/>
        <w:t>2011</w:t>
      </w:r>
      <w:r>
        <w:rPr>
          <w:spacing w:val="-57"/>
        </w:rPr>
        <w:t> </w:t>
      </w:r>
      <w:r>
        <w:rPr/>
        <w:t>年</w:t>
      </w:r>
      <w:r>
        <w:rPr>
          <w:spacing w:val="-55"/>
        </w:rPr>
        <w:t> </w:t>
      </w:r>
      <w:r>
        <w:rPr/>
        <w:t>7</w:t>
      </w:r>
      <w:r>
        <w:rPr>
          <w:spacing w:val="-57"/>
        </w:rPr>
        <w:t> </w:t>
      </w:r>
      <w:r>
        <w:rPr/>
        <w:t>月起不再纳入合并范围。详见附注四、2、②新纳入合并范围的公司说明。</w:t>
      </w:r>
    </w:p>
    <w:p>
      <w:pPr>
        <w:spacing w:line="240" w:lineRule="auto" w:before="8"/>
        <w:rPr>
          <w:rFonts w:ascii="宋体" w:hAnsi="宋体" w:cs="宋体" w:eastAsia="宋体" w:hint="default"/>
          <w:sz w:val="24"/>
          <w:szCs w:val="24"/>
        </w:rPr>
      </w:pPr>
    </w:p>
    <w:p>
      <w:pPr>
        <w:pStyle w:val="Heading3"/>
        <w:spacing w:line="240" w:lineRule="auto"/>
        <w:ind w:left="243" w:right="0"/>
        <w:jc w:val="both"/>
      </w:pPr>
      <w:r>
        <w:rPr/>
        <w:t>十一、母公司财务报表主要项目注释</w:t>
      </w:r>
    </w:p>
    <w:p>
      <w:pPr>
        <w:spacing w:line="240" w:lineRule="auto" w:before="11"/>
        <w:rPr>
          <w:rFonts w:ascii="宋体" w:hAnsi="宋体" w:cs="宋体" w:eastAsia="宋体" w:hint="default"/>
          <w:sz w:val="25"/>
          <w:szCs w:val="25"/>
        </w:rPr>
      </w:pPr>
    </w:p>
    <w:p>
      <w:pPr>
        <w:pStyle w:val="BodyText"/>
        <w:spacing w:line="240" w:lineRule="auto"/>
        <w:ind w:left="243" w:right="0"/>
        <w:jc w:val="both"/>
      </w:pPr>
      <w:r>
        <w:rPr/>
        <w:t>1、应收账款</w:t>
      </w:r>
    </w:p>
    <w:p>
      <w:pPr>
        <w:spacing w:line="240" w:lineRule="auto" w:before="12"/>
        <w:rPr>
          <w:rFonts w:ascii="宋体" w:hAnsi="宋体" w:cs="宋体" w:eastAsia="宋体" w:hint="default"/>
          <w:sz w:val="25"/>
          <w:szCs w:val="25"/>
        </w:rPr>
      </w:pPr>
    </w:p>
    <w:p>
      <w:pPr>
        <w:pStyle w:val="BodyText"/>
        <w:spacing w:line="240" w:lineRule="auto"/>
        <w:ind w:left="454" w:right="1354"/>
        <w:jc w:val="left"/>
      </w:pPr>
      <w:r>
        <w:rPr/>
        <w:pict>
          <v:shape style="position:absolute;margin-left:103.08847pt;margin-top:4.761962pt;width:392.95pt;height:64.3pt;mso-position-horizontal-relative:page;mso-position-vertical-relative:paragraph;z-index:-553336;rotation:315" type="#_x0000_t136" fillcolor="#e0e0e0" stroked="f">
            <o:extrusion v:ext="view" autorotationcenter="t"/>
            <v:textpath style="font-family:&amp;quot;Arial&amp;quot;;font-size:64pt;v-text-kern:t;mso-text-shadow:auto" string="UnRegistered"/>
            <w10:wrap type="none"/>
          </v:shape>
        </w:pict>
      </w:r>
      <w:r>
        <w:rPr/>
        <w:t>（1）应收账款按类别列示如下：</w:t>
      </w:r>
    </w:p>
    <w:p>
      <w:pPr>
        <w:spacing w:line="240" w:lineRule="auto" w:before="1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2813"/>
        <w:gridCol w:w="1699"/>
        <w:gridCol w:w="1368"/>
        <w:gridCol w:w="1610"/>
        <w:gridCol w:w="1452"/>
      </w:tblGrid>
      <w:tr>
        <w:trPr>
          <w:trHeight w:val="482" w:hRule="exact"/>
        </w:trPr>
        <w:tc>
          <w:tcPr>
            <w:tcW w:w="281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tabs>
                <w:tab w:pos="1780" w:val="left" w:leader="none"/>
              </w:tabs>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7"/>
              <w:jc w:val="center"/>
              <w:rPr>
                <w:rFonts w:ascii="宋体" w:hAnsi="宋体" w:cs="宋体" w:eastAsia="宋体" w:hint="default"/>
                <w:sz w:val="21"/>
                <w:szCs w:val="21"/>
              </w:rPr>
            </w:pPr>
            <w:r>
              <w:rPr>
                <w:rFonts w:ascii="宋体"/>
                <w:sz w:val="21"/>
              </w:rPr>
              <w:t>2011.12.31</w:t>
            </w:r>
          </w:p>
        </w:tc>
      </w:tr>
      <w:tr>
        <w:trPr>
          <w:trHeight w:val="526"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5"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122"/>
              <w:ind w:left="41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1005" w:val="left" w:leader="none"/>
              </w:tabs>
              <w:spacing w:line="240" w:lineRule="auto" w:before="122"/>
              <w:ind w:left="37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2"/>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75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107"/>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547,393.60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spacing w:val="-1"/>
                <w:sz w:val="21"/>
              </w:rPr>
              <w:t>27,369.68</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sz w:val="21"/>
              </w:rPr>
              <w:t>5.00</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9"/>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47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tabs>
                <w:tab w:pos="443" w:val="left" w:leader="none"/>
              </w:tabs>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547,393.60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27,369.68</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8"/>
              <w:ind w:right="107"/>
              <w:jc w:val="right"/>
              <w:rPr>
                <w:rFonts w:ascii="宋体" w:hAnsi="宋体" w:cs="宋体" w:eastAsia="宋体" w:hint="default"/>
                <w:sz w:val="21"/>
                <w:szCs w:val="21"/>
              </w:rPr>
            </w:pPr>
            <w:r>
              <w:rPr>
                <w:rFonts w:ascii="宋体"/>
                <w:sz w:val="21"/>
              </w:rPr>
              <w:t>5.00</w:t>
            </w:r>
          </w:p>
        </w:tc>
      </w:tr>
      <w:tr>
        <w:trPr>
          <w:trHeight w:val="526" w:hRule="exact"/>
        </w:trPr>
        <w:tc>
          <w:tcPr>
            <w:tcW w:w="28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780" w:val="left" w:leader="none"/>
              </w:tabs>
              <w:spacing w:line="240" w:lineRule="auto" w:before="141"/>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sz w:val="21"/>
              </w:rPr>
              <w:t>2010.12.31</w:t>
            </w:r>
          </w:p>
        </w:tc>
      </w:tr>
      <w:tr>
        <w:trPr>
          <w:trHeight w:val="523"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6"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122"/>
              <w:ind w:left="41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952" w:val="left" w:leader="none"/>
              </w:tabs>
              <w:spacing w:line="240" w:lineRule="auto" w:before="122"/>
              <w:ind w:left="42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61"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收账款坏账准备的</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929" w:footer="981" w:top="1180" w:bottom="1180" w:left="1460" w:right="0"/>
        </w:sectPr>
      </w:pPr>
    </w:p>
    <w:p>
      <w:pPr>
        <w:spacing w:line="240" w:lineRule="auto" w:before="8"/>
        <w:rPr>
          <w:rFonts w:ascii="宋体" w:hAnsi="宋体" w:cs="宋体" w:eastAsia="宋体" w:hint="default"/>
          <w:sz w:val="24"/>
          <w:szCs w:val="24"/>
        </w:rPr>
      </w:pPr>
    </w:p>
    <w:tbl>
      <w:tblPr>
        <w:tblW w:w="0" w:type="auto"/>
        <w:jc w:val="left"/>
        <w:tblInd w:w="266" w:type="dxa"/>
        <w:tblLayout w:type="fixed"/>
        <w:tblCellMar>
          <w:top w:w="0" w:type="dxa"/>
          <w:left w:w="0" w:type="dxa"/>
          <w:bottom w:w="0" w:type="dxa"/>
          <w:right w:w="0" w:type="dxa"/>
        </w:tblCellMar>
        <w:tblLook w:val="01E0"/>
      </w:tblPr>
      <w:tblGrid>
        <w:gridCol w:w="2813"/>
        <w:gridCol w:w="1699"/>
        <w:gridCol w:w="1368"/>
        <w:gridCol w:w="1610"/>
        <w:gridCol w:w="1452"/>
      </w:tblGrid>
      <w:tr>
        <w:trPr>
          <w:trHeight w:val="758" w:hRule="exact"/>
        </w:trPr>
        <w:tc>
          <w:tcPr>
            <w:tcW w:w="2813" w:type="dxa"/>
            <w:tcBorders>
              <w:top w:val="single" w:sz="12" w:space="0" w:color="000000"/>
              <w:left w:val="nil" w:sz="6" w:space="0" w:color="auto"/>
              <w:bottom w:val="single" w:sz="6" w:space="0" w:color="000000"/>
              <w:right w:val="single" w:sz="6" w:space="0" w:color="000000"/>
            </w:tcBorders>
          </w:tcPr>
          <w:p>
            <w:pPr>
              <w:pStyle w:val="TableParagraph"/>
              <w:spacing w:line="260" w:lineRule="exact" w:before="111"/>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509,827.60</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61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79"/>
              <w:ind w:right="103"/>
              <w:jc w:val="right"/>
              <w:rPr>
                <w:rFonts w:ascii="宋体" w:hAnsi="宋体" w:cs="宋体" w:eastAsia="宋体" w:hint="default"/>
                <w:sz w:val="21"/>
                <w:szCs w:val="21"/>
              </w:rPr>
            </w:pPr>
            <w:r>
              <w:rPr>
                <w:rFonts w:ascii="宋体"/>
                <w:spacing w:val="-1"/>
                <w:sz w:val="21"/>
              </w:rPr>
              <w:t>25,491.38</w:t>
            </w:r>
          </w:p>
        </w:tc>
        <w:tc>
          <w:tcPr>
            <w:tcW w:w="145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79"/>
              <w:ind w:right="107"/>
              <w:jc w:val="right"/>
              <w:rPr>
                <w:rFonts w:ascii="宋体" w:hAnsi="宋体" w:cs="宋体" w:eastAsia="宋体" w:hint="default"/>
                <w:sz w:val="21"/>
                <w:szCs w:val="21"/>
              </w:rPr>
            </w:pPr>
            <w:r>
              <w:rPr>
                <w:rFonts w:ascii="宋体"/>
                <w:sz w:val="21"/>
              </w:rPr>
              <w:t>5.00</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504"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40" w:lineRule="auto" w:before="138"/>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509,827.60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25,491.38</w:t>
            </w:r>
          </w:p>
        </w:tc>
        <w:tc>
          <w:tcPr>
            <w:tcW w:w="145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z w:val="21"/>
              </w:rPr>
              <w:t>5.00</w:t>
            </w:r>
          </w:p>
        </w:tc>
      </w:tr>
    </w:tbl>
    <w:p>
      <w:pPr>
        <w:spacing w:line="240" w:lineRule="auto" w:before="10"/>
        <w:rPr>
          <w:rFonts w:ascii="宋体" w:hAnsi="宋体" w:cs="宋体" w:eastAsia="宋体" w:hint="default"/>
          <w:sz w:val="19"/>
          <w:szCs w:val="19"/>
        </w:rPr>
      </w:pPr>
    </w:p>
    <w:p>
      <w:pPr>
        <w:pStyle w:val="BodyText"/>
        <w:spacing w:line="240" w:lineRule="auto" w:before="36"/>
        <w:ind w:left="403" w:right="0"/>
        <w:jc w:val="left"/>
      </w:pPr>
      <w:r>
        <w:rPr/>
        <w:t>（2）组合中采用账龄分析法计提坏账准备明细如下：</w:t>
      </w:r>
    </w:p>
    <w:p>
      <w:pPr>
        <w:spacing w:line="240" w:lineRule="auto" w:before="0"/>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1253"/>
        <w:gridCol w:w="1642"/>
        <w:gridCol w:w="847"/>
        <w:gridCol w:w="1476"/>
        <w:gridCol w:w="1589"/>
        <w:gridCol w:w="847"/>
        <w:gridCol w:w="1392"/>
      </w:tblGrid>
      <w:tr>
        <w:trPr>
          <w:trHeight w:val="499" w:hRule="exact"/>
        </w:trPr>
        <w:tc>
          <w:tcPr>
            <w:tcW w:w="125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tabs>
                <w:tab w:pos="443" w:val="left" w:leader="none"/>
              </w:tabs>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6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2011.12.31</w:t>
            </w:r>
          </w:p>
        </w:tc>
        <w:tc>
          <w:tcPr>
            <w:tcW w:w="382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5"/>
              <w:jc w:val="center"/>
              <w:rPr>
                <w:rFonts w:ascii="宋体" w:hAnsi="宋体" w:cs="宋体" w:eastAsia="宋体" w:hint="default"/>
                <w:sz w:val="21"/>
                <w:szCs w:val="21"/>
              </w:rPr>
            </w:pPr>
            <w:r>
              <w:rPr>
                <w:rFonts w:ascii="宋体"/>
                <w:sz w:val="21"/>
              </w:rPr>
              <w:t>2010.12.31</w:t>
            </w:r>
          </w:p>
        </w:tc>
      </w:tr>
      <w:tr>
        <w:trPr>
          <w:trHeight w:val="485" w:hRule="exact"/>
        </w:trPr>
        <w:tc>
          <w:tcPr>
            <w:tcW w:w="1253" w:type="dxa"/>
            <w:vMerge/>
            <w:tcBorders>
              <w:left w:val="nil" w:sz="6" w:space="0" w:color="auto"/>
              <w:right w:val="single" w:sz="2" w:space="0" w:color="000000"/>
            </w:tcBorders>
          </w:tcPr>
          <w:p>
            <w:pPr/>
          </w:p>
        </w:tc>
        <w:tc>
          <w:tcPr>
            <w:tcW w:w="248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2"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1253" w:type="dxa"/>
            <w:vMerge/>
            <w:tcBorders>
              <w:left w:val="nil" w:sz="6" w:space="0" w:color="auto"/>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Style w:val="TableParagraph"/>
              <w:tabs>
                <w:tab w:pos="923" w:val="left" w:leader="none"/>
              </w:tabs>
              <w:spacing w:line="240" w:lineRule="auto" w:before="153"/>
              <w:ind w:left="50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53"/>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476" w:type="dxa"/>
            <w:vMerge/>
            <w:tcBorders>
              <w:left w:val="single" w:sz="2" w:space="0" w:color="000000"/>
              <w:bottom w:val="single" w:sz="2" w:space="0" w:color="000000"/>
              <w:right w:val="single" w:sz="2" w:space="0" w:color="000000"/>
            </w:tcBorders>
          </w:tcPr>
          <w:p>
            <w:pPr/>
          </w:p>
        </w:tc>
        <w:tc>
          <w:tcPr>
            <w:tcW w:w="1589" w:type="dxa"/>
            <w:tcBorders>
              <w:top w:val="single" w:sz="2" w:space="0" w:color="000000"/>
              <w:left w:val="single" w:sz="2" w:space="0" w:color="000000"/>
              <w:bottom w:val="single" w:sz="2" w:space="0" w:color="000000"/>
              <w:right w:val="single" w:sz="2" w:space="0" w:color="000000"/>
            </w:tcBorders>
          </w:tcPr>
          <w:p>
            <w:pPr>
              <w:pStyle w:val="TableParagraph"/>
              <w:tabs>
                <w:tab w:pos="947" w:val="left" w:leader="none"/>
              </w:tabs>
              <w:spacing w:line="240" w:lineRule="auto" w:before="153"/>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92" w:type="dxa"/>
            <w:vMerge/>
            <w:tcBorders>
              <w:left w:val="single" w:sz="2" w:space="0" w:color="000000"/>
              <w:bottom w:val="single" w:sz="2" w:space="0" w:color="000000"/>
              <w:right w:val="nil" w:sz="6" w:space="0" w:color="auto"/>
            </w:tcBorders>
          </w:tcPr>
          <w:p>
            <w:pP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99" w:right="0"/>
              <w:jc w:val="left"/>
              <w:rPr>
                <w:rFonts w:ascii="宋体" w:hAnsi="宋体" w:cs="宋体" w:eastAsia="宋体" w:hint="default"/>
                <w:sz w:val="21"/>
                <w:szCs w:val="21"/>
              </w:rPr>
            </w:pPr>
            <w:r>
              <w:rPr>
                <w:rFonts w:ascii="宋体"/>
                <w:sz w:val="21"/>
              </w:rPr>
              <w:t>547,393.60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100.00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27,369.68</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46" w:right="0"/>
              <w:jc w:val="left"/>
              <w:rPr>
                <w:rFonts w:ascii="宋体" w:hAnsi="宋体" w:cs="宋体" w:eastAsia="宋体" w:hint="default"/>
                <w:sz w:val="21"/>
                <w:szCs w:val="21"/>
              </w:rPr>
            </w:pPr>
            <w:r>
              <w:rPr>
                <w:rFonts w:ascii="宋体"/>
                <w:sz w:val="21"/>
              </w:rPr>
              <w:t>509,827.60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40" w:right="0"/>
              <w:jc w:val="center"/>
              <w:rPr>
                <w:rFonts w:ascii="宋体" w:hAnsi="宋体" w:cs="宋体" w:eastAsia="宋体" w:hint="default"/>
                <w:sz w:val="21"/>
                <w:szCs w:val="21"/>
              </w:rPr>
            </w:pPr>
            <w:r>
              <w:rPr>
                <w:rFonts w:ascii="宋体"/>
                <w:sz w:val="21"/>
              </w:rPr>
              <w:t>100.00</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25,491.38</w:t>
            </w:r>
          </w:p>
        </w:tc>
      </w:tr>
      <w:tr>
        <w:trPr>
          <w:trHeight w:val="499" w:hRule="exact"/>
        </w:trPr>
        <w:tc>
          <w:tcPr>
            <w:tcW w:w="1253"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499" w:right="0"/>
              <w:jc w:val="left"/>
              <w:rPr>
                <w:rFonts w:ascii="宋体" w:hAnsi="宋体" w:cs="宋体" w:eastAsia="宋体" w:hint="default"/>
                <w:sz w:val="21"/>
                <w:szCs w:val="21"/>
              </w:rPr>
            </w:pPr>
            <w:r>
              <w:rPr>
                <w:rFonts w:ascii="宋体"/>
                <w:sz w:val="21"/>
              </w:rPr>
              <w:t>547,393.60</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100.00</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27,369.68</w:t>
            </w:r>
          </w:p>
        </w:tc>
        <w:tc>
          <w:tcPr>
            <w:tcW w:w="15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446" w:right="0"/>
              <w:jc w:val="left"/>
              <w:rPr>
                <w:rFonts w:ascii="宋体" w:hAnsi="宋体" w:cs="宋体" w:eastAsia="宋体" w:hint="default"/>
                <w:sz w:val="21"/>
                <w:szCs w:val="21"/>
              </w:rPr>
            </w:pPr>
            <w:r>
              <w:rPr>
                <w:rFonts w:ascii="宋体"/>
                <w:sz w:val="21"/>
              </w:rPr>
              <w:t>509,827.60</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40" w:right="0"/>
              <w:jc w:val="center"/>
              <w:rPr>
                <w:rFonts w:ascii="宋体" w:hAnsi="宋体" w:cs="宋体" w:eastAsia="宋体" w:hint="default"/>
                <w:sz w:val="21"/>
                <w:szCs w:val="21"/>
              </w:rPr>
            </w:pPr>
            <w:r>
              <w:rPr>
                <w:rFonts w:ascii="宋体"/>
                <w:sz w:val="21"/>
              </w:rPr>
              <w:t>100.00</w:t>
            </w: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25,491.38</w:t>
            </w:r>
          </w:p>
        </w:tc>
      </w:tr>
    </w:tbl>
    <w:p>
      <w:pPr>
        <w:spacing w:line="240" w:lineRule="auto" w:before="6"/>
        <w:rPr>
          <w:rFonts w:ascii="宋体" w:hAnsi="宋体" w:cs="宋体" w:eastAsia="宋体" w:hint="default"/>
          <w:sz w:val="18"/>
          <w:szCs w:val="18"/>
        </w:rPr>
      </w:pPr>
    </w:p>
    <w:p>
      <w:pPr>
        <w:pStyle w:val="BodyText"/>
        <w:spacing w:line="240" w:lineRule="auto" w:before="36"/>
        <w:ind w:left="403" w:right="0"/>
        <w:jc w:val="left"/>
      </w:pPr>
      <w:r>
        <w:rPr/>
        <w:t>（3）期末无单项金额重大或虽不重大但单独进行减值测试的应收账款坏账准备计提</w:t>
      </w:r>
    </w:p>
    <w:p>
      <w:pPr>
        <w:spacing w:line="240" w:lineRule="auto" w:before="2"/>
        <w:rPr>
          <w:rFonts w:ascii="宋体" w:hAnsi="宋体" w:cs="宋体" w:eastAsia="宋体" w:hint="default"/>
          <w:sz w:val="26"/>
          <w:szCs w:val="26"/>
        </w:rPr>
      </w:pPr>
    </w:p>
    <w:p>
      <w:pPr>
        <w:pStyle w:val="BodyText"/>
        <w:spacing w:line="240" w:lineRule="auto"/>
        <w:ind w:left="403" w:right="0"/>
        <w:jc w:val="left"/>
      </w:pPr>
      <w:r>
        <w:rPr/>
        <w:pict>
          <v:shape style="position:absolute;margin-left:103.08847pt;margin-top:8.481963pt;width:392.95pt;height:64.3pt;mso-position-horizontal-relative:page;mso-position-vertical-relative:paragraph;z-index:-553312;rotation:315" type="#_x0000_t136" fillcolor="#e0e0e0" stroked="f">
            <o:extrusion v:ext="view" autorotationcenter="t"/>
            <v:textpath style="font-family:&amp;quot;Arial&amp;quot;;font-size:64pt;v-text-kern:t;mso-text-shadow:auto" string="UnRegistered"/>
            <w10:wrap type="none"/>
          </v:shape>
        </w:pict>
      </w:r>
      <w:r>
        <w:rPr/>
        <w:t>（4）应收账款金额期末无外币余额。</w:t>
      </w:r>
    </w:p>
    <w:p>
      <w:pPr>
        <w:spacing w:line="240" w:lineRule="auto" w:before="12"/>
        <w:rPr>
          <w:rFonts w:ascii="宋体" w:hAnsi="宋体" w:cs="宋体" w:eastAsia="宋体" w:hint="default"/>
          <w:sz w:val="25"/>
          <w:szCs w:val="25"/>
        </w:rPr>
      </w:pPr>
    </w:p>
    <w:p>
      <w:pPr>
        <w:pStyle w:val="BodyText"/>
        <w:spacing w:line="403" w:lineRule="auto"/>
        <w:ind w:left="403" w:right="0"/>
        <w:jc w:val="left"/>
      </w:pPr>
      <w:r>
        <w:rPr/>
        <w:t>（5）截至</w:t>
      </w:r>
      <w:r>
        <w:rPr>
          <w:spacing w:val="-56"/>
        </w:rPr>
        <w:t> </w:t>
      </w:r>
      <w:r>
        <w:rPr/>
        <w:t>2011</w:t>
      </w:r>
      <w:r>
        <w:rPr>
          <w:spacing w:val="-54"/>
        </w:rPr>
        <w:t> </w:t>
      </w:r>
      <w:r>
        <w:rPr/>
        <w:t>年</w:t>
      </w:r>
      <w:r>
        <w:rPr>
          <w:spacing w:val="-54"/>
        </w:rPr>
        <w:t> </w:t>
      </w:r>
      <w:r>
        <w:rPr/>
        <w:t>12</w:t>
      </w:r>
      <w:r>
        <w:rPr>
          <w:spacing w:val="-54"/>
        </w:rPr>
        <w:t> </w:t>
      </w:r>
      <w:r>
        <w:rPr/>
        <w:t>月</w:t>
      </w:r>
      <w:r>
        <w:rPr>
          <w:spacing w:val="-56"/>
        </w:rPr>
        <w:t> </w:t>
      </w:r>
      <w:r>
        <w:rPr/>
        <w:t>31</w:t>
      </w:r>
      <w:r>
        <w:rPr>
          <w:spacing w:val="-54"/>
        </w:rPr>
        <w:t> </w:t>
      </w:r>
      <w:r>
        <w:rPr/>
        <w:t>日止，应收账款余额中无持有公司</w:t>
      </w:r>
      <w:r>
        <w:rPr>
          <w:spacing w:val="-54"/>
        </w:rPr>
        <w:t> </w:t>
      </w:r>
      <w:r>
        <w:rPr/>
        <w:t>5%（含</w:t>
      </w:r>
      <w:r>
        <w:rPr>
          <w:spacing w:val="-56"/>
        </w:rPr>
        <w:t> </w:t>
      </w:r>
      <w:r>
        <w:rPr/>
        <w:t>5%）以上表决权股份的</w:t>
      </w:r>
      <w:r>
        <w:rPr>
          <w:w w:val="100"/>
        </w:rPr>
        <w:t> </w:t>
      </w:r>
      <w:r>
        <w:rPr/>
        <w:t>股东单位欠款及其他关联方款项。</w:t>
      </w:r>
    </w:p>
    <w:p>
      <w:pPr>
        <w:spacing w:line="240" w:lineRule="auto" w:before="3"/>
        <w:rPr>
          <w:rFonts w:ascii="宋体" w:hAnsi="宋体" w:cs="宋体" w:eastAsia="宋体" w:hint="default"/>
          <w:sz w:val="15"/>
          <w:szCs w:val="15"/>
        </w:rPr>
      </w:pPr>
    </w:p>
    <w:p>
      <w:pPr>
        <w:pStyle w:val="BodyText"/>
        <w:spacing w:line="240" w:lineRule="auto"/>
        <w:ind w:left="403" w:right="0"/>
        <w:jc w:val="left"/>
      </w:pPr>
      <w:r>
        <w:rPr/>
        <w:t>（6）应收账款期末前五名客户列示如下：</w:t>
      </w:r>
    </w:p>
    <w:p>
      <w:pPr>
        <w:spacing w:line="240" w:lineRule="auto" w:before="8"/>
        <w:rPr>
          <w:rFonts w:ascii="宋体" w:hAnsi="宋体" w:cs="宋体" w:eastAsia="宋体" w:hint="default"/>
          <w:sz w:val="16"/>
          <w:szCs w:val="16"/>
        </w:rPr>
      </w:pPr>
    </w:p>
    <w:tbl>
      <w:tblPr>
        <w:tblW w:w="0" w:type="auto"/>
        <w:jc w:val="left"/>
        <w:tblInd w:w="266" w:type="dxa"/>
        <w:tblLayout w:type="fixed"/>
        <w:tblCellMar>
          <w:top w:w="0" w:type="dxa"/>
          <w:left w:w="0" w:type="dxa"/>
          <w:bottom w:w="0" w:type="dxa"/>
          <w:right w:w="0" w:type="dxa"/>
        </w:tblCellMar>
        <w:tblLook w:val="01E0"/>
      </w:tblPr>
      <w:tblGrid>
        <w:gridCol w:w="2918"/>
        <w:gridCol w:w="1514"/>
        <w:gridCol w:w="1702"/>
        <w:gridCol w:w="1212"/>
        <w:gridCol w:w="1663"/>
      </w:tblGrid>
      <w:tr>
        <w:trPr>
          <w:trHeight w:val="799" w:hRule="exact"/>
        </w:trPr>
        <w:tc>
          <w:tcPr>
            <w:tcW w:w="29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与公司关系</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055" w:val="left" w:leader="none"/>
              </w:tabs>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63" w:type="dxa"/>
            <w:tcBorders>
              <w:top w:val="single" w:sz="12" w:space="0" w:color="000000"/>
              <w:left w:val="single" w:sz="4" w:space="0" w:color="000000"/>
              <w:bottom w:val="single" w:sz="4" w:space="0" w:color="000000"/>
              <w:right w:val="nil" w:sz="6" w:space="0" w:color="auto"/>
            </w:tcBorders>
          </w:tcPr>
          <w:p>
            <w:pPr>
              <w:pStyle w:val="TableParagraph"/>
              <w:spacing w:line="272" w:lineRule="exact" w:before="111"/>
              <w:ind w:left="141" w:right="146" w:firstLine="55"/>
              <w:jc w:val="left"/>
              <w:rPr>
                <w:rFonts w:ascii="宋体" w:hAnsi="宋体" w:cs="宋体" w:eastAsia="宋体" w:hint="default"/>
                <w:sz w:val="21"/>
                <w:szCs w:val="21"/>
              </w:rPr>
            </w:pPr>
            <w:r>
              <w:rPr>
                <w:rFonts w:ascii="宋体" w:hAnsi="宋体" w:cs="宋体" w:eastAsia="宋体" w:hint="default"/>
                <w:sz w:val="21"/>
                <w:szCs w:val="21"/>
              </w:rPr>
              <w:t>占应收账款总</w:t>
            </w:r>
            <w:r>
              <w:rPr>
                <w:rFonts w:ascii="宋体" w:hAnsi="宋体" w:cs="宋体" w:eastAsia="宋体" w:hint="default"/>
                <w:w w:val="100"/>
                <w:sz w:val="21"/>
                <w:szCs w:val="21"/>
              </w:rPr>
              <w:t> </w:t>
            </w:r>
            <w:r>
              <w:rPr>
                <w:rFonts w:ascii="宋体" w:hAnsi="宋体" w:cs="宋体" w:eastAsia="宋体" w:hint="default"/>
                <w:sz w:val="21"/>
                <w:szCs w:val="21"/>
              </w:rPr>
              <w:t>额的比例（%）</w:t>
            </w:r>
          </w:p>
        </w:tc>
      </w:tr>
      <w:tr>
        <w:trPr>
          <w:trHeight w:val="521" w:hRule="exact"/>
        </w:trPr>
        <w:tc>
          <w:tcPr>
            <w:tcW w:w="2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6" w:right="0"/>
              <w:jc w:val="center"/>
              <w:rPr>
                <w:rFonts w:ascii="宋体" w:hAnsi="宋体" w:cs="宋体" w:eastAsia="宋体" w:hint="default"/>
                <w:sz w:val="21"/>
                <w:szCs w:val="21"/>
              </w:rPr>
            </w:pPr>
            <w:r>
              <w:rPr>
                <w:rFonts w:ascii="宋体" w:hAnsi="宋体" w:cs="宋体" w:eastAsia="宋体" w:hint="default"/>
                <w:sz w:val="21"/>
                <w:szCs w:val="21"/>
              </w:rPr>
              <w:t>凯悦酒家</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547,393.60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3"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sz w:val="21"/>
              </w:rPr>
              <w:t>100.00</w:t>
            </w:r>
          </w:p>
        </w:tc>
      </w:tr>
      <w:tr>
        <w:trPr>
          <w:trHeight w:val="530" w:hRule="exact"/>
        </w:trPr>
        <w:tc>
          <w:tcPr>
            <w:tcW w:w="2918"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46"/>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14"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2"/>
              <w:ind w:right="101"/>
              <w:jc w:val="right"/>
              <w:rPr>
                <w:rFonts w:ascii="宋体" w:hAnsi="宋体" w:cs="宋体" w:eastAsia="宋体" w:hint="default"/>
                <w:sz w:val="21"/>
                <w:szCs w:val="21"/>
              </w:rPr>
            </w:pPr>
            <w:r>
              <w:rPr>
                <w:rFonts w:ascii="宋体"/>
                <w:spacing w:val="-1"/>
                <w:sz w:val="21"/>
              </w:rPr>
              <w:t>547,393.60</w:t>
            </w:r>
          </w:p>
        </w:tc>
        <w:tc>
          <w:tcPr>
            <w:tcW w:w="1212" w:type="dxa"/>
            <w:tcBorders>
              <w:top w:val="single" w:sz="4" w:space="0" w:color="000000"/>
              <w:left w:val="single" w:sz="4" w:space="0" w:color="000000"/>
              <w:bottom w:val="single" w:sz="12" w:space="0" w:color="000000"/>
              <w:right w:val="single" w:sz="4" w:space="0" w:color="000000"/>
            </w:tcBorders>
          </w:tcPr>
          <w:p>
            <w:pPr/>
          </w:p>
        </w:tc>
        <w:tc>
          <w:tcPr>
            <w:tcW w:w="1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2"/>
              <w:ind w:right="5"/>
              <w:jc w:val="center"/>
              <w:rPr>
                <w:rFonts w:ascii="宋体" w:hAnsi="宋体" w:cs="宋体" w:eastAsia="宋体" w:hint="default"/>
                <w:sz w:val="21"/>
                <w:szCs w:val="21"/>
              </w:rPr>
            </w:pPr>
            <w:r>
              <w:rPr>
                <w:rFonts w:ascii="宋体"/>
                <w:sz w:val="21"/>
              </w:rPr>
              <w:t>100.00</w:t>
            </w:r>
          </w:p>
        </w:tc>
      </w:tr>
    </w:tbl>
    <w:p>
      <w:pPr>
        <w:spacing w:line="240" w:lineRule="auto" w:before="8"/>
        <w:rPr>
          <w:rFonts w:ascii="宋体" w:hAnsi="宋体" w:cs="宋体" w:eastAsia="宋体" w:hint="default"/>
          <w:sz w:val="25"/>
          <w:szCs w:val="25"/>
        </w:rPr>
      </w:pPr>
    </w:p>
    <w:p>
      <w:pPr>
        <w:pStyle w:val="BodyText"/>
        <w:spacing w:line="240" w:lineRule="auto" w:before="36"/>
        <w:ind w:left="403" w:right="0"/>
        <w:jc w:val="left"/>
      </w:pPr>
      <w:r>
        <w:rPr/>
        <w:t>2、其他应收款</w:t>
      </w:r>
    </w:p>
    <w:p>
      <w:pPr>
        <w:spacing w:line="240" w:lineRule="auto" w:before="9"/>
        <w:rPr>
          <w:rFonts w:ascii="宋体" w:hAnsi="宋体" w:cs="宋体" w:eastAsia="宋体" w:hint="default"/>
          <w:sz w:val="24"/>
          <w:szCs w:val="24"/>
        </w:rPr>
      </w:pPr>
    </w:p>
    <w:p>
      <w:pPr>
        <w:pStyle w:val="BodyText"/>
        <w:spacing w:line="240" w:lineRule="auto"/>
        <w:ind w:left="403" w:right="0"/>
        <w:jc w:val="left"/>
      </w:pPr>
      <w:r>
        <w:rPr/>
        <w:t>（1）其他应收款按类别列示如下：</w:t>
      </w:r>
    </w:p>
    <w:p>
      <w:pPr>
        <w:spacing w:line="240" w:lineRule="auto" w:before="11"/>
        <w:rPr>
          <w:rFonts w:ascii="宋体" w:hAnsi="宋体" w:cs="宋体" w:eastAsia="宋体" w:hint="default"/>
          <w:sz w:val="16"/>
          <w:szCs w:val="16"/>
        </w:rPr>
      </w:pPr>
    </w:p>
    <w:tbl>
      <w:tblPr>
        <w:tblW w:w="0" w:type="auto"/>
        <w:jc w:val="left"/>
        <w:tblInd w:w="288" w:type="dxa"/>
        <w:tblLayout w:type="fixed"/>
        <w:tblCellMar>
          <w:top w:w="0" w:type="dxa"/>
          <w:left w:w="0" w:type="dxa"/>
          <w:bottom w:w="0" w:type="dxa"/>
          <w:right w:w="0" w:type="dxa"/>
        </w:tblCellMar>
        <w:tblLook w:val="01E0"/>
      </w:tblPr>
      <w:tblGrid>
        <w:gridCol w:w="1392"/>
        <w:gridCol w:w="1399"/>
        <w:gridCol w:w="848"/>
        <w:gridCol w:w="851"/>
        <w:gridCol w:w="1368"/>
        <w:gridCol w:w="803"/>
        <w:gridCol w:w="808"/>
        <w:gridCol w:w="1445"/>
      </w:tblGrid>
      <w:tr>
        <w:trPr>
          <w:trHeight w:val="482" w:hRule="exact"/>
        </w:trPr>
        <w:tc>
          <w:tcPr>
            <w:tcW w:w="1392" w:type="dxa"/>
            <w:vMerge w:val="restart"/>
            <w:tcBorders>
              <w:top w:val="single" w:sz="12" w:space="0" w:color="000000"/>
              <w:left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813" w:right="0"/>
              <w:jc w:val="left"/>
              <w:rPr>
                <w:rFonts w:ascii="宋体" w:hAnsi="宋体" w:cs="宋体" w:eastAsia="宋体" w:hint="default"/>
                <w:sz w:val="21"/>
                <w:szCs w:val="21"/>
              </w:rPr>
            </w:pPr>
            <w:r>
              <w:rPr>
                <w:rFonts w:ascii="宋体" w:hAnsi="宋体" w:cs="宋体" w:eastAsia="宋体" w:hint="default"/>
                <w:w w:val="100"/>
                <w:sz w:val="21"/>
                <w:szCs w:val="21"/>
              </w:rPr>
              <w:t>类</w:t>
            </w:r>
          </w:p>
        </w:tc>
        <w:tc>
          <w:tcPr>
            <w:tcW w:w="139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w w:val="100"/>
                <w:sz w:val="21"/>
                <w:szCs w:val="21"/>
              </w:rPr>
              <w:t>别</w:t>
            </w:r>
          </w:p>
        </w:tc>
        <w:tc>
          <w:tcPr>
            <w:tcW w:w="6122" w:type="dxa"/>
            <w:gridSpan w:val="6"/>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2011.12.31</w:t>
            </w:r>
          </w:p>
        </w:tc>
      </w:tr>
      <w:tr>
        <w:trPr>
          <w:trHeight w:val="526" w:hRule="exact"/>
        </w:trPr>
        <w:tc>
          <w:tcPr>
            <w:tcW w:w="1392" w:type="dxa"/>
            <w:vMerge/>
            <w:tcBorders>
              <w:left w:val="nil" w:sz="6" w:space="0" w:color="auto"/>
              <w:right w:val="nil" w:sz="6" w:space="0" w:color="auto"/>
            </w:tcBorders>
          </w:tcPr>
          <w:p>
            <w:pPr/>
          </w:p>
        </w:tc>
        <w:tc>
          <w:tcPr>
            <w:tcW w:w="1399" w:type="dxa"/>
            <w:vMerge/>
            <w:tcBorders>
              <w:left w:val="nil" w:sz="6" w:space="0" w:color="auto"/>
              <w:right w:val="single" w:sz="6" w:space="0" w:color="000000"/>
            </w:tcBorders>
          </w:tcPr>
          <w:p>
            <w:pPr/>
          </w:p>
        </w:tc>
        <w:tc>
          <w:tcPr>
            <w:tcW w:w="30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5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2" w:hRule="exact"/>
        </w:trPr>
        <w:tc>
          <w:tcPr>
            <w:tcW w:w="1392" w:type="dxa"/>
            <w:vMerge/>
            <w:tcBorders>
              <w:left w:val="nil" w:sz="6" w:space="0" w:color="auto"/>
              <w:bottom w:val="single" w:sz="12" w:space="0" w:color="000000"/>
              <w:right w:val="nil" w:sz="6" w:space="0" w:color="auto"/>
            </w:tcBorders>
          </w:tcPr>
          <w:p>
            <w:pPr/>
          </w:p>
        </w:tc>
        <w:tc>
          <w:tcPr>
            <w:tcW w:w="1399" w:type="dxa"/>
            <w:vMerge/>
            <w:tcBorders>
              <w:left w:val="nil" w:sz="6" w:space="0" w:color="auto"/>
              <w:bottom w:val="single" w:sz="12" w:space="0" w:color="000000"/>
              <w:right w:val="single" w:sz="6" w:space="0" w:color="000000"/>
            </w:tcBorders>
          </w:tcPr>
          <w:p>
            <w:pPr/>
          </w:p>
        </w:tc>
        <w:tc>
          <w:tcPr>
            <w:tcW w:w="8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2"/>
              <w:ind w:left="419"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5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2"/>
              <w:ind w:left="209"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2"/>
              <w:ind w:left="374"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08"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122"/>
              <w:ind w:left="209"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45"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2"/>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bl>
    <w:p>
      <w:pPr>
        <w:spacing w:after="0" w:line="240" w:lineRule="auto"/>
        <w:jc w:val="left"/>
        <w:rPr>
          <w:rFonts w:ascii="宋体" w:hAnsi="宋体" w:cs="宋体" w:eastAsia="宋体" w:hint="default"/>
          <w:sz w:val="21"/>
          <w:szCs w:val="21"/>
        </w:rPr>
        <w:sectPr>
          <w:pgSz w:w="11910" w:h="16840"/>
          <w:pgMar w:header="929" w:footer="981" w:top="1180" w:bottom="1180" w:left="1300" w:right="0"/>
        </w:sectPr>
      </w:pPr>
    </w:p>
    <w:p>
      <w:pPr>
        <w:spacing w:line="240" w:lineRule="auto" w:before="8"/>
        <w:rPr>
          <w:rFonts w:ascii="宋体" w:hAnsi="宋体" w:cs="宋体" w:eastAsia="宋体" w:hint="default"/>
          <w:sz w:val="24"/>
          <w:szCs w:val="24"/>
        </w:rPr>
      </w:pPr>
    </w:p>
    <w:tbl>
      <w:tblPr>
        <w:tblW w:w="0" w:type="auto"/>
        <w:jc w:val="left"/>
        <w:tblInd w:w="266" w:type="dxa"/>
        <w:tblLayout w:type="fixed"/>
        <w:tblCellMar>
          <w:top w:w="0" w:type="dxa"/>
          <w:left w:w="0" w:type="dxa"/>
          <w:bottom w:w="0" w:type="dxa"/>
          <w:right w:w="0" w:type="dxa"/>
        </w:tblCellMar>
        <w:tblLook w:val="01E0"/>
      </w:tblPr>
      <w:tblGrid>
        <w:gridCol w:w="2813"/>
        <w:gridCol w:w="1699"/>
        <w:gridCol w:w="1368"/>
        <w:gridCol w:w="1610"/>
        <w:gridCol w:w="1452"/>
      </w:tblGrid>
      <w:tr>
        <w:trPr>
          <w:trHeight w:val="758" w:hRule="exact"/>
        </w:trPr>
        <w:tc>
          <w:tcPr>
            <w:tcW w:w="2813" w:type="dxa"/>
            <w:tcBorders>
              <w:top w:val="single" w:sz="12" w:space="0" w:color="000000"/>
              <w:left w:val="nil" w:sz="6" w:space="0" w:color="auto"/>
              <w:bottom w:val="single" w:sz="6" w:space="0" w:color="000000"/>
              <w:right w:val="single" w:sz="6" w:space="0" w:color="000000"/>
            </w:tcBorders>
          </w:tcPr>
          <w:p>
            <w:pPr>
              <w:pStyle w:val="TableParagraph"/>
              <w:spacing w:line="260" w:lineRule="exact" w:before="111"/>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他应收款坏账准备的</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w w:val="100"/>
                <w:sz w:val="21"/>
              </w:rPr>
              <w:t>-</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w w:val="100"/>
                <w:sz w:val="21"/>
              </w:rPr>
              <w:t>-</w:t>
            </w:r>
          </w:p>
        </w:tc>
        <w:tc>
          <w:tcPr>
            <w:tcW w:w="161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79"/>
              <w:ind w:right="103"/>
              <w:jc w:val="right"/>
              <w:rPr>
                <w:rFonts w:ascii="宋体" w:hAnsi="宋体" w:cs="宋体" w:eastAsia="宋体" w:hint="default"/>
                <w:sz w:val="21"/>
                <w:szCs w:val="21"/>
              </w:rPr>
            </w:pPr>
            <w:r>
              <w:rPr>
                <w:rFonts w:ascii="宋体"/>
                <w:w w:val="100"/>
                <w:sz w:val="21"/>
              </w:rPr>
              <w:t>-</w:t>
            </w:r>
          </w:p>
        </w:tc>
        <w:tc>
          <w:tcPr>
            <w:tcW w:w="145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79"/>
              <w:ind w:right="107"/>
              <w:jc w:val="right"/>
              <w:rPr>
                <w:rFonts w:ascii="宋体" w:hAnsi="宋体" w:cs="宋体" w:eastAsia="宋体" w:hint="default"/>
                <w:sz w:val="21"/>
                <w:szCs w:val="21"/>
              </w:rPr>
            </w:pPr>
            <w:r>
              <w:rPr>
                <w:rFonts w:ascii="宋体"/>
                <w:w w:val="100"/>
                <w:sz w:val="21"/>
              </w:rPr>
              <w:t>-</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145,475,630.00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99,050.00</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sz w:val="21"/>
              </w:rPr>
              <w:t>0.07</w:t>
            </w:r>
          </w:p>
        </w:tc>
      </w:tr>
      <w:tr>
        <w:trPr>
          <w:trHeight w:val="75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107"/>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47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tabs>
                <w:tab w:pos="1519" w:val="left" w:leader="none"/>
              </w:tabs>
              <w:spacing w:line="240" w:lineRule="auto" w:before="122"/>
              <w:ind w:left="109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pacing w:val="-1"/>
                <w:sz w:val="21"/>
              </w:rPr>
              <w:t>145,475,630.00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8"/>
              <w:ind w:right="103"/>
              <w:jc w:val="right"/>
              <w:rPr>
                <w:rFonts w:ascii="宋体" w:hAnsi="宋体" w:cs="宋体" w:eastAsia="宋体" w:hint="default"/>
                <w:sz w:val="21"/>
                <w:szCs w:val="21"/>
              </w:rPr>
            </w:pPr>
            <w:r>
              <w:rPr>
                <w:rFonts w:ascii="宋体"/>
                <w:spacing w:val="-1"/>
                <w:sz w:val="21"/>
              </w:rPr>
              <w:t>99,050.00</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8"/>
              <w:ind w:right="107"/>
              <w:jc w:val="right"/>
              <w:rPr>
                <w:rFonts w:ascii="宋体" w:hAnsi="宋体" w:cs="宋体" w:eastAsia="宋体" w:hint="default"/>
                <w:sz w:val="21"/>
                <w:szCs w:val="21"/>
              </w:rPr>
            </w:pPr>
            <w:r>
              <w:rPr>
                <w:rFonts w:ascii="宋体"/>
                <w:sz w:val="21"/>
              </w:rPr>
              <w:t>0.07</w:t>
            </w:r>
          </w:p>
        </w:tc>
      </w:tr>
      <w:tr>
        <w:trPr>
          <w:trHeight w:val="523" w:hRule="exact"/>
        </w:trPr>
        <w:tc>
          <w:tcPr>
            <w:tcW w:w="28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780" w:val="left" w:leader="none"/>
              </w:tabs>
              <w:spacing w:line="240" w:lineRule="auto" w:before="141"/>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sz w:val="21"/>
              </w:rPr>
              <w:t>2010.12.31</w:t>
            </w:r>
          </w:p>
        </w:tc>
      </w:tr>
      <w:tr>
        <w:trPr>
          <w:trHeight w:val="526"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6"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1" w:val="left" w:leader="none"/>
              </w:tabs>
              <w:spacing w:line="240" w:lineRule="auto" w:before="122"/>
              <w:ind w:left="41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952" w:val="left" w:leader="none"/>
              </w:tabs>
              <w:spacing w:line="240" w:lineRule="auto" w:before="122"/>
              <w:ind w:left="42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9"/>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75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107"/>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199,973,583.00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45,595.00</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sz w:val="21"/>
              </w:rPr>
              <w:t>0.02</w:t>
            </w:r>
          </w:p>
        </w:tc>
      </w:tr>
      <w:tr>
        <w:trPr>
          <w:trHeight w:val="751"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8"/>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7"/>
              <w:ind w:right="103"/>
              <w:jc w:val="righ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7"/>
              <w:ind w:right="107"/>
              <w:jc w:val="right"/>
              <w:rPr>
                <w:rFonts w:ascii="宋体" w:hAnsi="宋体" w:cs="宋体" w:eastAsia="宋体" w:hint="default"/>
                <w:sz w:val="21"/>
                <w:szCs w:val="21"/>
              </w:rPr>
            </w:pPr>
            <w:r>
              <w:rPr>
                <w:rFonts w:ascii="宋体"/>
                <w:w w:val="100"/>
                <w:sz w:val="21"/>
              </w:rPr>
              <w:t>-</w:t>
            </w:r>
          </w:p>
        </w:tc>
      </w:tr>
      <w:tr>
        <w:trPr>
          <w:trHeight w:val="504"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tabs>
                <w:tab w:pos="1519" w:val="left" w:leader="none"/>
              </w:tabs>
              <w:spacing w:line="240" w:lineRule="auto" w:before="138"/>
              <w:ind w:left="109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pacing w:val="-1"/>
                <w:sz w:val="21"/>
              </w:rPr>
              <w:t>199,973,583.00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45,595.00</w:t>
            </w:r>
          </w:p>
        </w:tc>
        <w:tc>
          <w:tcPr>
            <w:tcW w:w="145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sz w:val="21"/>
              </w:rPr>
              <w:t>0.02</w:t>
            </w:r>
          </w:p>
        </w:tc>
      </w:tr>
    </w:tbl>
    <w:p>
      <w:pPr>
        <w:spacing w:line="240" w:lineRule="auto" w:before="10"/>
        <w:rPr>
          <w:rFonts w:ascii="宋体" w:hAnsi="宋体" w:cs="宋体" w:eastAsia="宋体" w:hint="default"/>
          <w:sz w:val="19"/>
          <w:szCs w:val="19"/>
        </w:rPr>
      </w:pPr>
    </w:p>
    <w:p>
      <w:pPr>
        <w:pStyle w:val="BodyText"/>
        <w:spacing w:line="240" w:lineRule="auto" w:before="36"/>
        <w:ind w:left="403" w:right="0"/>
        <w:jc w:val="left"/>
      </w:pPr>
      <w:r>
        <w:rPr/>
        <w:pict>
          <v:shape style="position:absolute;margin-left:103.08847pt;margin-top:-47.558033pt;width:392.95pt;height:64.3pt;mso-position-horizontal-relative:page;mso-position-vertical-relative:paragraph;z-index:-553288;rotation:315" type="#_x0000_t136" fillcolor="#e0e0e0" stroked="f">
            <o:extrusion v:ext="view" autorotationcenter="t"/>
            <v:textpath style="font-family:&amp;quot;Arial&amp;quot;;font-size:64pt;v-text-kern:t;mso-text-shadow:auto" string="UnRegistered"/>
            <w10:wrap type="none"/>
          </v:shape>
        </w:pict>
      </w:r>
      <w:r>
        <w:rPr/>
        <w:t>（2）组合中采用账龄分析法计提坏账准备明细如下：</w:t>
      </w:r>
    </w:p>
    <w:p>
      <w:pPr>
        <w:spacing w:line="240" w:lineRule="auto" w:before="0"/>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1253"/>
        <w:gridCol w:w="1642"/>
        <w:gridCol w:w="847"/>
        <w:gridCol w:w="1476"/>
        <w:gridCol w:w="1589"/>
        <w:gridCol w:w="847"/>
        <w:gridCol w:w="1392"/>
      </w:tblGrid>
      <w:tr>
        <w:trPr>
          <w:trHeight w:val="497" w:hRule="exact"/>
        </w:trPr>
        <w:tc>
          <w:tcPr>
            <w:tcW w:w="125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tabs>
                <w:tab w:pos="443" w:val="left" w:leader="none"/>
              </w:tabs>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6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2011.12.31</w:t>
            </w:r>
          </w:p>
        </w:tc>
        <w:tc>
          <w:tcPr>
            <w:tcW w:w="382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5"/>
              <w:jc w:val="center"/>
              <w:rPr>
                <w:rFonts w:ascii="宋体" w:hAnsi="宋体" w:cs="宋体" w:eastAsia="宋体" w:hint="default"/>
                <w:sz w:val="21"/>
                <w:szCs w:val="21"/>
              </w:rPr>
            </w:pPr>
            <w:r>
              <w:rPr>
                <w:rFonts w:ascii="宋体"/>
                <w:sz w:val="21"/>
              </w:rPr>
              <w:t>2010.12.31</w:t>
            </w:r>
          </w:p>
        </w:tc>
      </w:tr>
      <w:tr>
        <w:trPr>
          <w:trHeight w:val="485" w:hRule="exact"/>
        </w:trPr>
        <w:tc>
          <w:tcPr>
            <w:tcW w:w="1253" w:type="dxa"/>
            <w:vMerge/>
            <w:tcBorders>
              <w:left w:val="nil" w:sz="6" w:space="0" w:color="auto"/>
              <w:right w:val="single" w:sz="2" w:space="0" w:color="000000"/>
            </w:tcBorders>
          </w:tcPr>
          <w:p>
            <w:pPr/>
          </w:p>
        </w:tc>
        <w:tc>
          <w:tcPr>
            <w:tcW w:w="248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7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2"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253" w:type="dxa"/>
            <w:vMerge/>
            <w:tcBorders>
              <w:left w:val="nil" w:sz="6" w:space="0" w:color="auto"/>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Style w:val="TableParagraph"/>
              <w:tabs>
                <w:tab w:pos="923" w:val="left" w:leader="none"/>
              </w:tabs>
              <w:spacing w:line="240" w:lineRule="auto" w:before="153"/>
              <w:ind w:left="50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53"/>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476" w:type="dxa"/>
            <w:vMerge/>
            <w:tcBorders>
              <w:left w:val="single" w:sz="2" w:space="0" w:color="000000"/>
              <w:bottom w:val="single" w:sz="2" w:space="0" w:color="000000"/>
              <w:right w:val="single" w:sz="2" w:space="0" w:color="000000"/>
            </w:tcBorders>
          </w:tcPr>
          <w:p>
            <w:pPr/>
          </w:p>
        </w:tc>
        <w:tc>
          <w:tcPr>
            <w:tcW w:w="1589" w:type="dxa"/>
            <w:tcBorders>
              <w:top w:val="single" w:sz="2" w:space="0" w:color="000000"/>
              <w:left w:val="single" w:sz="2" w:space="0" w:color="000000"/>
              <w:bottom w:val="single" w:sz="2" w:space="0" w:color="000000"/>
              <w:right w:val="single" w:sz="2" w:space="0" w:color="000000"/>
            </w:tcBorders>
          </w:tcPr>
          <w:p>
            <w:pPr>
              <w:pStyle w:val="TableParagraph"/>
              <w:tabs>
                <w:tab w:pos="947" w:val="left" w:leader="none"/>
              </w:tabs>
              <w:spacing w:line="240" w:lineRule="auto" w:before="153"/>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50"/>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392" w:type="dxa"/>
            <w:vMerge/>
            <w:tcBorders>
              <w:left w:val="single" w:sz="2" w:space="0" w:color="000000"/>
              <w:bottom w:val="single" w:sz="2" w:space="0" w:color="000000"/>
              <w:right w:val="nil" w:sz="6" w:space="0" w:color="auto"/>
            </w:tcBorders>
          </w:tcPr>
          <w:p>
            <w:pP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70,324,000.00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48.34</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w w:val="100"/>
                <w:sz w:val="21"/>
              </w:rPr>
              <w:t>-</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88,202,000.00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44.10</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z w:val="21"/>
              </w:rPr>
              <w:t>75.00</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65,402,000.00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44.96</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150.00</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19,068,900.00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9.53</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23,390.00</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7,468,900.00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5.13</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70,170.00</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91,671,953.00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45.83</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w w:val="100"/>
                <w:sz w:val="21"/>
              </w:rPr>
              <w:t>-</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2,250,000.00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1.55</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w w:val="100"/>
                <w:sz w:val="21"/>
              </w:rPr>
              <w:t>-</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1,010,000.00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0.51</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5,000.00</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10,000.00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0.01</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8,000.00</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18,000.00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0.02</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14,400.00</w:t>
            </w:r>
          </w:p>
        </w:tc>
      </w:tr>
      <w:tr>
        <w:trPr>
          <w:trHeight w:val="4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20,730.00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0.01</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20,730.00</w:t>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2,730.00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0.01</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2,730.00</w:t>
            </w:r>
          </w:p>
        </w:tc>
      </w:tr>
      <w:tr>
        <w:trPr>
          <w:trHeight w:val="499" w:hRule="exact"/>
        </w:trPr>
        <w:tc>
          <w:tcPr>
            <w:tcW w:w="1253"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1"/>
              <w:jc w:val="right"/>
              <w:rPr>
                <w:rFonts w:ascii="宋体" w:hAnsi="宋体" w:cs="宋体" w:eastAsia="宋体" w:hint="default"/>
                <w:sz w:val="21"/>
                <w:szCs w:val="21"/>
              </w:rPr>
            </w:pPr>
            <w:r>
              <w:rPr>
                <w:rFonts w:ascii="宋体"/>
                <w:spacing w:val="-1"/>
                <w:sz w:val="21"/>
              </w:rPr>
              <w:t>145,475,630.00</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4"/>
              <w:jc w:val="right"/>
              <w:rPr>
                <w:rFonts w:ascii="宋体" w:hAnsi="宋体" w:cs="宋体" w:eastAsia="宋体" w:hint="default"/>
                <w:sz w:val="21"/>
                <w:szCs w:val="21"/>
              </w:rPr>
            </w:pPr>
            <w:r>
              <w:rPr>
                <w:rFonts w:ascii="宋体"/>
                <w:sz w:val="21"/>
              </w:rPr>
              <w:t>100.00</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99,050.00</w:t>
            </w:r>
          </w:p>
        </w:tc>
        <w:tc>
          <w:tcPr>
            <w:tcW w:w="15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199,973,583.00</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100.00</w:t>
            </w: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45,595.00</w:t>
            </w:r>
          </w:p>
        </w:tc>
      </w:tr>
    </w:tbl>
    <w:p>
      <w:pPr>
        <w:spacing w:line="240" w:lineRule="auto" w:before="6"/>
        <w:rPr>
          <w:rFonts w:ascii="宋体" w:hAnsi="宋体" w:cs="宋体" w:eastAsia="宋体" w:hint="default"/>
          <w:sz w:val="18"/>
          <w:szCs w:val="18"/>
        </w:rPr>
      </w:pPr>
    </w:p>
    <w:p>
      <w:pPr>
        <w:pStyle w:val="BodyText"/>
        <w:spacing w:line="240" w:lineRule="auto" w:before="36"/>
        <w:ind w:left="403" w:right="0"/>
        <w:jc w:val="left"/>
      </w:pPr>
      <w:r>
        <w:rPr/>
        <w:t>（3）期末无单项金额重大或虽不重大但单独进行减值测试的其他应收款坏账准备计提。</w:t>
      </w:r>
    </w:p>
    <w:p>
      <w:pPr>
        <w:spacing w:after="0" w:line="240" w:lineRule="auto"/>
        <w:jc w:val="left"/>
        <w:sectPr>
          <w:footerReference w:type="default" r:id="rId27"/>
          <w:pgSz w:w="11910" w:h="16840"/>
          <w:pgMar w:footer="981" w:header="929" w:top="1180" w:bottom="1180" w:left="1300" w:right="0"/>
          <w:pgNumType w:start="9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3952;rotation:315" type="#_x0000_t136" fillcolor="#e0e0e0" stroked="f">
            <o:extrusion v:ext="view" autorotationcenter="t"/>
            <v:textpath style="font-family:&amp;quot;Arial&amp;quot;;font-size:64pt;v-text-kern:t;mso-text-shadow:auto" string="UnRegistered"/>
            <w10:wrap type="none"/>
          </v:shape>
        </w:pict>
      </w:r>
    </w:p>
    <w:p>
      <w:pPr>
        <w:spacing w:line="240" w:lineRule="auto" w:before="12"/>
        <w:rPr>
          <w:rFonts w:ascii="宋体" w:hAnsi="宋体" w:cs="宋体" w:eastAsia="宋体" w:hint="default"/>
          <w:sz w:val="13"/>
          <w:szCs w:val="13"/>
        </w:rPr>
      </w:pPr>
    </w:p>
    <w:p>
      <w:pPr>
        <w:pStyle w:val="BodyText"/>
        <w:spacing w:line="240" w:lineRule="auto"/>
        <w:ind w:left="143" w:right="473"/>
        <w:jc w:val="left"/>
      </w:pPr>
      <w:r>
        <w:rPr/>
        <w:t>（4）其他应收款金额期末无外币余额。</w:t>
      </w:r>
    </w:p>
    <w:p>
      <w:pPr>
        <w:spacing w:line="240" w:lineRule="auto" w:before="12"/>
        <w:rPr>
          <w:rFonts w:ascii="宋体" w:hAnsi="宋体" w:cs="宋体" w:eastAsia="宋体" w:hint="default"/>
          <w:sz w:val="25"/>
          <w:szCs w:val="25"/>
        </w:rPr>
      </w:pPr>
    </w:p>
    <w:p>
      <w:pPr>
        <w:pStyle w:val="BodyText"/>
        <w:spacing w:line="240" w:lineRule="auto"/>
        <w:ind w:left="143" w:right="473"/>
        <w:jc w:val="left"/>
      </w:pPr>
      <w:r>
        <w:rPr/>
        <w:t>（5）本报告期内无实际核销的其他应收款情况</w:t>
      </w:r>
    </w:p>
    <w:p>
      <w:pPr>
        <w:spacing w:line="240" w:lineRule="auto" w:before="2"/>
        <w:rPr>
          <w:rFonts w:ascii="宋体" w:hAnsi="宋体" w:cs="宋体" w:eastAsia="宋体" w:hint="default"/>
          <w:sz w:val="26"/>
          <w:szCs w:val="26"/>
        </w:rPr>
      </w:pPr>
    </w:p>
    <w:p>
      <w:pPr>
        <w:pStyle w:val="BodyText"/>
        <w:spacing w:line="403" w:lineRule="auto"/>
        <w:ind w:left="143" w:right="473"/>
        <w:jc w:val="left"/>
      </w:pPr>
      <w:r>
        <w:rPr/>
        <w:t>（6）截至</w:t>
      </w:r>
      <w:r>
        <w:rPr>
          <w:spacing w:val="-56"/>
        </w:rPr>
        <w:t> </w:t>
      </w:r>
      <w:r>
        <w:rPr/>
        <w:t>2011</w:t>
      </w:r>
      <w:r>
        <w:rPr>
          <w:spacing w:val="-54"/>
        </w:rPr>
        <w:t> </w:t>
      </w:r>
      <w:r>
        <w:rPr/>
        <w:t>年</w:t>
      </w:r>
      <w:r>
        <w:rPr>
          <w:spacing w:val="-54"/>
        </w:rPr>
        <w:t> </w:t>
      </w:r>
      <w:r>
        <w:rPr/>
        <w:t>12</w:t>
      </w:r>
      <w:r>
        <w:rPr>
          <w:spacing w:val="-54"/>
        </w:rPr>
        <w:t> </w:t>
      </w:r>
      <w:r>
        <w:rPr/>
        <w:t>月</w:t>
      </w:r>
      <w:r>
        <w:rPr>
          <w:spacing w:val="-56"/>
        </w:rPr>
        <w:t> </w:t>
      </w:r>
      <w:r>
        <w:rPr/>
        <w:t>31</w:t>
      </w:r>
      <w:r>
        <w:rPr>
          <w:spacing w:val="-54"/>
        </w:rPr>
        <w:t> </w:t>
      </w:r>
      <w:r>
        <w:rPr/>
        <w:t>日止，其他应收款余额中无持有公司</w:t>
      </w:r>
      <w:r>
        <w:rPr>
          <w:spacing w:val="-54"/>
        </w:rPr>
        <w:t> </w:t>
      </w:r>
      <w:r>
        <w:rPr/>
        <w:t>5%（含</w:t>
      </w:r>
      <w:r>
        <w:rPr>
          <w:spacing w:val="-54"/>
        </w:rPr>
        <w:t> </w:t>
      </w:r>
      <w:r>
        <w:rPr/>
        <w:t>5%）以上表决权股份</w:t>
      </w:r>
      <w:r>
        <w:rPr>
          <w:w w:val="100"/>
        </w:rPr>
        <w:t> </w:t>
      </w:r>
      <w:r>
        <w:rPr/>
        <w:t>的股东单位。</w:t>
      </w:r>
    </w:p>
    <w:p>
      <w:pPr>
        <w:spacing w:after="0" w:line="403" w:lineRule="auto"/>
        <w:jc w:val="left"/>
        <w:sectPr>
          <w:pgSz w:w="11910" w:h="16840"/>
          <w:pgMar w:header="929" w:footer="981" w:top="1180" w:bottom="1180" w:left="1560" w:right="0"/>
        </w:sectPr>
      </w:pPr>
    </w:p>
    <w:p>
      <w:pPr>
        <w:spacing w:line="240" w:lineRule="auto" w:before="0"/>
        <w:rPr>
          <w:rFonts w:ascii="宋体" w:hAnsi="宋体" w:cs="宋体" w:eastAsia="宋体" w:hint="default"/>
          <w:sz w:val="20"/>
          <w:szCs w:val="20"/>
        </w:rPr>
      </w:pPr>
      <w:r>
        <w:rPr/>
        <w:pict>
          <v:shape style="position:absolute;margin-left:226.395554pt;margin-top:272.609467pt;width:392.95pt;height:64.3pt;mso-position-horizontal-relative:page;mso-position-vertical-relative:page;z-index:-553240;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241" w:right="0"/>
        <w:jc w:val="left"/>
      </w:pPr>
      <w:r>
        <w:rPr/>
        <w:t>（7）其他应收款期末前五名列示如下：</w:t>
      </w:r>
    </w:p>
    <w:p>
      <w:pPr>
        <w:spacing w:line="240" w:lineRule="auto" w:before="8"/>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818"/>
        <w:gridCol w:w="1416"/>
        <w:gridCol w:w="2126"/>
        <w:gridCol w:w="1582"/>
        <w:gridCol w:w="1579"/>
        <w:gridCol w:w="1476"/>
        <w:gridCol w:w="1476"/>
        <w:gridCol w:w="1567"/>
      </w:tblGrid>
      <w:tr>
        <w:trPr>
          <w:trHeight w:val="758" w:hRule="exact"/>
        </w:trPr>
        <w:tc>
          <w:tcPr>
            <w:tcW w:w="28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0"/>
              <w:ind w:left="16" w:right="0"/>
              <w:jc w:val="center"/>
              <w:rPr>
                <w:rFonts w:ascii="宋体" w:hAnsi="宋体" w:cs="宋体" w:eastAsia="宋体" w:hint="default"/>
                <w:sz w:val="21"/>
                <w:szCs w:val="21"/>
              </w:rPr>
            </w:pPr>
            <w:r>
              <w:rPr>
                <w:rFonts w:ascii="宋体" w:hAnsi="宋体" w:cs="宋体" w:eastAsia="宋体" w:hint="default"/>
                <w:sz w:val="21"/>
                <w:szCs w:val="21"/>
              </w:rPr>
              <w:t>客户类别</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54" w:lineRule="auto" w:before="23"/>
              <w:ind w:left="386" w:right="384"/>
              <w:jc w:val="left"/>
              <w:rPr>
                <w:rFonts w:ascii="宋体" w:hAnsi="宋体" w:cs="宋体" w:eastAsia="宋体" w:hint="default"/>
                <w:sz w:val="21"/>
                <w:szCs w:val="21"/>
              </w:rPr>
            </w:pPr>
            <w:r>
              <w:rPr>
                <w:rFonts w:ascii="宋体" w:hAnsi="宋体" w:cs="宋体" w:eastAsia="宋体" w:hint="default"/>
                <w:sz w:val="21"/>
                <w:szCs w:val="21"/>
              </w:rPr>
              <w:t>与本公</w:t>
            </w:r>
            <w:r>
              <w:rPr>
                <w:rFonts w:ascii="宋体" w:hAnsi="宋体" w:cs="宋体" w:eastAsia="宋体" w:hint="default"/>
                <w:spacing w:val="-102"/>
                <w:sz w:val="21"/>
                <w:szCs w:val="21"/>
              </w:rPr>
              <w:t> </w:t>
            </w:r>
            <w:r>
              <w:rPr>
                <w:rFonts w:ascii="宋体" w:hAnsi="宋体" w:cs="宋体" w:eastAsia="宋体" w:hint="default"/>
                <w:sz w:val="21"/>
                <w:szCs w:val="21"/>
              </w:rPr>
              <w:t>司关系</w:t>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0"/>
              <w:ind w:left="530" w:right="0"/>
              <w:jc w:val="left"/>
              <w:rPr>
                <w:rFonts w:ascii="宋体" w:hAnsi="宋体" w:cs="宋体" w:eastAsia="宋体" w:hint="default"/>
                <w:sz w:val="21"/>
                <w:szCs w:val="21"/>
              </w:rPr>
            </w:pPr>
            <w:r>
              <w:rPr>
                <w:rFonts w:ascii="宋体"/>
                <w:sz w:val="21"/>
              </w:rPr>
              <w:t>2011.12.31</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0"/>
              <w:ind w:left="39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0"/>
              <w:ind w:left="39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0"/>
              <w:ind w:left="44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0"/>
              <w:ind w:left="441"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67" w:type="dxa"/>
            <w:tcBorders>
              <w:top w:val="single" w:sz="12" w:space="0" w:color="000000"/>
              <w:left w:val="single" w:sz="4" w:space="0" w:color="000000"/>
              <w:bottom w:val="single" w:sz="4" w:space="0" w:color="000000"/>
              <w:right w:val="nil" w:sz="6" w:space="0" w:color="auto"/>
            </w:tcBorders>
          </w:tcPr>
          <w:p>
            <w:pPr>
              <w:pStyle w:val="TableParagraph"/>
              <w:spacing w:line="238" w:lineRule="exact" w:before="107"/>
              <w:ind w:left="619" w:right="254" w:hanging="368"/>
              <w:jc w:val="left"/>
              <w:rPr>
                <w:rFonts w:ascii="宋体" w:hAnsi="宋体" w:cs="宋体" w:eastAsia="宋体" w:hint="default"/>
                <w:sz w:val="21"/>
                <w:szCs w:val="21"/>
              </w:rPr>
            </w:pPr>
            <w:r>
              <w:rPr>
                <w:rFonts w:ascii="宋体" w:hAnsi="宋体" w:cs="宋体" w:eastAsia="宋体" w:hint="default"/>
                <w:sz w:val="21"/>
                <w:szCs w:val="21"/>
              </w:rPr>
              <w:t>占余额比例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p>
        </w:tc>
      </w:tr>
      <w:tr>
        <w:trPr>
          <w:trHeight w:val="74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广州润龙房地产有限公司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69,979,000.00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69,979,000.00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sz w:val="21"/>
              </w:rPr>
              <w:t>48.11</w:t>
            </w:r>
          </w:p>
        </w:tc>
      </w:tr>
      <w:tr>
        <w:trPr>
          <w:trHeight w:val="74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广州天利达实业有限公司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65,000,000.00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65,000,000.00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sz w:val="21"/>
              </w:rPr>
              <w:t>44.68</w:t>
            </w:r>
          </w:p>
        </w:tc>
      </w:tr>
      <w:tr>
        <w:trPr>
          <w:trHeight w:val="74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广西田阳天伦矿业有限公司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9,730,500.00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400,500.00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6,735,000.00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2,250,000.00</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sz w:val="21"/>
              </w:rPr>
              <w:t>6.69</w:t>
            </w:r>
          </w:p>
        </w:tc>
      </w:tr>
      <w:tr>
        <w:trPr>
          <w:trHeight w:val="74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广西凤山天伦矿业有限公司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sz w:val="21"/>
              </w:rPr>
              <w:t>0.34</w:t>
            </w:r>
          </w:p>
        </w:tc>
      </w:tr>
      <w:tr>
        <w:trPr>
          <w:trHeight w:val="74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广州市海珠区人民法院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231,900.00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231,900.00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sz w:val="21"/>
              </w:rPr>
              <w:t>0.16</w:t>
            </w:r>
          </w:p>
        </w:tc>
      </w:tr>
      <w:tr>
        <w:trPr>
          <w:trHeight w:val="758" w:hRule="exact"/>
        </w:trPr>
        <w:tc>
          <w:tcPr>
            <w:tcW w:w="28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12" w:space="0" w:color="000000"/>
              <w:right w:val="single" w:sz="4" w:space="0" w:color="000000"/>
            </w:tcBorders>
          </w:tcPr>
          <w:p>
            <w:pP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145,441,400.00</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70,324,000.00</w:t>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65,400,500.00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7,466,900.00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2,250,000.00</w:t>
            </w:r>
          </w:p>
        </w:tc>
        <w:tc>
          <w:tcPr>
            <w:tcW w:w="15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sz w:val="21"/>
              </w:rPr>
              <w:t>99.98</w:t>
            </w:r>
          </w:p>
        </w:tc>
      </w:tr>
    </w:tbl>
    <w:p>
      <w:pPr>
        <w:spacing w:after="0" w:line="240" w:lineRule="auto"/>
        <w:jc w:val="right"/>
        <w:rPr>
          <w:rFonts w:ascii="宋体" w:hAnsi="宋体" w:cs="宋体" w:eastAsia="宋体" w:hint="default"/>
          <w:sz w:val="21"/>
          <w:szCs w:val="21"/>
        </w:rPr>
        <w:sectPr>
          <w:headerReference w:type="default" r:id="rId28"/>
          <w:footerReference w:type="default" r:id="rId29"/>
          <w:pgSz w:w="16840" w:h="11910" w:orient="landscape"/>
          <w:pgMar w:header="929" w:footer="981" w:top="1180" w:bottom="1180" w:left="1200" w:right="1340"/>
          <w:pgNumType w:start="92"/>
        </w:sectPr>
      </w:pPr>
    </w:p>
    <w:p>
      <w:pPr>
        <w:spacing w:line="240" w:lineRule="auto" w:before="0"/>
        <w:rPr>
          <w:rFonts w:ascii="宋体" w:hAnsi="宋体" w:cs="宋体" w:eastAsia="宋体" w:hint="default"/>
          <w:sz w:val="20"/>
          <w:szCs w:val="20"/>
        </w:rPr>
      </w:pPr>
      <w:r>
        <w:rPr/>
        <w:pict>
          <v:shape style="position:absolute;margin-left:226.395554pt;margin-top:272.609467pt;width:392.95pt;height:64.3pt;mso-position-horizontal-relative:page;mso-position-vertical-relative:page;z-index:-553216;rotation:315" type="#_x0000_t136" fillcolor="#e0e0e0" stroked="f">
            <o:extrusion v:ext="view" autorotationcenter="t"/>
            <v:textpath style="font-family:&amp;quot;Arial&amp;quot;;font-size:64pt;v-text-kern:t;mso-text-shadow:auto" string="UnRegistered"/>
            <w10:wrap type="none"/>
          </v:shape>
        </w:pict>
      </w:r>
    </w:p>
    <w:p>
      <w:pPr>
        <w:spacing w:line="240" w:lineRule="auto" w:before="13"/>
        <w:rPr>
          <w:rFonts w:ascii="宋体" w:hAnsi="宋体" w:cs="宋体" w:eastAsia="宋体" w:hint="default"/>
          <w:sz w:val="25"/>
          <w:szCs w:val="25"/>
        </w:rPr>
      </w:pPr>
    </w:p>
    <w:p>
      <w:pPr>
        <w:pStyle w:val="BodyText"/>
        <w:spacing w:line="240" w:lineRule="auto" w:before="36"/>
        <w:ind w:left="141" w:right="0"/>
        <w:jc w:val="left"/>
      </w:pPr>
      <w:r>
        <w:rPr/>
        <w:t>3、长期股权投资</w:t>
      </w:r>
    </w:p>
    <w:p>
      <w:pPr>
        <w:spacing w:line="240" w:lineRule="auto" w:before="8"/>
        <w:rPr>
          <w:rFonts w:ascii="宋体" w:hAnsi="宋体" w:cs="宋体" w:eastAsia="宋体" w:hint="default"/>
          <w:sz w:val="16"/>
          <w:szCs w:val="16"/>
        </w:rPr>
      </w:pPr>
    </w:p>
    <w:tbl>
      <w:tblPr>
        <w:tblW w:w="0" w:type="auto"/>
        <w:jc w:val="left"/>
        <w:tblInd w:w="218" w:type="dxa"/>
        <w:tblLayout w:type="fixed"/>
        <w:tblCellMar>
          <w:top w:w="0" w:type="dxa"/>
          <w:left w:w="0" w:type="dxa"/>
          <w:bottom w:w="0" w:type="dxa"/>
          <w:right w:w="0" w:type="dxa"/>
        </w:tblCellMar>
        <w:tblLook w:val="01E0"/>
      </w:tblPr>
      <w:tblGrid>
        <w:gridCol w:w="1589"/>
        <w:gridCol w:w="773"/>
        <w:gridCol w:w="1476"/>
        <w:gridCol w:w="1476"/>
        <w:gridCol w:w="936"/>
        <w:gridCol w:w="1476"/>
        <w:gridCol w:w="907"/>
        <w:gridCol w:w="946"/>
        <w:gridCol w:w="1366"/>
        <w:gridCol w:w="734"/>
        <w:gridCol w:w="1025"/>
        <w:gridCol w:w="583"/>
      </w:tblGrid>
      <w:tr>
        <w:trPr>
          <w:trHeight w:val="442" w:hRule="exact"/>
        </w:trPr>
        <w:tc>
          <w:tcPr>
            <w:tcW w:w="1589" w:type="dxa"/>
            <w:tcBorders>
              <w:top w:val="single" w:sz="12" w:space="0" w:color="000000"/>
              <w:left w:val="nil" w:sz="6" w:space="0" w:color="auto"/>
              <w:bottom w:val="nil" w:sz="6" w:space="0" w:color="auto"/>
              <w:right w:val="single" w:sz="6" w:space="0" w:color="000000"/>
            </w:tcBorders>
          </w:tcPr>
          <w:p>
            <w:pPr/>
          </w:p>
        </w:tc>
        <w:tc>
          <w:tcPr>
            <w:tcW w:w="773" w:type="dxa"/>
            <w:tcBorders>
              <w:top w:val="single" w:sz="12" w:space="0" w:color="000000"/>
              <w:left w:val="single" w:sz="6" w:space="0" w:color="000000"/>
              <w:bottom w:val="nil" w:sz="6" w:space="0" w:color="auto"/>
              <w:right w:val="single" w:sz="6" w:space="0" w:color="000000"/>
            </w:tcBorders>
          </w:tcPr>
          <w:p>
            <w:pPr/>
          </w:p>
        </w:tc>
        <w:tc>
          <w:tcPr>
            <w:tcW w:w="1476" w:type="dxa"/>
            <w:tcBorders>
              <w:top w:val="single" w:sz="12" w:space="0" w:color="000000"/>
              <w:left w:val="single" w:sz="6" w:space="0" w:color="000000"/>
              <w:bottom w:val="nil" w:sz="6" w:space="0" w:color="auto"/>
              <w:right w:val="single" w:sz="6" w:space="0" w:color="000000"/>
            </w:tcBorders>
          </w:tcPr>
          <w:p>
            <w:pPr/>
          </w:p>
        </w:tc>
        <w:tc>
          <w:tcPr>
            <w:tcW w:w="1476" w:type="dxa"/>
            <w:tcBorders>
              <w:top w:val="single" w:sz="12" w:space="0" w:color="000000"/>
              <w:left w:val="single" w:sz="6" w:space="0" w:color="000000"/>
              <w:bottom w:val="nil" w:sz="6" w:space="0" w:color="auto"/>
              <w:right w:val="single" w:sz="6" w:space="0" w:color="000000"/>
            </w:tcBorders>
          </w:tcPr>
          <w:p>
            <w:pPr/>
          </w:p>
        </w:tc>
        <w:tc>
          <w:tcPr>
            <w:tcW w:w="936" w:type="dxa"/>
            <w:tcBorders>
              <w:top w:val="single" w:sz="12" w:space="0" w:color="000000"/>
              <w:left w:val="single" w:sz="6" w:space="0" w:color="000000"/>
              <w:bottom w:val="nil" w:sz="6" w:space="0" w:color="auto"/>
              <w:right w:val="single" w:sz="6" w:space="0" w:color="000000"/>
            </w:tcBorders>
          </w:tcPr>
          <w:p>
            <w:pPr/>
          </w:p>
        </w:tc>
        <w:tc>
          <w:tcPr>
            <w:tcW w:w="1476" w:type="dxa"/>
            <w:tcBorders>
              <w:top w:val="single" w:sz="12" w:space="0" w:color="000000"/>
              <w:left w:val="single" w:sz="6" w:space="0" w:color="000000"/>
              <w:bottom w:val="nil" w:sz="6" w:space="0" w:color="auto"/>
              <w:right w:val="single" w:sz="6" w:space="0" w:color="000000"/>
            </w:tcBorders>
          </w:tcPr>
          <w:p>
            <w:pPr/>
          </w:p>
        </w:tc>
        <w:tc>
          <w:tcPr>
            <w:tcW w:w="90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在被投</w:t>
            </w:r>
          </w:p>
        </w:tc>
        <w:tc>
          <w:tcPr>
            <w:tcW w:w="94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在被投资</w:t>
            </w:r>
          </w:p>
        </w:tc>
        <w:tc>
          <w:tcPr>
            <w:tcW w:w="136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在被投资单位</w:t>
            </w:r>
          </w:p>
        </w:tc>
        <w:tc>
          <w:tcPr>
            <w:tcW w:w="734" w:type="dxa"/>
            <w:tcBorders>
              <w:top w:val="single" w:sz="12" w:space="0" w:color="000000"/>
              <w:left w:val="single" w:sz="6" w:space="0" w:color="000000"/>
              <w:bottom w:val="nil" w:sz="6" w:space="0" w:color="auto"/>
              <w:right w:val="single" w:sz="6" w:space="0" w:color="000000"/>
            </w:tcBorders>
          </w:tcPr>
          <w:p>
            <w:pPr/>
          </w:p>
        </w:tc>
        <w:tc>
          <w:tcPr>
            <w:tcW w:w="1025" w:type="dxa"/>
            <w:tcBorders>
              <w:top w:val="single" w:sz="12" w:space="0" w:color="000000"/>
              <w:left w:val="single" w:sz="6" w:space="0" w:color="000000"/>
              <w:bottom w:val="nil" w:sz="6" w:space="0" w:color="auto"/>
              <w:right w:val="single" w:sz="6" w:space="0" w:color="000000"/>
            </w:tcBorders>
          </w:tcPr>
          <w:p>
            <w:pPr/>
          </w:p>
        </w:tc>
        <w:tc>
          <w:tcPr>
            <w:tcW w:w="583" w:type="dxa"/>
            <w:tcBorders>
              <w:top w:val="single" w:sz="12" w:space="0" w:color="000000"/>
              <w:left w:val="single" w:sz="6" w:space="0" w:color="000000"/>
              <w:bottom w:val="nil" w:sz="6" w:space="0" w:color="auto"/>
              <w:right w:val="nil" w:sz="6" w:space="0" w:color="auto"/>
            </w:tcBorders>
          </w:tcPr>
          <w:p>
            <w:pPr/>
          </w:p>
        </w:tc>
      </w:tr>
      <w:tr>
        <w:trPr>
          <w:trHeight w:val="546" w:hRule="exact"/>
        </w:trPr>
        <w:tc>
          <w:tcPr>
            <w:tcW w:w="1589" w:type="dxa"/>
            <w:tcBorders>
              <w:top w:val="nil" w:sz="6" w:space="0" w:color="auto"/>
              <w:left w:val="nil" w:sz="6" w:space="0" w:color="auto"/>
              <w:bottom w:val="nil" w:sz="6" w:space="0" w:color="auto"/>
              <w:right w:val="single" w:sz="6" w:space="0" w:color="000000"/>
            </w:tcBorders>
          </w:tcPr>
          <w:p>
            <w:pPr>
              <w:pStyle w:val="TableParagraph"/>
              <w:spacing w:line="240" w:lineRule="auto" w:before="125"/>
              <w:ind w:left="35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73"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96" w:right="0"/>
              <w:jc w:val="left"/>
              <w:rPr>
                <w:rFonts w:ascii="宋体" w:hAnsi="宋体" w:cs="宋体" w:eastAsia="宋体" w:hint="default"/>
                <w:sz w:val="18"/>
                <w:szCs w:val="18"/>
              </w:rPr>
            </w:pPr>
            <w:r>
              <w:rPr>
                <w:rFonts w:ascii="宋体" w:hAnsi="宋体" w:cs="宋体" w:eastAsia="宋体" w:hint="default"/>
                <w:sz w:val="18"/>
                <w:szCs w:val="18"/>
              </w:rPr>
              <w:t>核算</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left="278" w:right="0"/>
              <w:jc w:val="left"/>
              <w:rPr>
                <w:rFonts w:ascii="宋体" w:hAnsi="宋体" w:cs="宋体" w:eastAsia="宋体" w:hint="default"/>
                <w:sz w:val="18"/>
                <w:szCs w:val="18"/>
              </w:rPr>
            </w:pPr>
            <w:r>
              <w:rPr>
                <w:rFonts w:ascii="宋体"/>
                <w:sz w:val="18"/>
              </w:rPr>
              <w:t>2010.12.31</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left="278" w:right="0"/>
              <w:jc w:val="left"/>
              <w:rPr>
                <w:rFonts w:ascii="宋体" w:hAnsi="宋体" w:cs="宋体" w:eastAsia="宋体" w:hint="default"/>
                <w:sz w:val="18"/>
                <w:szCs w:val="18"/>
              </w:rPr>
            </w:pPr>
            <w:r>
              <w:rPr>
                <w:rFonts w:ascii="宋体"/>
                <w:sz w:val="18"/>
              </w:rPr>
              <w:t>2011.12.31</w:t>
            </w:r>
          </w:p>
        </w:tc>
        <w:tc>
          <w:tcPr>
            <w:tcW w:w="907"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77" w:right="173"/>
              <w:jc w:val="left"/>
              <w:rPr>
                <w:rFonts w:ascii="宋体" w:hAnsi="宋体" w:cs="宋体" w:eastAsia="宋体" w:hint="default"/>
                <w:sz w:val="18"/>
                <w:szCs w:val="18"/>
              </w:rPr>
            </w:pPr>
            <w:r>
              <w:rPr>
                <w:rFonts w:ascii="宋体" w:hAnsi="宋体" w:cs="宋体" w:eastAsia="宋体" w:hint="default"/>
                <w:sz w:val="18"/>
                <w:szCs w:val="18"/>
              </w:rPr>
              <w:t>资单位 持股比</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94" w:right="103" w:hanging="89"/>
              <w:jc w:val="left"/>
              <w:rPr>
                <w:rFonts w:ascii="宋体" w:hAnsi="宋体" w:cs="宋体" w:eastAsia="宋体" w:hint="default"/>
                <w:sz w:val="18"/>
                <w:szCs w:val="18"/>
              </w:rPr>
            </w:pPr>
            <w:r>
              <w:rPr>
                <w:rFonts w:ascii="宋体" w:hAnsi="宋体" w:cs="宋体" w:eastAsia="宋体" w:hint="default"/>
                <w:sz w:val="18"/>
                <w:szCs w:val="18"/>
              </w:rPr>
              <w:t>单位表决 权比例</w:t>
            </w:r>
          </w:p>
        </w:tc>
        <w:tc>
          <w:tcPr>
            <w:tcW w:w="1366"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34" w:right="134"/>
              <w:jc w:val="left"/>
              <w:rPr>
                <w:rFonts w:ascii="宋体" w:hAnsi="宋体" w:cs="宋体" w:eastAsia="宋体" w:hint="default"/>
                <w:sz w:val="18"/>
                <w:szCs w:val="18"/>
              </w:rPr>
            </w:pPr>
            <w:r>
              <w:rPr>
                <w:rFonts w:ascii="宋体" w:hAnsi="宋体" w:cs="宋体" w:eastAsia="宋体" w:hint="default"/>
                <w:sz w:val="18"/>
                <w:szCs w:val="18"/>
              </w:rPr>
              <w:t>持股比例与表 决权比例不一</w:t>
            </w:r>
          </w:p>
        </w:tc>
        <w:tc>
          <w:tcPr>
            <w:tcW w:w="734"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77"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025"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43"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40" w:lineRule="auto" w:before="76"/>
              <w:ind w:left="14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583" w:type="dxa"/>
            <w:tcBorders>
              <w:top w:val="nil" w:sz="6" w:space="0" w:color="auto"/>
              <w:left w:val="single" w:sz="6"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455" w:hRule="exact"/>
        </w:trPr>
        <w:tc>
          <w:tcPr>
            <w:tcW w:w="1589" w:type="dxa"/>
            <w:tcBorders>
              <w:top w:val="nil" w:sz="6" w:space="0" w:color="auto"/>
              <w:left w:val="nil" w:sz="6" w:space="0" w:color="auto"/>
              <w:bottom w:val="single" w:sz="6" w:space="0" w:color="000000"/>
              <w:right w:val="single" w:sz="6" w:space="0" w:color="000000"/>
            </w:tcBorders>
          </w:tcPr>
          <w:p>
            <w:pPr/>
          </w:p>
        </w:tc>
        <w:tc>
          <w:tcPr>
            <w:tcW w:w="773"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907"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right="71"/>
              <w:jc w:val="right"/>
              <w:rPr>
                <w:rFonts w:ascii="宋体" w:hAnsi="宋体" w:cs="宋体" w:eastAsia="宋体" w:hint="default"/>
                <w:sz w:val="18"/>
                <w:szCs w:val="18"/>
              </w:rPr>
            </w:pPr>
            <w:r>
              <w:rPr>
                <w:rFonts w:ascii="宋体" w:hAnsi="宋体" w:cs="宋体" w:eastAsia="宋体" w:hint="default"/>
                <w:sz w:val="18"/>
                <w:szCs w:val="18"/>
              </w:rPr>
              <w:t>例（％）</w:t>
            </w:r>
          </w:p>
        </w:tc>
        <w:tc>
          <w:tcPr>
            <w:tcW w:w="94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403" w:right="0"/>
              <w:jc w:val="left"/>
              <w:rPr>
                <w:rFonts w:ascii="宋体" w:hAnsi="宋体" w:cs="宋体" w:eastAsia="宋体" w:hint="default"/>
                <w:sz w:val="18"/>
                <w:szCs w:val="18"/>
              </w:rPr>
            </w:pPr>
            <w:r>
              <w:rPr>
                <w:rFonts w:ascii="宋体" w:hAnsi="宋体" w:cs="宋体" w:eastAsia="宋体" w:hint="default"/>
                <w:sz w:val="18"/>
                <w:szCs w:val="18"/>
              </w:rPr>
              <w:t>致说明</w:t>
            </w:r>
          </w:p>
        </w:tc>
        <w:tc>
          <w:tcPr>
            <w:tcW w:w="734" w:type="dxa"/>
            <w:tcBorders>
              <w:top w:val="nil" w:sz="6" w:space="0" w:color="auto"/>
              <w:left w:val="single" w:sz="6" w:space="0" w:color="000000"/>
              <w:bottom w:val="single" w:sz="6" w:space="0" w:color="000000"/>
              <w:right w:val="single" w:sz="6" w:space="0" w:color="000000"/>
            </w:tcBorders>
          </w:tcPr>
          <w:p>
            <w:pPr/>
          </w:p>
        </w:tc>
        <w:tc>
          <w:tcPr>
            <w:tcW w:w="1025" w:type="dxa"/>
            <w:tcBorders>
              <w:top w:val="nil" w:sz="6" w:space="0" w:color="auto"/>
              <w:left w:val="single" w:sz="6" w:space="0" w:color="000000"/>
              <w:bottom w:val="single" w:sz="6" w:space="0" w:color="000000"/>
              <w:right w:val="single" w:sz="6" w:space="0" w:color="000000"/>
            </w:tcBorders>
          </w:tcPr>
          <w:p>
            <w:pPr/>
          </w:p>
        </w:tc>
        <w:tc>
          <w:tcPr>
            <w:tcW w:w="583" w:type="dxa"/>
            <w:tcBorders>
              <w:top w:val="nil" w:sz="6" w:space="0" w:color="auto"/>
              <w:left w:val="single" w:sz="6" w:space="0" w:color="000000"/>
              <w:bottom w:val="single" w:sz="6" w:space="0" w:color="000000"/>
              <w:right w:val="nil" w:sz="6" w:space="0" w:color="auto"/>
            </w:tcBorders>
          </w:tcPr>
          <w:p>
            <w:pPr/>
          </w:p>
        </w:tc>
      </w:tr>
      <w:tr>
        <w:trPr>
          <w:trHeight w:val="809" w:hRule="exact"/>
        </w:trPr>
        <w:tc>
          <w:tcPr>
            <w:tcW w:w="1589"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9"/>
              <w:ind w:left="122" w:right="96"/>
              <w:jc w:val="left"/>
              <w:rPr>
                <w:rFonts w:ascii="宋体" w:hAnsi="宋体" w:cs="宋体" w:eastAsia="宋体" w:hint="default"/>
                <w:sz w:val="18"/>
                <w:szCs w:val="18"/>
              </w:rPr>
            </w:pPr>
            <w:r>
              <w:rPr>
                <w:rFonts w:ascii="宋体" w:hAnsi="宋体" w:cs="宋体" w:eastAsia="宋体" w:hint="default"/>
                <w:spacing w:val="13"/>
                <w:sz w:val="18"/>
                <w:szCs w:val="18"/>
              </w:rPr>
              <w:t>广州润龙房地产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72,000,000.00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72,000,000.00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72,000,000.00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90.00%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90.00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5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809" w:hRule="exact"/>
        </w:trPr>
        <w:tc>
          <w:tcPr>
            <w:tcW w:w="1589"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9"/>
              <w:ind w:left="122" w:right="96"/>
              <w:jc w:val="left"/>
              <w:rPr>
                <w:rFonts w:ascii="宋体" w:hAnsi="宋体" w:cs="宋体" w:eastAsia="宋体" w:hint="default"/>
                <w:sz w:val="18"/>
                <w:szCs w:val="18"/>
              </w:rPr>
            </w:pPr>
            <w:r>
              <w:rPr>
                <w:rFonts w:ascii="宋体" w:hAnsi="宋体" w:cs="宋体" w:eastAsia="宋体" w:hint="default"/>
                <w:spacing w:val="13"/>
                <w:sz w:val="18"/>
                <w:szCs w:val="18"/>
              </w:rPr>
              <w:t>广州天利达实业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21,988,271.47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21,988,271.47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21,988,271.47</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100.00%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5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809" w:hRule="exact"/>
        </w:trPr>
        <w:tc>
          <w:tcPr>
            <w:tcW w:w="1589"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9"/>
              <w:ind w:left="122" w:right="96"/>
              <w:jc w:val="left"/>
              <w:rPr>
                <w:rFonts w:ascii="宋体" w:hAnsi="宋体" w:cs="宋体" w:eastAsia="宋体" w:hint="default"/>
                <w:sz w:val="18"/>
                <w:szCs w:val="18"/>
              </w:rPr>
            </w:pPr>
            <w:r>
              <w:rPr>
                <w:rFonts w:ascii="宋体" w:hAnsi="宋体" w:cs="宋体" w:eastAsia="宋体" w:hint="default"/>
                <w:spacing w:val="13"/>
                <w:sz w:val="18"/>
                <w:szCs w:val="18"/>
              </w:rPr>
              <w:t>广西田阳天伦矿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38,000,000.00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38,000,000.00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55.00%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55.00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5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809" w:hRule="exact"/>
        </w:trPr>
        <w:tc>
          <w:tcPr>
            <w:tcW w:w="1589"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9"/>
              <w:ind w:left="122" w:right="96"/>
              <w:jc w:val="left"/>
              <w:rPr>
                <w:rFonts w:ascii="宋体" w:hAnsi="宋体" w:cs="宋体" w:eastAsia="宋体" w:hint="default"/>
                <w:sz w:val="18"/>
                <w:szCs w:val="18"/>
              </w:rPr>
            </w:pPr>
            <w:r>
              <w:rPr>
                <w:rFonts w:ascii="宋体" w:hAnsi="宋体" w:cs="宋体" w:eastAsia="宋体" w:hint="default"/>
                <w:spacing w:val="13"/>
                <w:sz w:val="18"/>
                <w:szCs w:val="18"/>
              </w:rPr>
              <w:t>贵州六盘水吉源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煤业有限公司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6,000,000.00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6,000,000.00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5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74" w:hRule="exact"/>
        </w:trPr>
        <w:tc>
          <w:tcPr>
            <w:tcW w:w="15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773"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137,988,271.47</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137,988,271.47</w:t>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137,988,271.47</w:t>
            </w:r>
          </w:p>
        </w:tc>
        <w:tc>
          <w:tcPr>
            <w:tcW w:w="907" w:type="dxa"/>
            <w:tcBorders>
              <w:top w:val="single" w:sz="6" w:space="0" w:color="000000"/>
              <w:left w:val="single" w:sz="6" w:space="0" w:color="000000"/>
              <w:bottom w:val="single" w:sz="12" w:space="0" w:color="000000"/>
              <w:right w:val="single" w:sz="6" w:space="0" w:color="000000"/>
            </w:tcBorders>
          </w:tcPr>
          <w:p>
            <w:pPr/>
          </w:p>
        </w:tc>
        <w:tc>
          <w:tcPr>
            <w:tcW w:w="946"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5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6840" w:h="11910" w:orient="landscape"/>
          <w:pgMar w:header="929" w:footer="981" w:top="1180" w:bottom="1180" w:left="1300" w:right="1440"/>
        </w:sectPr>
      </w:pPr>
    </w:p>
    <w:p>
      <w:pPr>
        <w:spacing w:line="240" w:lineRule="auto" w:before="4"/>
        <w:rPr>
          <w:rFonts w:ascii="宋体" w:hAnsi="宋体" w:cs="宋体" w:eastAsia="宋体" w:hint="default"/>
          <w:sz w:val="22"/>
          <w:szCs w:val="22"/>
        </w:rPr>
      </w:pPr>
    </w:p>
    <w:p>
      <w:pPr>
        <w:pStyle w:val="BodyText"/>
        <w:spacing w:line="240" w:lineRule="auto" w:before="36"/>
        <w:ind w:left="243" w:right="1354"/>
        <w:jc w:val="left"/>
      </w:pPr>
      <w:r>
        <w:rPr/>
        <w:t>4、营业收入、营业成本</w:t>
      </w:r>
    </w:p>
    <w:p>
      <w:pPr>
        <w:spacing w:line="240" w:lineRule="auto" w:before="5"/>
        <w:rPr>
          <w:rFonts w:ascii="宋体" w:hAnsi="宋体" w:cs="宋体" w:eastAsia="宋体" w:hint="default"/>
          <w:sz w:val="23"/>
          <w:szCs w:val="23"/>
        </w:rPr>
      </w:pPr>
    </w:p>
    <w:p>
      <w:pPr>
        <w:pStyle w:val="BodyText"/>
        <w:spacing w:line="240" w:lineRule="auto"/>
        <w:ind w:left="663" w:right="1354"/>
        <w:jc w:val="left"/>
      </w:pPr>
      <w:r>
        <w:rPr/>
        <w:t>（1）营业收入明细如下：</w:t>
      </w:r>
    </w:p>
    <w:p>
      <w:pPr>
        <w:spacing w:line="240" w:lineRule="auto" w:before="6"/>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302"/>
        <w:gridCol w:w="2772"/>
        <w:gridCol w:w="2772"/>
      </w:tblGrid>
      <w:tr>
        <w:trPr>
          <w:trHeight w:val="530" w:hRule="exact"/>
        </w:trPr>
        <w:tc>
          <w:tcPr>
            <w:tcW w:w="3302"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17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9"/>
              <w:ind w:right="17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9" w:hRule="exact"/>
        </w:trPr>
        <w:tc>
          <w:tcPr>
            <w:tcW w:w="3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7,638,336.00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7"/>
              <w:jc w:val="right"/>
              <w:rPr>
                <w:rFonts w:ascii="宋体" w:hAnsi="宋体" w:cs="宋体" w:eastAsia="宋体" w:hint="default"/>
                <w:sz w:val="21"/>
                <w:szCs w:val="21"/>
              </w:rPr>
            </w:pPr>
            <w:r>
              <w:rPr>
                <w:rFonts w:ascii="宋体"/>
                <w:spacing w:val="-1"/>
                <w:sz w:val="21"/>
              </w:rPr>
              <w:t>13,591,668.00</w:t>
            </w:r>
          </w:p>
        </w:tc>
      </w:tr>
      <w:tr>
        <w:trPr>
          <w:trHeight w:val="499" w:hRule="exact"/>
        </w:trPr>
        <w:tc>
          <w:tcPr>
            <w:tcW w:w="3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1699"/>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7,583,336.00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7"/>
              <w:jc w:val="right"/>
              <w:rPr>
                <w:rFonts w:ascii="宋体" w:hAnsi="宋体" w:cs="宋体" w:eastAsia="宋体" w:hint="default"/>
                <w:sz w:val="21"/>
                <w:szCs w:val="21"/>
              </w:rPr>
            </w:pPr>
            <w:r>
              <w:rPr>
                <w:rFonts w:ascii="宋体"/>
                <w:spacing w:val="-1"/>
                <w:sz w:val="21"/>
              </w:rPr>
              <w:t>13,591,668.00</w:t>
            </w:r>
          </w:p>
        </w:tc>
      </w:tr>
      <w:tr>
        <w:trPr>
          <w:trHeight w:val="502" w:hRule="exact"/>
        </w:trPr>
        <w:tc>
          <w:tcPr>
            <w:tcW w:w="3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1699"/>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55,000.00</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9"/>
              <w:jc w:val="right"/>
              <w:rPr>
                <w:rFonts w:ascii="宋体" w:hAnsi="宋体" w:cs="宋体" w:eastAsia="宋体" w:hint="default"/>
                <w:sz w:val="21"/>
                <w:szCs w:val="21"/>
              </w:rPr>
            </w:pPr>
            <w:r>
              <w:rPr>
                <w:rFonts w:ascii="宋体"/>
                <w:w w:val="100"/>
                <w:sz w:val="21"/>
              </w:rPr>
              <w:t>-</w:t>
            </w:r>
          </w:p>
        </w:tc>
      </w:tr>
      <w:tr>
        <w:trPr>
          <w:trHeight w:val="499" w:hRule="exact"/>
        </w:trPr>
        <w:tc>
          <w:tcPr>
            <w:tcW w:w="3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3,427,497.94</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7"/>
              <w:jc w:val="right"/>
              <w:rPr>
                <w:rFonts w:ascii="宋体" w:hAnsi="宋体" w:cs="宋体" w:eastAsia="宋体" w:hint="default"/>
                <w:sz w:val="21"/>
                <w:szCs w:val="21"/>
              </w:rPr>
            </w:pPr>
            <w:r>
              <w:rPr>
                <w:rFonts w:ascii="宋体"/>
                <w:spacing w:val="-1"/>
                <w:sz w:val="21"/>
              </w:rPr>
              <w:t>9,105,351.56</w:t>
            </w:r>
          </w:p>
        </w:tc>
      </w:tr>
      <w:tr>
        <w:trPr>
          <w:trHeight w:val="499" w:hRule="exact"/>
        </w:trPr>
        <w:tc>
          <w:tcPr>
            <w:tcW w:w="3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1699"/>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3,427,497.94</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7"/>
              <w:jc w:val="right"/>
              <w:rPr>
                <w:rFonts w:ascii="宋体" w:hAnsi="宋体" w:cs="宋体" w:eastAsia="宋体" w:hint="default"/>
                <w:sz w:val="21"/>
                <w:szCs w:val="21"/>
              </w:rPr>
            </w:pPr>
            <w:r>
              <w:rPr>
                <w:rFonts w:ascii="宋体"/>
                <w:spacing w:val="-1"/>
                <w:sz w:val="21"/>
              </w:rPr>
              <w:t>9,105,351.56</w:t>
            </w:r>
          </w:p>
        </w:tc>
      </w:tr>
      <w:tr>
        <w:trPr>
          <w:trHeight w:val="511" w:hRule="exact"/>
        </w:trPr>
        <w:tc>
          <w:tcPr>
            <w:tcW w:w="3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6"/>
              <w:ind w:right="1699"/>
              <w:jc w:val="right"/>
              <w:rPr>
                <w:rFonts w:ascii="宋体" w:hAnsi="宋体" w:cs="宋体" w:eastAsia="宋体" w:hint="default"/>
                <w:sz w:val="21"/>
                <w:szCs w:val="21"/>
              </w:rPr>
            </w:pPr>
            <w:r>
              <w:rPr>
                <w:rFonts w:ascii="宋体" w:hAnsi="宋体" w:cs="宋体" w:eastAsia="宋体" w:hint="default"/>
                <w:spacing w:val="-1"/>
                <w:sz w:val="21"/>
                <w:szCs w:val="21"/>
              </w:rPr>
              <w:t>其他业务成本</w:t>
            </w:r>
          </w:p>
        </w:tc>
        <w:tc>
          <w:tcPr>
            <w:tcW w:w="2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73"/>
              <w:jc w:val="right"/>
              <w:rPr>
                <w:rFonts w:ascii="宋体" w:hAnsi="宋体" w:cs="宋体" w:eastAsia="宋体" w:hint="default"/>
                <w:sz w:val="21"/>
                <w:szCs w:val="21"/>
              </w:rPr>
            </w:pPr>
            <w:r>
              <w:rPr>
                <w:rFonts w:ascii="宋体"/>
                <w:w w:val="100"/>
                <w:sz w:val="21"/>
              </w:rPr>
              <w:t>-</w:t>
            </w:r>
          </w:p>
        </w:tc>
        <w:tc>
          <w:tcPr>
            <w:tcW w:w="27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179"/>
              <w:jc w:val="right"/>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15"/>
          <w:szCs w:val="15"/>
        </w:rPr>
      </w:pPr>
    </w:p>
    <w:p>
      <w:pPr>
        <w:pStyle w:val="BodyText"/>
        <w:spacing w:line="240" w:lineRule="auto" w:before="36"/>
        <w:ind w:left="663" w:right="1354"/>
        <w:jc w:val="left"/>
      </w:pPr>
      <w:r>
        <w:rPr/>
        <w:t>（2）主营业务按业务类别分项列示如下：</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613"/>
        <w:gridCol w:w="1810"/>
        <w:gridCol w:w="1810"/>
        <w:gridCol w:w="1810"/>
        <w:gridCol w:w="1805"/>
      </w:tblGrid>
      <w:tr>
        <w:trPr>
          <w:trHeight w:val="480" w:hRule="exact"/>
        </w:trPr>
        <w:tc>
          <w:tcPr>
            <w:tcW w:w="1613"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业务类别</w:t>
            </w:r>
          </w:p>
        </w:tc>
        <w:tc>
          <w:tcPr>
            <w:tcW w:w="361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6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70" w:hRule="exact"/>
        </w:trPr>
        <w:tc>
          <w:tcPr>
            <w:tcW w:w="1613" w:type="dxa"/>
            <w:vMerge/>
            <w:tcBorders>
              <w:left w:val="nil" w:sz="6" w:space="0" w:color="auto"/>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7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7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7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left="47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70"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物业租赁</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1"/>
                <w:szCs w:val="21"/>
              </w:rPr>
            </w:pPr>
            <w:r>
              <w:rPr>
                <w:rFonts w:ascii="宋体"/>
                <w:spacing w:val="-1"/>
                <w:sz w:val="21"/>
              </w:rPr>
              <w:t>5,083,336.00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1"/>
                <w:szCs w:val="21"/>
              </w:rPr>
            </w:pPr>
            <w:r>
              <w:rPr>
                <w:rFonts w:ascii="宋体"/>
                <w:spacing w:val="-1"/>
                <w:sz w:val="21"/>
              </w:rPr>
              <w:t>3,427,497.94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1"/>
                <w:szCs w:val="21"/>
              </w:rPr>
            </w:pPr>
            <w:r>
              <w:rPr>
                <w:rFonts w:ascii="宋体"/>
                <w:spacing w:val="-1"/>
                <w:sz w:val="21"/>
              </w:rPr>
              <w:t>5,091,668.00</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3"/>
              <w:jc w:val="right"/>
              <w:rPr>
                <w:rFonts w:ascii="宋体" w:hAnsi="宋体" w:cs="宋体" w:eastAsia="宋体" w:hint="default"/>
                <w:sz w:val="21"/>
                <w:szCs w:val="21"/>
              </w:rPr>
            </w:pPr>
            <w:r>
              <w:rPr>
                <w:rFonts w:ascii="宋体"/>
                <w:spacing w:val="-1"/>
                <w:sz w:val="21"/>
              </w:rPr>
              <w:t>3,599,335.56</w:t>
            </w:r>
          </w:p>
        </w:tc>
      </w:tr>
      <w:tr>
        <w:trPr>
          <w:trHeight w:val="468"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咨询服务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1"/>
                <w:szCs w:val="21"/>
              </w:rPr>
            </w:pPr>
            <w:r>
              <w:rPr>
                <w:rFonts w:ascii="宋体"/>
                <w:spacing w:val="-1"/>
                <w:sz w:val="21"/>
              </w:rPr>
              <w:t>2,500,000.00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1"/>
                <w:szCs w:val="21"/>
              </w:rPr>
            </w:pPr>
            <w:r>
              <w:rPr>
                <w:rFonts w:ascii="宋体"/>
                <w:w w:val="100"/>
                <w:sz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1"/>
                <w:szCs w:val="21"/>
              </w:rPr>
            </w:pPr>
            <w:r>
              <w:rPr>
                <w:rFonts w:ascii="宋体"/>
                <w:spacing w:val="-1"/>
                <w:sz w:val="21"/>
              </w:rPr>
              <w:t>2,500,000.00</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3"/>
              <w:jc w:val="right"/>
              <w:rPr>
                <w:rFonts w:ascii="宋体" w:hAnsi="宋体" w:cs="宋体" w:eastAsia="宋体" w:hint="default"/>
                <w:sz w:val="21"/>
                <w:szCs w:val="21"/>
              </w:rPr>
            </w:pPr>
            <w:r>
              <w:rPr>
                <w:rFonts w:ascii="宋体"/>
                <w:w w:val="100"/>
                <w:sz w:val="21"/>
              </w:rPr>
              <w:t>-</w:t>
            </w:r>
          </w:p>
        </w:tc>
      </w:tr>
      <w:tr>
        <w:trPr>
          <w:trHeight w:val="451"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房产销售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6,000,000.00</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5,506,016.00</w:t>
            </w:r>
          </w:p>
        </w:tc>
      </w:tr>
      <w:tr>
        <w:trPr>
          <w:trHeight w:val="480" w:hRule="exact"/>
        </w:trPr>
        <w:tc>
          <w:tcPr>
            <w:tcW w:w="16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spacing w:val="-1"/>
                <w:sz w:val="21"/>
              </w:rPr>
              <w:t>7,583,336.00</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spacing w:val="-1"/>
                <w:sz w:val="21"/>
              </w:rPr>
              <w:t>3,427,497.94</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spacing w:val="-1"/>
                <w:sz w:val="21"/>
              </w:rPr>
              <w:t>13,591,668.00</w:t>
            </w:r>
          </w:p>
        </w:tc>
        <w:tc>
          <w:tcPr>
            <w:tcW w:w="18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9"/>
              <w:ind w:right="103"/>
              <w:jc w:val="right"/>
              <w:rPr>
                <w:rFonts w:ascii="宋体" w:hAnsi="宋体" w:cs="宋体" w:eastAsia="宋体" w:hint="default"/>
                <w:sz w:val="21"/>
                <w:szCs w:val="21"/>
              </w:rPr>
            </w:pPr>
            <w:r>
              <w:rPr>
                <w:rFonts w:ascii="宋体"/>
                <w:spacing w:val="-1"/>
                <w:sz w:val="21"/>
              </w:rPr>
              <w:t>9,105,351.56</w:t>
            </w:r>
          </w:p>
        </w:tc>
      </w:tr>
    </w:tbl>
    <w:p>
      <w:pPr>
        <w:spacing w:line="240" w:lineRule="auto" w:before="9"/>
        <w:rPr>
          <w:rFonts w:ascii="宋体" w:hAnsi="宋体" w:cs="宋体" w:eastAsia="宋体" w:hint="default"/>
          <w:sz w:val="15"/>
          <w:szCs w:val="15"/>
        </w:rPr>
      </w:pPr>
    </w:p>
    <w:p>
      <w:pPr>
        <w:pStyle w:val="BodyText"/>
        <w:spacing w:line="240" w:lineRule="auto" w:before="36"/>
        <w:ind w:left="663" w:right="1354"/>
        <w:jc w:val="left"/>
      </w:pPr>
      <w:r>
        <w:rPr/>
        <w:pict>
          <v:shape style="position:absolute;margin-left:103.08847pt;margin-top:-93.758041pt;width:392.95pt;height:64.3pt;mso-position-horizontal-relative:page;mso-position-vertical-relative:paragraph;z-index:-553192;rotation:315" type="#_x0000_t136" fillcolor="#e0e0e0" stroked="f">
            <o:extrusion v:ext="view" autorotationcenter="t"/>
            <v:textpath style="font-family:&amp;quot;Arial&amp;quot;;font-size:64pt;v-text-kern:t;mso-text-shadow:auto" string="UnRegistered"/>
            <w10:wrap type="none"/>
          </v:shape>
        </w:pict>
      </w:r>
      <w:r>
        <w:rPr/>
        <w:t>（3）主营业务按地区分项列示如下：</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02"/>
        <w:gridCol w:w="1723"/>
        <w:gridCol w:w="1853"/>
        <w:gridCol w:w="2004"/>
        <w:gridCol w:w="1764"/>
      </w:tblGrid>
      <w:tr>
        <w:trPr>
          <w:trHeight w:val="478" w:hRule="exact"/>
        </w:trPr>
        <w:tc>
          <w:tcPr>
            <w:tcW w:w="15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357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right="107"/>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76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108"/>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6" w:hRule="exact"/>
        </w:trPr>
        <w:tc>
          <w:tcPr>
            <w:tcW w:w="1502" w:type="dxa"/>
            <w:vMerge/>
            <w:tcBorders>
              <w:left w:val="nil" w:sz="6" w:space="0" w:color="auto"/>
              <w:bottom w:val="single" w:sz="2" w:space="0" w:color="000000"/>
              <w:right w:val="single" w:sz="2" w:space="0" w:color="000000"/>
            </w:tcBorders>
          </w:tcPr>
          <w:p>
            <w:pP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c>
          <w:tcPr>
            <w:tcW w:w="2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7"/>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r>
      <w:tr>
        <w:trPr>
          <w:trHeight w:val="466"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黑龙江省</w:t>
            </w: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2,500,000.00</w:t>
            </w: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7"/>
              <w:jc w:val="right"/>
              <w:rPr>
                <w:rFonts w:ascii="宋体" w:hAnsi="宋体" w:cs="宋体" w:eastAsia="宋体" w:hint="default"/>
                <w:sz w:val="21"/>
                <w:szCs w:val="21"/>
              </w:rPr>
            </w:pPr>
            <w:r>
              <w:rPr>
                <w:rFonts w:ascii="宋体"/>
                <w:w w:val="100"/>
                <w:sz w:val="21"/>
              </w:rPr>
              <w:t>-</w:t>
            </w:r>
          </w:p>
        </w:tc>
        <w:tc>
          <w:tcPr>
            <w:tcW w:w="2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21"/>
                <w:szCs w:val="21"/>
              </w:rPr>
            </w:pPr>
            <w:r>
              <w:rPr>
                <w:rFonts w:ascii="宋体"/>
                <w:spacing w:val="-1"/>
                <w:sz w:val="21"/>
              </w:rPr>
              <w:t>8,665,000.00</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5"/>
              <w:jc w:val="right"/>
              <w:rPr>
                <w:rFonts w:ascii="宋体" w:hAnsi="宋体" w:cs="宋体" w:eastAsia="宋体" w:hint="default"/>
                <w:sz w:val="21"/>
                <w:szCs w:val="21"/>
              </w:rPr>
            </w:pPr>
            <w:r>
              <w:rPr>
                <w:rFonts w:ascii="宋体"/>
                <w:spacing w:val="-1"/>
                <w:sz w:val="21"/>
              </w:rPr>
              <w:t>5,687,694.44</w:t>
            </w:r>
          </w:p>
        </w:tc>
      </w:tr>
      <w:tr>
        <w:trPr>
          <w:trHeight w:val="463"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17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5,083,336.00</w:t>
            </w: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5"/>
              <w:jc w:val="right"/>
              <w:rPr>
                <w:rFonts w:ascii="宋体" w:hAnsi="宋体" w:cs="宋体" w:eastAsia="宋体" w:hint="default"/>
                <w:sz w:val="21"/>
                <w:szCs w:val="21"/>
              </w:rPr>
            </w:pPr>
            <w:r>
              <w:rPr>
                <w:rFonts w:ascii="宋体"/>
                <w:spacing w:val="-1"/>
                <w:sz w:val="21"/>
              </w:rPr>
              <w:t>3,427,497.94</w:t>
            </w:r>
          </w:p>
        </w:tc>
        <w:tc>
          <w:tcPr>
            <w:tcW w:w="2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21"/>
                <w:szCs w:val="21"/>
              </w:rPr>
            </w:pPr>
            <w:r>
              <w:rPr>
                <w:rFonts w:ascii="宋体"/>
                <w:spacing w:val="-1"/>
                <w:sz w:val="21"/>
              </w:rPr>
              <w:t>4,926,668.00</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5"/>
              <w:jc w:val="right"/>
              <w:rPr>
                <w:rFonts w:ascii="宋体" w:hAnsi="宋体" w:cs="宋体" w:eastAsia="宋体" w:hint="default"/>
                <w:sz w:val="21"/>
                <w:szCs w:val="21"/>
              </w:rPr>
            </w:pPr>
            <w:r>
              <w:rPr>
                <w:rFonts w:ascii="宋体"/>
                <w:spacing w:val="-1"/>
                <w:sz w:val="21"/>
              </w:rPr>
              <w:t>3,417,657.12</w:t>
            </w:r>
          </w:p>
        </w:tc>
      </w:tr>
      <w:tr>
        <w:trPr>
          <w:trHeight w:val="480" w:hRule="exact"/>
        </w:trPr>
        <w:tc>
          <w:tcPr>
            <w:tcW w:w="1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7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3"/>
              <w:jc w:val="right"/>
              <w:rPr>
                <w:rFonts w:ascii="宋体" w:hAnsi="宋体" w:cs="宋体" w:eastAsia="宋体" w:hint="default"/>
                <w:sz w:val="21"/>
                <w:szCs w:val="21"/>
              </w:rPr>
            </w:pPr>
            <w:r>
              <w:rPr>
                <w:rFonts w:ascii="宋体"/>
                <w:spacing w:val="-1"/>
                <w:sz w:val="21"/>
              </w:rPr>
              <w:t>7,583,336.00</w:t>
            </w:r>
          </w:p>
        </w:tc>
        <w:tc>
          <w:tcPr>
            <w:tcW w:w="18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5"/>
              <w:jc w:val="right"/>
              <w:rPr>
                <w:rFonts w:ascii="宋体" w:hAnsi="宋体" w:cs="宋体" w:eastAsia="宋体" w:hint="default"/>
                <w:sz w:val="21"/>
                <w:szCs w:val="21"/>
              </w:rPr>
            </w:pPr>
            <w:r>
              <w:rPr>
                <w:rFonts w:ascii="宋体"/>
                <w:spacing w:val="-1"/>
                <w:sz w:val="21"/>
              </w:rPr>
              <w:t>3,427,497.94</w:t>
            </w:r>
          </w:p>
        </w:tc>
        <w:tc>
          <w:tcPr>
            <w:tcW w:w="20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3"/>
              <w:jc w:val="right"/>
              <w:rPr>
                <w:rFonts w:ascii="宋体" w:hAnsi="宋体" w:cs="宋体" w:eastAsia="宋体" w:hint="default"/>
                <w:sz w:val="21"/>
                <w:szCs w:val="21"/>
              </w:rPr>
            </w:pPr>
            <w:r>
              <w:rPr>
                <w:rFonts w:ascii="宋体"/>
                <w:spacing w:val="-1"/>
                <w:sz w:val="21"/>
              </w:rPr>
              <w:t>13,591,668.00</w:t>
            </w:r>
          </w:p>
        </w:tc>
        <w:tc>
          <w:tcPr>
            <w:tcW w:w="17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6"/>
              <w:ind w:right="105"/>
              <w:jc w:val="right"/>
              <w:rPr>
                <w:rFonts w:ascii="宋体" w:hAnsi="宋体" w:cs="宋体" w:eastAsia="宋体" w:hint="default"/>
                <w:sz w:val="21"/>
                <w:szCs w:val="21"/>
              </w:rPr>
            </w:pPr>
            <w:r>
              <w:rPr>
                <w:rFonts w:ascii="宋体"/>
                <w:spacing w:val="-1"/>
                <w:sz w:val="21"/>
              </w:rPr>
              <w:t>9,105,351.56</w:t>
            </w:r>
          </w:p>
        </w:tc>
      </w:tr>
    </w:tbl>
    <w:p>
      <w:pPr>
        <w:spacing w:line="240" w:lineRule="auto" w:before="9"/>
        <w:rPr>
          <w:rFonts w:ascii="宋体" w:hAnsi="宋体" w:cs="宋体" w:eastAsia="宋体" w:hint="default"/>
          <w:sz w:val="15"/>
          <w:szCs w:val="15"/>
        </w:rPr>
      </w:pPr>
    </w:p>
    <w:p>
      <w:pPr>
        <w:pStyle w:val="BodyText"/>
        <w:spacing w:line="240" w:lineRule="auto" w:before="36"/>
        <w:ind w:left="663" w:right="1354"/>
        <w:jc w:val="left"/>
      </w:pPr>
      <w:r>
        <w:rPr/>
        <w:t>（4）公司前五名客户的营业收入情况如下：</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782"/>
        <w:gridCol w:w="3086"/>
        <w:gridCol w:w="2870"/>
      </w:tblGrid>
      <w:tr>
        <w:trPr>
          <w:trHeight w:val="482" w:hRule="exact"/>
        </w:trPr>
        <w:tc>
          <w:tcPr>
            <w:tcW w:w="2782" w:type="dxa"/>
            <w:tcBorders>
              <w:top w:val="single" w:sz="12" w:space="0" w:color="000000"/>
              <w:left w:val="nil" w:sz="6" w:space="0" w:color="auto"/>
              <w:bottom w:val="single" w:sz="6" w:space="0" w:color="000000"/>
              <w:right w:val="single" w:sz="6" w:space="0" w:color="000000"/>
            </w:tcBorders>
          </w:tcPr>
          <w:p>
            <w:pPr>
              <w:pStyle w:val="TableParagraph"/>
              <w:tabs>
                <w:tab w:pos="1384" w:val="left" w:leader="none"/>
              </w:tabs>
              <w:spacing w:line="240" w:lineRule="auto" w:before="124"/>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75" w:hRule="exact"/>
        </w:trPr>
        <w:tc>
          <w:tcPr>
            <w:tcW w:w="27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对前五名客户销售总额</w:t>
            </w:r>
          </w:p>
        </w:tc>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7,583,336.00</w:t>
            </w:r>
          </w:p>
        </w:tc>
        <w:tc>
          <w:tcPr>
            <w:tcW w:w="28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13,591,668.00</w:t>
            </w:r>
          </w:p>
        </w:tc>
      </w:tr>
      <w:tr>
        <w:trPr>
          <w:trHeight w:val="482" w:hRule="exact"/>
        </w:trPr>
        <w:tc>
          <w:tcPr>
            <w:tcW w:w="278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30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z w:val="21"/>
              </w:rPr>
              <w:t>99.28%</w:t>
            </w:r>
          </w:p>
        </w:tc>
        <w:tc>
          <w:tcPr>
            <w:tcW w:w="28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headerReference w:type="default" r:id="rId30"/>
          <w:footerReference w:type="default" r:id="rId31"/>
          <w:pgSz w:w="11910" w:h="16840"/>
          <w:pgMar w:header="886" w:footer="837" w:top="1160" w:bottom="1020" w:left="1460" w:right="0"/>
          <w:pgNumType w:start="93"/>
        </w:sectPr>
      </w:pPr>
    </w:p>
    <w:p>
      <w:pPr>
        <w:spacing w:line="240" w:lineRule="auto" w:before="12"/>
        <w:rPr>
          <w:rFonts w:ascii="宋体" w:hAnsi="宋体" w:cs="宋体" w:eastAsia="宋体" w:hint="default"/>
          <w:sz w:val="19"/>
          <w:szCs w:val="19"/>
        </w:rPr>
      </w:pPr>
    </w:p>
    <w:p>
      <w:pPr>
        <w:pStyle w:val="BodyText"/>
        <w:spacing w:line="240" w:lineRule="auto" w:before="36"/>
        <w:ind w:left="663" w:right="1354"/>
        <w:jc w:val="left"/>
      </w:pPr>
      <w:r>
        <w:rPr/>
        <w:t>2011</w:t>
      </w:r>
      <w:r>
        <w:rPr>
          <w:spacing w:val="-55"/>
        </w:rPr>
        <w:t> </w:t>
      </w:r>
      <w:r>
        <w:rPr/>
        <w:t>年度公司前五名客户的销售收入情况</w:t>
      </w:r>
    </w:p>
    <w:p>
      <w:pPr>
        <w:spacing w:line="240" w:lineRule="auto" w:before="4"/>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478"/>
        <w:gridCol w:w="2167"/>
        <w:gridCol w:w="3202"/>
      </w:tblGrid>
      <w:tr>
        <w:trPr>
          <w:trHeight w:val="492" w:hRule="exact"/>
        </w:trPr>
        <w:tc>
          <w:tcPr>
            <w:tcW w:w="3478" w:type="dxa"/>
            <w:tcBorders>
              <w:top w:val="single" w:sz="12" w:space="0" w:color="000000"/>
              <w:left w:val="nil" w:sz="6" w:space="0" w:color="auto"/>
              <w:bottom w:val="single" w:sz="4" w:space="0" w:color="000000"/>
              <w:right w:val="single" w:sz="4" w:space="0" w:color="000000"/>
            </w:tcBorders>
          </w:tcPr>
          <w:p>
            <w:pPr>
              <w:pStyle w:val="TableParagraph"/>
              <w:tabs>
                <w:tab w:pos="1375" w:val="left" w:leader="none"/>
                <w:tab w:pos="2003" w:val="left" w:leader="none"/>
                <w:tab w:pos="2635" w:val="left" w:leader="none"/>
              </w:tabs>
              <w:spacing w:line="240" w:lineRule="auto" w:before="90"/>
              <w:ind w:left="638" w:right="0"/>
              <w:jc w:val="left"/>
              <w:rPr>
                <w:rFonts w:ascii="宋体" w:hAnsi="宋体" w:cs="宋体" w:eastAsia="宋体" w:hint="default"/>
                <w:sz w:val="21"/>
                <w:szCs w:val="21"/>
              </w:rPr>
            </w:pPr>
            <w:r>
              <w:rPr>
                <w:rFonts w:ascii="宋体" w:hAnsi="宋体" w:cs="宋体" w:eastAsia="宋体" w:hint="default"/>
                <w:sz w:val="21"/>
                <w:szCs w:val="21"/>
              </w:rPr>
              <w:t>客</w:t>
              <w:tab/>
              <w:t>户</w:t>
              <w:tab/>
              <w:t>名</w:t>
              <w:tab/>
              <w:t>称</w:t>
            </w:r>
          </w:p>
        </w:tc>
        <w:tc>
          <w:tcPr>
            <w:tcW w:w="21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108"/>
              <w:jc w:val="right"/>
              <w:rPr>
                <w:rFonts w:ascii="宋体" w:hAnsi="宋体" w:cs="宋体" w:eastAsia="宋体" w:hint="default"/>
                <w:sz w:val="21"/>
                <w:szCs w:val="21"/>
              </w:rPr>
            </w:pPr>
            <w:r>
              <w:rPr>
                <w:rFonts w:ascii="宋体" w:hAnsi="宋体" w:cs="宋体" w:eastAsia="宋体" w:hint="default"/>
                <w:spacing w:val="-1"/>
                <w:sz w:val="21"/>
                <w:szCs w:val="21"/>
              </w:rPr>
              <w:t>收入金额</w:t>
            </w:r>
          </w:p>
        </w:tc>
        <w:tc>
          <w:tcPr>
            <w:tcW w:w="32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hAnsi="宋体" w:cs="宋体" w:eastAsia="宋体" w:hint="default"/>
                <w:spacing w:val="-2"/>
                <w:sz w:val="21"/>
                <w:szCs w:val="21"/>
              </w:rPr>
              <w:t>占全部营业收入的比例（%）</w:t>
            </w:r>
          </w:p>
        </w:tc>
      </w:tr>
      <w:tr>
        <w:trPr>
          <w:trHeight w:val="480" w:hRule="exact"/>
        </w:trPr>
        <w:tc>
          <w:tcPr>
            <w:tcW w:w="3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凯悦酒家</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5,083,336.00</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66.55</w:t>
            </w:r>
          </w:p>
        </w:tc>
      </w:tr>
      <w:tr>
        <w:trPr>
          <w:trHeight w:val="480" w:hRule="exact"/>
        </w:trPr>
        <w:tc>
          <w:tcPr>
            <w:tcW w:w="3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广州为众物业管理有限公司</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2,500,000.00</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32.73</w:t>
            </w:r>
          </w:p>
        </w:tc>
      </w:tr>
      <w:tr>
        <w:trPr>
          <w:trHeight w:val="490" w:hRule="exact"/>
        </w:trPr>
        <w:tc>
          <w:tcPr>
            <w:tcW w:w="34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7,583,336.00</w:t>
            </w:r>
          </w:p>
        </w:tc>
        <w:tc>
          <w:tcPr>
            <w:tcW w:w="32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z w:val="21"/>
              </w:rPr>
              <w:t>99.28</w:t>
            </w:r>
          </w:p>
        </w:tc>
      </w:tr>
    </w:tbl>
    <w:p>
      <w:pPr>
        <w:spacing w:line="240" w:lineRule="auto" w:before="3"/>
        <w:rPr>
          <w:rFonts w:ascii="宋体" w:hAnsi="宋体" w:cs="宋体" w:eastAsia="宋体" w:hint="default"/>
          <w:sz w:val="21"/>
          <w:szCs w:val="21"/>
        </w:rPr>
      </w:pPr>
    </w:p>
    <w:p>
      <w:pPr>
        <w:pStyle w:val="BodyText"/>
        <w:spacing w:line="240" w:lineRule="auto" w:before="36"/>
        <w:ind w:left="243" w:right="1354"/>
        <w:jc w:val="left"/>
      </w:pPr>
      <w:r>
        <w:rPr/>
        <w:t>5、投资收益</w:t>
      </w:r>
    </w:p>
    <w:p>
      <w:pPr>
        <w:spacing w:line="240" w:lineRule="auto" w:before="10"/>
        <w:rPr>
          <w:rFonts w:ascii="宋体" w:hAnsi="宋体" w:cs="宋体" w:eastAsia="宋体" w:hint="default"/>
          <w:sz w:val="18"/>
          <w:szCs w:val="18"/>
        </w:rPr>
      </w:pPr>
    </w:p>
    <w:p>
      <w:pPr>
        <w:pStyle w:val="BodyText"/>
        <w:spacing w:line="240" w:lineRule="auto"/>
        <w:ind w:left="243" w:right="1354"/>
        <w:jc w:val="left"/>
      </w:pPr>
      <w:r>
        <w:rPr/>
        <w:t>（1）投资收益明细情况</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126"/>
        <w:gridCol w:w="2378"/>
        <w:gridCol w:w="2342"/>
      </w:tblGrid>
      <w:tr>
        <w:trPr>
          <w:trHeight w:val="418" w:hRule="exact"/>
        </w:trPr>
        <w:tc>
          <w:tcPr>
            <w:tcW w:w="4126" w:type="dxa"/>
            <w:tcBorders>
              <w:top w:val="single" w:sz="12" w:space="0" w:color="000000"/>
              <w:left w:val="nil" w:sz="6" w:space="0" w:color="auto"/>
              <w:bottom w:val="single" w:sz="2" w:space="0" w:color="000000"/>
              <w:right w:val="single" w:sz="2" w:space="0" w:color="000000"/>
            </w:tcBorders>
          </w:tcPr>
          <w:p>
            <w:pPr>
              <w:pStyle w:val="TableParagraph"/>
              <w:tabs>
                <w:tab w:pos="2594" w:val="left" w:leader="none"/>
              </w:tabs>
              <w:spacing w:line="240" w:lineRule="auto" w:before="76"/>
              <w:ind w:left="1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子公司广州润龙房地产有限公司利润分配</w:t>
            </w:r>
          </w:p>
        </w:tc>
        <w:tc>
          <w:tcPr>
            <w:tcW w:w="2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4,500,000.00</w:t>
            </w:r>
          </w:p>
        </w:tc>
        <w:tc>
          <w:tcPr>
            <w:tcW w:w="23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2,700,000.00</w:t>
            </w:r>
          </w:p>
        </w:tc>
      </w:tr>
      <w:tr>
        <w:trPr>
          <w:trHeight w:val="418" w:hRule="exact"/>
        </w:trPr>
        <w:tc>
          <w:tcPr>
            <w:tcW w:w="4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4,500,000.00</w:t>
            </w:r>
          </w:p>
        </w:tc>
        <w:tc>
          <w:tcPr>
            <w:tcW w:w="23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2,700,000.00</w:t>
            </w:r>
          </w:p>
        </w:tc>
      </w:tr>
    </w:tbl>
    <w:p>
      <w:pPr>
        <w:spacing w:line="240" w:lineRule="auto" w:before="7"/>
        <w:rPr>
          <w:rFonts w:ascii="宋体" w:hAnsi="宋体" w:cs="宋体" w:eastAsia="宋体" w:hint="default"/>
          <w:sz w:val="22"/>
          <w:szCs w:val="22"/>
        </w:rPr>
      </w:pPr>
    </w:p>
    <w:p>
      <w:pPr>
        <w:pStyle w:val="BodyText"/>
        <w:spacing w:line="240" w:lineRule="auto" w:before="36"/>
        <w:ind w:left="243" w:right="1354"/>
        <w:jc w:val="left"/>
      </w:pPr>
      <w:r>
        <w:rPr/>
        <w:pict>
          <v:shape style="position:absolute;margin-left:103.08847pt;margin-top:63.321941pt;width:392.95pt;height:64.3pt;mso-position-horizontal-relative:page;mso-position-vertical-relative:paragraph;z-index:-553168;rotation:315" type="#_x0000_t136" fillcolor="#e0e0e0" stroked="f">
            <o:extrusion v:ext="view" autorotationcenter="t"/>
            <v:textpath style="font-family:&amp;quot;Arial&amp;quot;;font-size:64pt;v-text-kern:t;mso-text-shadow:auto" string="UnRegistered"/>
            <w10:wrap type="none"/>
          </v:shape>
        </w:pict>
      </w:r>
      <w:r>
        <w:rPr/>
        <w:t>6、现金流量表补充资料</w:t>
      </w:r>
    </w:p>
    <w:p>
      <w:pPr>
        <w:spacing w:line="240" w:lineRule="auto" w:before="4"/>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326"/>
        <w:gridCol w:w="1709"/>
        <w:gridCol w:w="1812"/>
      </w:tblGrid>
      <w:tr>
        <w:trPr>
          <w:trHeight w:val="492" w:hRule="exact"/>
        </w:trPr>
        <w:tc>
          <w:tcPr>
            <w:tcW w:w="5326" w:type="dxa"/>
            <w:tcBorders>
              <w:top w:val="single" w:sz="12" w:space="0" w:color="000000"/>
              <w:left w:val="nil" w:sz="6" w:space="0" w:color="auto"/>
              <w:bottom w:val="single" w:sz="4" w:space="0" w:color="000000"/>
              <w:right w:val="single" w:sz="4" w:space="0" w:color="000000"/>
            </w:tcBorders>
          </w:tcPr>
          <w:p>
            <w:pPr>
              <w:pStyle w:val="TableParagraph"/>
              <w:tabs>
                <w:tab w:pos="2198" w:val="left" w:leader="none"/>
                <w:tab w:pos="3038" w:val="left" w:leader="none"/>
                <w:tab w:pos="3770" w:val="left" w:leader="none"/>
              </w:tabs>
              <w:spacing w:line="240" w:lineRule="auto" w:before="117"/>
              <w:ind w:left="1356"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1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4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left="45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
        </w:tc>
      </w:tr>
      <w:tr>
        <w:trPr>
          <w:trHeight w:val="458"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2,444,103.92</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2,476,371.43</w:t>
            </w:r>
          </w:p>
        </w:tc>
      </w:tr>
      <w:tr>
        <w:trPr>
          <w:trHeight w:val="46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55,383.30</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283,552.88</w:t>
            </w:r>
          </w:p>
        </w:tc>
      </w:tr>
      <w:tr>
        <w:trPr>
          <w:trHeight w:val="46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3,410,216.33</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3,594,757.08</w:t>
            </w:r>
          </w:p>
        </w:tc>
      </w:tr>
      <w:tr>
        <w:trPr>
          <w:trHeight w:val="458"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r>
      <w:tr>
        <w:trPr>
          <w:trHeight w:val="46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r>
      <w:tr>
        <w:trPr>
          <w:trHeight w:val="69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67" w:lineRule="exact" w:before="42"/>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-223,219.36</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宋体" w:hAnsi="宋体" w:cs="宋体" w:eastAsia="宋体" w:hint="default"/>
                <w:sz w:val="21"/>
                <w:szCs w:val="21"/>
              </w:rPr>
            </w:pPr>
            <w:r>
              <w:rPr>
                <w:rFonts w:ascii="宋体"/>
                <w:spacing w:val="-1"/>
                <w:sz w:val="21"/>
              </w:rPr>
              <w:t>-6,000.00</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w w:val="100"/>
                <w:sz w:val="21"/>
              </w:rPr>
              <w:t>-</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w w:val="100"/>
                <w:sz w:val="21"/>
              </w:rPr>
              <w:t>-</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2,976,321.29</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1,012,104.95</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-4,500,000.00</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-2,700,000.00</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247,913.37</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w w:val="100"/>
                <w:sz w:val="21"/>
              </w:rPr>
              <w:t>-</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w w:val="100"/>
                <w:sz w:val="21"/>
              </w:rPr>
              <w:t>-</w:t>
            </w:r>
          </w:p>
        </w:tc>
      </w:tr>
      <w:tr>
        <w:trPr>
          <w:trHeight w:val="490" w:hRule="exact"/>
        </w:trPr>
        <w:tc>
          <w:tcPr>
            <w:tcW w:w="53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57,160,337.00</w:t>
            </w:r>
          </w:p>
        </w:tc>
        <w:tc>
          <w:tcPr>
            <w:tcW w:w="18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-40,207,855.48</w:t>
            </w:r>
          </w:p>
        </w:tc>
      </w:tr>
    </w:tbl>
    <w:p>
      <w:pPr>
        <w:spacing w:after="0" w:line="240" w:lineRule="auto"/>
        <w:jc w:val="right"/>
        <w:rPr>
          <w:rFonts w:ascii="宋体" w:hAnsi="宋体" w:cs="宋体" w:eastAsia="宋体" w:hint="default"/>
          <w:sz w:val="21"/>
          <w:szCs w:val="21"/>
        </w:rPr>
        <w:sectPr>
          <w:pgSz w:w="11910" w:h="16840"/>
          <w:pgMar w:header="886" w:footer="837" w:top="1160" w:bottom="1020" w:left="1460" w:right="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5326"/>
        <w:gridCol w:w="1709"/>
        <w:gridCol w:w="1812"/>
      </w:tblGrid>
      <w:tr>
        <w:trPr>
          <w:trHeight w:val="492" w:hRule="exact"/>
        </w:trPr>
        <w:tc>
          <w:tcPr>
            <w:tcW w:w="5326" w:type="dxa"/>
            <w:tcBorders>
              <w:top w:val="single" w:sz="12" w:space="0" w:color="000000"/>
              <w:left w:val="nil" w:sz="6" w:space="0" w:color="auto"/>
              <w:bottom w:val="single" w:sz="4" w:space="0" w:color="000000"/>
              <w:right w:val="single" w:sz="4" w:space="0" w:color="000000"/>
            </w:tcBorders>
          </w:tcPr>
          <w:p>
            <w:pPr>
              <w:pStyle w:val="TableParagraph"/>
              <w:tabs>
                <w:tab w:pos="2198" w:val="left" w:leader="none"/>
                <w:tab w:pos="3038" w:val="left" w:leader="none"/>
                <w:tab w:pos="3770" w:val="left" w:leader="none"/>
              </w:tabs>
              <w:spacing w:line="240" w:lineRule="auto" w:before="117"/>
              <w:ind w:left="1356"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1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4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left="45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-7,538,284.76</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32,600,659.36</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5,468,866.00</w:t>
            </w:r>
          </w:p>
        </w:tc>
      </w:tr>
      <w:tr>
        <w:trPr>
          <w:trHeight w:val="480"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21"/>
                <w:szCs w:val="21"/>
              </w:rPr>
            </w:pPr>
            <w:r>
              <w:rPr>
                <w:rFonts w:ascii="宋体"/>
                <w:spacing w:val="-1"/>
                <w:sz w:val="21"/>
              </w:rPr>
              <w:t>53,784,857.72</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宋体" w:hAnsi="宋体" w:cs="宋体" w:eastAsia="宋体" w:hint="default"/>
                <w:sz w:val="21"/>
                <w:szCs w:val="21"/>
              </w:rPr>
            </w:pPr>
            <w:r>
              <w:rPr>
                <w:rFonts w:ascii="宋体"/>
                <w:spacing w:val="-1"/>
                <w:sz w:val="21"/>
              </w:rPr>
              <w:t>2,770,369.59</w:t>
            </w:r>
          </w:p>
        </w:tc>
      </w:tr>
      <w:tr>
        <w:trPr>
          <w:trHeight w:val="518"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18"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709"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87,462,777.38</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37,974,535.35</w:t>
            </w:r>
          </w:p>
        </w:tc>
      </w:tr>
      <w:tr>
        <w:trPr>
          <w:trHeight w:val="518"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37,974,535.35</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38,156,270.71</w:t>
            </w:r>
          </w:p>
        </w:tc>
      </w:tr>
      <w:tr>
        <w:trPr>
          <w:trHeight w:val="52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21" w:hRule="exact"/>
        </w:trPr>
        <w:tc>
          <w:tcPr>
            <w:tcW w:w="5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w w:val="100"/>
                <w:sz w:val="21"/>
              </w:rPr>
              <w:t>-</w:t>
            </w:r>
          </w:p>
        </w:tc>
      </w:tr>
      <w:tr>
        <w:trPr>
          <w:trHeight w:val="530" w:hRule="exact"/>
        </w:trPr>
        <w:tc>
          <w:tcPr>
            <w:tcW w:w="53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49,488,242.03</w:t>
            </w:r>
          </w:p>
        </w:tc>
        <w:tc>
          <w:tcPr>
            <w:tcW w:w="18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-181,735.36</w:t>
            </w:r>
          </w:p>
        </w:tc>
      </w:tr>
    </w:tbl>
    <w:p>
      <w:pPr>
        <w:spacing w:line="240" w:lineRule="auto" w:before="13"/>
        <w:rPr>
          <w:rFonts w:ascii="宋体" w:hAnsi="宋体" w:cs="宋体" w:eastAsia="宋体" w:hint="default"/>
          <w:sz w:val="22"/>
          <w:szCs w:val="22"/>
        </w:rPr>
      </w:pPr>
    </w:p>
    <w:p>
      <w:pPr>
        <w:pStyle w:val="Heading3"/>
        <w:spacing w:line="240" w:lineRule="auto" w:before="26"/>
        <w:ind w:left="243" w:right="1354"/>
        <w:jc w:val="left"/>
      </w:pPr>
      <w:r>
        <w:rPr/>
        <w:pict>
          <v:shape style="position:absolute;margin-left:103.08847pt;margin-top:-46.06609pt;width:392.95pt;height:64.3pt;mso-position-horizontal-relative:page;mso-position-vertical-relative:paragraph;z-index:-553144;rotation:315" type="#_x0000_t136" fillcolor="#e0e0e0" stroked="f">
            <o:extrusion v:ext="view" autorotationcenter="t"/>
            <v:textpath style="font-family:&amp;quot;Arial&amp;quot;;font-size:64pt;v-text-kern:t;mso-text-shadow:auto" string="UnRegistered"/>
            <w10:wrap type="none"/>
          </v:shape>
        </w:pict>
      </w:r>
      <w:r>
        <w:rPr/>
        <w:t>十二、补充资料</w:t>
      </w:r>
    </w:p>
    <w:p>
      <w:pPr>
        <w:spacing w:line="240" w:lineRule="auto" w:before="1"/>
        <w:rPr>
          <w:rFonts w:ascii="宋体" w:hAnsi="宋体" w:cs="宋体" w:eastAsia="宋体" w:hint="default"/>
          <w:sz w:val="32"/>
          <w:szCs w:val="32"/>
        </w:rPr>
      </w:pPr>
    </w:p>
    <w:p>
      <w:pPr>
        <w:pStyle w:val="BodyText"/>
        <w:spacing w:line="240" w:lineRule="auto"/>
        <w:ind w:left="243" w:right="1354"/>
        <w:jc w:val="left"/>
      </w:pPr>
      <w:r>
        <w:rPr/>
        <w:t>（一）非经常性损益明细表</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335"/>
        <w:gridCol w:w="1704"/>
        <w:gridCol w:w="1783"/>
      </w:tblGrid>
      <w:tr>
        <w:trPr>
          <w:trHeight w:val="425" w:hRule="exact"/>
        </w:trPr>
        <w:tc>
          <w:tcPr>
            <w:tcW w:w="5335" w:type="dxa"/>
            <w:tcBorders>
              <w:top w:val="single" w:sz="12" w:space="0" w:color="000000"/>
              <w:left w:val="nil" w:sz="6" w:space="0" w:color="auto"/>
              <w:bottom w:val="single" w:sz="4" w:space="0" w:color="000000"/>
              <w:right w:val="single" w:sz="4" w:space="0" w:color="000000"/>
            </w:tcBorders>
          </w:tcPr>
          <w:p>
            <w:pPr>
              <w:pStyle w:val="TableParagraph"/>
              <w:tabs>
                <w:tab w:pos="1173" w:val="left" w:leader="none"/>
              </w:tabs>
              <w:spacing w:line="240" w:lineRule="auto" w:before="38"/>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left="3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43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13"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1、非流动资产处置损益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22,090,726.72</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pacing w:val="-1"/>
                <w:sz w:val="21"/>
              </w:rPr>
              <w:t>-12,325.92</w:t>
            </w:r>
          </w:p>
        </w:tc>
      </w:tr>
      <w:tr>
        <w:trPr>
          <w:trHeight w:val="67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62" w:lineRule="exact" w:before="71"/>
              <w:ind w:left="122" w:right="-5"/>
              <w:jc w:val="left"/>
              <w:rPr>
                <w:rFonts w:ascii="宋体" w:hAnsi="宋体" w:cs="宋体" w:eastAsia="宋体" w:hint="default"/>
                <w:sz w:val="21"/>
                <w:szCs w:val="21"/>
              </w:rPr>
            </w:pPr>
            <w:r>
              <w:rPr>
                <w:rFonts w:ascii="宋体" w:hAnsi="宋体" w:cs="宋体" w:eastAsia="宋体" w:hint="default"/>
                <w:spacing w:val="-7"/>
                <w:sz w:val="21"/>
                <w:szCs w:val="21"/>
              </w:rPr>
              <w:t>2、越权审批，或无正式批准文件，或偶发性的税收返还、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减免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9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28" w:lineRule="auto" w:before="47"/>
              <w:ind w:left="122" w:right="96"/>
              <w:jc w:val="both"/>
              <w:rPr>
                <w:rFonts w:ascii="宋体" w:hAnsi="宋体" w:cs="宋体" w:eastAsia="宋体" w:hint="default"/>
                <w:sz w:val="21"/>
                <w:szCs w:val="21"/>
              </w:rPr>
            </w:pPr>
            <w:r>
              <w:rPr>
                <w:rFonts w:ascii="宋体" w:hAnsi="宋体" w:cs="宋体" w:eastAsia="宋体" w:hint="default"/>
                <w:spacing w:val="-3"/>
                <w:sz w:val="21"/>
                <w:szCs w:val="21"/>
              </w:rPr>
              <w:t>3、计入当期损益的政府补助，但与公司正常业务密切相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关，符合国家政策规定、按照一定标准定额或定量持续</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享受的政府补助除外</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15"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4、计入当期损益的对非金融企业收取的资金占用费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w w:val="100"/>
                <w:sz w:val="21"/>
              </w:rPr>
              <w:t>-</w:t>
            </w:r>
          </w:p>
        </w:tc>
      </w:tr>
      <w:tr>
        <w:trPr>
          <w:trHeight w:val="9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28" w:lineRule="auto" w:before="47"/>
              <w:ind w:left="122" w:right="96"/>
              <w:jc w:val="both"/>
              <w:rPr>
                <w:rFonts w:ascii="宋体" w:hAnsi="宋体" w:cs="宋体" w:eastAsia="宋体" w:hint="default"/>
                <w:sz w:val="21"/>
                <w:szCs w:val="21"/>
              </w:rPr>
            </w:pPr>
            <w:r>
              <w:rPr>
                <w:rFonts w:ascii="宋体" w:hAnsi="宋体" w:cs="宋体" w:eastAsia="宋体" w:hint="default"/>
                <w:spacing w:val="-3"/>
                <w:sz w:val="21"/>
                <w:szCs w:val="21"/>
              </w:rPr>
              <w:t>5、公司取得子公司、联营企业及合营企业的投资成本小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于取得投资时应享有被投资单位可辨认净资产公允价值</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产生的收益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15"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6、非货币性资产交换损益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w w:val="100"/>
                <w:sz w:val="21"/>
              </w:rPr>
              <w:t>-</w:t>
            </w:r>
          </w:p>
        </w:tc>
      </w:tr>
      <w:tr>
        <w:trPr>
          <w:trHeight w:val="413"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7、委托他人投资或管理资产的损益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w w:val="100"/>
                <w:sz w:val="21"/>
              </w:rPr>
              <w:t>-</w:t>
            </w:r>
          </w:p>
        </w:tc>
      </w:tr>
      <w:tr>
        <w:trPr>
          <w:trHeight w:val="684" w:hRule="exact"/>
        </w:trPr>
        <w:tc>
          <w:tcPr>
            <w:tcW w:w="5335"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72"/>
              <w:ind w:left="122" w:right="96"/>
              <w:jc w:val="left"/>
              <w:rPr>
                <w:rFonts w:ascii="宋体" w:hAnsi="宋体" w:cs="宋体" w:eastAsia="宋体" w:hint="default"/>
                <w:sz w:val="21"/>
                <w:szCs w:val="21"/>
              </w:rPr>
            </w:pPr>
            <w:r>
              <w:rPr>
                <w:rFonts w:ascii="宋体" w:hAnsi="宋体" w:cs="宋体" w:eastAsia="宋体" w:hint="default"/>
                <w:spacing w:val="-3"/>
                <w:sz w:val="21"/>
                <w:szCs w:val="21"/>
              </w:rPr>
              <w:t>8、因不可抗力因素，如遭受自然灾害而计提的各项资产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减值准备</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886" w:footer="837" w:top="1160" w:bottom="1020" w:left="1460" w:right="0"/>
        </w:sectPr>
      </w:pPr>
    </w:p>
    <w:p>
      <w:pPr>
        <w:spacing w:line="240" w:lineRule="auto" w:before="10"/>
        <w:rPr>
          <w:rFonts w:ascii="宋体" w:hAnsi="宋体" w:cs="宋体" w:eastAsia="宋体" w:hint="default"/>
          <w:sz w:val="15"/>
          <w:szCs w:val="15"/>
        </w:rPr>
      </w:pPr>
      <w:r>
        <w:rPr/>
        <w:pict>
          <v:shape style="position:absolute;margin-left:103.08847pt;margin-top:395.916565pt;width:392.95pt;height:64.3pt;mso-position-horizontal-relative:page;mso-position-vertical-relative:page;z-index:-553120;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06" w:type="dxa"/>
        <w:tblLayout w:type="fixed"/>
        <w:tblCellMar>
          <w:top w:w="0" w:type="dxa"/>
          <w:left w:w="0" w:type="dxa"/>
          <w:bottom w:w="0" w:type="dxa"/>
          <w:right w:w="0" w:type="dxa"/>
        </w:tblCellMar>
        <w:tblLook w:val="01E0"/>
      </w:tblPr>
      <w:tblGrid>
        <w:gridCol w:w="5335"/>
        <w:gridCol w:w="1704"/>
        <w:gridCol w:w="1783"/>
      </w:tblGrid>
      <w:tr>
        <w:trPr>
          <w:trHeight w:val="425" w:hRule="exact"/>
        </w:trPr>
        <w:tc>
          <w:tcPr>
            <w:tcW w:w="5335" w:type="dxa"/>
            <w:tcBorders>
              <w:top w:val="single" w:sz="12" w:space="0" w:color="000000"/>
              <w:left w:val="nil" w:sz="6" w:space="0" w:color="auto"/>
              <w:bottom w:val="single" w:sz="4" w:space="0" w:color="000000"/>
              <w:right w:val="single" w:sz="4" w:space="0" w:color="000000"/>
            </w:tcBorders>
          </w:tcPr>
          <w:p>
            <w:pPr>
              <w:pStyle w:val="TableParagraph"/>
              <w:tabs>
                <w:tab w:pos="1173" w:val="left" w:leader="none"/>
              </w:tabs>
              <w:spacing w:line="240" w:lineRule="auto" w:before="38"/>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left="3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43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9、债务重组损益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w w:val="100"/>
                <w:sz w:val="21"/>
              </w:rPr>
              <w:t>-</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10、企业重组费用，如安置职工的支出、整合费用等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w w:val="100"/>
                <w:sz w:val="21"/>
              </w:rPr>
              <w:t>-</w:t>
            </w:r>
          </w:p>
        </w:tc>
      </w:tr>
      <w:tr>
        <w:trPr>
          <w:trHeight w:val="67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73"/>
              <w:ind w:left="122" w:right="96"/>
              <w:jc w:val="left"/>
              <w:rPr>
                <w:rFonts w:ascii="宋体" w:hAnsi="宋体" w:cs="宋体" w:eastAsia="宋体" w:hint="default"/>
                <w:sz w:val="21"/>
                <w:szCs w:val="21"/>
              </w:rPr>
            </w:pPr>
            <w:r>
              <w:rPr>
                <w:rFonts w:ascii="宋体" w:hAnsi="宋体" w:cs="宋体" w:eastAsia="宋体" w:hint="default"/>
                <w:sz w:val="21"/>
                <w:szCs w:val="21"/>
              </w:rPr>
              <w:t>11、交易价格显失公允的交易产生的超过公允价值部分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782"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128"/>
              <w:ind w:left="122" w:right="96"/>
              <w:jc w:val="left"/>
              <w:rPr>
                <w:rFonts w:ascii="宋体" w:hAnsi="宋体" w:cs="宋体" w:eastAsia="宋体" w:hint="default"/>
                <w:sz w:val="21"/>
                <w:szCs w:val="21"/>
              </w:rPr>
            </w:pPr>
            <w:r>
              <w:rPr>
                <w:rFonts w:ascii="宋体" w:hAnsi="宋体" w:cs="宋体" w:eastAsia="宋体" w:hint="default"/>
                <w:sz w:val="21"/>
                <w:szCs w:val="21"/>
              </w:rPr>
              <w:t>12、同一控制下企业合并产生的子公司期初至合并日的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当期净损益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13、与公司正常经营业务无关的或有事项产生的损益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w w:val="100"/>
                <w:sz w:val="21"/>
              </w:rPr>
              <w:t>-</w:t>
            </w:r>
          </w:p>
        </w:tc>
      </w:tr>
      <w:tr>
        <w:trPr>
          <w:trHeight w:val="1195"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28" w:lineRule="auto" w:before="47"/>
              <w:ind w:left="122" w:right="-8"/>
              <w:jc w:val="left"/>
              <w:rPr>
                <w:rFonts w:ascii="宋体" w:hAnsi="宋体" w:cs="宋体" w:eastAsia="宋体" w:hint="default"/>
                <w:sz w:val="21"/>
                <w:szCs w:val="21"/>
              </w:rPr>
            </w:pPr>
            <w:r>
              <w:rPr>
                <w:rFonts w:ascii="宋体" w:hAnsi="宋体" w:cs="宋体" w:eastAsia="宋体" w:hint="default"/>
                <w:spacing w:val="-3"/>
                <w:sz w:val="21"/>
                <w:szCs w:val="21"/>
              </w:rPr>
              <w:t>14、除同公司正常经营业务相关的有效套期保值业务外，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持有交易性金融资产、交易性金融负债产生的公允价值</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变动损益，以及处置交易性金融资产、交易性金融负债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和可供出售金融资产取得的投资收益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101"/>
              <w:jc w:val="right"/>
              <w:rPr>
                <w:rFonts w:ascii="宋体" w:hAnsi="宋体" w:cs="宋体" w:eastAsia="宋体" w:hint="default"/>
                <w:sz w:val="21"/>
                <w:szCs w:val="21"/>
              </w:rPr>
            </w:pPr>
            <w:r>
              <w:rPr>
                <w:rFonts w:ascii="宋体"/>
                <w:spacing w:val="-1"/>
                <w:sz w:val="21"/>
              </w:rPr>
              <w:t>-520,833.33</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07"/>
              <w:jc w:val="right"/>
              <w:rPr>
                <w:rFonts w:ascii="宋体" w:hAnsi="宋体" w:cs="宋体" w:eastAsia="宋体" w:hint="default"/>
                <w:sz w:val="21"/>
                <w:szCs w:val="21"/>
              </w:rPr>
            </w:pPr>
            <w:r>
              <w:rPr>
                <w:rFonts w:ascii="宋体"/>
                <w:spacing w:val="-1"/>
                <w:sz w:val="21"/>
              </w:rPr>
              <w:t>599,574.01</w:t>
            </w:r>
          </w:p>
        </w:tc>
      </w:tr>
      <w:tr>
        <w:trPr>
          <w:trHeight w:val="432"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15、单独进行减值测试的应收款项减值准备转回</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w w:val="100"/>
                <w:sz w:val="21"/>
              </w:rPr>
              <w:t>-</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16、对外委托贷款取得的损益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w w:val="100"/>
                <w:sz w:val="21"/>
              </w:rPr>
              <w:t>-</w:t>
            </w:r>
          </w:p>
        </w:tc>
      </w:tr>
      <w:tr>
        <w:trPr>
          <w:trHeight w:val="67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62" w:lineRule="exact" w:before="71"/>
              <w:ind w:left="122" w:right="96"/>
              <w:jc w:val="left"/>
              <w:rPr>
                <w:rFonts w:ascii="宋体" w:hAnsi="宋体" w:cs="宋体" w:eastAsia="宋体" w:hint="default"/>
                <w:sz w:val="21"/>
                <w:szCs w:val="21"/>
              </w:rPr>
            </w:pPr>
            <w:r>
              <w:rPr>
                <w:rFonts w:ascii="宋体" w:hAnsi="宋体" w:cs="宋体" w:eastAsia="宋体" w:hint="default"/>
                <w:sz w:val="21"/>
                <w:szCs w:val="21"/>
              </w:rPr>
              <w:t>17、采用公允价值模式进行后续计量的投资性房地产公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允价值变动产生的损益</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67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72"/>
              <w:ind w:left="122" w:right="96"/>
              <w:jc w:val="left"/>
              <w:rPr>
                <w:rFonts w:ascii="宋体" w:hAnsi="宋体" w:cs="宋体" w:eastAsia="宋体" w:hint="default"/>
                <w:sz w:val="21"/>
                <w:szCs w:val="21"/>
              </w:rPr>
            </w:pPr>
            <w:r>
              <w:rPr>
                <w:rFonts w:ascii="宋体" w:hAnsi="宋体" w:cs="宋体" w:eastAsia="宋体" w:hint="default"/>
                <w:sz w:val="21"/>
                <w:szCs w:val="21"/>
              </w:rPr>
              <w:t>18、根据税收、会计等法律、法规的要求对当期损益进</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行一次性调整对当期损益的影响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19、受托经营取得的托管费收入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w w:val="100"/>
                <w:sz w:val="21"/>
              </w:rPr>
              <w:t>-</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20、除上述各项之外的营业外收支净额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143,111.42</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spacing w:val="-1"/>
                <w:sz w:val="21"/>
              </w:rPr>
              <w:t>168,518.10</w:t>
            </w:r>
          </w:p>
        </w:tc>
      </w:tr>
      <w:tr>
        <w:trPr>
          <w:trHeight w:val="432"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21、其他符合非经常性损益定义的损益项目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w w:val="100"/>
                <w:sz w:val="21"/>
              </w:rPr>
              <w:t>-</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21,713,004.81</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spacing w:val="-1"/>
                <w:sz w:val="21"/>
              </w:rPr>
              <w:t>755,766.19</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减：非经常性损益相应的所得税</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4,930,564.89</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spacing w:val="-1"/>
                <w:sz w:val="21"/>
              </w:rPr>
              <w:t>-347.22</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减：少数股东损益影响数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36,120.78</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spacing w:val="-1"/>
                <w:sz w:val="21"/>
              </w:rPr>
              <w:t>-1,200.00</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非经常性损益影响的净利润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16,746,319.14</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21"/>
                <w:szCs w:val="21"/>
              </w:rPr>
            </w:pPr>
            <w:r>
              <w:rPr>
                <w:rFonts w:ascii="宋体"/>
                <w:spacing w:val="-1"/>
                <w:sz w:val="21"/>
              </w:rPr>
              <w:t>757,313.41</w:t>
            </w:r>
          </w:p>
        </w:tc>
      </w:tr>
      <w:tr>
        <w:trPr>
          <w:trHeight w:val="434" w:hRule="exact"/>
        </w:trPr>
        <w:tc>
          <w:tcPr>
            <w:tcW w:w="5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18,632,180.09</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宋体" w:hAnsi="宋体" w:cs="宋体" w:eastAsia="宋体" w:hint="default"/>
                <w:sz w:val="21"/>
                <w:szCs w:val="21"/>
              </w:rPr>
            </w:pPr>
            <w:r>
              <w:rPr>
                <w:rFonts w:ascii="宋体"/>
                <w:spacing w:val="-1"/>
                <w:sz w:val="21"/>
              </w:rPr>
              <w:t>9,475,388.21</w:t>
            </w:r>
          </w:p>
        </w:tc>
      </w:tr>
      <w:tr>
        <w:trPr>
          <w:trHeight w:val="444" w:hRule="exact"/>
        </w:trPr>
        <w:tc>
          <w:tcPr>
            <w:tcW w:w="53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1,885,860.95</w:t>
            </w:r>
          </w:p>
        </w:tc>
        <w:tc>
          <w:tcPr>
            <w:tcW w:w="17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宋体" w:hAnsi="宋体" w:cs="宋体" w:eastAsia="宋体" w:hint="default"/>
                <w:sz w:val="21"/>
                <w:szCs w:val="21"/>
              </w:rPr>
            </w:pPr>
            <w:r>
              <w:rPr>
                <w:rFonts w:ascii="宋体"/>
                <w:spacing w:val="-1"/>
                <w:sz w:val="21"/>
              </w:rPr>
              <w:t>8,718,074.80</w:t>
            </w:r>
          </w:p>
        </w:tc>
      </w:tr>
    </w:tbl>
    <w:p>
      <w:pPr>
        <w:spacing w:line="240" w:lineRule="auto" w:before="12"/>
        <w:rPr>
          <w:rFonts w:ascii="宋体" w:hAnsi="宋体" w:cs="宋体" w:eastAsia="宋体" w:hint="default"/>
          <w:sz w:val="24"/>
          <w:szCs w:val="24"/>
        </w:rPr>
      </w:pPr>
    </w:p>
    <w:p>
      <w:pPr>
        <w:pStyle w:val="BodyText"/>
        <w:spacing w:line="506" w:lineRule="auto" w:before="36"/>
        <w:ind w:left="243" w:right="7242"/>
        <w:jc w:val="left"/>
      </w:pPr>
      <w:r>
        <w:rPr/>
        <w:pict>
          <v:shape style="position:absolute;margin-left:78.338257pt;margin-top:53.663677pt;width:444.5pt;height:86.55pt;mso-position-horizontal-relative:page;mso-position-vertical-relative:paragraph;z-index:4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8"/>
                    <w:gridCol w:w="1723"/>
                    <w:gridCol w:w="1800"/>
                    <w:gridCol w:w="1805"/>
                  </w:tblGrid>
                  <w:tr>
                    <w:trPr>
                      <w:trHeight w:val="571" w:hRule="exact"/>
                    </w:trPr>
                    <w:tc>
                      <w:tcPr>
                        <w:tcW w:w="35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859" w:val="left" w:leader="none"/>
                            <w:tab w:pos="1384" w:val="left" w:leader="none"/>
                            <w:tab w:pos="1907" w:val="left" w:leader="none"/>
                            <w:tab w:pos="2536" w:val="left" w:leader="none"/>
                          </w:tabs>
                          <w:spacing w:line="240" w:lineRule="auto" w:before="160"/>
                          <w:ind w:left="439" w:right="0"/>
                          <w:jc w:val="left"/>
                          <w:rPr>
                            <w:rFonts w:ascii="宋体" w:hAnsi="宋体" w:cs="宋体" w:eastAsia="宋体" w:hint="default"/>
                            <w:sz w:val="21"/>
                            <w:szCs w:val="21"/>
                          </w:rPr>
                        </w:pPr>
                        <w:r>
                          <w:rPr>
                            <w:rFonts w:ascii="宋体" w:hAnsi="宋体" w:cs="宋体" w:eastAsia="宋体" w:hint="default"/>
                            <w:sz w:val="21"/>
                            <w:szCs w:val="21"/>
                          </w:rPr>
                          <w:t>报</w:t>
                          <w:tab/>
                          <w:t>告</w:t>
                          <w:tab/>
                          <w:t>期</w:t>
                          <w:tab/>
                          <w:t>利</w:t>
                          <w:tab/>
                          <w:t>润</w:t>
                        </w:r>
                      </w:p>
                    </w:tc>
                    <w:tc>
                      <w:tcPr>
                        <w:tcW w:w="1723"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312" w:lineRule="auto"/>
                          <w:ind w:left="276" w:right="117" w:hanging="156"/>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p>
                    </w:tc>
                    <w:tc>
                      <w:tcPr>
                        <w:tcW w:w="3605" w:type="dxa"/>
                        <w:gridSpan w:val="2"/>
                        <w:tcBorders>
                          <w:top w:val="single" w:sz="12" w:space="0" w:color="000000"/>
                          <w:left w:val="single" w:sz="4" w:space="0" w:color="000000"/>
                          <w:bottom w:val="single" w:sz="4" w:space="0" w:color="000000"/>
                          <w:right w:val="nil" w:sz="6" w:space="0" w:color="auto"/>
                        </w:tcBorders>
                      </w:tcPr>
                      <w:p>
                        <w:pPr>
                          <w:pStyle w:val="TableParagraph"/>
                          <w:tabs>
                            <w:tab w:pos="1483" w:val="left" w:leader="none"/>
                            <w:tab w:pos="1903" w:val="left" w:leader="none"/>
                            <w:tab w:pos="2323" w:val="left" w:leader="none"/>
                          </w:tabs>
                          <w:spacing w:line="240" w:lineRule="auto" w:before="158"/>
                          <w:ind w:left="1060" w:right="0"/>
                          <w:jc w:val="left"/>
                          <w:rPr>
                            <w:rFonts w:ascii="宋体" w:hAnsi="宋体" w:cs="宋体" w:eastAsia="宋体" w:hint="default"/>
                            <w:sz w:val="21"/>
                            <w:szCs w:val="21"/>
                          </w:rPr>
                        </w:pPr>
                        <w:r>
                          <w:rPr>
                            <w:rFonts w:ascii="宋体" w:hAnsi="宋体" w:cs="宋体" w:eastAsia="宋体" w:hint="default"/>
                            <w:sz w:val="21"/>
                            <w:szCs w:val="21"/>
                          </w:rPr>
                          <w:t>每</w:t>
                          <w:tab/>
                          <w:t>股</w:t>
                          <w:tab/>
                          <w:t>收</w:t>
                          <w:tab/>
                          <w:t>益</w:t>
                        </w:r>
                      </w:p>
                    </w:tc>
                  </w:tr>
                  <w:tr>
                    <w:trPr>
                      <w:trHeight w:val="559" w:hRule="exact"/>
                    </w:trPr>
                    <w:tc>
                      <w:tcPr>
                        <w:tcW w:w="3518" w:type="dxa"/>
                        <w:vMerge/>
                        <w:tcBorders>
                          <w:left w:val="nil" w:sz="6" w:space="0" w:color="auto"/>
                          <w:bottom w:val="single" w:sz="4" w:space="0" w:color="000000"/>
                          <w:right w:val="single" w:sz="4" w:space="0" w:color="000000"/>
                        </w:tcBorders>
                      </w:tcPr>
                      <w:p>
                        <w:pPr/>
                      </w:p>
                    </w:tc>
                    <w:tc>
                      <w:tcPr>
                        <w:tcW w:w="1723"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2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42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71" w:hRule="exact"/>
                    </w:trPr>
                    <w:tc>
                      <w:tcPr>
                        <w:tcW w:w="35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723" w:type="dxa"/>
                        <w:tcBorders>
                          <w:top w:val="single" w:sz="4" w:space="0" w:color="000000"/>
                          <w:left w:val="single" w:sz="4" w:space="0" w:color="000000"/>
                          <w:bottom w:val="single" w:sz="12" w:space="0" w:color="000000"/>
                          <w:right w:val="single" w:sz="4" w:space="0" w:color="000000"/>
                        </w:tcBorders>
                      </w:tcPr>
                      <w:p>
                        <w:pPr/>
                      </w:p>
                    </w:tc>
                    <w:tc>
                      <w:tcPr>
                        <w:tcW w:w="1800" w:type="dxa"/>
                        <w:tcBorders>
                          <w:top w:val="single" w:sz="4" w:space="0" w:color="000000"/>
                          <w:left w:val="single" w:sz="4" w:space="0" w:color="000000"/>
                          <w:bottom w:val="single" w:sz="12" w:space="0" w:color="000000"/>
                          <w:right w:val="single" w:sz="4" w:space="0" w:color="000000"/>
                        </w:tcBorders>
                      </w:tcPr>
                      <w:p>
                        <w:pPr/>
                      </w:p>
                    </w:tc>
                    <w:tc>
                      <w:tcPr>
                        <w:tcW w:w="1805" w:type="dxa"/>
                        <w:tcBorders>
                          <w:top w:val="single" w:sz="4" w:space="0" w:color="000000"/>
                          <w:left w:val="single" w:sz="4" w:space="0" w:color="000000"/>
                          <w:bottom w:val="single" w:sz="12" w:space="0" w:color="000000"/>
                          <w:right w:val="nil" w:sz="6" w:space="0" w:color="auto"/>
                        </w:tcBorders>
                      </w:tcPr>
                      <w:p>
                        <w:pPr/>
                      </w:p>
                    </w:tc>
                  </w:tr>
                </w:tbl>
                <w:p>
                  <w:pPr/>
                </w:p>
              </w:txbxContent>
            </v:textbox>
            <w10:wrap type="none"/>
          </v:shape>
        </w:pict>
      </w:r>
      <w:r>
        <w:rPr/>
        <w:t>（二）净资产收益率和每股收益</w:t>
      </w:r>
      <w:r>
        <w:rPr>
          <w:spacing w:val="-95"/>
        </w:rPr>
        <w:t> </w:t>
      </w:r>
      <w:r>
        <w:rPr>
          <w:spacing w:val="-95"/>
        </w:rPr>
      </w:r>
      <w:r>
        <w:rPr/>
        <w:t>1、计算结果</w:t>
      </w:r>
    </w:p>
    <w:p>
      <w:pPr>
        <w:spacing w:after="0" w:line="506" w:lineRule="auto"/>
        <w:jc w:val="left"/>
        <w:sectPr>
          <w:pgSz w:w="11910" w:h="16840"/>
          <w:pgMar w:header="886" w:footer="837" w:top="1160" w:bottom="1020" w:left="1460" w:right="0"/>
        </w:sectPr>
      </w:pPr>
    </w:p>
    <w:p>
      <w:pPr>
        <w:spacing w:line="240" w:lineRule="auto" w:before="10"/>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518"/>
        <w:gridCol w:w="1723"/>
        <w:gridCol w:w="1800"/>
        <w:gridCol w:w="1805"/>
      </w:tblGrid>
      <w:tr>
        <w:trPr>
          <w:trHeight w:val="571" w:hRule="exact"/>
        </w:trPr>
        <w:tc>
          <w:tcPr>
            <w:tcW w:w="35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859" w:val="left" w:leader="none"/>
                <w:tab w:pos="1384" w:val="left" w:leader="none"/>
                <w:tab w:pos="1907" w:val="left" w:leader="none"/>
                <w:tab w:pos="2536" w:val="left" w:leader="none"/>
              </w:tabs>
              <w:spacing w:line="240" w:lineRule="auto" w:before="160"/>
              <w:ind w:left="439" w:right="0"/>
              <w:jc w:val="left"/>
              <w:rPr>
                <w:rFonts w:ascii="宋体" w:hAnsi="宋体" w:cs="宋体" w:eastAsia="宋体" w:hint="default"/>
                <w:sz w:val="21"/>
                <w:szCs w:val="21"/>
              </w:rPr>
            </w:pPr>
            <w:r>
              <w:rPr>
                <w:rFonts w:ascii="宋体" w:hAnsi="宋体" w:cs="宋体" w:eastAsia="宋体" w:hint="default"/>
                <w:sz w:val="21"/>
                <w:szCs w:val="21"/>
              </w:rPr>
              <w:t>报</w:t>
              <w:tab/>
              <w:t>告</w:t>
              <w:tab/>
              <w:t>期</w:t>
              <w:tab/>
              <w:t>利</w:t>
              <w:tab/>
              <w:t>润</w:t>
            </w:r>
          </w:p>
        </w:tc>
        <w:tc>
          <w:tcPr>
            <w:tcW w:w="1723"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312" w:lineRule="auto"/>
              <w:ind w:left="276" w:right="117" w:hanging="156"/>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p>
        </w:tc>
        <w:tc>
          <w:tcPr>
            <w:tcW w:w="3605" w:type="dxa"/>
            <w:gridSpan w:val="2"/>
            <w:tcBorders>
              <w:top w:val="single" w:sz="12" w:space="0" w:color="000000"/>
              <w:left w:val="single" w:sz="4" w:space="0" w:color="000000"/>
              <w:bottom w:val="single" w:sz="4" w:space="0" w:color="000000"/>
              <w:right w:val="nil" w:sz="6" w:space="0" w:color="auto"/>
            </w:tcBorders>
          </w:tcPr>
          <w:p>
            <w:pPr>
              <w:pStyle w:val="TableParagraph"/>
              <w:tabs>
                <w:tab w:pos="1483" w:val="left" w:leader="none"/>
                <w:tab w:pos="1903" w:val="left" w:leader="none"/>
                <w:tab w:pos="2323" w:val="left" w:leader="none"/>
              </w:tabs>
              <w:spacing w:line="240" w:lineRule="auto" w:before="158"/>
              <w:ind w:left="1060" w:right="0"/>
              <w:jc w:val="left"/>
              <w:rPr>
                <w:rFonts w:ascii="宋体" w:hAnsi="宋体" w:cs="宋体" w:eastAsia="宋体" w:hint="default"/>
                <w:sz w:val="21"/>
                <w:szCs w:val="21"/>
              </w:rPr>
            </w:pPr>
            <w:r>
              <w:rPr>
                <w:rFonts w:ascii="宋体" w:hAnsi="宋体" w:cs="宋体" w:eastAsia="宋体" w:hint="default"/>
                <w:sz w:val="21"/>
                <w:szCs w:val="21"/>
              </w:rPr>
              <w:t>每</w:t>
              <w:tab/>
              <w:t>股</w:t>
              <w:tab/>
              <w:t>收</w:t>
              <w:tab/>
              <w:t>益</w:t>
            </w:r>
          </w:p>
        </w:tc>
      </w:tr>
      <w:tr>
        <w:trPr>
          <w:trHeight w:val="559" w:hRule="exact"/>
        </w:trPr>
        <w:tc>
          <w:tcPr>
            <w:tcW w:w="3518" w:type="dxa"/>
            <w:vMerge/>
            <w:tcBorders>
              <w:left w:val="nil" w:sz="6" w:space="0" w:color="auto"/>
              <w:bottom w:val="single" w:sz="4" w:space="0" w:color="000000"/>
              <w:right w:val="single" w:sz="4" w:space="0" w:color="000000"/>
            </w:tcBorders>
          </w:tcPr>
          <w:p>
            <w:pPr/>
          </w:p>
        </w:tc>
        <w:tc>
          <w:tcPr>
            <w:tcW w:w="1723"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2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42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2"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center"/>
              <w:rPr>
                <w:rFonts w:ascii="宋体" w:hAnsi="宋体" w:cs="宋体" w:eastAsia="宋体" w:hint="default"/>
                <w:sz w:val="21"/>
                <w:szCs w:val="21"/>
              </w:rPr>
            </w:pPr>
            <w:r>
              <w:rPr>
                <w:rFonts w:ascii="宋体"/>
                <w:sz w:val="21"/>
              </w:rPr>
              <w:t>5.25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sz w:val="21"/>
              </w:rPr>
              <w:t>0.17</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2"/>
              <w:jc w:val="center"/>
              <w:rPr>
                <w:rFonts w:ascii="宋体" w:hAnsi="宋体" w:cs="宋体" w:eastAsia="宋体" w:hint="default"/>
                <w:sz w:val="21"/>
                <w:szCs w:val="21"/>
              </w:rPr>
            </w:pPr>
            <w:r>
              <w:rPr>
                <w:rFonts w:ascii="宋体"/>
                <w:sz w:val="21"/>
              </w:rPr>
              <w:t>0.17</w:t>
            </w:r>
          </w:p>
        </w:tc>
      </w:tr>
      <w:tr>
        <w:trPr>
          <w:trHeight w:val="746"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82"/>
              <w:ind w:left="122" w:right="10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通股股东的净利润</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
              <w:jc w:val="center"/>
              <w:rPr>
                <w:rFonts w:ascii="宋体" w:hAnsi="宋体" w:cs="宋体" w:eastAsia="宋体" w:hint="default"/>
                <w:sz w:val="21"/>
                <w:szCs w:val="21"/>
              </w:rPr>
            </w:pPr>
            <w:r>
              <w:rPr>
                <w:rFonts w:ascii="宋体"/>
                <w:sz w:val="21"/>
              </w:rPr>
              <w:t>0.53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sz w:val="21"/>
              </w:rPr>
              <w:t>0.02</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sz w:val="21"/>
              </w:rPr>
              <w:t>0.02</w:t>
            </w:r>
          </w:p>
        </w:tc>
      </w:tr>
      <w:tr>
        <w:trPr>
          <w:trHeight w:val="559"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72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center"/>
              <w:rPr>
                <w:rFonts w:ascii="宋体" w:hAnsi="宋体" w:cs="宋体" w:eastAsia="宋体" w:hint="default"/>
                <w:sz w:val="21"/>
                <w:szCs w:val="21"/>
              </w:rPr>
            </w:pPr>
            <w:r>
              <w:rPr>
                <w:rFonts w:ascii="宋体"/>
                <w:sz w:val="21"/>
              </w:rPr>
              <w:t>2.77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sz w:val="21"/>
              </w:rPr>
              <w:t>0.09</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2"/>
              <w:jc w:val="center"/>
              <w:rPr>
                <w:rFonts w:ascii="宋体" w:hAnsi="宋体" w:cs="宋体" w:eastAsia="宋体" w:hint="default"/>
                <w:sz w:val="21"/>
                <w:szCs w:val="21"/>
              </w:rPr>
            </w:pPr>
            <w:r>
              <w:rPr>
                <w:rFonts w:ascii="宋体"/>
                <w:sz w:val="21"/>
              </w:rPr>
              <w:t>0.09</w:t>
            </w:r>
          </w:p>
        </w:tc>
      </w:tr>
      <w:tr>
        <w:trPr>
          <w:trHeight w:val="758" w:hRule="exact"/>
        </w:trPr>
        <w:tc>
          <w:tcPr>
            <w:tcW w:w="3518" w:type="dxa"/>
            <w:tcBorders>
              <w:top w:val="single" w:sz="4" w:space="0" w:color="000000"/>
              <w:left w:val="nil" w:sz="6" w:space="0" w:color="auto"/>
              <w:bottom w:val="single" w:sz="12" w:space="0" w:color="000000"/>
              <w:right w:val="single" w:sz="4" w:space="0" w:color="000000"/>
            </w:tcBorders>
          </w:tcPr>
          <w:p>
            <w:pPr>
              <w:pStyle w:val="TableParagraph"/>
              <w:spacing w:line="262" w:lineRule="exact" w:before="81"/>
              <w:ind w:left="122" w:right="10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通股股东的净利润</w:t>
            </w:r>
          </w:p>
        </w:tc>
        <w:tc>
          <w:tcPr>
            <w:tcW w:w="17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right="2"/>
              <w:jc w:val="center"/>
              <w:rPr>
                <w:rFonts w:ascii="宋体" w:hAnsi="宋体" w:cs="宋体" w:eastAsia="宋体" w:hint="default"/>
                <w:sz w:val="21"/>
                <w:szCs w:val="21"/>
              </w:rPr>
            </w:pPr>
            <w:r>
              <w:rPr>
                <w:rFonts w:ascii="宋体"/>
                <w:sz w:val="21"/>
              </w:rPr>
              <w:t>2.55</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sz w:val="21"/>
              </w:rPr>
              <w:t>0.08</w:t>
            </w:r>
          </w:p>
        </w:tc>
        <w:tc>
          <w:tcPr>
            <w:tcW w:w="18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7"/>
              <w:ind w:right="2"/>
              <w:jc w:val="center"/>
              <w:rPr>
                <w:rFonts w:ascii="宋体" w:hAnsi="宋体" w:cs="宋体" w:eastAsia="宋体" w:hint="default"/>
                <w:sz w:val="21"/>
                <w:szCs w:val="21"/>
              </w:rPr>
            </w:pPr>
            <w:r>
              <w:rPr>
                <w:rFonts w:ascii="宋体"/>
                <w:sz w:val="21"/>
              </w:rPr>
              <w:t>0.08</w:t>
            </w:r>
          </w:p>
        </w:tc>
      </w:tr>
    </w:tbl>
    <w:p>
      <w:pPr>
        <w:spacing w:line="240" w:lineRule="auto" w:before="12"/>
        <w:rPr>
          <w:rFonts w:ascii="宋体" w:hAnsi="宋体" w:cs="宋体" w:eastAsia="宋体" w:hint="default"/>
          <w:sz w:val="24"/>
          <w:szCs w:val="24"/>
        </w:rPr>
      </w:pPr>
    </w:p>
    <w:p>
      <w:pPr>
        <w:pStyle w:val="BodyText"/>
        <w:spacing w:line="240" w:lineRule="auto" w:before="36"/>
        <w:ind w:left="243" w:right="1354"/>
        <w:jc w:val="left"/>
      </w:pPr>
      <w:r>
        <w:rPr/>
        <w:t>2、净资产收益率和每股收益的计算过程</w:t>
      </w:r>
    </w:p>
    <w:p>
      <w:pPr>
        <w:pStyle w:val="BodyText"/>
        <w:spacing w:line="490" w:lineRule="atLeast" w:before="90"/>
        <w:ind w:left="663" w:right="5440" w:hanging="420"/>
        <w:jc w:val="left"/>
      </w:pPr>
      <w:r>
        <w:rPr>
          <w:spacing w:val="-2"/>
        </w:rPr>
        <w:t>①加权平均净资产收益率（ROE）的计算公式如下：</w:t>
      </w:r>
      <w:r>
        <w:rPr>
          <w:spacing w:val="-61"/>
        </w:rPr>
        <w:t> </w:t>
      </w:r>
      <w:r>
        <w:rPr>
          <w:spacing w:val="-61"/>
        </w:rPr>
      </w:r>
      <w:r>
        <w:rPr/>
        <w:t>P</w:t>
      </w:r>
    </w:p>
    <w:p>
      <w:pPr>
        <w:pStyle w:val="BodyText"/>
        <w:spacing w:line="250" w:lineRule="exact"/>
        <w:ind w:left="663" w:right="1354"/>
        <w:jc w:val="left"/>
      </w:pPr>
      <w:r>
        <w:rPr/>
        <w:t>ROE ＝</w:t>
      </w:r>
      <w:r>
        <w:rPr>
          <w:spacing w:val="-7"/>
        </w:rPr>
        <w:t> </w:t>
      </w:r>
      <w:r>
        <w:rPr/>
        <w:t>-----------------------------------------------------</w:t>
      </w:r>
    </w:p>
    <w:p>
      <w:pPr>
        <w:pStyle w:val="BodyText"/>
        <w:spacing w:line="240" w:lineRule="auto" w:before="44"/>
        <w:ind w:left="1505" w:right="1354"/>
        <w:jc w:val="left"/>
      </w:pPr>
      <w:r>
        <w:rPr/>
        <w:pict>
          <v:shape style="position:absolute;margin-left:103.08847pt;margin-top:12.241961pt;width:392.95pt;height:64.3pt;mso-position-horizontal-relative:page;mso-position-vertical-relative:paragraph;z-index:-553072;rotation:315" type="#_x0000_t136" fillcolor="#e0e0e0" stroked="f">
            <o:extrusion v:ext="view" autorotationcenter="t"/>
            <v:textpath style="font-family:&amp;quot;Arial&amp;quot;;font-size:64pt;v-text-kern:t;mso-text-shadow:auto" string="UnRegistered"/>
            <w10:wrap type="none"/>
          </v:shape>
        </w:pict>
      </w:r>
      <w:r>
        <w:rPr/>
        <w:t>E0 ＋ NP÷2 ＋ Ei×Mi÷M0 －</w:t>
      </w:r>
      <w:r>
        <w:rPr>
          <w:spacing w:val="-7"/>
        </w:rPr>
        <w:t> </w:t>
      </w:r>
      <w:r>
        <w:rPr/>
        <w:t>Ej×Mj÷M0±Ek×Mk÷M0</w:t>
      </w:r>
    </w:p>
    <w:p>
      <w:pPr>
        <w:spacing w:line="240" w:lineRule="auto" w:before="2"/>
        <w:rPr>
          <w:rFonts w:ascii="宋体" w:hAnsi="宋体" w:cs="宋体" w:eastAsia="宋体" w:hint="default"/>
          <w:sz w:val="19"/>
          <w:szCs w:val="19"/>
        </w:rPr>
      </w:pPr>
    </w:p>
    <w:p>
      <w:pPr>
        <w:pStyle w:val="BodyText"/>
        <w:spacing w:line="400" w:lineRule="auto"/>
        <w:ind w:left="243" w:right="1579" w:firstLine="420"/>
        <w:jc w:val="both"/>
      </w:pPr>
      <w:r>
        <w:rPr/>
        <w:t>其中：P</w:t>
      </w:r>
      <w:r>
        <w:rPr>
          <w:spacing w:val="-5"/>
        </w:rPr>
        <w:t> </w:t>
      </w:r>
      <w:r>
        <w:rPr/>
        <w:t>分别对应于归属于公司普通股股东的净利润、扣除非经常性损益后归属于公司普</w:t>
      </w:r>
      <w:r>
        <w:rPr>
          <w:w w:val="100"/>
        </w:rPr>
        <w:t> </w:t>
      </w:r>
      <w:r>
        <w:rPr>
          <w:spacing w:val="-6"/>
        </w:rPr>
        <w:t>通股股东的净利润；NP</w:t>
      </w:r>
      <w:r>
        <w:rPr>
          <w:spacing w:val="-40"/>
        </w:rPr>
        <w:t> </w:t>
      </w:r>
      <w:r>
        <w:rPr>
          <w:spacing w:val="-4"/>
        </w:rPr>
        <w:t>为归属于公司普通股股东的净利润；E0</w:t>
      </w:r>
      <w:r>
        <w:rPr>
          <w:spacing w:val="-40"/>
        </w:rPr>
        <w:t> </w:t>
      </w:r>
      <w:r>
        <w:rPr/>
        <w:t>为归属于公司普通股股东的期初</w:t>
      </w:r>
      <w:r>
        <w:rPr>
          <w:spacing w:val="-100"/>
        </w:rPr>
        <w:t> </w:t>
      </w:r>
      <w:r>
        <w:rPr>
          <w:spacing w:val="-100"/>
        </w:rPr>
      </w:r>
      <w:r>
        <w:rPr>
          <w:spacing w:val="-7"/>
        </w:rPr>
        <w:t>净资产；Ei</w:t>
      </w:r>
      <w:r>
        <w:rPr>
          <w:spacing w:val="-23"/>
        </w:rPr>
        <w:t> </w:t>
      </w:r>
      <w:r>
        <w:rPr>
          <w:spacing w:val="-4"/>
        </w:rPr>
        <w:t>为报告期发行新股或债转股等新增的、归属于公司普通股股东的净资产；Ej</w:t>
      </w:r>
      <w:r>
        <w:rPr>
          <w:spacing w:val="-23"/>
        </w:rPr>
        <w:t> </w:t>
      </w:r>
      <w:r>
        <w:rPr/>
        <w:t>为报告</w:t>
      </w:r>
      <w:r>
        <w:rPr>
          <w:spacing w:val="-93"/>
        </w:rPr>
        <w:t> </w:t>
      </w:r>
      <w:r>
        <w:rPr>
          <w:spacing w:val="-93"/>
        </w:rPr>
      </w:r>
      <w:r>
        <w:rPr>
          <w:spacing w:val="-4"/>
        </w:rPr>
        <w:t>期回购或现金分红等减少的、归属于公司普通股股东的净资产；M0</w:t>
      </w:r>
      <w:r>
        <w:rPr>
          <w:spacing w:val="-28"/>
        </w:rPr>
        <w:t> </w:t>
      </w:r>
      <w:r>
        <w:rPr>
          <w:spacing w:val="-5"/>
        </w:rPr>
        <w:t>为报告期月份数；Mi</w:t>
      </w:r>
      <w:r>
        <w:rPr>
          <w:spacing w:val="-28"/>
        </w:rPr>
        <w:t> </w:t>
      </w:r>
      <w:r>
        <w:rPr/>
        <w:t>为新增</w:t>
      </w:r>
      <w:r>
        <w:rPr>
          <w:spacing w:val="-94"/>
        </w:rPr>
        <w:t> </w:t>
      </w:r>
      <w:r>
        <w:rPr>
          <w:spacing w:val="-94"/>
        </w:rPr>
      </w:r>
      <w:r>
        <w:rPr/>
        <w:t>净资产下一月份起至报告期期末的月份数；Mj</w:t>
      </w:r>
      <w:r>
        <w:rPr>
          <w:spacing w:val="90"/>
        </w:rPr>
        <w:t> </w:t>
      </w:r>
      <w:r>
        <w:rPr/>
        <w:t>为减少净资产下一月份起至报告期期末的月份</w:t>
      </w:r>
      <w:r>
        <w:rPr>
          <w:spacing w:val="-91"/>
        </w:rPr>
        <w:t> </w:t>
      </w:r>
      <w:r>
        <w:rPr>
          <w:spacing w:val="-91"/>
        </w:rPr>
      </w:r>
      <w:r>
        <w:rPr>
          <w:spacing w:val="-13"/>
        </w:rPr>
        <w:t>数；Ek</w:t>
      </w:r>
      <w:r>
        <w:rPr>
          <w:spacing w:val="-41"/>
        </w:rPr>
        <w:t> </w:t>
      </w:r>
      <w:r>
        <w:rPr>
          <w:spacing w:val="-4"/>
        </w:rPr>
        <w:t>为因其他交易或事项引起的净资产增减变动；Mk</w:t>
      </w:r>
      <w:r>
        <w:rPr>
          <w:spacing w:val="-38"/>
        </w:rPr>
        <w:t> </w:t>
      </w:r>
      <w:r>
        <w:rPr/>
        <w:t>为发生其他净资产增减变动下一月份起</w:t>
      </w:r>
      <w:r>
        <w:rPr>
          <w:spacing w:val="-100"/>
        </w:rPr>
        <w:t> </w:t>
      </w:r>
      <w:r>
        <w:rPr>
          <w:spacing w:val="-100"/>
        </w:rPr>
      </w:r>
      <w:r>
        <w:rPr/>
        <w:t>至报告期期末的月份数。</w:t>
      </w:r>
    </w:p>
    <w:p>
      <w:pPr>
        <w:pStyle w:val="BodyText"/>
        <w:spacing w:line="480" w:lineRule="auto" w:before="165"/>
        <w:ind w:left="663" w:right="5440"/>
        <w:jc w:val="left"/>
      </w:pPr>
      <w:r>
        <w:rPr/>
        <w:t>②基本每股收益=P</w:t>
      </w:r>
      <w:r>
        <w:rPr>
          <w:rFonts w:ascii="Times New Roman" w:hAnsi="Times New Roman" w:cs="Times New Roman" w:eastAsia="Times New Roman" w:hint="default"/>
        </w:rPr>
        <w:t>÷</w:t>
      </w:r>
      <w:r>
        <w:rPr/>
        <w:t>S</w:t>
      </w:r>
      <w:r>
        <w:rPr>
          <w:w w:val="100"/>
        </w:rPr>
        <w:t> </w:t>
      </w:r>
      <w:r>
        <w:rPr>
          <w:spacing w:val="-1"/>
        </w:rPr>
        <w:t>S=S0＋S1＋Si</w:t>
      </w:r>
      <w:r>
        <w:rPr>
          <w:rFonts w:ascii="Times New Roman" w:hAnsi="Times New Roman" w:cs="Times New Roman" w:eastAsia="Times New Roman" w:hint="default"/>
          <w:spacing w:val="-1"/>
        </w:rPr>
        <w:t>×</w:t>
      </w:r>
      <w:r>
        <w:rPr>
          <w:spacing w:val="-1"/>
        </w:rPr>
        <w:t>Mi</w:t>
      </w:r>
      <w:r>
        <w:rPr>
          <w:rFonts w:ascii="Times New Roman" w:hAnsi="Times New Roman" w:cs="Times New Roman" w:eastAsia="Times New Roman" w:hint="default"/>
          <w:spacing w:val="-1"/>
        </w:rPr>
        <w:t>÷</w:t>
      </w:r>
      <w:r>
        <w:rPr>
          <w:spacing w:val="-1"/>
        </w:rPr>
        <w:t>M0－Sj</w:t>
      </w:r>
      <w:r>
        <w:rPr>
          <w:rFonts w:ascii="Times New Roman" w:hAnsi="Times New Roman" w:cs="Times New Roman" w:eastAsia="Times New Roman" w:hint="default"/>
          <w:spacing w:val="-1"/>
        </w:rPr>
        <w:t>×</w:t>
      </w:r>
      <w:r>
        <w:rPr>
          <w:spacing w:val="-1"/>
        </w:rPr>
        <w:t>Mj</w:t>
      </w:r>
      <w:r>
        <w:rPr>
          <w:rFonts w:ascii="Times New Roman" w:hAnsi="Times New Roman" w:cs="Times New Roman" w:eastAsia="Times New Roman" w:hint="default"/>
          <w:spacing w:val="-1"/>
        </w:rPr>
        <w:t>÷</w:t>
      </w:r>
      <w:r>
        <w:rPr>
          <w:spacing w:val="-1"/>
        </w:rPr>
        <w:t>M0－Sk</w:t>
      </w:r>
    </w:p>
    <w:p>
      <w:pPr>
        <w:pStyle w:val="BodyText"/>
        <w:spacing w:line="400" w:lineRule="auto" w:before="55"/>
        <w:ind w:left="243" w:right="1579" w:firstLine="420"/>
        <w:jc w:val="both"/>
      </w:pPr>
      <w:r>
        <w:rPr/>
        <w:t>其中：P</w:t>
      </w:r>
      <w:r>
        <w:rPr>
          <w:spacing w:val="-4"/>
        </w:rPr>
        <w:t> </w:t>
      </w:r>
      <w:r>
        <w:rPr/>
        <w:t>为归属于公司普通股股东的净利润或扣除非经常性损益后归属于普通股股东的净</w:t>
      </w:r>
      <w:r>
        <w:rPr>
          <w:w w:val="100"/>
        </w:rPr>
        <w:t> </w:t>
      </w:r>
      <w:r>
        <w:rPr>
          <w:spacing w:val="-5"/>
        </w:rPr>
        <w:t>利润；S</w:t>
      </w:r>
      <w:r>
        <w:rPr>
          <w:spacing w:val="-40"/>
        </w:rPr>
        <w:t> </w:t>
      </w:r>
      <w:r>
        <w:rPr>
          <w:spacing w:val="-3"/>
        </w:rPr>
        <w:t>为发行在外的普通股加权平均数；S0</w:t>
      </w:r>
      <w:r>
        <w:rPr>
          <w:spacing w:val="-40"/>
        </w:rPr>
        <w:t> </w:t>
      </w:r>
      <w:r>
        <w:rPr>
          <w:spacing w:val="-3"/>
        </w:rPr>
        <w:t>为期初股份总数；S1</w:t>
      </w:r>
      <w:r>
        <w:rPr>
          <w:spacing w:val="-40"/>
        </w:rPr>
        <w:t> </w:t>
      </w:r>
      <w:r>
        <w:rPr/>
        <w:t>为报告期因公积金转增股本</w:t>
      </w:r>
      <w:r>
        <w:rPr>
          <w:spacing w:val="-99"/>
        </w:rPr>
        <w:t> </w:t>
      </w:r>
      <w:r>
        <w:rPr>
          <w:spacing w:val="-99"/>
        </w:rPr>
      </w:r>
      <w:r>
        <w:rPr>
          <w:spacing w:val="-5"/>
        </w:rPr>
        <w:t>或股票股利分配等增加股份数；Si</w:t>
      </w:r>
      <w:r>
        <w:rPr>
          <w:spacing w:val="-27"/>
        </w:rPr>
        <w:t> </w:t>
      </w:r>
      <w:r>
        <w:rPr>
          <w:spacing w:val="-4"/>
        </w:rPr>
        <w:t>为报告期因发行新股或债转股等增加股份数；Sj</w:t>
      </w:r>
      <w:r>
        <w:rPr>
          <w:spacing w:val="-30"/>
        </w:rPr>
        <w:t> </w:t>
      </w:r>
      <w:r>
        <w:rPr/>
        <w:t>为报告期因</w:t>
      </w:r>
      <w:r>
        <w:rPr>
          <w:spacing w:val="-95"/>
        </w:rPr>
        <w:t> </w:t>
      </w:r>
      <w:r>
        <w:rPr>
          <w:spacing w:val="-95"/>
        </w:rPr>
      </w:r>
      <w:r>
        <w:rPr/>
        <w:t>回购等减少股份数；Sk</w:t>
      </w:r>
      <w:r>
        <w:rPr>
          <w:spacing w:val="-35"/>
        </w:rPr>
        <w:t> </w:t>
      </w:r>
      <w:r>
        <w:rPr/>
        <w:t>为报告期缩股数；M0</w:t>
      </w:r>
      <w:r>
        <w:rPr>
          <w:spacing w:val="-35"/>
        </w:rPr>
        <w:t> </w:t>
      </w:r>
      <w:r>
        <w:rPr/>
        <w:t>报告期月份数；Mi</w:t>
      </w:r>
      <w:r>
        <w:rPr>
          <w:spacing w:val="-38"/>
        </w:rPr>
        <w:t> </w:t>
      </w:r>
      <w:r>
        <w:rPr/>
        <w:t>为增加股份下一月份起至报告</w:t>
      </w:r>
      <w:r>
        <w:rPr>
          <w:w w:val="100"/>
        </w:rPr>
        <w:t> </w:t>
      </w:r>
      <w:r>
        <w:rPr>
          <w:spacing w:val="-2"/>
        </w:rPr>
        <w:t>期期末的月份数；Mj</w:t>
      </w:r>
      <w:r>
        <w:rPr>
          <w:spacing w:val="3"/>
        </w:rPr>
        <w:t> </w:t>
      </w:r>
      <w:r>
        <w:rPr>
          <w:spacing w:val="-2"/>
        </w:rPr>
        <w:t>为减少股份下一月份起至报告期期末的月份数。</w:t>
      </w:r>
    </w:p>
    <w:p>
      <w:pPr>
        <w:spacing w:after="0" w:line="400" w:lineRule="auto"/>
        <w:jc w:val="both"/>
        <w:sectPr>
          <w:pgSz w:w="11910" w:h="16840"/>
          <w:pgMar w:header="886" w:footer="837" w:top="1160" w:bottom="1020" w:left="1460" w:right="0"/>
        </w:sectPr>
      </w:pPr>
    </w:p>
    <w:p>
      <w:pPr>
        <w:spacing w:line="240" w:lineRule="auto" w:before="4"/>
        <w:rPr>
          <w:rFonts w:ascii="宋体" w:hAnsi="宋体" w:cs="宋体" w:eastAsia="宋体" w:hint="default"/>
          <w:sz w:val="22"/>
          <w:szCs w:val="22"/>
        </w:rPr>
      </w:pPr>
    </w:p>
    <w:p>
      <w:pPr>
        <w:pStyle w:val="BodyText"/>
        <w:spacing w:line="240" w:lineRule="auto" w:before="36"/>
        <w:ind w:left="123" w:right="0"/>
        <w:jc w:val="both"/>
      </w:pPr>
      <w:r>
        <w:rPr/>
        <w:t>③稀释每股收益的计算公式如下：</w:t>
      </w:r>
    </w:p>
    <w:p>
      <w:pPr>
        <w:spacing w:line="240" w:lineRule="auto" w:before="5"/>
        <w:rPr>
          <w:rFonts w:ascii="宋体" w:hAnsi="宋体" w:cs="宋体" w:eastAsia="宋体" w:hint="default"/>
          <w:sz w:val="23"/>
          <w:szCs w:val="23"/>
        </w:rPr>
      </w:pPr>
    </w:p>
    <w:p>
      <w:pPr>
        <w:pStyle w:val="BodyText"/>
        <w:spacing w:line="240" w:lineRule="auto"/>
        <w:ind w:left="543" w:right="1076"/>
        <w:jc w:val="left"/>
      </w:pPr>
      <w:r>
        <w:rPr/>
        <w:t>稀释每股收益＝</w:t>
      </w:r>
      <w:r>
        <w:rPr>
          <w:spacing w:val="-4"/>
        </w:rPr>
        <w:t> </w:t>
      </w:r>
      <w:r>
        <w:rPr/>
        <w:t>[P+(已确认为费用的稀释性潜在普通股利息－转换费用)×(1-所得税率)]</w:t>
      </w:r>
    </w:p>
    <w:p>
      <w:pPr>
        <w:spacing w:line="240" w:lineRule="auto" w:before="3"/>
        <w:rPr>
          <w:rFonts w:ascii="宋体" w:hAnsi="宋体" w:cs="宋体" w:eastAsia="宋体" w:hint="default"/>
          <w:sz w:val="14"/>
          <w:szCs w:val="14"/>
        </w:rPr>
      </w:pPr>
    </w:p>
    <w:p>
      <w:pPr>
        <w:pStyle w:val="BodyText"/>
        <w:spacing w:line="400" w:lineRule="auto"/>
        <w:ind w:left="123" w:right="1579"/>
        <w:jc w:val="both"/>
      </w:pPr>
      <w:r>
        <w:rPr>
          <w:spacing w:val="-1"/>
        </w:rPr>
        <w:t>÷(S0+S1+Si×Mi÷M0-Sj×Mj÷M0-Sk+认股权证、股份期权、可转换债券等增加的普通股加权</w:t>
      </w:r>
      <w:r>
        <w:rPr>
          <w:spacing w:val="-52"/>
        </w:rPr>
        <w:t> </w:t>
      </w:r>
      <w:r>
        <w:rPr>
          <w:spacing w:val="-52"/>
        </w:rPr>
      </w:r>
      <w:r>
        <w:rPr/>
        <w:t>平均数)</w:t>
      </w:r>
    </w:p>
    <w:p>
      <w:pPr>
        <w:pStyle w:val="BodyText"/>
        <w:spacing w:line="400" w:lineRule="auto" w:before="165"/>
        <w:ind w:left="123" w:right="1579"/>
        <w:jc w:val="both"/>
      </w:pPr>
      <w:r>
        <w:rPr>
          <w:spacing w:val="-5"/>
        </w:rPr>
        <w:t>其中：P</w:t>
      </w:r>
      <w:r>
        <w:rPr>
          <w:spacing w:val="-48"/>
        </w:rPr>
        <w:t> </w:t>
      </w:r>
      <w:r>
        <w:rPr>
          <w:spacing w:val="-3"/>
        </w:rPr>
        <w:t>为报告期利润；S0</w:t>
      </w:r>
      <w:r>
        <w:rPr>
          <w:spacing w:val="-46"/>
        </w:rPr>
        <w:t> </w:t>
      </w:r>
      <w:r>
        <w:rPr>
          <w:spacing w:val="-3"/>
        </w:rPr>
        <w:t>为期初股份总数；S1</w:t>
      </w:r>
      <w:r>
        <w:rPr>
          <w:spacing w:val="-48"/>
        </w:rPr>
        <w:t> </w:t>
      </w:r>
      <w:r>
        <w:rPr/>
        <w:t>为报告期因公积金转增股本或股票股利分配等</w:t>
      </w:r>
      <w:r>
        <w:rPr>
          <w:spacing w:val="-102"/>
        </w:rPr>
        <w:t> </w:t>
      </w:r>
      <w:r>
        <w:rPr>
          <w:spacing w:val="-102"/>
        </w:rPr>
      </w:r>
      <w:r>
        <w:rPr>
          <w:spacing w:val="-8"/>
        </w:rPr>
        <w:t>增加股份数；Si</w:t>
      </w:r>
      <w:r>
        <w:rPr>
          <w:spacing w:val="-35"/>
        </w:rPr>
        <w:t> </w:t>
      </w:r>
      <w:r>
        <w:rPr>
          <w:spacing w:val="-4"/>
        </w:rPr>
        <w:t>为报告期因发行新股或债转股等增加股份数；Sj</w:t>
      </w:r>
      <w:r>
        <w:rPr>
          <w:spacing w:val="-35"/>
        </w:rPr>
        <w:t> </w:t>
      </w:r>
      <w:r>
        <w:rPr/>
        <w:t>为报告期因回购或缩股等减少</w:t>
      </w:r>
      <w:r>
        <w:rPr>
          <w:spacing w:val="-98"/>
        </w:rPr>
        <w:t> </w:t>
      </w:r>
      <w:r>
        <w:rPr>
          <w:spacing w:val="-98"/>
        </w:rPr>
      </w:r>
      <w:r>
        <w:rPr/>
        <w:t>股份数；M0</w:t>
      </w:r>
      <w:r>
        <w:rPr>
          <w:spacing w:val="-36"/>
        </w:rPr>
        <w:t> </w:t>
      </w:r>
      <w:r>
        <w:rPr/>
        <w:t>为报告期月份数；Mi</w:t>
      </w:r>
      <w:r>
        <w:rPr>
          <w:spacing w:val="-36"/>
        </w:rPr>
        <w:t> </w:t>
      </w:r>
      <w:r>
        <w:rPr/>
        <w:t>为增加股份下一月份起至报告期期末的月份数；Mj</w:t>
      </w:r>
      <w:r>
        <w:rPr>
          <w:spacing w:val="-36"/>
        </w:rPr>
        <w:t> </w:t>
      </w:r>
      <w:r>
        <w:rPr/>
        <w:t>为减少股</w:t>
      </w:r>
      <w:r>
        <w:rPr>
          <w:w w:val="100"/>
        </w:rPr>
        <w:t> </w:t>
      </w:r>
      <w:r>
        <w:rPr/>
        <w:t>份下一月份起至报告期期末的月份数。</w:t>
      </w:r>
    </w:p>
    <w:p>
      <w:pPr>
        <w:spacing w:line="240" w:lineRule="auto" w:before="10"/>
        <w:rPr>
          <w:rFonts w:ascii="宋体" w:hAnsi="宋体" w:cs="宋体" w:eastAsia="宋体" w:hint="default"/>
          <w:sz w:val="21"/>
          <w:szCs w:val="21"/>
        </w:rPr>
      </w:pPr>
    </w:p>
    <w:p>
      <w:pPr>
        <w:pStyle w:val="BodyText"/>
        <w:spacing w:line="240" w:lineRule="auto"/>
        <w:ind w:left="123" w:right="0"/>
        <w:jc w:val="both"/>
      </w:pPr>
      <w:r>
        <w:rPr/>
        <w:t>（三）公司主要会计报表项目的异常情况及原因的说明</w:t>
      </w:r>
    </w:p>
    <w:p>
      <w:pPr>
        <w:spacing w:line="240" w:lineRule="auto" w:before="3"/>
        <w:rPr>
          <w:rFonts w:ascii="宋体" w:hAnsi="宋体" w:cs="宋体" w:eastAsia="宋体" w:hint="default"/>
          <w:sz w:val="23"/>
          <w:szCs w:val="23"/>
        </w:rPr>
      </w:pPr>
    </w:p>
    <w:p>
      <w:pPr>
        <w:pStyle w:val="BodyText"/>
        <w:spacing w:line="403" w:lineRule="auto"/>
        <w:ind w:left="123" w:right="1579" w:firstLine="420"/>
        <w:jc w:val="both"/>
      </w:pPr>
      <w:r>
        <w:rPr/>
        <w:t>1、货币资金</w:t>
      </w:r>
      <w:r>
        <w:rPr>
          <w:spacing w:val="-47"/>
        </w:rPr>
        <w:t> </w:t>
      </w:r>
      <w:r>
        <w:rPr/>
        <w:t>2011</w:t>
      </w:r>
      <w:r>
        <w:rPr>
          <w:spacing w:val="-44"/>
        </w:rPr>
        <w:t> </w:t>
      </w:r>
      <w:r>
        <w:rPr/>
        <w:t>年末较</w:t>
      </w:r>
      <w:r>
        <w:rPr>
          <w:spacing w:val="-47"/>
        </w:rPr>
        <w:t> </w:t>
      </w:r>
      <w:r>
        <w:rPr/>
        <w:t>2010</w:t>
      </w:r>
      <w:r>
        <w:rPr>
          <w:spacing w:val="-44"/>
        </w:rPr>
        <w:t> </w:t>
      </w:r>
      <w:r>
        <w:rPr/>
        <w:t>年末增加</w:t>
      </w:r>
      <w:r>
        <w:rPr>
          <w:spacing w:val="-44"/>
        </w:rPr>
        <w:t> </w:t>
      </w:r>
      <w:r>
        <w:rPr/>
        <w:t>181,589,956.95</w:t>
      </w:r>
      <w:r>
        <w:rPr>
          <w:spacing w:val="-45"/>
        </w:rPr>
        <w:t> </w:t>
      </w:r>
      <w:r>
        <w:rPr/>
        <w:t>元，增加</w:t>
      </w:r>
      <w:r>
        <w:rPr>
          <w:spacing w:val="-44"/>
        </w:rPr>
        <w:t> </w:t>
      </w:r>
      <w:r>
        <w:rPr/>
        <w:t>234.70%，是由于子公</w:t>
      </w:r>
      <w:r>
        <w:rPr>
          <w:w w:val="100"/>
        </w:rPr>
        <w:t> </w:t>
      </w:r>
      <w:r>
        <w:rPr>
          <w:spacing w:val="-2"/>
        </w:rPr>
        <w:t>司广州润龙房地产有限公司本期转让河南新景致房地产有限公司股权，收回相关代垫款和股权</w:t>
      </w:r>
      <w:r>
        <w:rPr>
          <w:spacing w:val="-27"/>
        </w:rPr>
        <w:t> </w:t>
      </w:r>
      <w:r>
        <w:rPr>
          <w:spacing w:val="-27"/>
        </w:rPr>
      </w:r>
      <w:r>
        <w:rPr/>
        <w:t>款共计元</w:t>
      </w:r>
      <w:r>
        <w:rPr>
          <w:spacing w:val="-57"/>
        </w:rPr>
        <w:t> </w:t>
      </w:r>
      <w:r>
        <w:rPr/>
        <w:t>15,600</w:t>
      </w:r>
      <w:r>
        <w:rPr>
          <w:spacing w:val="-57"/>
        </w:rPr>
        <w:t> </w:t>
      </w:r>
      <w:r>
        <w:rPr/>
        <w:t>万，以及子公司广州润龙房地产有限公司本期银行贷款增加共同影响所致。</w:t>
      </w:r>
    </w:p>
    <w:p>
      <w:pPr>
        <w:pStyle w:val="BodyText"/>
        <w:spacing w:line="403" w:lineRule="auto" w:before="160"/>
        <w:ind w:left="123" w:right="1579" w:firstLine="420"/>
        <w:jc w:val="both"/>
      </w:pPr>
      <w:r>
        <w:rPr/>
        <w:pict>
          <v:shape style="position:absolute;margin-left:103.08847pt;margin-top:17.441956pt;width:392.95pt;height:64.3pt;mso-position-horizontal-relative:page;mso-position-vertical-relative:paragraph;z-index:-553048;rotation:315" type="#_x0000_t136" fillcolor="#e0e0e0" stroked="f">
            <o:extrusion v:ext="view" autorotationcenter="t"/>
            <v:textpath style="font-family:&amp;quot;Arial&amp;quot;;font-size:64pt;v-text-kern:t;mso-text-shadow:auto" string="UnRegistered"/>
            <w10:wrap type="none"/>
          </v:shape>
        </w:pict>
      </w:r>
      <w:r>
        <w:rPr/>
        <w:t>2、交易性金融资产</w:t>
      </w:r>
      <w:r>
        <w:rPr>
          <w:spacing w:val="-53"/>
        </w:rPr>
        <w:t> </w:t>
      </w:r>
      <w:r>
        <w:rPr/>
        <w:t>2011</w:t>
      </w:r>
      <w:r>
        <w:rPr>
          <w:spacing w:val="-53"/>
        </w:rPr>
        <w:t> </w:t>
      </w:r>
      <w:r>
        <w:rPr/>
        <w:t>年末较</w:t>
      </w:r>
      <w:r>
        <w:rPr>
          <w:spacing w:val="-53"/>
        </w:rPr>
        <w:t> </w:t>
      </w:r>
      <w:r>
        <w:rPr/>
        <w:t>2010</w:t>
      </w:r>
      <w:r>
        <w:rPr>
          <w:spacing w:val="-53"/>
        </w:rPr>
        <w:t> </w:t>
      </w:r>
      <w:r>
        <w:rPr/>
        <w:t>年末增加</w:t>
      </w:r>
      <w:r>
        <w:rPr>
          <w:spacing w:val="-55"/>
        </w:rPr>
        <w:t> </w:t>
      </w:r>
      <w:r>
        <w:rPr/>
        <w:t>4,479,166.67</w:t>
      </w:r>
      <w:r>
        <w:rPr>
          <w:spacing w:val="-53"/>
        </w:rPr>
        <w:t> </w:t>
      </w:r>
      <w:r>
        <w:rPr/>
        <w:t>元，是由于子公司广州天利</w:t>
      </w:r>
      <w:r>
        <w:rPr>
          <w:w w:val="100"/>
        </w:rPr>
        <w:t> </w:t>
      </w:r>
      <w:r>
        <w:rPr/>
        <w:t>达实业有限公司本期购入基金所致。</w:t>
      </w:r>
    </w:p>
    <w:p>
      <w:pPr>
        <w:pStyle w:val="BodyText"/>
        <w:spacing w:line="400" w:lineRule="auto" w:before="163"/>
        <w:ind w:left="123" w:right="1579" w:firstLine="420"/>
        <w:jc w:val="both"/>
      </w:pPr>
      <w:r>
        <w:rPr/>
        <w:t>3、预付款项</w:t>
      </w:r>
      <w:r>
        <w:rPr>
          <w:spacing w:val="-47"/>
        </w:rPr>
        <w:t> </w:t>
      </w:r>
      <w:r>
        <w:rPr/>
        <w:t>2011</w:t>
      </w:r>
      <w:r>
        <w:rPr>
          <w:spacing w:val="-44"/>
        </w:rPr>
        <w:t> </w:t>
      </w:r>
      <w:r>
        <w:rPr/>
        <w:t>年末较</w:t>
      </w:r>
      <w:r>
        <w:rPr>
          <w:spacing w:val="-47"/>
        </w:rPr>
        <w:t> </w:t>
      </w:r>
      <w:r>
        <w:rPr/>
        <w:t>2010</w:t>
      </w:r>
      <w:r>
        <w:rPr>
          <w:spacing w:val="-44"/>
        </w:rPr>
        <w:t> </w:t>
      </w:r>
      <w:r>
        <w:rPr/>
        <w:t>年末减少</w:t>
      </w:r>
      <w:r>
        <w:rPr>
          <w:spacing w:val="-44"/>
        </w:rPr>
        <w:t> </w:t>
      </w:r>
      <w:r>
        <w:rPr/>
        <w:t>20,572,605.81</w:t>
      </w:r>
      <w:r>
        <w:rPr>
          <w:spacing w:val="-45"/>
        </w:rPr>
        <w:t> </w:t>
      </w:r>
      <w:r>
        <w:rPr/>
        <w:t>元，减少</w:t>
      </w:r>
      <w:r>
        <w:rPr>
          <w:spacing w:val="-44"/>
        </w:rPr>
        <w:t> </w:t>
      </w:r>
      <w:r>
        <w:rPr/>
        <w:t>94.33%，主要原因系子</w:t>
      </w:r>
      <w:r>
        <w:rPr>
          <w:w w:val="100"/>
        </w:rPr>
        <w:t> </w:t>
      </w:r>
      <w:r>
        <w:rPr>
          <w:spacing w:val="-2"/>
        </w:rPr>
        <w:t>公司广州润龙房地产有限公司本期转让河南新景致房地产有限公司股权，该公司账面预付账款</w:t>
      </w:r>
      <w:r>
        <w:rPr>
          <w:spacing w:val="-28"/>
        </w:rPr>
        <w:t> </w:t>
      </w:r>
      <w:r>
        <w:rPr>
          <w:spacing w:val="-28"/>
        </w:rPr>
      </w:r>
      <w:r>
        <w:rPr/>
        <w:t>不再纳入本期会计报表所致。</w:t>
      </w:r>
    </w:p>
    <w:p>
      <w:pPr>
        <w:pStyle w:val="BodyText"/>
        <w:spacing w:line="400" w:lineRule="auto" w:before="165"/>
        <w:ind w:left="123" w:right="1579" w:firstLine="420"/>
        <w:jc w:val="both"/>
      </w:pPr>
      <w:r>
        <w:rPr/>
        <w:t>4、存货</w:t>
      </w:r>
      <w:r>
        <w:rPr>
          <w:spacing w:val="-54"/>
        </w:rPr>
        <w:t> </w:t>
      </w:r>
      <w:r>
        <w:rPr/>
        <w:t>2011</w:t>
      </w:r>
      <w:r>
        <w:rPr>
          <w:spacing w:val="-52"/>
        </w:rPr>
        <w:t> </w:t>
      </w:r>
      <w:r>
        <w:rPr/>
        <w:t>年末较</w:t>
      </w:r>
      <w:r>
        <w:rPr>
          <w:spacing w:val="-52"/>
        </w:rPr>
        <w:t> </w:t>
      </w:r>
      <w:r>
        <w:rPr/>
        <w:t>2010</w:t>
      </w:r>
      <w:r>
        <w:rPr>
          <w:spacing w:val="-54"/>
        </w:rPr>
        <w:t> </w:t>
      </w:r>
      <w:r>
        <w:rPr/>
        <w:t>年减少</w:t>
      </w:r>
      <w:r>
        <w:rPr>
          <w:spacing w:val="-52"/>
        </w:rPr>
        <w:t> </w:t>
      </w:r>
      <w:r>
        <w:rPr/>
        <w:t>176,988,048.46</w:t>
      </w:r>
      <w:r>
        <w:rPr>
          <w:spacing w:val="-54"/>
        </w:rPr>
        <w:t> </w:t>
      </w:r>
      <w:r>
        <w:rPr/>
        <w:t>元，主要原因系子公司广州润龙房地产</w:t>
      </w:r>
      <w:r>
        <w:rPr>
          <w:w w:val="100"/>
        </w:rPr>
        <w:t> </w:t>
      </w:r>
      <w:r>
        <w:rPr>
          <w:spacing w:val="-2"/>
        </w:rPr>
        <w:t>有限公司本期转让河南新景致房地产有限公司股权，该公司账面存货不再纳入本期会计报表所</w:t>
      </w:r>
      <w:r>
        <w:rPr>
          <w:spacing w:val="-28"/>
        </w:rPr>
        <w:t> </w:t>
      </w:r>
      <w:r>
        <w:rPr>
          <w:spacing w:val="-28"/>
        </w:rPr>
      </w:r>
      <w:r>
        <w:rPr/>
        <w:t>致。</w:t>
      </w:r>
    </w:p>
    <w:p>
      <w:pPr>
        <w:pStyle w:val="BodyText"/>
        <w:spacing w:line="400" w:lineRule="auto" w:before="165"/>
        <w:ind w:left="123" w:right="1579" w:firstLine="420"/>
        <w:jc w:val="both"/>
      </w:pPr>
      <w:r>
        <w:rPr/>
        <w:t>5、在建工程</w:t>
      </w:r>
      <w:r>
        <w:rPr>
          <w:spacing w:val="-47"/>
        </w:rPr>
        <w:t> </w:t>
      </w:r>
      <w:r>
        <w:rPr/>
        <w:t>2011</w:t>
      </w:r>
      <w:r>
        <w:rPr>
          <w:spacing w:val="-44"/>
        </w:rPr>
        <w:t> </w:t>
      </w:r>
      <w:r>
        <w:rPr/>
        <w:t>年末较</w:t>
      </w:r>
      <w:r>
        <w:rPr>
          <w:spacing w:val="-47"/>
        </w:rPr>
        <w:t> </w:t>
      </w:r>
      <w:r>
        <w:rPr/>
        <w:t>2010</w:t>
      </w:r>
      <w:r>
        <w:rPr>
          <w:spacing w:val="-44"/>
        </w:rPr>
        <w:t> </w:t>
      </w:r>
      <w:r>
        <w:rPr/>
        <w:t>年末增加</w:t>
      </w:r>
      <w:r>
        <w:rPr>
          <w:spacing w:val="-44"/>
        </w:rPr>
        <w:t> </w:t>
      </w:r>
      <w:r>
        <w:rPr/>
        <w:t>32,154,176.65</w:t>
      </w:r>
      <w:r>
        <w:rPr>
          <w:spacing w:val="-45"/>
        </w:rPr>
        <w:t> </w:t>
      </w:r>
      <w:r>
        <w:rPr/>
        <w:t>元，增长</w:t>
      </w:r>
      <w:r>
        <w:rPr>
          <w:spacing w:val="-44"/>
        </w:rPr>
        <w:t> </w:t>
      </w:r>
      <w:r>
        <w:rPr/>
        <w:t>35.81%，是由于子公司</w:t>
      </w:r>
      <w:r>
        <w:rPr>
          <w:w w:val="100"/>
        </w:rPr>
        <w:t> </w:t>
      </w:r>
      <w:r>
        <w:rPr/>
        <w:t>贵州六盘水吉源煤业有限公司新增工程支出所致。</w:t>
      </w:r>
    </w:p>
    <w:p>
      <w:pPr>
        <w:pStyle w:val="BodyText"/>
        <w:spacing w:line="403" w:lineRule="auto" w:before="165"/>
        <w:ind w:left="123" w:right="1579" w:firstLine="420"/>
        <w:jc w:val="both"/>
      </w:pPr>
      <w:r>
        <w:rPr/>
        <w:t>6、长期待摊费用</w:t>
      </w:r>
      <w:r>
        <w:rPr>
          <w:spacing w:val="-47"/>
        </w:rPr>
        <w:t> </w:t>
      </w:r>
      <w:r>
        <w:rPr/>
        <w:t>2011</w:t>
      </w:r>
      <w:r>
        <w:rPr>
          <w:spacing w:val="-44"/>
        </w:rPr>
        <w:t> </w:t>
      </w:r>
      <w:r>
        <w:rPr/>
        <w:t>年末较</w:t>
      </w:r>
      <w:r>
        <w:rPr>
          <w:spacing w:val="-44"/>
        </w:rPr>
        <w:t> </w:t>
      </w:r>
      <w:r>
        <w:rPr/>
        <w:t>2010</w:t>
      </w:r>
      <w:r>
        <w:rPr>
          <w:spacing w:val="-47"/>
        </w:rPr>
        <w:t> </w:t>
      </w:r>
      <w:r>
        <w:rPr/>
        <w:t>年末增加</w:t>
      </w:r>
      <w:r>
        <w:rPr>
          <w:spacing w:val="-44"/>
        </w:rPr>
        <w:t> </w:t>
      </w:r>
      <w:r>
        <w:rPr/>
        <w:t>6,320,000.00</w:t>
      </w:r>
      <w:r>
        <w:rPr>
          <w:spacing w:val="-47"/>
        </w:rPr>
        <w:t> </w:t>
      </w:r>
      <w:r>
        <w:rPr/>
        <w:t>元，增长</w:t>
      </w:r>
      <w:r>
        <w:rPr>
          <w:spacing w:val="-44"/>
        </w:rPr>
        <w:t> </w:t>
      </w:r>
      <w:r>
        <w:rPr/>
        <w:t>842.67%，是由于子</w:t>
      </w:r>
      <w:r>
        <w:rPr>
          <w:w w:val="100"/>
        </w:rPr>
        <w:t> </w:t>
      </w:r>
      <w:r>
        <w:rPr/>
        <w:t>公司广州为众物业管理有限公司新增装修工程支出所致。</w:t>
      </w:r>
    </w:p>
    <w:p>
      <w:pPr>
        <w:pStyle w:val="BodyText"/>
        <w:spacing w:line="403" w:lineRule="auto" w:before="160"/>
        <w:ind w:left="123" w:right="1581" w:firstLine="420"/>
        <w:jc w:val="both"/>
      </w:pPr>
      <w:r>
        <w:rPr>
          <w:spacing w:val="-3"/>
        </w:rPr>
        <w:t>7、递延所得税资产</w:t>
      </w:r>
      <w:r>
        <w:rPr>
          <w:spacing w:val="-49"/>
        </w:rPr>
        <w:t> </w:t>
      </w:r>
      <w:r>
        <w:rPr/>
        <w:t>2011</w:t>
      </w:r>
      <w:r>
        <w:rPr>
          <w:spacing w:val="-51"/>
        </w:rPr>
        <w:t> </w:t>
      </w:r>
      <w:r>
        <w:rPr/>
        <w:t>年末较</w:t>
      </w:r>
      <w:r>
        <w:rPr>
          <w:spacing w:val="-49"/>
        </w:rPr>
        <w:t> </w:t>
      </w:r>
      <w:r>
        <w:rPr/>
        <w:t>2010</w:t>
      </w:r>
      <w:r>
        <w:rPr>
          <w:spacing w:val="-49"/>
        </w:rPr>
        <w:t> </w:t>
      </w:r>
      <w:r>
        <w:rPr/>
        <w:t>年减少</w:t>
      </w:r>
      <w:r>
        <w:rPr>
          <w:spacing w:val="-51"/>
        </w:rPr>
        <w:t> </w:t>
      </w:r>
      <w:r>
        <w:rPr/>
        <w:t>3,389,330.02</w:t>
      </w:r>
      <w:r>
        <w:rPr>
          <w:spacing w:val="-49"/>
        </w:rPr>
        <w:t> </w:t>
      </w:r>
      <w:r>
        <w:rPr>
          <w:spacing w:val="-5"/>
        </w:rPr>
        <w:t>元，减少</w:t>
      </w:r>
      <w:r>
        <w:rPr>
          <w:spacing w:val="-51"/>
        </w:rPr>
        <w:t> </w:t>
      </w:r>
      <w:r>
        <w:rPr>
          <w:spacing w:val="-3"/>
        </w:rPr>
        <w:t>80.01%，是由于子公</w:t>
      </w:r>
      <w:r>
        <w:rPr>
          <w:w w:val="100"/>
        </w:rPr>
        <w:t> </w:t>
      </w:r>
      <w:r>
        <w:rPr>
          <w:spacing w:val="-2"/>
        </w:rPr>
        <w:t>司广州润龙房地产有限公司以本期利润弥补以前年度亏损而转回可抵扣亏损对应的递延所得税</w:t>
      </w:r>
      <w:r>
        <w:rPr>
          <w:spacing w:val="-28"/>
        </w:rPr>
        <w:t> </w:t>
      </w:r>
      <w:r>
        <w:rPr>
          <w:spacing w:val="-28"/>
        </w:rPr>
      </w:r>
      <w:r>
        <w:rPr>
          <w:spacing w:val="-2"/>
        </w:rPr>
        <w:t>资产，以及本期转让河南新景致房地产有限公司股权，其账面递延所得税资产相应转出共同影</w:t>
      </w:r>
    </w:p>
    <w:p>
      <w:pPr>
        <w:spacing w:after="0" w:line="403" w:lineRule="auto"/>
        <w:jc w:val="both"/>
        <w:sectPr>
          <w:pgSz w:w="11910" w:h="16840"/>
          <w:pgMar w:header="886" w:footer="837" w:top="1160" w:bottom="1020" w:left="1580" w:right="0"/>
        </w:sectPr>
      </w:pPr>
    </w:p>
    <w:p>
      <w:pPr>
        <w:spacing w:line="240" w:lineRule="auto" w:before="4"/>
        <w:rPr>
          <w:rFonts w:ascii="宋体" w:hAnsi="宋体" w:cs="宋体" w:eastAsia="宋体" w:hint="default"/>
          <w:sz w:val="22"/>
          <w:szCs w:val="22"/>
        </w:rPr>
      </w:pPr>
    </w:p>
    <w:p>
      <w:pPr>
        <w:pStyle w:val="BodyText"/>
        <w:spacing w:line="240" w:lineRule="auto" w:before="36"/>
        <w:ind w:left="123" w:right="1076"/>
        <w:jc w:val="left"/>
      </w:pPr>
      <w:r>
        <w:rPr/>
        <w:t>响所致。</w:t>
      </w:r>
    </w:p>
    <w:p>
      <w:pPr>
        <w:spacing w:line="240" w:lineRule="auto" w:before="5"/>
        <w:rPr>
          <w:rFonts w:ascii="宋体" w:hAnsi="宋体" w:cs="宋体" w:eastAsia="宋体" w:hint="default"/>
          <w:sz w:val="23"/>
          <w:szCs w:val="23"/>
        </w:rPr>
      </w:pPr>
    </w:p>
    <w:p>
      <w:pPr>
        <w:pStyle w:val="BodyText"/>
        <w:spacing w:line="403" w:lineRule="auto"/>
        <w:ind w:left="123" w:right="1579" w:firstLine="420"/>
        <w:jc w:val="both"/>
      </w:pPr>
      <w:r>
        <w:rPr>
          <w:spacing w:val="-4"/>
        </w:rPr>
        <w:t>8、应付账款</w:t>
      </w:r>
      <w:r>
        <w:rPr>
          <w:spacing w:val="-48"/>
        </w:rPr>
        <w:t> </w:t>
      </w:r>
      <w:r>
        <w:rPr/>
        <w:t>2011</w:t>
      </w:r>
      <w:r>
        <w:rPr>
          <w:spacing w:val="-51"/>
        </w:rPr>
        <w:t> </w:t>
      </w:r>
      <w:r>
        <w:rPr/>
        <w:t>年末较</w:t>
      </w:r>
      <w:r>
        <w:rPr>
          <w:spacing w:val="-48"/>
        </w:rPr>
        <w:t> </w:t>
      </w:r>
      <w:r>
        <w:rPr/>
        <w:t>2010</w:t>
      </w:r>
      <w:r>
        <w:rPr>
          <w:spacing w:val="-48"/>
        </w:rPr>
        <w:t> </w:t>
      </w:r>
      <w:r>
        <w:rPr/>
        <w:t>年末减少</w:t>
      </w:r>
      <w:r>
        <w:rPr>
          <w:spacing w:val="-48"/>
        </w:rPr>
        <w:t> </w:t>
      </w:r>
      <w:r>
        <w:rPr/>
        <w:t>1,684,758.60</w:t>
      </w:r>
      <w:r>
        <w:rPr>
          <w:spacing w:val="-48"/>
        </w:rPr>
        <w:t> </w:t>
      </w:r>
      <w:r>
        <w:rPr>
          <w:spacing w:val="-6"/>
        </w:rPr>
        <w:t>元，减少</w:t>
      </w:r>
      <w:r>
        <w:rPr>
          <w:spacing w:val="-48"/>
        </w:rPr>
        <w:t> </w:t>
      </w:r>
      <w:r>
        <w:rPr>
          <w:spacing w:val="-3"/>
        </w:rPr>
        <w:t>38.85%，主要是由于属下</w:t>
      </w:r>
      <w:r>
        <w:rPr>
          <w:w w:val="100"/>
        </w:rPr>
        <w:t> </w:t>
      </w:r>
      <w:r>
        <w:rPr/>
        <w:t>子公司贵州六盘水吉源煤业有限公司本期增加应付工程款的支付。</w:t>
      </w:r>
    </w:p>
    <w:p>
      <w:pPr>
        <w:pStyle w:val="BodyText"/>
        <w:spacing w:line="403" w:lineRule="auto" w:before="160"/>
        <w:ind w:left="123" w:right="1579" w:firstLine="420"/>
        <w:jc w:val="both"/>
      </w:pPr>
      <w:r>
        <w:rPr/>
        <w:t>9、长期借款</w:t>
      </w:r>
      <w:r>
        <w:rPr>
          <w:spacing w:val="-47"/>
        </w:rPr>
        <w:t> </w:t>
      </w:r>
      <w:r>
        <w:rPr/>
        <w:t>2011</w:t>
      </w:r>
      <w:r>
        <w:rPr>
          <w:spacing w:val="-44"/>
        </w:rPr>
        <w:t> </w:t>
      </w:r>
      <w:r>
        <w:rPr/>
        <w:t>年末较</w:t>
      </w:r>
      <w:r>
        <w:rPr>
          <w:spacing w:val="-47"/>
        </w:rPr>
        <w:t> </w:t>
      </w:r>
      <w:r>
        <w:rPr/>
        <w:t>2010</w:t>
      </w:r>
      <w:r>
        <w:rPr>
          <w:spacing w:val="-44"/>
        </w:rPr>
        <w:t> </w:t>
      </w:r>
      <w:r>
        <w:rPr/>
        <w:t>年末增加</w:t>
      </w:r>
      <w:r>
        <w:rPr>
          <w:spacing w:val="-44"/>
        </w:rPr>
        <w:t> </w:t>
      </w:r>
      <w:r>
        <w:rPr/>
        <w:t>75,000,000.00</w:t>
      </w:r>
      <w:r>
        <w:rPr>
          <w:spacing w:val="-45"/>
        </w:rPr>
        <w:t> </w:t>
      </w:r>
      <w:r>
        <w:rPr/>
        <w:t>元，增长</w:t>
      </w:r>
      <w:r>
        <w:rPr>
          <w:spacing w:val="-44"/>
        </w:rPr>
        <w:t> </w:t>
      </w:r>
      <w:r>
        <w:rPr/>
        <w:t>32.72%，主要是由于子</w:t>
      </w:r>
      <w:r>
        <w:rPr>
          <w:w w:val="100"/>
        </w:rPr>
        <w:t> </w:t>
      </w:r>
      <w:r>
        <w:rPr/>
        <w:t>公司广州润龙房地产有限公司本期新增银行借款所致。</w:t>
      </w:r>
    </w:p>
    <w:p>
      <w:pPr>
        <w:pStyle w:val="BodyText"/>
        <w:spacing w:line="400" w:lineRule="auto" w:before="163"/>
        <w:ind w:left="123" w:right="1581" w:firstLine="420"/>
        <w:jc w:val="both"/>
      </w:pPr>
      <w:r>
        <w:rPr>
          <w:spacing w:val="-3"/>
        </w:rPr>
        <w:t>10、递延所得税负债</w:t>
      </w:r>
      <w:r>
        <w:rPr>
          <w:spacing w:val="-49"/>
        </w:rPr>
        <w:t> </w:t>
      </w:r>
      <w:r>
        <w:rPr/>
        <w:t>2011</w:t>
      </w:r>
      <w:r>
        <w:rPr>
          <w:spacing w:val="-51"/>
        </w:rPr>
        <w:t> </w:t>
      </w:r>
      <w:r>
        <w:rPr/>
        <w:t>年末较</w:t>
      </w:r>
      <w:r>
        <w:rPr>
          <w:spacing w:val="-49"/>
        </w:rPr>
        <w:t> </w:t>
      </w:r>
      <w:r>
        <w:rPr/>
        <w:t>2010</w:t>
      </w:r>
      <w:r>
        <w:rPr>
          <w:spacing w:val="-49"/>
        </w:rPr>
        <w:t> </w:t>
      </w:r>
      <w:r>
        <w:rPr/>
        <w:t>年减少</w:t>
      </w:r>
      <w:r>
        <w:rPr>
          <w:spacing w:val="-51"/>
        </w:rPr>
        <w:t> </w:t>
      </w:r>
      <w:r>
        <w:rPr/>
        <w:t>32,518,143.77</w:t>
      </w:r>
      <w:r>
        <w:rPr>
          <w:spacing w:val="-51"/>
        </w:rPr>
        <w:t> </w:t>
      </w:r>
      <w:r>
        <w:rPr>
          <w:spacing w:val="-5"/>
        </w:rPr>
        <w:t>元，减少</w:t>
      </w:r>
      <w:r>
        <w:rPr>
          <w:spacing w:val="-49"/>
        </w:rPr>
        <w:t> </w:t>
      </w:r>
      <w:r>
        <w:rPr>
          <w:spacing w:val="-3"/>
        </w:rPr>
        <w:t>96.15%，主要原因</w:t>
      </w:r>
      <w:r>
        <w:rPr>
          <w:w w:val="100"/>
        </w:rPr>
        <w:t> </w:t>
      </w:r>
      <w:r>
        <w:rPr>
          <w:spacing w:val="-2"/>
        </w:rPr>
        <w:t>系子公司广州润龙房地产有限公司本期转让河南新景致房地产有限公司股权，该公司原土地账</w:t>
      </w:r>
      <w:r>
        <w:rPr>
          <w:spacing w:val="-27"/>
        </w:rPr>
        <w:t> </w:t>
      </w:r>
      <w:r>
        <w:rPr>
          <w:spacing w:val="-27"/>
        </w:rPr>
      </w:r>
      <w:r>
        <w:rPr/>
        <w:t>面值大于计税价值影响数所计提的递延所得税负债相应转出所致。</w:t>
      </w:r>
    </w:p>
    <w:p>
      <w:pPr>
        <w:pStyle w:val="BodyText"/>
        <w:spacing w:line="400" w:lineRule="auto" w:before="165"/>
        <w:ind w:left="123" w:right="1579" w:firstLine="420"/>
        <w:jc w:val="both"/>
      </w:pPr>
      <w:r>
        <w:rPr/>
        <w:t>11、销售费用</w:t>
      </w:r>
      <w:r>
        <w:rPr>
          <w:spacing w:val="-46"/>
        </w:rPr>
        <w:t> </w:t>
      </w:r>
      <w:r>
        <w:rPr/>
        <w:t>2011</w:t>
      </w:r>
      <w:r>
        <w:rPr>
          <w:spacing w:val="-48"/>
        </w:rPr>
        <w:t> </w:t>
      </w:r>
      <w:r>
        <w:rPr/>
        <w:t>年度较</w:t>
      </w:r>
      <w:r>
        <w:rPr>
          <w:spacing w:val="-45"/>
        </w:rPr>
        <w:t> </w:t>
      </w:r>
      <w:r>
        <w:rPr/>
        <w:t>2010</w:t>
      </w:r>
      <w:r>
        <w:rPr>
          <w:spacing w:val="-45"/>
        </w:rPr>
        <w:t> </w:t>
      </w:r>
      <w:r>
        <w:rPr/>
        <w:t>年度增加</w:t>
      </w:r>
      <w:r>
        <w:rPr>
          <w:spacing w:val="-45"/>
        </w:rPr>
        <w:t> </w:t>
      </w:r>
      <w:r>
        <w:rPr/>
        <w:t>128,879.28</w:t>
      </w:r>
      <w:r>
        <w:rPr>
          <w:spacing w:val="-46"/>
        </w:rPr>
        <w:t> </w:t>
      </w:r>
      <w:r>
        <w:rPr/>
        <w:t>元，增加</w:t>
      </w:r>
      <w:r>
        <w:rPr>
          <w:spacing w:val="-45"/>
        </w:rPr>
        <w:t> </w:t>
      </w:r>
      <w:r>
        <w:rPr/>
        <w:t>55.93%，主要原因系职工</w:t>
      </w:r>
      <w:r>
        <w:rPr>
          <w:w w:val="100"/>
        </w:rPr>
        <w:t> </w:t>
      </w:r>
      <w:r>
        <w:rPr/>
        <w:t>薪酬本期增加所致。</w:t>
      </w:r>
    </w:p>
    <w:p>
      <w:pPr>
        <w:pStyle w:val="BodyText"/>
        <w:spacing w:line="403" w:lineRule="auto" w:before="165"/>
        <w:ind w:left="123" w:right="1579" w:firstLine="420"/>
        <w:jc w:val="both"/>
      </w:pPr>
      <w:r>
        <w:rPr>
          <w:spacing w:val="-3"/>
        </w:rPr>
        <w:t>12、资产减值损失</w:t>
      </w:r>
      <w:r>
        <w:rPr>
          <w:spacing w:val="-49"/>
        </w:rPr>
        <w:t> </w:t>
      </w:r>
      <w:r>
        <w:rPr/>
        <w:t>2011</w:t>
      </w:r>
      <w:r>
        <w:rPr>
          <w:spacing w:val="-49"/>
        </w:rPr>
        <w:t> </w:t>
      </w:r>
      <w:r>
        <w:rPr/>
        <w:t>年度较</w:t>
      </w:r>
      <w:r>
        <w:rPr>
          <w:spacing w:val="-47"/>
        </w:rPr>
        <w:t> </w:t>
      </w:r>
      <w:r>
        <w:rPr/>
        <w:t>2010</w:t>
      </w:r>
      <w:r>
        <w:rPr>
          <w:spacing w:val="-49"/>
        </w:rPr>
        <w:t> </w:t>
      </w:r>
      <w:r>
        <w:rPr/>
        <w:t>年度减少</w:t>
      </w:r>
      <w:r>
        <w:rPr>
          <w:spacing w:val="-49"/>
        </w:rPr>
        <w:t> </w:t>
      </w:r>
      <w:r>
        <w:rPr/>
        <w:t>61,307.35</w:t>
      </w:r>
      <w:r>
        <w:rPr>
          <w:spacing w:val="-49"/>
        </w:rPr>
        <w:t> </w:t>
      </w:r>
      <w:r>
        <w:rPr>
          <w:spacing w:val="-5"/>
        </w:rPr>
        <w:t>元，减少</w:t>
      </w:r>
      <w:r>
        <w:rPr>
          <w:spacing w:val="-47"/>
        </w:rPr>
        <w:t> </w:t>
      </w:r>
      <w:r>
        <w:rPr>
          <w:spacing w:val="-3"/>
        </w:rPr>
        <w:t>35.78%，是由于公司坏</w:t>
      </w:r>
      <w:r>
        <w:rPr>
          <w:w w:val="100"/>
        </w:rPr>
        <w:t> </w:t>
      </w:r>
      <w:r>
        <w:rPr/>
        <w:t>账准备本报告期计提减少。</w:t>
      </w:r>
    </w:p>
    <w:p>
      <w:pPr>
        <w:pStyle w:val="BodyText"/>
        <w:spacing w:line="403" w:lineRule="auto" w:before="160"/>
        <w:ind w:left="123" w:right="1579" w:firstLine="420"/>
        <w:jc w:val="both"/>
      </w:pPr>
      <w:r>
        <w:rPr/>
        <w:pict>
          <v:shape style="position:absolute;margin-left:103.08847pt;margin-top:17.441956pt;width:392.95pt;height:64.3pt;mso-position-horizontal-relative:page;mso-position-vertical-relative:paragraph;z-index:-553024;rotation:315" type="#_x0000_t136" fillcolor="#e0e0e0" stroked="f">
            <o:extrusion v:ext="view" autorotationcenter="t"/>
            <v:textpath style="font-family:&amp;quot;Arial&amp;quot;;font-size:64pt;v-text-kern:t;mso-text-shadow:auto" string="UnRegistered"/>
            <w10:wrap type="none"/>
          </v:shape>
        </w:pict>
      </w:r>
      <w:r>
        <w:rPr>
          <w:spacing w:val="-6"/>
        </w:rPr>
        <w:t>13、公允价值变动收益</w:t>
      </w:r>
      <w:r>
        <w:rPr>
          <w:spacing w:val="-50"/>
        </w:rPr>
        <w:t> </w:t>
      </w:r>
      <w:r>
        <w:rPr/>
        <w:t>2011</w:t>
      </w:r>
      <w:r>
        <w:rPr>
          <w:spacing w:val="-47"/>
        </w:rPr>
        <w:t> </w:t>
      </w:r>
      <w:r>
        <w:rPr/>
        <w:t>年度较</w:t>
      </w:r>
      <w:r>
        <w:rPr>
          <w:spacing w:val="-47"/>
        </w:rPr>
        <w:t> </w:t>
      </w:r>
      <w:r>
        <w:rPr/>
        <w:t>2010</w:t>
      </w:r>
      <w:r>
        <w:rPr>
          <w:spacing w:val="-50"/>
        </w:rPr>
        <w:t> </w:t>
      </w:r>
      <w:r>
        <w:rPr/>
        <w:t>年度减少</w:t>
      </w:r>
      <w:r>
        <w:rPr>
          <w:spacing w:val="-47"/>
        </w:rPr>
        <w:t> </w:t>
      </w:r>
      <w:r>
        <w:rPr/>
        <w:t>842,950.79</w:t>
      </w:r>
      <w:r>
        <w:rPr>
          <w:spacing w:val="-50"/>
        </w:rPr>
        <w:t> </w:t>
      </w:r>
      <w:r>
        <w:rPr>
          <w:spacing w:val="-6"/>
        </w:rPr>
        <w:t>元，是由于子公司广州天利</w:t>
      </w:r>
      <w:r>
        <w:rPr>
          <w:w w:val="100"/>
        </w:rPr>
        <w:t> </w:t>
      </w:r>
      <w:r>
        <w:rPr/>
        <w:t>达实业有限公司本期购入基金，本期发生额为此基金的公允价值变动额。</w:t>
      </w:r>
    </w:p>
    <w:p>
      <w:pPr>
        <w:pStyle w:val="BodyText"/>
        <w:spacing w:line="400" w:lineRule="auto" w:before="163"/>
        <w:ind w:left="123" w:right="1579" w:firstLine="420"/>
        <w:jc w:val="both"/>
      </w:pPr>
      <w:r>
        <w:rPr>
          <w:spacing w:val="-3"/>
        </w:rPr>
        <w:t>14、投资收益</w:t>
      </w:r>
      <w:r>
        <w:rPr>
          <w:spacing w:val="-56"/>
        </w:rPr>
        <w:t> </w:t>
      </w:r>
      <w:r>
        <w:rPr/>
        <w:t>2011</w:t>
      </w:r>
      <w:r>
        <w:rPr>
          <w:spacing w:val="-54"/>
        </w:rPr>
        <w:t> </w:t>
      </w:r>
      <w:r>
        <w:rPr/>
        <w:t>年度较</w:t>
      </w:r>
      <w:r>
        <w:rPr>
          <w:spacing w:val="-56"/>
        </w:rPr>
        <w:t> </w:t>
      </w:r>
      <w:r>
        <w:rPr/>
        <w:t>2010</w:t>
      </w:r>
      <w:r>
        <w:rPr>
          <w:spacing w:val="-56"/>
        </w:rPr>
        <w:t> </w:t>
      </w:r>
      <w:r>
        <w:rPr/>
        <w:t>年度增加</w:t>
      </w:r>
      <w:r>
        <w:rPr>
          <w:spacing w:val="-54"/>
        </w:rPr>
        <w:t> </w:t>
      </w:r>
      <w:r>
        <w:rPr/>
        <w:t>21,909,675.66</w:t>
      </w:r>
      <w:r>
        <w:rPr>
          <w:spacing w:val="-54"/>
        </w:rPr>
        <w:t> </w:t>
      </w:r>
      <w:r>
        <w:rPr>
          <w:spacing w:val="-5"/>
        </w:rPr>
        <w:t>元，增加</w:t>
      </w:r>
      <w:r>
        <w:rPr>
          <w:spacing w:val="-56"/>
        </w:rPr>
        <w:t> </w:t>
      </w:r>
      <w:r>
        <w:rPr/>
        <w:t>9214.50%，系子公司广</w:t>
      </w:r>
      <w:r>
        <w:rPr>
          <w:w w:val="100"/>
        </w:rPr>
        <w:t> </w:t>
      </w:r>
      <w:r>
        <w:rPr>
          <w:spacing w:val="-2"/>
        </w:rPr>
        <w:t>州润龙房地产有限公司本期转让所持有的河南新景致房地产有限公司全部股权实现股权转让收</w:t>
      </w:r>
      <w:r>
        <w:rPr>
          <w:spacing w:val="-26"/>
        </w:rPr>
        <w:t> </w:t>
      </w:r>
      <w:r>
        <w:rPr>
          <w:spacing w:val="-26"/>
        </w:rPr>
      </w:r>
      <w:r>
        <w:rPr/>
        <w:t>益</w:t>
      </w:r>
      <w:r>
        <w:rPr>
          <w:spacing w:val="-56"/>
        </w:rPr>
        <w:t> </w:t>
      </w:r>
      <w:r>
        <w:rPr/>
        <w:t>22,187,132.21</w:t>
      </w:r>
      <w:r>
        <w:rPr>
          <w:spacing w:val="-56"/>
        </w:rPr>
        <w:t> </w:t>
      </w:r>
      <w:r>
        <w:rPr/>
        <w:t>元,较上年同期增幅较大所致。</w:t>
      </w:r>
    </w:p>
    <w:p>
      <w:pPr>
        <w:pStyle w:val="BodyText"/>
        <w:spacing w:line="240" w:lineRule="auto" w:before="165"/>
        <w:ind w:left="543" w:right="1076"/>
        <w:jc w:val="left"/>
      </w:pPr>
      <w:r>
        <w:rPr/>
        <w:t>15、营业外收入</w:t>
      </w:r>
      <w:r>
        <w:rPr>
          <w:spacing w:val="-46"/>
        </w:rPr>
        <w:t> </w:t>
      </w:r>
      <w:r>
        <w:rPr/>
        <w:t>2011</w:t>
      </w:r>
      <w:r>
        <w:rPr>
          <w:spacing w:val="-45"/>
        </w:rPr>
        <w:t> </w:t>
      </w:r>
      <w:r>
        <w:rPr/>
        <w:t>年度较</w:t>
      </w:r>
      <w:r>
        <w:rPr>
          <w:spacing w:val="-45"/>
        </w:rPr>
        <w:t> </w:t>
      </w:r>
      <w:r>
        <w:rPr/>
        <w:t>2010</w:t>
      </w:r>
      <w:r>
        <w:rPr>
          <w:spacing w:val="-45"/>
        </w:rPr>
        <w:t> </w:t>
      </w:r>
      <w:r>
        <w:rPr/>
        <w:t>年度增加</w:t>
      </w:r>
      <w:r>
        <w:rPr>
          <w:spacing w:val="-45"/>
        </w:rPr>
        <w:t> </w:t>
      </w:r>
      <w:r>
        <w:rPr/>
        <w:t>184,222.02</w:t>
      </w:r>
      <w:r>
        <w:rPr>
          <w:spacing w:val="-46"/>
        </w:rPr>
        <w:t> </w:t>
      </w:r>
      <w:r>
        <w:rPr/>
        <w:t>元，增加</w:t>
      </w:r>
      <w:r>
        <w:rPr>
          <w:spacing w:val="-45"/>
        </w:rPr>
        <w:t> </w:t>
      </w:r>
      <w:r>
        <w:rPr/>
        <w:t>85.35%，是由于子公司</w:t>
      </w:r>
    </w:p>
    <w:p>
      <w:pPr>
        <w:spacing w:line="240" w:lineRule="auto" w:before="0"/>
        <w:rPr>
          <w:rFonts w:ascii="宋体" w:hAnsi="宋体" w:cs="宋体" w:eastAsia="宋体" w:hint="default"/>
          <w:sz w:val="14"/>
          <w:szCs w:val="14"/>
        </w:rPr>
      </w:pPr>
    </w:p>
    <w:p>
      <w:pPr>
        <w:pStyle w:val="BodyText"/>
        <w:spacing w:line="240" w:lineRule="auto"/>
        <w:ind w:left="123" w:right="1076"/>
        <w:jc w:val="left"/>
      </w:pPr>
      <w:r>
        <w:rPr/>
        <w:t>贵州六盘水吉源煤业有限公司本期新增罚款收入</w:t>
      </w:r>
      <w:r>
        <w:rPr>
          <w:spacing w:val="-55"/>
        </w:rPr>
        <w:t> </w:t>
      </w:r>
      <w:r>
        <w:rPr/>
        <w:t>154,920.00</w:t>
      </w:r>
      <w:r>
        <w:rPr>
          <w:spacing w:val="-57"/>
        </w:rPr>
        <w:t> </w:t>
      </w:r>
      <w:r>
        <w:rPr/>
        <w:t>元所致。</w:t>
      </w:r>
    </w:p>
    <w:p>
      <w:pPr>
        <w:spacing w:line="240" w:lineRule="auto" w:before="5"/>
        <w:rPr>
          <w:rFonts w:ascii="宋体" w:hAnsi="宋体" w:cs="宋体" w:eastAsia="宋体" w:hint="default"/>
          <w:sz w:val="23"/>
          <w:szCs w:val="23"/>
        </w:rPr>
      </w:pPr>
    </w:p>
    <w:p>
      <w:pPr>
        <w:pStyle w:val="BodyText"/>
        <w:spacing w:line="240" w:lineRule="auto"/>
        <w:ind w:left="543" w:right="1076"/>
        <w:jc w:val="left"/>
      </w:pPr>
      <w:r>
        <w:rPr>
          <w:spacing w:val="-3"/>
        </w:rPr>
        <w:t>16、营业外支出</w:t>
      </w:r>
      <w:r>
        <w:rPr>
          <w:spacing w:val="-55"/>
        </w:rPr>
        <w:t> </w:t>
      </w:r>
      <w:r>
        <w:rPr/>
        <w:t>2011</w:t>
      </w:r>
      <w:r>
        <w:rPr>
          <w:spacing w:val="-55"/>
        </w:rPr>
        <w:t> </w:t>
      </w:r>
      <w:r>
        <w:rPr/>
        <w:t>年度较</w:t>
      </w:r>
      <w:r>
        <w:rPr>
          <w:spacing w:val="-55"/>
        </w:rPr>
        <w:t> </w:t>
      </w:r>
      <w:r>
        <w:rPr/>
        <w:t>2010</w:t>
      </w:r>
      <w:r>
        <w:rPr>
          <w:spacing w:val="-55"/>
        </w:rPr>
        <w:t> </w:t>
      </w:r>
      <w:r>
        <w:rPr/>
        <w:t>年度增加</w:t>
      </w:r>
      <w:r>
        <w:rPr>
          <w:spacing w:val="-55"/>
        </w:rPr>
        <w:t> </w:t>
      </w:r>
      <w:r>
        <w:rPr/>
        <w:t>293,708.27</w:t>
      </w:r>
      <w:r>
        <w:rPr>
          <w:spacing w:val="-55"/>
        </w:rPr>
        <w:t> </w:t>
      </w:r>
      <w:r>
        <w:rPr>
          <w:spacing w:val="-5"/>
        </w:rPr>
        <w:t>元，增加</w:t>
      </w:r>
      <w:r>
        <w:rPr>
          <w:spacing w:val="-57"/>
        </w:rPr>
        <w:t> </w:t>
      </w:r>
      <w:r>
        <w:rPr/>
        <w:t>492.33%，是由于子公司</w:t>
      </w:r>
    </w:p>
    <w:p>
      <w:pPr>
        <w:spacing w:line="240" w:lineRule="auto" w:before="3"/>
        <w:rPr>
          <w:rFonts w:ascii="宋体" w:hAnsi="宋体" w:cs="宋体" w:eastAsia="宋体" w:hint="default"/>
          <w:sz w:val="14"/>
          <w:szCs w:val="14"/>
        </w:rPr>
      </w:pPr>
    </w:p>
    <w:p>
      <w:pPr>
        <w:pStyle w:val="BodyText"/>
        <w:spacing w:line="240" w:lineRule="auto"/>
        <w:ind w:left="123" w:right="1076"/>
        <w:jc w:val="left"/>
      </w:pPr>
      <w:r>
        <w:rPr/>
        <w:t>广州为众物业管理有限公司本期处置固定资产净损失较</w:t>
      </w:r>
      <w:r>
        <w:rPr>
          <w:spacing w:val="-56"/>
        </w:rPr>
        <w:t> </w:t>
      </w:r>
      <w:r>
        <w:rPr/>
        <w:t>2010</w:t>
      </w:r>
      <w:r>
        <w:rPr>
          <w:spacing w:val="-58"/>
        </w:rPr>
        <w:t> </w:t>
      </w:r>
      <w:r>
        <w:rPr/>
        <w:t>年大幅增加所致。</w:t>
      </w:r>
    </w:p>
    <w:p>
      <w:pPr>
        <w:spacing w:line="240" w:lineRule="auto" w:before="3"/>
        <w:rPr>
          <w:rFonts w:ascii="宋体" w:hAnsi="宋体" w:cs="宋体" w:eastAsia="宋体" w:hint="default"/>
          <w:sz w:val="23"/>
          <w:szCs w:val="23"/>
        </w:rPr>
      </w:pPr>
    </w:p>
    <w:p>
      <w:pPr>
        <w:pStyle w:val="BodyText"/>
        <w:spacing w:line="403" w:lineRule="auto"/>
        <w:ind w:left="123" w:right="1579" w:firstLine="420"/>
        <w:jc w:val="both"/>
      </w:pPr>
      <w:r>
        <w:rPr>
          <w:spacing w:val="-4"/>
        </w:rPr>
        <w:t>17、所得税</w:t>
      </w:r>
      <w:r>
        <w:rPr>
          <w:spacing w:val="-48"/>
        </w:rPr>
        <w:t> </w:t>
      </w:r>
      <w:r>
        <w:rPr/>
        <w:t>2011</w:t>
      </w:r>
      <w:r>
        <w:rPr>
          <w:spacing w:val="-50"/>
        </w:rPr>
        <w:t> </w:t>
      </w:r>
      <w:r>
        <w:rPr/>
        <w:t>年度较</w:t>
      </w:r>
      <w:r>
        <w:rPr>
          <w:spacing w:val="-48"/>
        </w:rPr>
        <w:t> </w:t>
      </w:r>
      <w:r>
        <w:rPr/>
        <w:t>2010</w:t>
      </w:r>
      <w:r>
        <w:rPr>
          <w:spacing w:val="-48"/>
        </w:rPr>
        <w:t> </w:t>
      </w:r>
      <w:r>
        <w:rPr/>
        <w:t>年度增加</w:t>
      </w:r>
      <w:r>
        <w:rPr>
          <w:spacing w:val="-48"/>
        </w:rPr>
        <w:t> </w:t>
      </w:r>
      <w:r>
        <w:rPr/>
        <w:t>4,457,144.20</w:t>
      </w:r>
      <w:r>
        <w:rPr>
          <w:spacing w:val="-48"/>
        </w:rPr>
        <w:t> </w:t>
      </w:r>
      <w:r>
        <w:rPr>
          <w:spacing w:val="-6"/>
        </w:rPr>
        <w:t>元，增加</w:t>
      </w:r>
      <w:r>
        <w:rPr>
          <w:spacing w:val="-48"/>
        </w:rPr>
        <w:t> </w:t>
      </w:r>
      <w:r>
        <w:rPr>
          <w:spacing w:val="-3"/>
        </w:rPr>
        <w:t>109.38%，是由于本期子公</w:t>
      </w:r>
      <w:r>
        <w:rPr>
          <w:w w:val="100"/>
        </w:rPr>
        <w:t> </w:t>
      </w:r>
      <w:r>
        <w:rPr>
          <w:spacing w:val="-2"/>
        </w:rPr>
        <w:t>司广州润龙房地产有限公司可弥补亏损对应的递延所得税资产转回，以及本期公司自查补交以</w:t>
      </w:r>
      <w:r>
        <w:rPr>
          <w:spacing w:val="-27"/>
        </w:rPr>
        <w:t> </w:t>
      </w:r>
      <w:r>
        <w:rPr>
          <w:spacing w:val="-27"/>
        </w:rPr>
      </w:r>
      <w:r>
        <w:rPr/>
        <w:t>前年度应交企业所得税所致。</w:t>
      </w:r>
    </w:p>
    <w:p>
      <w:pPr>
        <w:spacing w:after="0" w:line="403" w:lineRule="auto"/>
        <w:jc w:val="both"/>
        <w:sectPr>
          <w:pgSz w:w="11910" w:h="16840"/>
          <w:pgMar w:header="886" w:footer="837" w:top="1160" w:bottom="1020" w:left="15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left="3305" w:right="1076"/>
        <w:jc w:val="left"/>
      </w:pPr>
      <w:r>
        <w:rPr/>
        <w:t>十二、备查文件</w:t>
      </w:r>
    </w:p>
    <w:p>
      <w:pPr>
        <w:spacing w:line="240" w:lineRule="auto" w:before="9"/>
        <w:rPr>
          <w:rFonts w:ascii="宋体" w:hAnsi="宋体" w:cs="宋体" w:eastAsia="宋体" w:hint="default"/>
          <w:sz w:val="38"/>
          <w:szCs w:val="38"/>
        </w:rPr>
      </w:pPr>
    </w:p>
    <w:p>
      <w:pPr>
        <w:pStyle w:val="Heading2"/>
        <w:spacing w:line="302" w:lineRule="auto" w:before="0"/>
        <w:ind w:left="123" w:right="1076" w:firstLine="276"/>
        <w:jc w:val="left"/>
      </w:pPr>
      <w:r>
        <w:rPr>
          <w:spacing w:val="-3"/>
        </w:rPr>
        <w:t>（一）载有法定代表人、财务负责人、会计主管人员签名并盖章的会</w:t>
      </w:r>
      <w:r>
        <w:rPr>
          <w:w w:val="100"/>
        </w:rPr>
        <w:t> </w:t>
      </w:r>
      <w:r>
        <w:rPr/>
        <w:t>计报表。</w:t>
      </w:r>
    </w:p>
    <w:p>
      <w:pPr>
        <w:spacing w:line="302" w:lineRule="auto" w:before="19"/>
        <w:ind w:left="123" w:right="1076" w:firstLine="276"/>
        <w:jc w:val="left"/>
        <w:rPr>
          <w:rFonts w:ascii="宋体" w:hAnsi="宋体" w:cs="宋体" w:eastAsia="宋体" w:hint="default"/>
          <w:sz w:val="28"/>
          <w:szCs w:val="28"/>
        </w:rPr>
      </w:pPr>
      <w:r>
        <w:rPr>
          <w:rFonts w:ascii="宋体" w:hAnsi="宋体" w:cs="宋体" w:eastAsia="宋体" w:hint="default"/>
          <w:spacing w:val="-3"/>
          <w:sz w:val="28"/>
          <w:szCs w:val="28"/>
        </w:rPr>
        <w:t>（二）载有会计师事务所盖章、注册会计师签名并盖章的审计报告原</w:t>
      </w:r>
      <w:r>
        <w:rPr>
          <w:rFonts w:ascii="宋体" w:hAnsi="宋体" w:cs="宋体" w:eastAsia="宋体" w:hint="default"/>
          <w:w w:val="100"/>
          <w:sz w:val="28"/>
          <w:szCs w:val="28"/>
        </w:rPr>
        <w:t> </w:t>
      </w:r>
      <w:r>
        <w:rPr>
          <w:rFonts w:ascii="宋体" w:hAnsi="宋体" w:cs="宋体" w:eastAsia="宋体" w:hint="default"/>
          <w:sz w:val="28"/>
          <w:szCs w:val="28"/>
        </w:rPr>
        <w:t>件。</w:t>
      </w:r>
    </w:p>
    <w:p>
      <w:pPr>
        <w:spacing w:line="300" w:lineRule="auto" w:before="21"/>
        <w:ind w:left="123" w:right="1076" w:firstLine="276"/>
        <w:jc w:val="left"/>
        <w:rPr>
          <w:rFonts w:ascii="宋体" w:hAnsi="宋体" w:cs="宋体" w:eastAsia="宋体" w:hint="default"/>
          <w:sz w:val="28"/>
          <w:szCs w:val="28"/>
        </w:rPr>
      </w:pPr>
      <w:r>
        <w:rPr>
          <w:rFonts w:ascii="宋体" w:hAnsi="宋体" w:cs="宋体" w:eastAsia="宋体" w:hint="default"/>
          <w:spacing w:val="-3"/>
          <w:sz w:val="28"/>
          <w:szCs w:val="28"/>
        </w:rPr>
        <w:t>（三）报告期内在中国证监会指定报纸上公开披露过的所有公司文件</w:t>
      </w:r>
      <w:r>
        <w:rPr>
          <w:rFonts w:ascii="宋体" w:hAnsi="宋体" w:cs="宋体" w:eastAsia="宋体" w:hint="default"/>
          <w:w w:val="100"/>
          <w:sz w:val="28"/>
          <w:szCs w:val="28"/>
        </w:rPr>
        <w:t> </w:t>
      </w:r>
      <w:r>
        <w:rPr>
          <w:rFonts w:ascii="宋体" w:hAnsi="宋体" w:cs="宋体" w:eastAsia="宋体" w:hint="default"/>
          <w:sz w:val="28"/>
          <w:szCs w:val="28"/>
        </w:rPr>
        <w:t>的正本及公告的原稿。</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396" w:lineRule="auto" w:before="218"/>
        <w:ind w:left="5660" w:right="1568" w:hanging="562"/>
        <w:jc w:val="left"/>
      </w:pPr>
      <w:r>
        <w:rPr/>
        <w:pict>
          <v:shape style="position:absolute;margin-left:103.08847pt;margin-top:71.469856pt;width:392.95pt;height:64.3pt;mso-position-horizontal-relative:page;mso-position-vertical-relative:paragraph;z-index:4216;rotation:315" type="#_x0000_t136" fillcolor="#e0e0e0" stroked="f">
            <o:extrusion v:ext="view" autorotationcenter="t"/>
            <v:textpath style="font-family:&amp;quot;Arial&amp;quot;;font-size:64pt;v-text-kern:t;mso-text-shadow:auto" string="UnRegistered"/>
            <w10:wrap type="none"/>
          </v:shape>
        </w:pict>
      </w:r>
      <w:r>
        <w:rPr>
          <w:spacing w:val="-1"/>
        </w:rPr>
        <w:t>黑龙江天伦置业股份有限公司</w:t>
      </w:r>
      <w:r>
        <w:rPr>
          <w:spacing w:val="-129"/>
        </w:rPr>
        <w:t> </w:t>
      </w:r>
      <w:r>
        <w:rPr>
          <w:spacing w:val="-129"/>
        </w:rPr>
      </w:r>
      <w:r>
        <w:rPr/>
        <w:t>二</w:t>
      </w:r>
      <w:r>
        <w:rPr>
          <w:spacing w:val="-72"/>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一二年四月二十一日</w:t>
      </w:r>
    </w:p>
    <w:p>
      <w:pPr>
        <w:spacing w:after="0" w:line="396" w:lineRule="auto"/>
        <w:jc w:val="left"/>
        <w:sectPr>
          <w:footerReference w:type="default" r:id="rId32"/>
          <w:pgSz w:w="11910" w:h="16840"/>
          <w:pgMar w:footer="837" w:header="886" w:top="1160" w:bottom="1020" w:left="1580" w:right="0"/>
          <w:pgNumType w:start="10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552976;rotation:315" type="#_x0000_t136" fillcolor="#e0e0e0" stroked="f">
            <o:extrusion v:ext="view" autorotationcenter="t"/>
            <v:textpath style="font-family:&amp;quot;Arial&amp;quot;;font-size:64pt;v-text-kern:t;mso-text-shadow:auto" string="UnRegistered"/>
            <w10:wrap type="none"/>
          </v:shape>
        </w:pict>
      </w:r>
    </w:p>
    <w:p>
      <w:pPr>
        <w:spacing w:line="240" w:lineRule="auto" w:before="5"/>
        <w:rPr>
          <w:rFonts w:ascii="宋体" w:hAnsi="宋体" w:cs="宋体" w:eastAsia="宋体" w:hint="default"/>
          <w:sz w:val="28"/>
          <w:szCs w:val="28"/>
        </w:rPr>
      </w:pPr>
    </w:p>
    <w:p>
      <w:pPr>
        <w:pStyle w:val="Heading2"/>
        <w:spacing w:line="240" w:lineRule="auto"/>
        <w:ind w:left="0" w:right="980"/>
        <w:jc w:val="center"/>
      </w:pPr>
      <w:r>
        <w:rPr/>
        <w:t>资产负债表</w:t>
      </w:r>
    </w:p>
    <w:p>
      <w:pPr>
        <w:spacing w:line="240" w:lineRule="auto" w:before="6"/>
        <w:rPr>
          <w:rFonts w:ascii="宋体" w:hAnsi="宋体" w:cs="宋体" w:eastAsia="宋体" w:hint="default"/>
          <w:sz w:val="19"/>
          <w:szCs w:val="19"/>
        </w:rPr>
      </w:pPr>
    </w:p>
    <w:p>
      <w:pPr>
        <w:tabs>
          <w:tab w:pos="4231" w:val="left" w:leader="none"/>
          <w:tab w:pos="8774" w:val="left" w:leader="none"/>
        </w:tabs>
        <w:spacing w:before="0"/>
        <w:ind w:left="0" w:right="1119" w:firstLine="0"/>
        <w:jc w:val="center"/>
        <w:rPr>
          <w:rFonts w:ascii="宋体" w:hAnsi="宋体" w:cs="宋体" w:eastAsia="宋体" w:hint="default"/>
          <w:sz w:val="18"/>
          <w:szCs w:val="18"/>
        </w:rPr>
      </w:pP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单位：元</w:t>
      </w:r>
    </w:p>
    <w:tbl>
      <w:tblPr>
        <w:tblW w:w="0" w:type="auto"/>
        <w:jc w:val="left"/>
        <w:tblInd w:w="161"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141" w:hRule="exact"/>
        </w:trPr>
        <w:tc>
          <w:tcPr>
            <w:tcW w:w="2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5" w:hRule="exact"/>
        </w:trPr>
        <w:tc>
          <w:tcPr>
            <w:tcW w:w="252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49"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37" w:hRule="exact"/>
        </w:trPr>
        <w:tc>
          <w:tcPr>
            <w:tcW w:w="2526" w:type="dxa"/>
            <w:vMerge/>
            <w:tcBorders>
              <w:left w:val="single" w:sz="4" w:space="0" w:color="000000"/>
              <w:bottom w:val="nil" w:sz="6" w:space="0" w:color="auto"/>
              <w:right w:val="single" w:sz="4" w:space="0" w:color="000000"/>
            </w:tcBorders>
            <w:shd w:val="clear" w:color="auto" w:fill="DCDCDC"/>
          </w:tcPr>
          <w:p>
            <w:pPr/>
          </w:p>
        </w:tc>
        <w:tc>
          <w:tcPr>
            <w:tcW w:w="183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6"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585"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8" w:hRule="exact"/>
        </w:trPr>
        <w:tc>
          <w:tcPr>
            <w:tcW w:w="2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6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30" w:type="dxa"/>
            <w:tcBorders>
              <w:top w:val="single" w:sz="7" w:space="0" w:color="DCDCDC"/>
              <w:left w:val="single" w:sz="12" w:space="0" w:color="DCDCDC"/>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258,961,843.01</w:t>
            </w:r>
          </w:p>
        </w:tc>
        <w:tc>
          <w:tcPr>
            <w:tcW w:w="1819"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spacing w:val="-1"/>
                <w:sz w:val="21"/>
              </w:rPr>
              <w:t>87,462,777.38</w:t>
            </w:r>
          </w:p>
        </w:tc>
        <w:tc>
          <w:tcPr>
            <w:tcW w:w="1822"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77,371,886.06</w:t>
            </w:r>
          </w:p>
        </w:tc>
        <w:tc>
          <w:tcPr>
            <w:tcW w:w="1819"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37,974,535.35</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4,479,166.67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564,293.92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520,023.92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531,076.22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484,336.22</w:t>
            </w: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1,236,927.69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21,809,533.50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399"/>
              <w:jc w:val="right"/>
              <w:rPr>
                <w:rFonts w:ascii="宋体" w:hAnsi="宋体" w:cs="宋体" w:eastAsia="宋体" w:hint="default"/>
                <w:sz w:val="21"/>
                <w:szCs w:val="21"/>
              </w:rPr>
            </w:pPr>
            <w:r>
              <w:rPr>
                <w:rFonts w:ascii="宋体" w:hAnsi="宋体" w:cs="宋体" w:eastAsia="宋体" w:hint="default"/>
                <w:spacing w:val="-2"/>
                <w:sz w:val="21"/>
                <w:szCs w:val="21"/>
              </w:rPr>
              <w:t>应收分保合同准备金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4,500,000.00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2,700,000.00</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1,315,507.74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145,376,580.00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1,031,930.22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199,927,988.00</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176,988,048.46</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30" w:type="dxa"/>
            <w:tcBorders>
              <w:top w:val="single" w:sz="4" w:space="0" w:color="000000"/>
              <w:left w:val="single" w:sz="12" w:space="0" w:color="DCDCDC"/>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266,557,739.03</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237,859,381.30</w:t>
            </w:r>
          </w:p>
        </w:tc>
        <w:tc>
          <w:tcPr>
            <w:tcW w:w="1822"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277,732,474.46</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241,086,859.57</w:t>
            </w:r>
          </w:p>
        </w:tc>
      </w:tr>
      <w:tr>
        <w:trPr>
          <w:trHeight w:val="26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399"/>
              <w:jc w:val="right"/>
              <w:rPr>
                <w:rFonts w:ascii="宋体" w:hAnsi="宋体" w:cs="宋体" w:eastAsia="宋体" w:hint="default"/>
                <w:sz w:val="21"/>
                <w:szCs w:val="21"/>
              </w:rPr>
            </w:pPr>
            <w:r>
              <w:rPr>
                <w:rFonts w:ascii="宋体" w:hAnsi="宋体" w:cs="宋体" w:eastAsia="宋体" w:hint="default"/>
                <w:spacing w:val="-2"/>
                <w:sz w:val="21"/>
                <w:szCs w:val="21"/>
              </w:rPr>
              <w:t>发放委托贷款及垫款</w:t>
            </w:r>
          </w:p>
        </w:tc>
        <w:tc>
          <w:tcPr>
            <w:tcW w:w="1830" w:type="dxa"/>
            <w:tcBorders>
              <w:top w:val="single" w:sz="10" w:space="0" w:color="DCDCDC"/>
              <w:left w:val="single" w:sz="12" w:space="0" w:color="DCDCDC"/>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2"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137,988,271.47</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137,988,271.47</w:t>
            </w: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327,017,718.01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98,970,214.40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337,199,128.81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102,376,171.52</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30,435,333.83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3,048.90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23,970,840.03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109,106.35</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121,938,824.52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89,784,647.87</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1,950,176.58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2,234,274.62</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16,304,010.44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17,708,984.08</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38,254,349.39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38,254,349.39</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7,070,000.00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750,000.00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846,931.71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4,236,261.73</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543,817,344.48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236,961,534.77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514,138,486.53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240,473,549.34</w:t>
            </w:r>
          </w:p>
        </w:tc>
      </w:tr>
      <w:tr>
        <w:trPr>
          <w:trHeight w:val="288"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0" w:type="dxa"/>
            <w:tcBorders>
              <w:top w:val="single" w:sz="4" w:space="0" w:color="000000"/>
              <w:left w:val="single" w:sz="12" w:space="0" w:color="DCDCDC"/>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810,375,083.51</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474,820,916.07</w:t>
            </w:r>
          </w:p>
        </w:tc>
        <w:tc>
          <w:tcPr>
            <w:tcW w:w="1822"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791,870,960.99</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481,560,408.91</w:t>
            </w:r>
          </w:p>
        </w:tc>
      </w:tr>
      <w:tr>
        <w:trPr>
          <w:trHeight w:val="26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0" w:type="dxa"/>
            <w:tcBorders>
              <w:top w:val="single" w:sz="11" w:space="0" w:color="DCDCDC"/>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65,000,000.00</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65,000,000.00</w:t>
            </w:r>
          </w:p>
        </w:tc>
        <w:tc>
          <w:tcPr>
            <w:tcW w:w="1822"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65,000,000.00</w:t>
            </w:r>
          </w:p>
        </w:tc>
        <w:tc>
          <w:tcPr>
            <w:tcW w:w="1819"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65,000,000.00</w:t>
            </w:r>
          </w:p>
        </w:tc>
      </w:tr>
    </w:tbl>
    <w:p>
      <w:pPr>
        <w:spacing w:after="0" w:line="240" w:lineRule="auto"/>
        <w:jc w:val="right"/>
        <w:rPr>
          <w:rFonts w:ascii="Times New Roman" w:hAnsi="Times New Roman" w:cs="Times New Roman" w:eastAsia="Times New Roman" w:hint="default"/>
          <w:sz w:val="21"/>
          <w:szCs w:val="21"/>
        </w:rPr>
        <w:sectPr>
          <w:headerReference w:type="default" r:id="rId33"/>
          <w:pgSz w:w="11910" w:h="16840"/>
          <w:pgMar w:header="747" w:footer="837" w:top="980" w:bottom="1020" w:left="98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552952;rotation:315" type="#_x0000_t136" fillcolor="#e0e0e0" stroked="f">
            <o:extrusion v:ext="view" autorotationcenter="t"/>
            <v:textpath style="font-family:&amp;quot;Arial&amp;quot;;font-size:64pt;v-text-kern:t;mso-text-shadow:auto" string="UnRegistered"/>
            <w10:wrap type="none"/>
          </v:shape>
        </w:pict>
      </w:r>
    </w:p>
    <w:p>
      <w:pPr>
        <w:spacing w:line="240" w:lineRule="auto" w:before="6"/>
        <w:rPr>
          <w:rFonts w:ascii="宋体" w:hAnsi="宋体" w:cs="宋体" w:eastAsia="宋体" w:hint="default"/>
          <w:sz w:val="14"/>
          <w:szCs w:val="14"/>
        </w:rPr>
      </w:pPr>
    </w:p>
    <w:tbl>
      <w:tblPr>
        <w:tblW w:w="0" w:type="auto"/>
        <w:jc w:val="left"/>
        <w:tblInd w:w="161" w:type="dxa"/>
        <w:tblLayout w:type="fixed"/>
        <w:tblCellMar>
          <w:top w:w="0" w:type="dxa"/>
          <w:left w:w="0" w:type="dxa"/>
          <w:bottom w:w="0" w:type="dxa"/>
          <w:right w:w="0" w:type="dxa"/>
        </w:tblCellMar>
        <w:tblLook w:val="01E0"/>
      </w:tblPr>
      <w:tblGrid>
        <w:gridCol w:w="2526"/>
        <w:gridCol w:w="1830"/>
        <w:gridCol w:w="1819"/>
        <w:gridCol w:w="1822"/>
        <w:gridCol w:w="1818"/>
      </w:tblGrid>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2,651,269.41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4,336,028.01</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1,656,013.00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1,288,004.00</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1,755,598.58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407,452.86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1,541,201.61</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274,226.86</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17,192,865.08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55,669.44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16,104,532.77</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624,618.03</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23,249,865.56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103,500,569.64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25,224,491.93</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110,103,131.81</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55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34,000,000.00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38,000,000.00</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9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0" w:type="dxa"/>
            <w:tcBorders>
              <w:top w:val="single" w:sz="4" w:space="0" w:color="000000"/>
              <w:left w:val="single" w:sz="12" w:space="0" w:color="DCDCDC"/>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145,505,611.63</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168,963,691.94</w:t>
            </w:r>
          </w:p>
        </w:tc>
        <w:tc>
          <w:tcPr>
            <w:tcW w:w="1822"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151,494,258.32</w:t>
            </w:r>
          </w:p>
        </w:tc>
        <w:tc>
          <w:tcPr>
            <w:tcW w:w="1818" w:type="dxa"/>
            <w:tcBorders>
              <w:top w:val="single" w:sz="4" w:space="0" w:color="000000"/>
              <w:left w:val="single" w:sz="4" w:space="0" w:color="000000"/>
              <w:bottom w:val="single" w:sz="10" w:space="0" w:color="DCDCDC"/>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176,001,976.70</w:t>
            </w:r>
          </w:p>
        </w:tc>
      </w:tr>
      <w:tr>
        <w:trPr>
          <w:trHeight w:val="26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8" w:type="dxa"/>
            <w:tcBorders>
              <w:top w:val="single" w:sz="4" w:space="0" w:color="000000"/>
              <w:left w:val="single" w:sz="4" w:space="0" w:color="000000"/>
              <w:bottom w:val="single" w:sz="4" w:space="0" w:color="000000"/>
              <w:right w:val="single" w:sz="5" w:space="0" w:color="000000"/>
            </w:tcBorders>
            <w:shd w:val="clear" w:color="auto" w:fill="DCDCDC"/>
          </w:tcPr>
          <w:p>
            <w:pPr/>
          </w:p>
        </w:tc>
      </w:tr>
      <w:tr>
        <w:trPr>
          <w:trHeight w:val="289"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0" w:type="dxa"/>
            <w:tcBorders>
              <w:top w:val="single" w:sz="11" w:space="0" w:color="DCDCDC"/>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304,200,000.00</w:t>
            </w:r>
          </w:p>
        </w:tc>
        <w:tc>
          <w:tcPr>
            <w:tcW w:w="1819" w:type="dxa"/>
            <w:tcBorders>
              <w:top w:val="single" w:sz="11" w:space="0" w:color="DCDCDC"/>
              <w:left w:val="single" w:sz="4" w:space="0" w:color="000000"/>
              <w:bottom w:val="single" w:sz="4" w:space="0" w:color="000000"/>
              <w:right w:val="single" w:sz="4" w:space="0" w:color="000000"/>
            </w:tcBorders>
          </w:tcPr>
          <w:p>
            <w:pPr/>
          </w:p>
        </w:tc>
        <w:tc>
          <w:tcPr>
            <w:tcW w:w="1822"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229,200,000.00</w:t>
            </w:r>
          </w:p>
        </w:tc>
        <w:tc>
          <w:tcPr>
            <w:tcW w:w="1818" w:type="dxa"/>
            <w:tcBorders>
              <w:top w:val="single" w:sz="11" w:space="0" w:color="DCDCDC"/>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1,302,754.24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33,820,898.01</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305,502,754.24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263,020,898.01</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8"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0" w:type="dxa"/>
            <w:tcBorders>
              <w:top w:val="single" w:sz="4" w:space="0" w:color="000000"/>
              <w:left w:val="single" w:sz="12" w:space="0" w:color="DCDCDC"/>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451,008,365.87</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168,963,691.94</w:t>
            </w:r>
          </w:p>
        </w:tc>
        <w:tc>
          <w:tcPr>
            <w:tcW w:w="1822"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414,515,156.33</w:t>
            </w:r>
          </w:p>
        </w:tc>
        <w:tc>
          <w:tcPr>
            <w:tcW w:w="1818" w:type="dxa"/>
            <w:tcBorders>
              <w:top w:val="single" w:sz="4" w:space="0" w:color="000000"/>
              <w:left w:val="single" w:sz="4" w:space="0" w:color="000000"/>
              <w:bottom w:val="single" w:sz="10" w:space="0" w:color="DCDCDC"/>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176,001,976.70</w:t>
            </w:r>
          </w:p>
        </w:tc>
      </w:tr>
      <w:tr>
        <w:trPr>
          <w:trHeight w:val="26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2"/>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1"/>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2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8" w:type="dxa"/>
            <w:tcBorders>
              <w:top w:val="single" w:sz="4" w:space="0" w:color="000000"/>
              <w:left w:val="single" w:sz="4" w:space="0" w:color="000000"/>
              <w:bottom w:val="single" w:sz="4" w:space="0" w:color="000000"/>
              <w:right w:val="single" w:sz="5" w:space="0" w:color="000000"/>
            </w:tcBorders>
            <w:shd w:val="clear" w:color="auto" w:fill="DCDCDC"/>
          </w:tcPr>
          <w:p>
            <w:pPr/>
          </w:p>
        </w:tc>
      </w:tr>
      <w:tr>
        <w:trPr>
          <w:trHeight w:val="29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30" w:type="dxa"/>
            <w:tcBorders>
              <w:top w:val="single" w:sz="7" w:space="0" w:color="DCDCDC"/>
              <w:left w:val="single" w:sz="12" w:space="0" w:color="DCDCDC"/>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107,265,600.00</w:t>
            </w:r>
          </w:p>
        </w:tc>
        <w:tc>
          <w:tcPr>
            <w:tcW w:w="1819"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spacing w:val="-1"/>
                <w:sz w:val="21"/>
              </w:rPr>
              <w:t>107,265,600.00</w:t>
            </w:r>
          </w:p>
        </w:tc>
        <w:tc>
          <w:tcPr>
            <w:tcW w:w="1822"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107,265,600.00</w:t>
            </w:r>
          </w:p>
        </w:tc>
        <w:tc>
          <w:tcPr>
            <w:tcW w:w="1818" w:type="dxa"/>
            <w:tcBorders>
              <w:top w:val="single" w:sz="7" w:space="0" w:color="DCDCDC"/>
              <w:left w:val="single" w:sz="4" w:space="0" w:color="000000"/>
              <w:bottom w:val="single" w:sz="4" w:space="0" w:color="000000"/>
              <w:right w:val="single" w:sz="5" w:space="0" w:color="000000"/>
            </w:tcBorders>
          </w:tcPr>
          <w:p>
            <w:pPr>
              <w:pStyle w:val="TableParagraph"/>
              <w:spacing w:line="240" w:lineRule="auto" w:before="12"/>
              <w:ind w:right="19"/>
              <w:jc w:val="right"/>
              <w:rPr>
                <w:rFonts w:ascii="Times New Roman" w:hAnsi="Times New Roman" w:cs="Times New Roman" w:eastAsia="Times New Roman" w:hint="default"/>
                <w:sz w:val="21"/>
                <w:szCs w:val="21"/>
              </w:rPr>
            </w:pPr>
            <w:r>
              <w:rPr>
                <w:rFonts w:ascii="Times New Roman"/>
                <w:spacing w:val="-1"/>
                <w:sz w:val="21"/>
              </w:rPr>
              <w:t>107,265,600.00</w:t>
            </w: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81,552,531.68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81,461,481.36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81,552,531.68</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81,461,481.36</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30,351,919.86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30,351,919.86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30,107,509.47</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30,107,509.47</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144,153,561.28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86,778,222.91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127,911,103.58</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86,723,841.38</w:t>
            </w: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55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363,323,612.82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305,857,224.13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346,836,744.73</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305,558,432.21</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-3,956,895.18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30,519,059.93</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359,366,717.64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305,857,224.13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377,355,804.66</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305,558,432.21</w:t>
            </w:r>
          </w:p>
        </w:tc>
      </w:tr>
      <w:tr>
        <w:trPr>
          <w:trHeight w:val="281"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810,375,083.51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474,820,916.07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791,870,960.99</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481,560,408.91</w:t>
            </w:r>
          </w:p>
        </w:tc>
      </w:tr>
    </w:tbl>
    <w:p>
      <w:pPr>
        <w:spacing w:line="240" w:lineRule="auto" w:before="2"/>
        <w:rPr>
          <w:rFonts w:ascii="宋体" w:hAnsi="宋体" w:cs="宋体" w:eastAsia="宋体" w:hint="default"/>
          <w:sz w:val="13"/>
          <w:szCs w:val="13"/>
        </w:rPr>
      </w:pPr>
    </w:p>
    <w:p>
      <w:pPr>
        <w:pStyle w:val="BodyText"/>
        <w:tabs>
          <w:tab w:pos="2504" w:val="left" w:leader="none"/>
          <w:tab w:pos="2713" w:val="left" w:leader="none"/>
          <w:tab w:pos="6509" w:val="left" w:leader="none"/>
          <w:tab w:pos="6718" w:val="left" w:leader="none"/>
          <w:tab w:pos="9565" w:val="left" w:leader="none"/>
        </w:tabs>
        <w:spacing w:line="240" w:lineRule="auto" w:before="36"/>
        <w:ind w:left="183" w:right="0"/>
        <w:jc w:val="left"/>
        <w:rPr>
          <w:rFonts w:ascii="Times New Roman" w:hAnsi="Times New Roman" w:cs="Times New Roman" w:eastAsia="Times New Roman" w:hint="default"/>
        </w:rPr>
      </w:pPr>
      <w:r>
        <w:rPr>
          <w:rFonts w:ascii="宋体" w:hAnsi="宋体" w:cs="宋体" w:eastAsia="宋体" w:hint="default"/>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宋体" w:hAnsi="宋体" w:cs="宋体" w:eastAsia="宋体" w:hint="default"/>
          <w:spacing w:val="-1"/>
        </w:rPr>
        <w:t>主管会计工作的公司负责人：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宋体" w:hAnsi="宋体" w:cs="宋体" w:eastAsia="宋体" w:hint="default"/>
          <w:spacing w:val="-1"/>
        </w:rPr>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footerReference w:type="default" r:id="rId34"/>
          <w:pgSz w:w="11910" w:h="16840"/>
          <w:pgMar w:footer="705" w:header="747" w:top="980" w:bottom="900" w:left="980" w:right="0"/>
          <w:pgNumType w:start="102"/>
        </w:sectPr>
      </w:pPr>
    </w:p>
    <w:p>
      <w:pPr>
        <w:spacing w:line="240" w:lineRule="auto" w:before="0"/>
        <w:rPr>
          <w:rFonts w:ascii="Times New Roman" w:hAnsi="Times New Roman" w:cs="Times New Roman" w:eastAsia="Times New Roman" w:hint="default"/>
          <w:sz w:val="20"/>
          <w:szCs w:val="20"/>
        </w:rPr>
      </w:pPr>
      <w:r>
        <w:rPr/>
        <w:pict>
          <v:shape style="position:absolute;margin-left:103.08847pt;margin-top:395.916565pt;width:392.95pt;height:64.3pt;mso-position-horizontal-relative:page;mso-position-vertical-relative:page;z-index:-552928;rotation:315" type="#_x0000_t136" fillcolor="#e0e0e0" stroked="f">
            <o:extrusion v:ext="view" autorotationcenter="t"/>
            <v:textpath style="font-family:&amp;quot;Arial&amp;quot;;font-size:64pt;v-text-kern:t;mso-text-shadow:auto" string="UnRegistered"/>
            <w10:wrap type="none"/>
          </v:shape>
        </w:pict>
      </w:r>
    </w:p>
    <w:p>
      <w:pPr>
        <w:pStyle w:val="Heading2"/>
        <w:spacing w:line="240" w:lineRule="auto" w:before="175"/>
        <w:ind w:left="0" w:right="979"/>
        <w:jc w:val="center"/>
      </w:pPr>
      <w:r>
        <w:rPr/>
        <w:t>利润表</w:t>
      </w:r>
    </w:p>
    <w:p>
      <w:pPr>
        <w:tabs>
          <w:tab w:pos="4322" w:val="left" w:leader="none"/>
          <w:tab w:pos="8920" w:val="left" w:leader="none"/>
        </w:tabs>
        <w:spacing w:before="12"/>
        <w:ind w:left="0" w:right="975" w:firstLine="0"/>
        <w:jc w:val="center"/>
        <w:rPr>
          <w:rFonts w:ascii="宋体" w:hAnsi="宋体" w:cs="宋体" w:eastAsia="宋体" w:hint="default"/>
          <w:sz w:val="18"/>
          <w:szCs w:val="18"/>
        </w:rPr>
      </w:pP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单位：元</w:t>
      </w:r>
    </w:p>
    <w:tbl>
      <w:tblPr>
        <w:tblW w:w="0" w:type="auto"/>
        <w:jc w:val="left"/>
        <w:tblInd w:w="161" w:type="dxa"/>
        <w:tblLayout w:type="fixed"/>
        <w:tblCellMar>
          <w:top w:w="0" w:type="dxa"/>
          <w:left w:w="0" w:type="dxa"/>
          <w:bottom w:w="0" w:type="dxa"/>
          <w:right w:w="0" w:type="dxa"/>
        </w:tblCellMar>
        <w:tblLook w:val="01E0"/>
      </w:tblPr>
      <w:tblGrid>
        <w:gridCol w:w="2526"/>
        <w:gridCol w:w="1830"/>
        <w:gridCol w:w="1819"/>
        <w:gridCol w:w="1822"/>
        <w:gridCol w:w="1818"/>
      </w:tblGrid>
      <w:tr>
        <w:trPr>
          <w:trHeight w:val="122" w:hRule="exact"/>
        </w:trPr>
        <w:tc>
          <w:tcPr>
            <w:tcW w:w="2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5"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15" w:hRule="exact"/>
        </w:trPr>
        <w:tc>
          <w:tcPr>
            <w:tcW w:w="252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9"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5" w:space="0" w:color="000000"/>
            </w:tcBorders>
            <w:shd w:val="clear" w:color="auto" w:fill="DCDCDC"/>
          </w:tcPr>
          <w:p>
            <w:pPr/>
          </w:p>
        </w:tc>
      </w:tr>
      <w:tr>
        <w:trPr>
          <w:trHeight w:val="247" w:hRule="exact"/>
        </w:trPr>
        <w:tc>
          <w:tcPr>
            <w:tcW w:w="2526" w:type="dxa"/>
            <w:vMerge/>
            <w:tcBorders>
              <w:left w:val="single" w:sz="4" w:space="0" w:color="000000"/>
              <w:bottom w:val="single" w:sz="4" w:space="0" w:color="000000"/>
              <w:right w:val="single" w:sz="4" w:space="0" w:color="000000"/>
            </w:tcBorders>
            <w:shd w:val="clear" w:color="auto" w:fill="DCDCDC"/>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6"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18" w:type="dxa"/>
            <w:tcBorders>
              <w:top w:val="single" w:sz="4" w:space="0" w:color="000000"/>
              <w:left w:val="single" w:sz="4" w:space="0" w:color="000000"/>
              <w:bottom w:val="single" w:sz="4" w:space="0" w:color="000000"/>
              <w:right w:val="single" w:sz="5" w:space="0" w:color="000000"/>
            </w:tcBorders>
            <w:shd w:val="clear" w:color="auto" w:fill="DCDCDC"/>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59,263,610.02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7,638,336.00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64,082,839.12</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13,591,668.00</w:t>
            </w: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59,263,610.02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7,638,336.00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64,082,839.12</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13,591,668.00</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55,965,505.60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8,987,803.95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53,598,409.00</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13,554,764.25</w:t>
            </w: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15,329,994.78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3,427,497.94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19,535,368.20</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9,105,351.56</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478"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5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8,032,947.18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699,806.60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8,551,080.69</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1,267,681.59</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359,314.98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886.00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230,435.70</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15,263,772.03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2,807,581.58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11,942,495.63</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2,141,535.88</w:t>
            </w: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16,869,426.68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1,996,648.53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13,167,671.48</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756,642.34</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110,049.95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55,383.30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171,357.30</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283,552.88</w:t>
            </w:r>
          </w:p>
        </w:tc>
      </w:tr>
      <w:tr>
        <w:trPr>
          <w:trHeight w:val="478"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p>
          <w:p>
            <w:pPr>
              <w:pStyle w:val="TableParagraph"/>
              <w:spacing w:line="248" w:lineRule="exact"/>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-481,150.79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361,800.00</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47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554" w:right="0"/>
              <w:jc w:val="left"/>
              <w:rPr>
                <w:rFonts w:ascii="宋体" w:hAnsi="宋体" w:cs="宋体" w:eastAsia="宋体" w:hint="default"/>
                <w:sz w:val="18"/>
                <w:szCs w:val="18"/>
              </w:rPr>
            </w:pPr>
            <w:r>
              <w:rPr>
                <w:rFonts w:ascii="宋体" w:hAnsi="宋体" w:cs="宋体" w:eastAsia="宋体" w:hint="default"/>
                <w:spacing w:val="-8"/>
                <w:sz w:val="18"/>
                <w:szCs w:val="18"/>
              </w:rPr>
              <w:t>投资收益（损失以“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22,147,449.67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4,500,000.00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237,774.01</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478"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34" w:right="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营企业的投资收益</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478"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74"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47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2" w:right="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24,964,403.30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3,150,532.05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11,084,004.13</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2,736,903.75</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400,071.20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226,677.51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215,849.18</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w w:val="95"/>
                <w:sz w:val="18"/>
              </w:rPr>
              <w:t>6,000.00</w:t>
            </w: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353,365.27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126.90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59,657.00</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18,618.95</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319,624.85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18,325.92</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47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165"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753" w:right="0"/>
              <w:jc w:val="left"/>
              <w:rPr>
                <w:rFonts w:ascii="Times New Roman" w:hAnsi="Times New Roman" w:cs="Times New Roman" w:eastAsia="Times New Roman" w:hint="default"/>
                <w:sz w:val="18"/>
                <w:szCs w:val="18"/>
              </w:rPr>
            </w:pPr>
            <w:r>
              <w:rPr>
                <w:rFonts w:ascii="Times New Roman"/>
                <w:sz w:val="18"/>
              </w:rPr>
              <w:t>25,011,109.23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3,377,082.66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11,240,196.31</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2,724,284.80</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8,532,226.65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932,978.74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4,075,082.45</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247,913.37</w:t>
            </w:r>
          </w:p>
        </w:tc>
      </w:tr>
      <w:tr>
        <w:trPr>
          <w:trHeight w:val="478"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2" w:right="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16,478,882.58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2,444,103.92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7,165,113.86</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2,476,371.43</w:t>
            </w:r>
          </w:p>
        </w:tc>
      </w:tr>
      <w:tr>
        <w:trPr>
          <w:trHeight w:val="47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18,632,180.09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2,444,103.92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9,475,388.21</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2,476,371.43</w:t>
            </w:r>
          </w:p>
        </w:tc>
      </w:tr>
      <w:tr>
        <w:trPr>
          <w:trHeight w:val="249"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0" w:type="dxa"/>
            <w:tcBorders>
              <w:top w:val="single" w:sz="4" w:space="0" w:color="000000"/>
              <w:left w:val="single" w:sz="12" w:space="0" w:color="DCDCDC"/>
              <w:bottom w:val="single" w:sz="5" w:space="0" w:color="DCDCDC"/>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-2,153,297.51</w:t>
            </w:r>
          </w:p>
        </w:tc>
        <w:tc>
          <w:tcPr>
            <w:tcW w:w="1819" w:type="dxa"/>
            <w:tcBorders>
              <w:top w:val="single" w:sz="4" w:space="0" w:color="000000"/>
              <w:left w:val="single" w:sz="4" w:space="0" w:color="000000"/>
              <w:bottom w:val="single" w:sz="5" w:space="0" w:color="DCDCDC"/>
              <w:right w:val="single" w:sz="4" w:space="0" w:color="000000"/>
            </w:tcBorders>
          </w:tcPr>
          <w:p>
            <w:pPr/>
          </w:p>
        </w:tc>
        <w:tc>
          <w:tcPr>
            <w:tcW w:w="1822" w:type="dxa"/>
            <w:tcBorders>
              <w:top w:val="single" w:sz="4" w:space="0" w:color="000000"/>
              <w:left w:val="single" w:sz="4" w:space="0" w:color="000000"/>
              <w:bottom w:val="single" w:sz="5" w:space="0" w:color="DCDCDC"/>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-2,310,274.35</w:t>
            </w:r>
          </w:p>
        </w:tc>
        <w:tc>
          <w:tcPr>
            <w:tcW w:w="1818" w:type="dxa"/>
            <w:tcBorders>
              <w:top w:val="single" w:sz="4" w:space="0" w:color="000000"/>
              <w:left w:val="single" w:sz="4" w:space="0" w:color="000000"/>
              <w:bottom w:val="single" w:sz="5" w:space="0" w:color="DCDCDC"/>
              <w:right w:val="single" w:sz="5" w:space="0" w:color="000000"/>
            </w:tcBorders>
          </w:tcPr>
          <w:p>
            <w:pPr/>
          </w:p>
        </w:tc>
      </w:tr>
      <w:tr>
        <w:trPr>
          <w:trHeight w:val="23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8" w:type="dxa"/>
            <w:tcBorders>
              <w:top w:val="single" w:sz="4" w:space="0" w:color="000000"/>
              <w:left w:val="single" w:sz="4" w:space="0" w:color="000000"/>
              <w:bottom w:val="single" w:sz="4" w:space="0" w:color="000000"/>
              <w:right w:val="single" w:sz="5" w:space="0" w:color="000000"/>
            </w:tcBorders>
            <w:shd w:val="clear" w:color="auto" w:fill="DCDCDC"/>
          </w:tcPr>
          <w:p>
            <w:pPr/>
          </w:p>
        </w:tc>
      </w:tr>
      <w:tr>
        <w:trPr>
          <w:trHeight w:val="25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0"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spacing w:val="-1"/>
                <w:sz w:val="18"/>
              </w:rPr>
              <w:t>0.17</w:t>
            </w:r>
          </w:p>
        </w:tc>
        <w:tc>
          <w:tcPr>
            <w:tcW w:w="1819" w:type="dxa"/>
            <w:tcBorders>
              <w:top w:val="single" w:sz="6" w:space="0" w:color="DCDCDC"/>
              <w:left w:val="single" w:sz="4" w:space="0" w:color="000000"/>
              <w:bottom w:val="single" w:sz="4" w:space="0" w:color="000000"/>
              <w:right w:val="single" w:sz="4" w:space="0" w:color="000000"/>
            </w:tcBorders>
          </w:tcPr>
          <w:p>
            <w:pPr/>
          </w:p>
        </w:tc>
        <w:tc>
          <w:tcPr>
            <w:tcW w:w="1822"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spacing w:val="-1"/>
                <w:sz w:val="18"/>
              </w:rPr>
              <w:t>0.09</w:t>
            </w:r>
          </w:p>
        </w:tc>
        <w:tc>
          <w:tcPr>
            <w:tcW w:w="1818" w:type="dxa"/>
            <w:tcBorders>
              <w:top w:val="single" w:sz="6" w:space="0" w:color="DCDCDC"/>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0.17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0.09</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4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16,478,882.58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2,444,103.92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7,165,113.86</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2,476,371.43</w:t>
            </w:r>
          </w:p>
        </w:tc>
      </w:tr>
      <w:tr>
        <w:trPr>
          <w:trHeight w:val="478"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合收益总额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18,632,180.09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2,444,103.92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9,475,388.21</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2,476,371.43</w:t>
            </w:r>
          </w:p>
        </w:tc>
      </w:tr>
      <w:tr>
        <w:trPr>
          <w:trHeight w:val="475"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7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-2,153,297.51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-2,310,274.35</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4"/>
          <w:szCs w:val="14"/>
        </w:rPr>
      </w:pPr>
    </w:p>
    <w:p>
      <w:pPr>
        <w:pStyle w:val="BodyText"/>
        <w:tabs>
          <w:tab w:pos="2504" w:val="left" w:leader="none"/>
          <w:tab w:pos="2713" w:val="left" w:leader="none"/>
          <w:tab w:pos="6509" w:val="left" w:leader="none"/>
          <w:tab w:pos="6718" w:val="left" w:leader="none"/>
          <w:tab w:pos="9565" w:val="left" w:leader="none"/>
        </w:tabs>
        <w:spacing w:line="240" w:lineRule="auto" w:before="36"/>
        <w:ind w:left="183" w:right="0"/>
        <w:jc w:val="left"/>
        <w:rPr>
          <w:rFonts w:ascii="Times New Roman" w:hAnsi="Times New Roman" w:cs="Times New Roman" w:eastAsia="Times New Roman" w:hint="default"/>
        </w:rPr>
      </w:pPr>
      <w:r>
        <w:rPr>
          <w:rFonts w:ascii="宋体" w:hAnsi="宋体" w:cs="宋体" w:eastAsia="宋体" w:hint="default"/>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宋体" w:hAnsi="宋体" w:cs="宋体" w:eastAsia="宋体" w:hint="default"/>
          <w:spacing w:val="-1"/>
        </w:rPr>
        <w:t>主管会计工作的公司负责人：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宋体" w:hAnsi="宋体" w:cs="宋体" w:eastAsia="宋体" w:hint="default"/>
          <w:spacing w:val="-1"/>
        </w:rPr>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pgSz w:w="11910" w:h="16840"/>
          <w:pgMar w:header="747" w:footer="705" w:top="980" w:bottom="90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3.08847pt;margin-top:395.916565pt;width:392.95pt;height:64.3pt;mso-position-horizontal-relative:page;mso-position-vertical-relative:page;z-index:-552904;rotation:315" type="#_x0000_t136" fillcolor="#e0e0e0" stroked="f">
            <o:extrusion v:ext="view" autorotationcenter="t"/>
            <v:textpath style="font-family:&amp;quot;Arial&amp;quot;;font-size:64pt;v-text-kern:t;mso-text-shadow:auto" string="UnRegistered"/>
            <w10:wrap type="none"/>
          </v:shape>
        </w:pict>
      </w:r>
    </w:p>
    <w:p>
      <w:pPr>
        <w:pStyle w:val="Heading2"/>
        <w:spacing w:line="240" w:lineRule="auto" w:before="175"/>
        <w:ind w:left="0" w:right="980"/>
        <w:jc w:val="center"/>
      </w:pPr>
      <w:r>
        <w:rPr/>
        <w:t>现金流量表</w:t>
      </w:r>
    </w:p>
    <w:p>
      <w:pPr>
        <w:spacing w:line="240" w:lineRule="auto" w:before="6"/>
        <w:rPr>
          <w:rFonts w:ascii="宋体" w:hAnsi="宋体" w:cs="宋体" w:eastAsia="宋体" w:hint="default"/>
          <w:sz w:val="25"/>
          <w:szCs w:val="25"/>
        </w:rPr>
      </w:pPr>
    </w:p>
    <w:p>
      <w:pPr>
        <w:tabs>
          <w:tab w:pos="4322" w:val="left" w:leader="none"/>
          <w:tab w:pos="8920" w:val="left" w:leader="none"/>
        </w:tabs>
        <w:spacing w:before="0"/>
        <w:ind w:left="0" w:right="975" w:firstLine="0"/>
        <w:jc w:val="center"/>
        <w:rPr>
          <w:rFonts w:ascii="宋体" w:hAnsi="宋体" w:cs="宋体" w:eastAsia="宋体" w:hint="default"/>
          <w:sz w:val="18"/>
          <w:szCs w:val="18"/>
        </w:rPr>
      </w:pP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单位：元</w:t>
      </w:r>
    </w:p>
    <w:tbl>
      <w:tblPr>
        <w:tblW w:w="0" w:type="auto"/>
        <w:jc w:val="left"/>
        <w:tblInd w:w="161" w:type="dxa"/>
        <w:tblLayout w:type="fixed"/>
        <w:tblCellMar>
          <w:top w:w="0" w:type="dxa"/>
          <w:left w:w="0" w:type="dxa"/>
          <w:bottom w:w="0" w:type="dxa"/>
          <w:right w:w="0" w:type="dxa"/>
        </w:tblCellMar>
        <w:tblLook w:val="01E0"/>
      </w:tblPr>
      <w:tblGrid>
        <w:gridCol w:w="2526"/>
        <w:gridCol w:w="1830"/>
        <w:gridCol w:w="1819"/>
        <w:gridCol w:w="1822"/>
        <w:gridCol w:w="1819"/>
      </w:tblGrid>
      <w:tr>
        <w:trPr>
          <w:trHeight w:val="127" w:hRule="exact"/>
        </w:trPr>
        <w:tc>
          <w:tcPr>
            <w:tcW w:w="2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6" w:lineRule="exact"/>
              <w:ind w:left="5" w:right="0"/>
              <w:jc w:val="center"/>
              <w:rPr>
                <w:rFonts w:ascii="宋体" w:hAnsi="宋体" w:cs="宋体" w:eastAsia="宋体" w:hint="default"/>
                <w:sz w:val="19"/>
                <w:szCs w:val="19"/>
              </w:rPr>
            </w:pPr>
            <w:r>
              <w:rPr>
                <w:rFonts w:ascii="宋体" w:hAnsi="宋体" w:cs="宋体" w:eastAsia="宋体" w:hint="default"/>
                <w:sz w:val="19"/>
                <w:szCs w:val="19"/>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6" w:lineRule="exact"/>
              <w:ind w:right="0"/>
              <w:jc w:val="center"/>
              <w:rPr>
                <w:rFonts w:ascii="宋体" w:hAnsi="宋体" w:cs="宋体" w:eastAsia="宋体" w:hint="default"/>
                <w:sz w:val="19"/>
                <w:szCs w:val="19"/>
              </w:rPr>
            </w:pPr>
            <w:r>
              <w:rPr>
                <w:rFonts w:ascii="宋体" w:hAnsi="宋体" w:cs="宋体" w:eastAsia="宋体" w:hint="default"/>
                <w:sz w:val="19"/>
                <w:szCs w:val="19"/>
              </w:rPr>
              <w:t>上期金额</w:t>
            </w:r>
          </w:p>
        </w:tc>
      </w:tr>
      <w:tr>
        <w:trPr>
          <w:trHeight w:val="124" w:hRule="exact"/>
        </w:trPr>
        <w:tc>
          <w:tcPr>
            <w:tcW w:w="2526" w:type="dxa"/>
            <w:vMerge w:val="restart"/>
            <w:tcBorders>
              <w:top w:val="nil" w:sz="6" w:space="0" w:color="auto"/>
              <w:left w:val="single" w:sz="4" w:space="0" w:color="000000"/>
              <w:right w:val="single" w:sz="4" w:space="0" w:color="000000"/>
            </w:tcBorders>
            <w:shd w:val="clear" w:color="auto" w:fill="DCDCDC"/>
          </w:tcPr>
          <w:p>
            <w:pPr>
              <w:pStyle w:val="TableParagraph"/>
              <w:spacing w:line="216" w:lineRule="exact"/>
              <w:ind w:right="1"/>
              <w:jc w:val="center"/>
              <w:rPr>
                <w:rFonts w:ascii="宋体" w:hAnsi="宋体" w:cs="宋体" w:eastAsia="宋体" w:hint="default"/>
                <w:sz w:val="19"/>
                <w:szCs w:val="19"/>
              </w:rPr>
            </w:pPr>
            <w:r>
              <w:rPr>
                <w:rFonts w:ascii="宋体" w:hAnsi="宋体" w:cs="宋体" w:eastAsia="宋体" w:hint="default"/>
                <w:sz w:val="19"/>
                <w:szCs w:val="19"/>
              </w:rPr>
              <w:t>项目</w:t>
            </w:r>
          </w:p>
        </w:tc>
        <w:tc>
          <w:tcPr>
            <w:tcW w:w="3649" w:type="dxa"/>
            <w:gridSpan w:val="2"/>
            <w:vMerge/>
            <w:tcBorders>
              <w:left w:val="single" w:sz="4" w:space="0" w:color="000000"/>
              <w:bottom w:val="single" w:sz="1" w:space="0" w:color="FFFFFF"/>
              <w:right w:val="single" w:sz="4" w:space="0" w:color="000000"/>
            </w:tcBorders>
            <w:shd w:val="clear" w:color="auto" w:fill="DCDCDC"/>
          </w:tcPr>
          <w:p>
            <w:pPr/>
          </w:p>
        </w:tc>
        <w:tc>
          <w:tcPr>
            <w:tcW w:w="3641" w:type="dxa"/>
            <w:gridSpan w:val="2"/>
            <w:vMerge/>
            <w:tcBorders>
              <w:left w:val="single" w:sz="4" w:space="0" w:color="000000"/>
              <w:bottom w:val="single" w:sz="1" w:space="0" w:color="FFFFFF"/>
              <w:right w:val="single" w:sz="4" w:space="0" w:color="000000"/>
            </w:tcBorders>
            <w:shd w:val="clear" w:color="auto" w:fill="DCDCDC"/>
          </w:tcPr>
          <w:p>
            <w:pPr/>
          </w:p>
        </w:tc>
      </w:tr>
      <w:tr>
        <w:trPr>
          <w:trHeight w:val="200" w:hRule="exact"/>
        </w:trPr>
        <w:tc>
          <w:tcPr>
            <w:tcW w:w="2526" w:type="dxa"/>
            <w:vMerge/>
            <w:tcBorders>
              <w:left w:val="single" w:sz="4" w:space="0" w:color="000000"/>
              <w:bottom w:val="single" w:sz="4" w:space="0" w:color="000000"/>
              <w:right w:val="single" w:sz="4" w:space="0" w:color="000000"/>
            </w:tcBorders>
            <w:shd w:val="clear" w:color="auto" w:fill="DCDCDC"/>
          </w:tcPr>
          <w:p>
            <w:pPr/>
          </w:p>
        </w:tc>
        <w:tc>
          <w:tcPr>
            <w:tcW w:w="1830" w:type="dxa"/>
            <w:tcBorders>
              <w:top w:val="single" w:sz="1" w:space="0" w:color="FFFFFF"/>
              <w:left w:val="single" w:sz="4" w:space="0" w:color="000000"/>
              <w:bottom w:val="single" w:sz="4" w:space="0" w:color="000000"/>
              <w:right w:val="single" w:sz="4" w:space="0" w:color="000000"/>
            </w:tcBorders>
            <w:shd w:val="clear" w:color="auto" w:fill="DCDCDC"/>
          </w:tcPr>
          <w:p>
            <w:pPr>
              <w:pStyle w:val="TableParagraph"/>
              <w:spacing w:line="226" w:lineRule="exact"/>
              <w:ind w:left="5" w:right="0"/>
              <w:jc w:val="center"/>
              <w:rPr>
                <w:rFonts w:ascii="宋体" w:hAnsi="宋体" w:cs="宋体" w:eastAsia="宋体" w:hint="default"/>
                <w:sz w:val="19"/>
                <w:szCs w:val="19"/>
              </w:rPr>
            </w:pPr>
            <w:r>
              <w:rPr>
                <w:rFonts w:ascii="宋体" w:hAnsi="宋体" w:cs="宋体" w:eastAsia="宋体" w:hint="default"/>
                <w:sz w:val="19"/>
                <w:szCs w:val="19"/>
              </w:rPr>
              <w:t>合并</w:t>
            </w:r>
          </w:p>
        </w:tc>
        <w:tc>
          <w:tcPr>
            <w:tcW w:w="1819" w:type="dxa"/>
            <w:tcBorders>
              <w:top w:val="single" w:sz="1" w:space="0" w:color="FFFFFF"/>
              <w:left w:val="single" w:sz="4" w:space="0" w:color="000000"/>
              <w:bottom w:val="single" w:sz="4" w:space="0" w:color="000000"/>
              <w:right w:val="single" w:sz="4" w:space="0" w:color="000000"/>
            </w:tcBorders>
            <w:shd w:val="clear" w:color="auto" w:fill="DCDCDC"/>
          </w:tcPr>
          <w:p>
            <w:pPr>
              <w:pStyle w:val="TableParagraph"/>
              <w:spacing w:line="226" w:lineRule="exact"/>
              <w:ind w:left="7" w:right="0"/>
              <w:jc w:val="center"/>
              <w:rPr>
                <w:rFonts w:ascii="宋体" w:hAnsi="宋体" w:cs="宋体" w:eastAsia="宋体" w:hint="default"/>
                <w:sz w:val="19"/>
                <w:szCs w:val="19"/>
              </w:rPr>
            </w:pPr>
            <w:r>
              <w:rPr>
                <w:rFonts w:ascii="宋体" w:hAnsi="宋体" w:cs="宋体" w:eastAsia="宋体" w:hint="default"/>
                <w:sz w:val="19"/>
                <w:szCs w:val="19"/>
              </w:rPr>
              <w:t>母公司</w:t>
            </w:r>
          </w:p>
        </w:tc>
        <w:tc>
          <w:tcPr>
            <w:tcW w:w="1822" w:type="dxa"/>
            <w:tcBorders>
              <w:top w:val="single" w:sz="1" w:space="0" w:color="FFFFFF"/>
              <w:left w:val="single" w:sz="4" w:space="0" w:color="000000"/>
              <w:bottom w:val="single" w:sz="4" w:space="0" w:color="000000"/>
              <w:right w:val="single" w:sz="4" w:space="0" w:color="000000"/>
            </w:tcBorders>
            <w:shd w:val="clear" w:color="auto" w:fill="DCDCDC"/>
          </w:tcPr>
          <w:p>
            <w:pPr>
              <w:pStyle w:val="TableParagraph"/>
              <w:spacing w:line="226" w:lineRule="exact"/>
              <w:ind w:right="0"/>
              <w:jc w:val="center"/>
              <w:rPr>
                <w:rFonts w:ascii="宋体" w:hAnsi="宋体" w:cs="宋体" w:eastAsia="宋体" w:hint="default"/>
                <w:sz w:val="19"/>
                <w:szCs w:val="19"/>
              </w:rPr>
            </w:pPr>
            <w:r>
              <w:rPr>
                <w:rFonts w:ascii="宋体" w:hAnsi="宋体" w:cs="宋体" w:eastAsia="宋体" w:hint="default"/>
                <w:sz w:val="19"/>
                <w:szCs w:val="19"/>
              </w:rPr>
              <w:t>合并</w:t>
            </w:r>
          </w:p>
        </w:tc>
        <w:tc>
          <w:tcPr>
            <w:tcW w:w="1819" w:type="dxa"/>
            <w:tcBorders>
              <w:top w:val="single" w:sz="1" w:space="0" w:color="FFFFFF"/>
              <w:left w:val="single" w:sz="4" w:space="0" w:color="000000"/>
              <w:bottom w:val="single" w:sz="4" w:space="0" w:color="000000"/>
              <w:right w:val="single" w:sz="4" w:space="0" w:color="000000"/>
            </w:tcBorders>
            <w:shd w:val="clear" w:color="auto" w:fill="DCDCDC"/>
          </w:tcPr>
          <w:p>
            <w:pPr>
              <w:pStyle w:val="TableParagraph"/>
              <w:spacing w:line="226" w:lineRule="exact"/>
              <w:ind w:right="0"/>
              <w:jc w:val="center"/>
              <w:rPr>
                <w:rFonts w:ascii="宋体" w:hAnsi="宋体" w:cs="宋体" w:eastAsia="宋体" w:hint="default"/>
                <w:sz w:val="19"/>
                <w:szCs w:val="19"/>
              </w:rPr>
            </w:pPr>
            <w:r>
              <w:rPr>
                <w:rFonts w:ascii="宋体" w:hAnsi="宋体" w:cs="宋体" w:eastAsia="宋体" w:hint="default"/>
                <w:sz w:val="19"/>
                <w:szCs w:val="19"/>
              </w:rPr>
              <w:t>母公司</w:t>
            </w:r>
          </w:p>
        </w:tc>
      </w:tr>
      <w:tr>
        <w:trPr>
          <w:trHeight w:val="309"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19"/>
                <w:szCs w:val="19"/>
              </w:rPr>
            </w:pPr>
            <w:r>
              <w:rPr>
                <w:rFonts w:ascii="宋体" w:hAnsi="宋体" w:cs="宋体" w:eastAsia="宋体" w:hint="default"/>
                <w:spacing w:val="-6"/>
                <w:sz w:val="19"/>
                <w:szCs w:val="19"/>
              </w:rPr>
              <w:t>一、经营活动产生的现金流量</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17" w:right="0"/>
              <w:jc w:val="left"/>
              <w:rPr>
                <w:rFonts w:ascii="宋体" w:hAnsi="宋体" w:cs="宋体" w:eastAsia="宋体" w:hint="default"/>
                <w:sz w:val="19"/>
                <w:szCs w:val="19"/>
              </w:rPr>
            </w:pPr>
            <w:r>
              <w:rPr>
                <w:rFonts w:ascii="宋体" w:hAnsi="宋体" w:cs="宋体" w:eastAsia="宋体" w:hint="default"/>
                <w:w w:val="99"/>
                <w:sz w:val="19"/>
                <w:szCs w:val="19"/>
              </w:rPr>
              <w:t>：</w:t>
            </w:r>
            <w:r>
              <w:rPr>
                <w:rFonts w:ascii="宋体" w:hAnsi="宋体" w:cs="宋体" w:eastAsia="宋体" w:hint="default"/>
                <w:sz w:val="19"/>
                <w:szCs w:val="19"/>
              </w:rPr>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1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3" w:lineRule="exact"/>
              <w:ind w:left="393" w:right="0"/>
              <w:jc w:val="left"/>
              <w:rPr>
                <w:rFonts w:ascii="宋体" w:hAnsi="宋体" w:cs="宋体" w:eastAsia="宋体" w:hint="default"/>
                <w:sz w:val="19"/>
                <w:szCs w:val="19"/>
              </w:rPr>
            </w:pPr>
            <w:r>
              <w:rPr>
                <w:rFonts w:ascii="宋体" w:hAnsi="宋体" w:cs="宋体" w:eastAsia="宋体" w:hint="default"/>
                <w:sz w:val="19"/>
                <w:szCs w:val="19"/>
              </w:rPr>
              <w:t>销售商品、提供劳务收到</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6" w:space="0" w:color="DCDCDC"/>
              <w:left w:val="single" w:sz="12" w:space="0" w:color="DCDCDC"/>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spacing w:val="-1"/>
                <w:sz w:val="19"/>
              </w:rPr>
              <w:t>58,684,352.86</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6"/>
              <w:ind w:right="18"/>
              <w:jc w:val="right"/>
              <w:rPr>
                <w:rFonts w:ascii="Times New Roman" w:hAnsi="Times New Roman" w:cs="Times New Roman" w:eastAsia="Times New Roman" w:hint="default"/>
                <w:sz w:val="19"/>
                <w:szCs w:val="19"/>
              </w:rPr>
            </w:pPr>
            <w:r>
              <w:rPr>
                <w:rFonts w:ascii="Times New Roman"/>
                <w:spacing w:val="-1"/>
                <w:sz w:val="19"/>
              </w:rPr>
              <w:t>5,100,770.00</w:t>
            </w:r>
          </w:p>
        </w:tc>
        <w:tc>
          <w:tcPr>
            <w:tcW w:w="1822"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spacing w:val="-1"/>
                <w:sz w:val="19"/>
              </w:rPr>
              <w:t>68,822,009.11</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9"/>
                <w:szCs w:val="19"/>
              </w:rPr>
            </w:pPr>
            <w:r>
              <w:rPr>
                <w:rFonts w:ascii="Times New Roman"/>
                <w:spacing w:val="-1"/>
                <w:sz w:val="19"/>
              </w:rPr>
              <w:t>11,894,010.40</w:t>
            </w: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93" w:right="0"/>
              <w:jc w:val="left"/>
              <w:rPr>
                <w:rFonts w:ascii="宋体" w:hAnsi="宋体" w:cs="宋体" w:eastAsia="宋体" w:hint="default"/>
                <w:sz w:val="19"/>
                <w:szCs w:val="19"/>
              </w:rPr>
            </w:pPr>
            <w:r>
              <w:rPr>
                <w:rFonts w:ascii="宋体" w:hAnsi="宋体" w:cs="宋体" w:eastAsia="宋体" w:hint="default"/>
                <w:sz w:val="19"/>
                <w:szCs w:val="19"/>
              </w:rPr>
              <w:t>客户存款和同业存放款项</w:t>
            </w:r>
          </w:p>
          <w:p>
            <w:pPr>
              <w:pStyle w:val="TableParagraph"/>
              <w:spacing w:line="247" w:lineRule="exact"/>
              <w:ind w:left="12" w:right="0"/>
              <w:jc w:val="left"/>
              <w:rPr>
                <w:rFonts w:ascii="宋体" w:hAnsi="宋体" w:cs="宋体" w:eastAsia="宋体" w:hint="default"/>
                <w:sz w:val="19"/>
                <w:szCs w:val="19"/>
              </w:rPr>
            </w:pPr>
            <w:r>
              <w:rPr>
                <w:rFonts w:ascii="宋体" w:hAnsi="宋体" w:cs="宋体" w:eastAsia="宋体" w:hint="default"/>
                <w:sz w:val="19"/>
                <w:szCs w:val="19"/>
              </w:rPr>
              <w:t>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向中央银行借款净增加额</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向其他金融机构拆入资金</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93" w:right="0"/>
              <w:jc w:val="left"/>
              <w:rPr>
                <w:rFonts w:ascii="宋体" w:hAnsi="宋体" w:cs="宋体" w:eastAsia="宋体" w:hint="default"/>
                <w:sz w:val="19"/>
                <w:szCs w:val="19"/>
              </w:rPr>
            </w:pPr>
            <w:r>
              <w:rPr>
                <w:rFonts w:ascii="宋体" w:hAnsi="宋体" w:cs="宋体" w:eastAsia="宋体" w:hint="default"/>
                <w:sz w:val="19"/>
                <w:szCs w:val="19"/>
              </w:rPr>
              <w:t>收到原保险合同保费取得</w:t>
            </w:r>
          </w:p>
          <w:p>
            <w:pPr>
              <w:pStyle w:val="TableParagraph"/>
              <w:spacing w:line="247"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收到再保险业务现金净额</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保户储金及投资款净增加</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w w:val="99"/>
                <w:sz w:val="19"/>
                <w:szCs w:val="19"/>
              </w:rPr>
              <w:t>额</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处置交易性金融资产净增</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收取利息、手续费及佣金</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拆入资金净增加额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回购业务资金净增加额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收到的税费返还</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收到其他与经营活动有关</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59,709,799.70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57,986,191.54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1,201,707.61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341,946.10</w:t>
            </w: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经营活动现金流入小计</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118,394,152.56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63,086,961.54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70,023,716.72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12,235,956.50</w:t>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购买商品、接受劳务支付</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6,235,531.63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w w:val="95"/>
                <w:sz w:val="19"/>
              </w:rPr>
              <w:t>21,540.82</w:t>
            </w:r>
            <w:r>
              <w:rPr>
                <w:rFonts w:ascii="Times New Roman"/>
                <w:sz w:val="19"/>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27,289,996.97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w w:val="95"/>
                <w:sz w:val="19"/>
              </w:rPr>
              <w:t>48,850.00</w:t>
            </w:r>
            <w:r>
              <w:rPr>
                <w:rFonts w:ascii="Times New Roman"/>
                <w:sz w:val="19"/>
              </w:rPr>
            </w: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客户贷款及垫款净增加额</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93" w:right="0"/>
              <w:jc w:val="left"/>
              <w:rPr>
                <w:rFonts w:ascii="宋体" w:hAnsi="宋体" w:cs="宋体" w:eastAsia="宋体" w:hint="default"/>
                <w:sz w:val="19"/>
                <w:szCs w:val="19"/>
              </w:rPr>
            </w:pPr>
            <w:r>
              <w:rPr>
                <w:rFonts w:ascii="宋体" w:hAnsi="宋体" w:cs="宋体" w:eastAsia="宋体" w:hint="default"/>
                <w:sz w:val="19"/>
                <w:szCs w:val="19"/>
              </w:rPr>
              <w:t>存放中央银行和同业款项</w:t>
            </w:r>
          </w:p>
          <w:p>
            <w:pPr>
              <w:pStyle w:val="TableParagraph"/>
              <w:spacing w:line="247" w:lineRule="exact"/>
              <w:ind w:left="12" w:right="0"/>
              <w:jc w:val="left"/>
              <w:rPr>
                <w:rFonts w:ascii="宋体" w:hAnsi="宋体" w:cs="宋体" w:eastAsia="宋体" w:hint="default"/>
                <w:sz w:val="19"/>
                <w:szCs w:val="19"/>
              </w:rPr>
            </w:pPr>
            <w:r>
              <w:rPr>
                <w:rFonts w:ascii="宋体" w:hAnsi="宋体" w:cs="宋体" w:eastAsia="宋体" w:hint="default"/>
                <w:sz w:val="19"/>
                <w:szCs w:val="19"/>
              </w:rPr>
              <w:t>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支付原保险合同赔付款项</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93" w:right="0"/>
              <w:jc w:val="left"/>
              <w:rPr>
                <w:rFonts w:ascii="宋体" w:hAnsi="宋体" w:cs="宋体" w:eastAsia="宋体" w:hint="default"/>
                <w:sz w:val="19"/>
                <w:szCs w:val="19"/>
              </w:rPr>
            </w:pPr>
            <w:r>
              <w:rPr>
                <w:rFonts w:ascii="宋体" w:hAnsi="宋体" w:cs="宋体" w:eastAsia="宋体" w:hint="default"/>
                <w:sz w:val="19"/>
                <w:szCs w:val="19"/>
              </w:rPr>
              <w:t>支付利息、手续费及佣金</w:t>
            </w:r>
          </w:p>
          <w:p>
            <w:pPr>
              <w:pStyle w:val="TableParagraph"/>
              <w:spacing w:line="247"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支付保单红利的现金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支付给职工以及为职工支</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8,399,863.10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1,835,018.97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11,351,102.42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1,097,189.96</w:t>
            </w: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支付的各项税费</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14,322,864.80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2,210,373.93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13,250,386.53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797,326.37</w:t>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支付其他与经营活动有关</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7,055,820.51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5,235,170.10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7,328,915.24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7,522,220.58</w:t>
            </w: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经营活动现金流出小计</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36,014,080.04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9,302,103.82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59,220,401.16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9,465,586.91</w:t>
            </w:r>
          </w:p>
        </w:tc>
      </w:tr>
      <w:tr>
        <w:trPr>
          <w:trHeight w:val="509"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775" w:right="0"/>
              <w:jc w:val="left"/>
              <w:rPr>
                <w:rFonts w:ascii="宋体" w:hAnsi="宋体" w:cs="宋体" w:eastAsia="宋体" w:hint="default"/>
                <w:sz w:val="19"/>
                <w:szCs w:val="19"/>
              </w:rPr>
            </w:pPr>
            <w:r>
              <w:rPr>
                <w:rFonts w:ascii="宋体" w:hAnsi="宋体" w:cs="宋体" w:eastAsia="宋体" w:hint="default"/>
                <w:sz w:val="19"/>
                <w:szCs w:val="19"/>
              </w:rPr>
              <w:t>经营活动产生的现金</w:t>
            </w:r>
          </w:p>
          <w:p>
            <w:pPr>
              <w:pStyle w:val="TableParagraph"/>
              <w:spacing w:line="247" w:lineRule="exact"/>
              <w:ind w:left="12" w:right="0"/>
              <w:jc w:val="left"/>
              <w:rPr>
                <w:rFonts w:ascii="宋体" w:hAnsi="宋体" w:cs="宋体" w:eastAsia="宋体" w:hint="default"/>
                <w:sz w:val="19"/>
                <w:szCs w:val="19"/>
              </w:rPr>
            </w:pPr>
            <w:r>
              <w:rPr>
                <w:rFonts w:ascii="宋体" w:hAnsi="宋体" w:cs="宋体" w:eastAsia="宋体" w:hint="default"/>
                <w:sz w:val="19"/>
                <w:szCs w:val="19"/>
              </w:rPr>
              <w:t>流量净额</w:t>
            </w:r>
          </w:p>
        </w:tc>
        <w:tc>
          <w:tcPr>
            <w:tcW w:w="1830" w:type="dxa"/>
            <w:tcBorders>
              <w:top w:val="single" w:sz="4" w:space="0" w:color="000000"/>
              <w:left w:val="single" w:sz="12" w:space="0" w:color="DCDCDC"/>
              <w:bottom w:val="single" w:sz="10" w:space="0" w:color="DCDCDC"/>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82,380,072.52</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53,784,857.72</w:t>
            </w:r>
          </w:p>
        </w:tc>
        <w:tc>
          <w:tcPr>
            <w:tcW w:w="1822"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10,803,315.56</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2,770,369.59</w:t>
            </w:r>
          </w:p>
        </w:tc>
      </w:tr>
      <w:tr>
        <w:trPr>
          <w:trHeight w:val="24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9" w:lineRule="exact"/>
              <w:ind w:left="12" w:right="0"/>
              <w:jc w:val="left"/>
              <w:rPr>
                <w:rFonts w:ascii="宋体" w:hAnsi="宋体" w:cs="宋体" w:eastAsia="宋体" w:hint="default"/>
                <w:sz w:val="19"/>
                <w:szCs w:val="19"/>
              </w:rPr>
            </w:pPr>
            <w:r>
              <w:rPr>
                <w:rFonts w:ascii="宋体" w:hAnsi="宋体" w:cs="宋体" w:eastAsia="宋体" w:hint="default"/>
                <w:spacing w:val="-6"/>
                <w:sz w:val="19"/>
                <w:szCs w:val="19"/>
              </w:rPr>
              <w:t>二、投资活动产生的现金流量</w:t>
            </w:r>
          </w:p>
        </w:tc>
        <w:tc>
          <w:tcPr>
            <w:tcW w:w="18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9" w:lineRule="exact"/>
              <w:ind w:left="-117" w:right="0"/>
              <w:jc w:val="left"/>
              <w:rPr>
                <w:rFonts w:ascii="宋体" w:hAnsi="宋体" w:cs="宋体" w:eastAsia="宋体" w:hint="default"/>
                <w:sz w:val="19"/>
                <w:szCs w:val="19"/>
              </w:rPr>
            </w:pPr>
            <w:r>
              <w:rPr>
                <w:rFonts w:ascii="宋体" w:hAnsi="宋体" w:cs="宋体" w:eastAsia="宋体" w:hint="default"/>
                <w:w w:val="99"/>
                <w:sz w:val="19"/>
                <w:szCs w:val="19"/>
              </w:rPr>
              <w:t>：</w:t>
            </w:r>
            <w:r>
              <w:rPr>
                <w:rFonts w:ascii="宋体" w:hAnsi="宋体" w:cs="宋体" w:eastAsia="宋体" w:hint="default"/>
                <w:sz w:val="19"/>
                <w:szCs w:val="19"/>
              </w:rPr>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6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393" w:right="0"/>
              <w:jc w:val="left"/>
              <w:rPr>
                <w:rFonts w:ascii="宋体" w:hAnsi="宋体" w:cs="宋体" w:eastAsia="宋体" w:hint="default"/>
                <w:sz w:val="19"/>
                <w:szCs w:val="19"/>
              </w:rPr>
            </w:pPr>
            <w:r>
              <w:rPr>
                <w:rFonts w:ascii="宋体" w:hAnsi="宋体" w:cs="宋体" w:eastAsia="宋体" w:hint="default"/>
                <w:sz w:val="19"/>
                <w:szCs w:val="19"/>
              </w:rPr>
              <w:t>收回投资收到的现金</w:t>
            </w:r>
          </w:p>
        </w:tc>
        <w:tc>
          <w:tcPr>
            <w:tcW w:w="1830" w:type="dxa"/>
            <w:tcBorders>
              <w:top w:val="single" w:sz="10" w:space="0" w:color="DCDCDC"/>
              <w:left w:val="single" w:sz="12" w:space="0" w:color="DCDCDC"/>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30,826,209.40</w:t>
            </w:r>
          </w:p>
        </w:tc>
        <w:tc>
          <w:tcPr>
            <w:tcW w:w="1819" w:type="dxa"/>
            <w:tcBorders>
              <w:top w:val="single" w:sz="10" w:space="0" w:color="DCDCDC"/>
              <w:left w:val="single" w:sz="4" w:space="0" w:color="000000"/>
              <w:bottom w:val="single" w:sz="4" w:space="0" w:color="000000"/>
              <w:right w:val="single" w:sz="4"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取得投资收益收到的现金</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2,700,000.00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237,774.01</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49"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2" w:right="0" w:firstLine="381"/>
              <w:jc w:val="left"/>
              <w:rPr>
                <w:rFonts w:ascii="宋体" w:hAnsi="宋体" w:cs="宋体" w:eastAsia="宋体" w:hint="default"/>
                <w:sz w:val="19"/>
                <w:szCs w:val="19"/>
              </w:rPr>
            </w:pPr>
            <w:r>
              <w:rPr>
                <w:rFonts w:ascii="宋体" w:hAnsi="宋体" w:cs="宋体" w:eastAsia="宋体" w:hint="default"/>
                <w:sz w:val="19"/>
                <w:szCs w:val="19"/>
              </w:rPr>
              <w:t>处置固定资产、无形资产</w:t>
            </w:r>
          </w:p>
          <w:p>
            <w:pPr>
              <w:pStyle w:val="TableParagraph"/>
              <w:spacing w:line="240" w:lineRule="auto"/>
              <w:ind w:left="12" w:right="32"/>
              <w:jc w:val="left"/>
              <w:rPr>
                <w:rFonts w:ascii="宋体" w:hAnsi="宋体" w:cs="宋体" w:eastAsia="宋体" w:hint="default"/>
                <w:sz w:val="19"/>
                <w:szCs w:val="19"/>
              </w:rPr>
            </w:pPr>
            <w:r>
              <w:rPr>
                <w:rFonts w:ascii="宋体" w:hAnsi="宋体" w:cs="宋体" w:eastAsia="宋体" w:hint="default"/>
                <w:sz w:val="19"/>
                <w:szCs w:val="19"/>
              </w:rPr>
              <w:t>和其他长期资产收回的现金净</w:t>
            </w:r>
            <w:r>
              <w:rPr>
                <w:rFonts w:ascii="宋体" w:hAnsi="宋体" w:cs="宋体" w:eastAsia="宋体" w:hint="default"/>
                <w:w w:val="99"/>
                <w:sz w:val="19"/>
                <w:szCs w:val="19"/>
              </w:rPr>
              <w:t> </w:t>
            </w:r>
            <w:r>
              <w:rPr>
                <w:rFonts w:ascii="宋体" w:hAnsi="宋体" w:cs="宋体" w:eastAsia="宋体" w:hint="default"/>
                <w:sz w:val="19"/>
                <w:szCs w:val="19"/>
              </w:rPr>
              <w:t>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9"/>
                <w:szCs w:val="19"/>
              </w:rPr>
            </w:pPr>
            <w:r>
              <w:rPr>
                <w:rFonts w:ascii="Times New Roman"/>
                <w:spacing w:val="-1"/>
                <w:sz w:val="19"/>
              </w:rPr>
              <w:t>619,060.40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9"/>
                <w:szCs w:val="19"/>
              </w:rPr>
            </w:pPr>
            <w:r>
              <w:rPr>
                <w:rFonts w:ascii="Times New Roman"/>
                <w:spacing w:val="-1"/>
                <w:sz w:val="19"/>
              </w:rPr>
              <w:t>327,667.60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9"/>
                <w:szCs w:val="19"/>
              </w:rPr>
            </w:pPr>
            <w:r>
              <w:rPr>
                <w:rFonts w:ascii="Times New Roman"/>
                <w:w w:val="95"/>
                <w:sz w:val="19"/>
              </w:rPr>
              <w:t>60,300.00</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9"/>
                <w:szCs w:val="19"/>
              </w:rPr>
            </w:pPr>
            <w:r>
              <w:rPr>
                <w:rFonts w:ascii="Times New Roman"/>
                <w:w w:val="95"/>
                <w:sz w:val="19"/>
              </w:rPr>
              <w:t>60,000.00</w:t>
            </w:r>
            <w:r>
              <w:rPr>
                <w:rFonts w:ascii="Times New Roman"/>
                <w:sz w:val="19"/>
              </w:rPr>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处置子公司及其他营业单</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位收到的现金净额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w w:val="95"/>
                <w:sz w:val="19"/>
              </w:rPr>
              <w:t>103,958,527.54</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05" w:top="980" w:bottom="900" w:left="98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552880;rotation:315" type="#_x0000_t136" fillcolor="#e0e0e0" stroked="f">
            <o:extrusion v:ext="view" autorotationcenter="t"/>
            <v:textpath style="font-family:&amp;quot;Arial&amp;quot;;font-size:64pt;v-text-kern:t;mso-text-shadow:auto" string="UnRegistered"/>
            <w10:wrap type="none"/>
          </v:shape>
        </w:pict>
      </w:r>
    </w:p>
    <w:p>
      <w:pPr>
        <w:spacing w:line="240" w:lineRule="auto" w:before="6"/>
        <w:rPr>
          <w:rFonts w:ascii="宋体" w:hAnsi="宋体" w:cs="宋体" w:eastAsia="宋体" w:hint="default"/>
          <w:sz w:val="14"/>
          <w:szCs w:val="14"/>
        </w:rPr>
      </w:pPr>
    </w:p>
    <w:tbl>
      <w:tblPr>
        <w:tblW w:w="0" w:type="auto"/>
        <w:jc w:val="left"/>
        <w:tblInd w:w="161" w:type="dxa"/>
        <w:tblLayout w:type="fixed"/>
        <w:tblCellMar>
          <w:top w:w="0" w:type="dxa"/>
          <w:left w:w="0" w:type="dxa"/>
          <w:bottom w:w="0" w:type="dxa"/>
          <w:right w:w="0" w:type="dxa"/>
        </w:tblCellMar>
        <w:tblLook w:val="01E0"/>
      </w:tblPr>
      <w:tblGrid>
        <w:gridCol w:w="2526"/>
        <w:gridCol w:w="1830"/>
        <w:gridCol w:w="1819"/>
        <w:gridCol w:w="1822"/>
        <w:gridCol w:w="1818"/>
      </w:tblGrid>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收到其他与投资活动有关</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5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投资活动现金流入小计</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104,577,587.94</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3,027,667.60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31,124,283.41</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right="20"/>
              <w:jc w:val="right"/>
              <w:rPr>
                <w:rFonts w:ascii="Times New Roman" w:hAnsi="Times New Roman" w:cs="Times New Roman" w:eastAsia="Times New Roman" w:hint="default"/>
                <w:sz w:val="19"/>
                <w:szCs w:val="19"/>
              </w:rPr>
            </w:pPr>
            <w:r>
              <w:rPr>
                <w:rFonts w:ascii="Times New Roman"/>
                <w:w w:val="95"/>
                <w:sz w:val="19"/>
              </w:rPr>
              <w:t>60,000.00</w:t>
            </w:r>
            <w:r>
              <w:rPr>
                <w:rFonts w:ascii="Times New Roman"/>
                <w:sz w:val="19"/>
              </w:rPr>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购建固定资产、无形资产</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和其他长期资产支付的现金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42,605,747.27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2,650.00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18,483,600.07</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投资支付的现金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5,000,000.00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22,795,209.40</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质押贷款净增加额</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93" w:right="0"/>
              <w:jc w:val="left"/>
              <w:rPr>
                <w:rFonts w:ascii="宋体" w:hAnsi="宋体" w:cs="宋体" w:eastAsia="宋体" w:hint="default"/>
                <w:sz w:val="19"/>
                <w:szCs w:val="19"/>
              </w:rPr>
            </w:pPr>
            <w:r>
              <w:rPr>
                <w:rFonts w:ascii="宋体" w:hAnsi="宋体" w:cs="宋体" w:eastAsia="宋体" w:hint="default"/>
                <w:sz w:val="19"/>
                <w:szCs w:val="19"/>
              </w:rPr>
              <w:t>取得子公司及其他营业单</w:t>
            </w:r>
          </w:p>
          <w:p>
            <w:pPr>
              <w:pStyle w:val="TableParagraph"/>
              <w:spacing w:line="247" w:lineRule="exact"/>
              <w:ind w:left="12" w:right="0"/>
              <w:jc w:val="left"/>
              <w:rPr>
                <w:rFonts w:ascii="宋体" w:hAnsi="宋体" w:cs="宋体" w:eastAsia="宋体" w:hint="default"/>
                <w:sz w:val="19"/>
                <w:szCs w:val="19"/>
              </w:rPr>
            </w:pPr>
            <w:r>
              <w:rPr>
                <w:rFonts w:ascii="宋体" w:hAnsi="宋体" w:cs="宋体" w:eastAsia="宋体" w:hint="default"/>
                <w:sz w:val="19"/>
                <w:szCs w:val="19"/>
              </w:rPr>
              <w:t>位支付的现金净额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2,200,000.00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2,200,000.00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2,000,000.00</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2"/>
              <w:ind w:right="20"/>
              <w:jc w:val="right"/>
              <w:rPr>
                <w:rFonts w:ascii="Times New Roman" w:hAnsi="Times New Roman" w:cs="Times New Roman" w:eastAsia="Times New Roman" w:hint="default"/>
                <w:sz w:val="19"/>
                <w:szCs w:val="19"/>
              </w:rPr>
            </w:pPr>
            <w:r>
              <w:rPr>
                <w:rFonts w:ascii="Times New Roman"/>
                <w:spacing w:val="-1"/>
                <w:sz w:val="19"/>
              </w:rPr>
              <w:t>2,000,000.00</w:t>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支付其他与投资活动有关</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1,149,102.70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3,060,248.97</w:t>
            </w: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5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投资活动现金流出小计</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50,954,849.97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2,202,650.00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46,339,058.44</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right="20"/>
              <w:jc w:val="right"/>
              <w:rPr>
                <w:rFonts w:ascii="Times New Roman" w:hAnsi="Times New Roman" w:cs="Times New Roman" w:eastAsia="Times New Roman" w:hint="default"/>
                <w:sz w:val="19"/>
                <w:szCs w:val="19"/>
              </w:rPr>
            </w:pPr>
            <w:r>
              <w:rPr>
                <w:rFonts w:ascii="Times New Roman"/>
                <w:spacing w:val="-1"/>
                <w:sz w:val="19"/>
              </w:rPr>
              <w:t>2,000,000.00</w:t>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775" w:right="0"/>
              <w:jc w:val="left"/>
              <w:rPr>
                <w:rFonts w:ascii="宋体" w:hAnsi="宋体" w:cs="宋体" w:eastAsia="宋体" w:hint="default"/>
                <w:sz w:val="19"/>
                <w:szCs w:val="19"/>
              </w:rPr>
            </w:pPr>
            <w:r>
              <w:rPr>
                <w:rFonts w:ascii="宋体" w:hAnsi="宋体" w:cs="宋体" w:eastAsia="宋体" w:hint="default"/>
                <w:sz w:val="19"/>
                <w:szCs w:val="19"/>
              </w:rPr>
              <w:t>投资活动产生的现金</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流量净额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53,622,737.97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825,017.60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w w:val="95"/>
                <w:sz w:val="19"/>
              </w:rPr>
              <w:t>-15,214,775.03</w:t>
            </w:r>
            <w:r>
              <w:rPr>
                <w:rFonts w:ascii="Times New Roman"/>
                <w:sz w:val="19"/>
              </w:rPr>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2"/>
              <w:ind w:right="20"/>
              <w:jc w:val="right"/>
              <w:rPr>
                <w:rFonts w:ascii="Times New Roman" w:hAnsi="Times New Roman" w:cs="Times New Roman" w:eastAsia="Times New Roman" w:hint="default"/>
                <w:sz w:val="19"/>
                <w:szCs w:val="19"/>
              </w:rPr>
            </w:pPr>
            <w:r>
              <w:rPr>
                <w:rFonts w:ascii="Times New Roman"/>
                <w:spacing w:val="-1"/>
                <w:sz w:val="19"/>
              </w:rPr>
              <w:t>-1,940,000.00</w:t>
            </w:r>
          </w:p>
        </w:tc>
      </w:tr>
      <w:tr>
        <w:trPr>
          <w:trHeight w:val="141" w:hRule="exact"/>
        </w:trPr>
        <w:tc>
          <w:tcPr>
            <w:tcW w:w="2526" w:type="dxa"/>
            <w:vMerge w:val="restart"/>
            <w:tcBorders>
              <w:top w:val="single" w:sz="4" w:space="0" w:color="000000"/>
              <w:left w:val="single" w:sz="4" w:space="0" w:color="000000"/>
              <w:right w:val="single" w:sz="4" w:space="0" w:color="000000"/>
            </w:tcBorders>
            <w:shd w:val="clear" w:color="auto" w:fill="DCDCDC"/>
          </w:tcPr>
          <w:p>
            <w:pPr>
              <w:pStyle w:val="TableParagraph"/>
              <w:spacing w:line="215" w:lineRule="exact"/>
              <w:ind w:left="204" w:right="0"/>
              <w:jc w:val="left"/>
              <w:rPr>
                <w:rFonts w:ascii="宋体" w:hAnsi="宋体" w:cs="宋体" w:eastAsia="宋体" w:hint="default"/>
                <w:sz w:val="19"/>
                <w:szCs w:val="19"/>
              </w:rPr>
            </w:pPr>
            <w:r>
              <w:rPr>
                <w:rFonts w:ascii="宋体" w:hAnsi="宋体" w:cs="宋体" w:eastAsia="宋体" w:hint="default"/>
                <w:sz w:val="19"/>
                <w:szCs w:val="19"/>
              </w:rPr>
              <w:t>三、筹资活动产生的现金流</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量：</w:t>
            </w:r>
          </w:p>
        </w:tc>
        <w:tc>
          <w:tcPr>
            <w:tcW w:w="183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8" w:type="dxa"/>
            <w:tcBorders>
              <w:top w:val="single" w:sz="4" w:space="0" w:color="000000"/>
              <w:left w:val="single" w:sz="4" w:space="0" w:color="000000"/>
              <w:bottom w:val="nil" w:sz="6" w:space="0" w:color="auto"/>
              <w:right w:val="single" w:sz="5" w:space="0" w:color="000000"/>
            </w:tcBorders>
            <w:shd w:val="clear" w:color="auto" w:fill="DCDCDC"/>
          </w:tcPr>
          <w:p>
            <w:pPr/>
          </w:p>
        </w:tc>
      </w:tr>
      <w:tr>
        <w:trPr>
          <w:trHeight w:val="218" w:hRule="exact"/>
        </w:trPr>
        <w:tc>
          <w:tcPr>
            <w:tcW w:w="2526" w:type="dxa"/>
            <w:vMerge/>
            <w:tcBorders>
              <w:left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8" w:type="dxa"/>
            <w:tcBorders>
              <w:top w:val="nil" w:sz="6" w:space="0" w:color="auto"/>
              <w:left w:val="single" w:sz="4" w:space="0" w:color="000000"/>
              <w:bottom w:val="nil" w:sz="6" w:space="0" w:color="auto"/>
              <w:right w:val="single" w:sz="5" w:space="0" w:color="000000"/>
            </w:tcBorders>
            <w:shd w:val="clear" w:color="auto" w:fill="DCDCDC"/>
          </w:tcPr>
          <w:p>
            <w:pPr/>
          </w:p>
        </w:tc>
      </w:tr>
      <w:tr>
        <w:trPr>
          <w:trHeight w:val="143" w:hRule="exact"/>
        </w:trPr>
        <w:tc>
          <w:tcPr>
            <w:tcW w:w="2526" w:type="dxa"/>
            <w:vMerge/>
            <w:tcBorders>
              <w:left w:val="single" w:sz="4" w:space="0" w:color="000000"/>
              <w:bottom w:val="single" w:sz="4" w:space="0" w:color="000000"/>
              <w:right w:val="single" w:sz="4" w:space="0" w:color="000000"/>
            </w:tcBorders>
            <w:shd w:val="clear" w:color="auto" w:fill="DCDCDC"/>
          </w:tcPr>
          <w:p>
            <w:pPr/>
          </w:p>
        </w:tc>
        <w:tc>
          <w:tcPr>
            <w:tcW w:w="18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8" w:type="dxa"/>
            <w:tcBorders>
              <w:top w:val="nil" w:sz="6" w:space="0" w:color="auto"/>
              <w:left w:val="single" w:sz="4" w:space="0" w:color="000000"/>
              <w:bottom w:val="single" w:sz="4" w:space="0" w:color="000000"/>
              <w:right w:val="single" w:sz="5" w:space="0" w:color="000000"/>
            </w:tcBorders>
            <w:shd w:val="clear" w:color="auto" w:fill="DCDCDC"/>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吸收投资收到的现金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spacing w:val="-1"/>
                <w:sz w:val="19"/>
              </w:rPr>
              <w:t>2,740,000.00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其中：子公司吸收少数股</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东投资收到的现金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2,740,000.00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取得借款收到的现金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415,000,000.00</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65,000,000.00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130,000,000.00</w:t>
            </w:r>
            <w:r>
              <w:rPr>
                <w:rFonts w:ascii="Times New Roman"/>
                <w:sz w:val="19"/>
              </w:rPr>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right="20"/>
              <w:jc w:val="right"/>
              <w:rPr>
                <w:rFonts w:ascii="Times New Roman" w:hAnsi="Times New Roman" w:cs="Times New Roman" w:eastAsia="Times New Roman" w:hint="default"/>
                <w:sz w:val="19"/>
                <w:szCs w:val="19"/>
              </w:rPr>
            </w:pPr>
            <w:r>
              <w:rPr>
                <w:rFonts w:ascii="Times New Roman"/>
                <w:w w:val="95"/>
                <w:sz w:val="19"/>
              </w:rPr>
              <w:t>130,000,000.00</w:t>
            </w:r>
            <w:r>
              <w:rPr>
                <w:rFonts w:ascii="Times New Roman"/>
                <w:sz w:val="19"/>
              </w:rPr>
            </w:r>
          </w:p>
        </w:tc>
      </w:tr>
      <w:tr>
        <w:trPr>
          <w:trHeight w:val="25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发行债券收到的现金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收到其他与筹资活动有关</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筹资活动现金流入小计</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417,740,000.00</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65,000,000.00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130,000,000.00</w:t>
            </w:r>
            <w:r>
              <w:rPr>
                <w:rFonts w:ascii="Times New Roman"/>
                <w:sz w:val="19"/>
              </w:rPr>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right="20"/>
              <w:jc w:val="right"/>
              <w:rPr>
                <w:rFonts w:ascii="Times New Roman" w:hAnsi="Times New Roman" w:cs="Times New Roman" w:eastAsia="Times New Roman" w:hint="default"/>
                <w:sz w:val="19"/>
                <w:szCs w:val="19"/>
              </w:rPr>
            </w:pPr>
            <w:r>
              <w:rPr>
                <w:rFonts w:ascii="Times New Roman"/>
                <w:w w:val="95"/>
                <w:sz w:val="19"/>
              </w:rPr>
              <w:t>130,000,000.00</w:t>
            </w:r>
            <w:r>
              <w:rPr>
                <w:rFonts w:ascii="Times New Roman"/>
                <w:sz w:val="19"/>
              </w:rPr>
            </w: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偿还债务支付的现金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344,000,000.00</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65,000,000.00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160,000,000.00</w:t>
            </w:r>
            <w:r>
              <w:rPr>
                <w:rFonts w:ascii="Times New Roman"/>
                <w:sz w:val="19"/>
              </w:rPr>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right="20"/>
              <w:jc w:val="right"/>
              <w:rPr>
                <w:rFonts w:ascii="Times New Roman" w:hAnsi="Times New Roman" w:cs="Times New Roman" w:eastAsia="Times New Roman" w:hint="default"/>
                <w:sz w:val="19"/>
                <w:szCs w:val="19"/>
              </w:rPr>
            </w:pPr>
            <w:r>
              <w:rPr>
                <w:rFonts w:ascii="Times New Roman"/>
                <w:w w:val="95"/>
                <w:sz w:val="19"/>
              </w:rPr>
              <w:t>130,000,000.00</w:t>
            </w:r>
            <w:r>
              <w:rPr>
                <w:rFonts w:ascii="Times New Roman"/>
                <w:sz w:val="19"/>
              </w:rPr>
            </w: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93" w:right="0"/>
              <w:jc w:val="left"/>
              <w:rPr>
                <w:rFonts w:ascii="宋体" w:hAnsi="宋体" w:cs="宋体" w:eastAsia="宋体" w:hint="default"/>
                <w:sz w:val="19"/>
                <w:szCs w:val="19"/>
              </w:rPr>
            </w:pPr>
            <w:r>
              <w:rPr>
                <w:rFonts w:ascii="宋体" w:hAnsi="宋体" w:cs="宋体" w:eastAsia="宋体" w:hint="default"/>
                <w:sz w:val="19"/>
                <w:szCs w:val="19"/>
              </w:rPr>
              <w:t>分配股利、利润或偿付利</w:t>
            </w:r>
          </w:p>
          <w:p>
            <w:pPr>
              <w:pStyle w:val="TableParagraph"/>
              <w:spacing w:line="247" w:lineRule="exact"/>
              <w:ind w:left="12" w:right="0"/>
              <w:jc w:val="left"/>
              <w:rPr>
                <w:rFonts w:ascii="宋体" w:hAnsi="宋体" w:cs="宋体" w:eastAsia="宋体" w:hint="default"/>
                <w:sz w:val="19"/>
                <w:szCs w:val="19"/>
              </w:rPr>
            </w:pPr>
            <w:r>
              <w:rPr>
                <w:rFonts w:ascii="宋体" w:hAnsi="宋体" w:cs="宋体" w:eastAsia="宋体" w:hint="default"/>
                <w:sz w:val="19"/>
                <w:szCs w:val="19"/>
              </w:rPr>
              <w:t>息支付的现金</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29,301,956.24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5,121,633.29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17,169,812.45</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2"/>
              <w:ind w:right="20"/>
              <w:jc w:val="right"/>
              <w:rPr>
                <w:rFonts w:ascii="Times New Roman" w:hAnsi="Times New Roman" w:cs="Times New Roman" w:eastAsia="Times New Roman" w:hint="default"/>
                <w:sz w:val="19"/>
                <w:szCs w:val="19"/>
              </w:rPr>
            </w:pPr>
            <w:r>
              <w:rPr>
                <w:rFonts w:ascii="Times New Roman"/>
                <w:spacing w:val="-1"/>
                <w:sz w:val="19"/>
              </w:rPr>
              <w:t>1,012,104.95</w:t>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其中：子公司支付给少数</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股东的股利、利润</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93" w:right="0"/>
              <w:jc w:val="left"/>
              <w:rPr>
                <w:rFonts w:ascii="宋体" w:hAnsi="宋体" w:cs="宋体" w:eastAsia="宋体" w:hint="default"/>
                <w:sz w:val="19"/>
                <w:szCs w:val="19"/>
              </w:rPr>
            </w:pPr>
            <w:r>
              <w:rPr>
                <w:rFonts w:ascii="宋体" w:hAnsi="宋体" w:cs="宋体" w:eastAsia="宋体" w:hint="default"/>
                <w:sz w:val="19"/>
                <w:szCs w:val="19"/>
              </w:rPr>
              <w:t>支付其他与筹资活动有关</w:t>
            </w:r>
          </w:p>
          <w:p>
            <w:pPr>
              <w:pStyle w:val="TableParagraph"/>
              <w:spacing w:line="247" w:lineRule="exact"/>
              <w:ind w:left="12" w:right="0"/>
              <w:jc w:val="left"/>
              <w:rPr>
                <w:rFonts w:ascii="宋体" w:hAnsi="宋体" w:cs="宋体" w:eastAsia="宋体" w:hint="default"/>
                <w:sz w:val="19"/>
                <w:szCs w:val="19"/>
              </w:rPr>
            </w:pPr>
            <w:r>
              <w:rPr>
                <w:rFonts w:ascii="宋体" w:hAnsi="宋体" w:cs="宋体" w:eastAsia="宋体" w:hint="default"/>
                <w:sz w:val="19"/>
                <w:szCs w:val="19"/>
              </w:rPr>
              <w:t>的现金</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2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right="32"/>
              <w:jc w:val="right"/>
              <w:rPr>
                <w:rFonts w:ascii="宋体" w:hAnsi="宋体" w:cs="宋体" w:eastAsia="宋体" w:hint="default"/>
                <w:sz w:val="19"/>
                <w:szCs w:val="19"/>
              </w:rPr>
            </w:pPr>
            <w:r>
              <w:rPr>
                <w:rFonts w:ascii="宋体" w:hAnsi="宋体" w:cs="宋体" w:eastAsia="宋体" w:hint="default"/>
                <w:w w:val="95"/>
                <w:sz w:val="19"/>
                <w:szCs w:val="19"/>
              </w:rPr>
              <w:t>筹资活动现金流出小计</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373,301,956.24</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19"/>
                <w:szCs w:val="19"/>
              </w:rPr>
            </w:pPr>
            <w:r>
              <w:rPr>
                <w:rFonts w:ascii="Times New Roman"/>
                <w:spacing w:val="-1"/>
                <w:sz w:val="19"/>
              </w:rPr>
              <w:t>70,121,633.29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9"/>
                <w:szCs w:val="19"/>
              </w:rPr>
            </w:pPr>
            <w:r>
              <w:rPr>
                <w:rFonts w:ascii="Times New Roman"/>
                <w:w w:val="95"/>
                <w:sz w:val="19"/>
              </w:rPr>
              <w:t>177,169,812.45</w:t>
            </w:r>
            <w:r>
              <w:rPr>
                <w:rFonts w:ascii="Times New Roman"/>
                <w:sz w:val="19"/>
              </w:rPr>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right="20"/>
              <w:jc w:val="right"/>
              <w:rPr>
                <w:rFonts w:ascii="Times New Roman" w:hAnsi="Times New Roman" w:cs="Times New Roman" w:eastAsia="Times New Roman" w:hint="default"/>
                <w:sz w:val="19"/>
                <w:szCs w:val="19"/>
              </w:rPr>
            </w:pPr>
            <w:r>
              <w:rPr>
                <w:rFonts w:ascii="Times New Roman"/>
                <w:w w:val="95"/>
                <w:sz w:val="19"/>
              </w:rPr>
              <w:t>131,012,104.95</w:t>
            </w:r>
            <w:r>
              <w:rPr>
                <w:rFonts w:ascii="Times New Roman"/>
                <w:sz w:val="19"/>
              </w:rPr>
            </w: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775" w:right="0"/>
              <w:jc w:val="left"/>
              <w:rPr>
                <w:rFonts w:ascii="宋体" w:hAnsi="宋体" w:cs="宋体" w:eastAsia="宋体" w:hint="default"/>
                <w:sz w:val="19"/>
                <w:szCs w:val="19"/>
              </w:rPr>
            </w:pPr>
            <w:r>
              <w:rPr>
                <w:rFonts w:ascii="宋体" w:hAnsi="宋体" w:cs="宋体" w:eastAsia="宋体" w:hint="default"/>
                <w:sz w:val="19"/>
                <w:szCs w:val="19"/>
              </w:rPr>
              <w:t>筹资活动产生的现金</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流量净额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44,438,043.76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-5,121,633.29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w w:val="95"/>
                <w:sz w:val="19"/>
              </w:rPr>
              <w:t>-47,169,812.45</w:t>
            </w:r>
            <w:r>
              <w:rPr>
                <w:rFonts w:ascii="Times New Roman"/>
                <w:sz w:val="19"/>
              </w:rPr>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2"/>
              <w:ind w:right="20"/>
              <w:jc w:val="right"/>
              <w:rPr>
                <w:rFonts w:ascii="Times New Roman" w:hAnsi="Times New Roman" w:cs="Times New Roman" w:eastAsia="Times New Roman" w:hint="default"/>
                <w:sz w:val="19"/>
                <w:szCs w:val="19"/>
              </w:rPr>
            </w:pPr>
            <w:r>
              <w:rPr>
                <w:rFonts w:ascii="Times New Roman"/>
                <w:spacing w:val="-1"/>
                <w:sz w:val="19"/>
              </w:rPr>
              <w:t>-1,012,104.95</w:t>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12" w:right="0"/>
              <w:jc w:val="left"/>
              <w:rPr>
                <w:rFonts w:ascii="宋体" w:hAnsi="宋体" w:cs="宋体" w:eastAsia="宋体" w:hint="default"/>
                <w:sz w:val="19"/>
                <w:szCs w:val="19"/>
              </w:rPr>
            </w:pPr>
            <w:r>
              <w:rPr>
                <w:rFonts w:ascii="宋体" w:hAnsi="宋体" w:cs="宋体" w:eastAsia="宋体" w:hint="default"/>
                <w:sz w:val="19"/>
                <w:szCs w:val="19"/>
              </w:rPr>
              <w:t>四、汇率变动对现金及现金等</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价物的影响</w:t>
            </w:r>
          </w:p>
        </w:tc>
        <w:tc>
          <w:tcPr>
            <w:tcW w:w="1830" w:type="dxa"/>
            <w:tcBorders>
              <w:top w:val="single" w:sz="4" w:space="0" w:color="000000"/>
              <w:left w:val="single" w:sz="12" w:space="0" w:color="DCDCDC"/>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5" w:space="0" w:color="000000"/>
            </w:tcBorders>
          </w:tcPr>
          <w:p>
            <w:pP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12" w:right="0"/>
              <w:jc w:val="left"/>
              <w:rPr>
                <w:rFonts w:ascii="宋体" w:hAnsi="宋体" w:cs="宋体" w:eastAsia="宋体" w:hint="default"/>
                <w:sz w:val="19"/>
                <w:szCs w:val="19"/>
              </w:rPr>
            </w:pPr>
            <w:r>
              <w:rPr>
                <w:rFonts w:ascii="宋体" w:hAnsi="宋体" w:cs="宋体" w:eastAsia="宋体" w:hint="default"/>
                <w:sz w:val="19"/>
                <w:szCs w:val="19"/>
              </w:rPr>
              <w:t>五、现金及现金等价物净增加</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w w:val="99"/>
                <w:sz w:val="19"/>
                <w:szCs w:val="19"/>
              </w:rPr>
              <w:t>额</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w w:val="95"/>
                <w:sz w:val="19"/>
              </w:rPr>
              <w:t>180,440,854.25</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49,488,242.03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w w:val="95"/>
                <w:sz w:val="19"/>
              </w:rPr>
              <w:t>-51,581,271.92</w:t>
            </w:r>
            <w:r>
              <w:rPr>
                <w:rFonts w:ascii="Times New Roman"/>
                <w:sz w:val="19"/>
              </w:rPr>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2"/>
              <w:ind w:right="20"/>
              <w:jc w:val="right"/>
              <w:rPr>
                <w:rFonts w:ascii="Times New Roman" w:hAnsi="Times New Roman" w:cs="Times New Roman" w:eastAsia="Times New Roman" w:hint="default"/>
                <w:sz w:val="19"/>
                <w:szCs w:val="19"/>
              </w:rPr>
            </w:pPr>
            <w:r>
              <w:rPr>
                <w:rFonts w:ascii="Times New Roman"/>
                <w:w w:val="95"/>
                <w:sz w:val="19"/>
              </w:rPr>
              <w:t>-181,735.36</w:t>
            </w:r>
            <w:r>
              <w:rPr>
                <w:rFonts w:ascii="Times New Roman"/>
                <w:sz w:val="19"/>
              </w:rPr>
            </w:r>
          </w:p>
        </w:tc>
      </w:tr>
      <w:tr>
        <w:trPr>
          <w:trHeight w:val="5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393" w:right="0"/>
              <w:jc w:val="left"/>
              <w:rPr>
                <w:rFonts w:ascii="宋体" w:hAnsi="宋体" w:cs="宋体" w:eastAsia="宋体" w:hint="default"/>
                <w:sz w:val="19"/>
                <w:szCs w:val="19"/>
              </w:rPr>
            </w:pPr>
            <w:r>
              <w:rPr>
                <w:rFonts w:ascii="宋体" w:hAnsi="宋体" w:cs="宋体" w:eastAsia="宋体" w:hint="default"/>
                <w:sz w:val="19"/>
                <w:szCs w:val="19"/>
              </w:rPr>
              <w:t>加：期初现金及现金等价</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sz w:val="19"/>
                <w:szCs w:val="19"/>
              </w:rPr>
              <w:t>物余额</w:t>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69,376,699.81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37,974,535.35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w w:val="95"/>
                <w:sz w:val="19"/>
              </w:rPr>
              <w:t>120,957,971.73</w:t>
            </w:r>
            <w:r>
              <w:rPr>
                <w:rFonts w:ascii="Times New Roman"/>
                <w:sz w:val="19"/>
              </w:rPr>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2"/>
              <w:ind w:right="20"/>
              <w:jc w:val="right"/>
              <w:rPr>
                <w:rFonts w:ascii="Times New Roman" w:hAnsi="Times New Roman" w:cs="Times New Roman" w:eastAsia="Times New Roman" w:hint="default"/>
                <w:sz w:val="19"/>
                <w:szCs w:val="19"/>
              </w:rPr>
            </w:pPr>
            <w:r>
              <w:rPr>
                <w:rFonts w:ascii="Times New Roman"/>
                <w:spacing w:val="-1"/>
                <w:sz w:val="19"/>
              </w:rPr>
              <w:t>38,156,270.71</w:t>
            </w:r>
          </w:p>
        </w:tc>
      </w:tr>
      <w:tr>
        <w:trPr>
          <w:trHeight w:val="5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12" w:right="0"/>
              <w:jc w:val="left"/>
              <w:rPr>
                <w:rFonts w:ascii="宋体" w:hAnsi="宋体" w:cs="宋体" w:eastAsia="宋体" w:hint="default"/>
                <w:sz w:val="19"/>
                <w:szCs w:val="19"/>
              </w:rPr>
            </w:pPr>
            <w:r>
              <w:rPr>
                <w:rFonts w:ascii="宋体" w:hAnsi="宋体" w:cs="宋体" w:eastAsia="宋体" w:hint="default"/>
                <w:sz w:val="19"/>
                <w:szCs w:val="19"/>
              </w:rPr>
              <w:t>六、期末现金及现金等价物余</w:t>
            </w:r>
          </w:p>
          <w:p>
            <w:pPr>
              <w:pStyle w:val="TableParagraph"/>
              <w:spacing w:line="248" w:lineRule="exact"/>
              <w:ind w:left="12" w:right="0"/>
              <w:jc w:val="left"/>
              <w:rPr>
                <w:rFonts w:ascii="宋体" w:hAnsi="宋体" w:cs="宋体" w:eastAsia="宋体" w:hint="default"/>
                <w:sz w:val="19"/>
                <w:szCs w:val="19"/>
              </w:rPr>
            </w:pPr>
            <w:r>
              <w:rPr>
                <w:rFonts w:ascii="宋体" w:hAnsi="宋体" w:cs="宋体" w:eastAsia="宋体" w:hint="default"/>
                <w:w w:val="99"/>
                <w:sz w:val="19"/>
                <w:szCs w:val="19"/>
              </w:rPr>
              <w:t>额</w:t>
            </w:r>
            <w:r>
              <w:rPr>
                <w:rFonts w:ascii="宋体" w:hAnsi="宋体" w:cs="宋体" w:eastAsia="宋体" w:hint="default"/>
                <w:sz w:val="19"/>
                <w:szCs w:val="19"/>
              </w:rPr>
            </w:r>
          </w:p>
        </w:tc>
        <w:tc>
          <w:tcPr>
            <w:tcW w:w="183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w w:val="95"/>
                <w:sz w:val="19"/>
              </w:rPr>
              <w:t>249,817,554.06</w:t>
            </w:r>
            <w:r>
              <w:rPr>
                <w:rFonts w:ascii="Times New Roman"/>
                <w:sz w:val="19"/>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8"/>
              <w:jc w:val="right"/>
              <w:rPr>
                <w:rFonts w:ascii="Times New Roman" w:hAnsi="Times New Roman" w:cs="Times New Roman" w:eastAsia="Times New Roman" w:hint="default"/>
                <w:sz w:val="19"/>
                <w:szCs w:val="19"/>
              </w:rPr>
            </w:pPr>
            <w:r>
              <w:rPr>
                <w:rFonts w:ascii="Times New Roman"/>
                <w:spacing w:val="-1"/>
                <w:sz w:val="19"/>
              </w:rPr>
              <w:t>87,462,777.38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9"/>
                <w:szCs w:val="19"/>
              </w:rPr>
            </w:pPr>
            <w:r>
              <w:rPr>
                <w:rFonts w:ascii="Times New Roman"/>
                <w:spacing w:val="-1"/>
                <w:sz w:val="19"/>
              </w:rPr>
              <w:t>69,376,699.81</w:t>
            </w:r>
          </w:p>
        </w:tc>
        <w:tc>
          <w:tcPr>
            <w:tcW w:w="18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2"/>
              <w:ind w:right="20"/>
              <w:jc w:val="right"/>
              <w:rPr>
                <w:rFonts w:ascii="Times New Roman" w:hAnsi="Times New Roman" w:cs="Times New Roman" w:eastAsia="Times New Roman" w:hint="default"/>
                <w:sz w:val="19"/>
                <w:szCs w:val="19"/>
              </w:rPr>
            </w:pPr>
            <w:r>
              <w:rPr>
                <w:rFonts w:ascii="Times New Roman"/>
                <w:spacing w:val="-1"/>
                <w:sz w:val="19"/>
              </w:rPr>
              <w:t>37,974,535.35</w:t>
            </w:r>
          </w:p>
        </w:tc>
      </w:tr>
    </w:tbl>
    <w:p>
      <w:pPr>
        <w:spacing w:line="240" w:lineRule="auto" w:before="11"/>
        <w:rPr>
          <w:rFonts w:ascii="宋体" w:hAnsi="宋体" w:cs="宋体" w:eastAsia="宋体" w:hint="default"/>
          <w:sz w:val="29"/>
          <w:szCs w:val="29"/>
        </w:rPr>
      </w:pPr>
    </w:p>
    <w:p>
      <w:pPr>
        <w:pStyle w:val="BodyText"/>
        <w:tabs>
          <w:tab w:pos="2504" w:val="left" w:leader="none"/>
          <w:tab w:pos="2713" w:val="left" w:leader="none"/>
          <w:tab w:pos="6509" w:val="left" w:leader="none"/>
          <w:tab w:pos="6718" w:val="left" w:leader="none"/>
          <w:tab w:pos="9565" w:val="left" w:leader="none"/>
        </w:tabs>
        <w:spacing w:line="240" w:lineRule="auto" w:before="36"/>
        <w:ind w:left="183" w:right="0"/>
        <w:jc w:val="left"/>
        <w:rPr>
          <w:rFonts w:ascii="Times New Roman" w:hAnsi="Times New Roman" w:cs="Times New Roman" w:eastAsia="Times New Roman" w:hint="default"/>
        </w:rPr>
      </w:pPr>
      <w:r>
        <w:rPr>
          <w:rFonts w:ascii="宋体" w:hAnsi="宋体" w:cs="宋体" w:eastAsia="宋体" w:hint="default"/>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宋体" w:hAnsi="宋体" w:cs="宋体" w:eastAsia="宋体" w:hint="default"/>
          <w:spacing w:val="-1"/>
        </w:rPr>
        <w:t>主管会计工作的公司负责人：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宋体" w:hAnsi="宋体" w:cs="宋体" w:eastAsia="宋体" w:hint="default"/>
          <w:spacing w:val="-1"/>
        </w:rPr>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pgSz w:w="11910" w:h="16840"/>
          <w:pgMar w:header="747" w:footer="705" w:top="980" w:bottom="90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552856;rotation:315" type="#_x0000_t136" fillcolor="#e0e0e0" stroked="f">
            <o:extrusion v:ext="view" autorotationcenter="t"/>
            <v:textpath style="font-family:&amp;quot;Arial&amp;quot;;font-size:64pt;v-text-kern:t;mso-text-shadow:auto" string="UnRegistered"/>
            <w10:wrap type="none"/>
          </v:shape>
        </w:pict>
      </w:r>
    </w:p>
    <w:p>
      <w:pPr>
        <w:pStyle w:val="Heading2"/>
        <w:spacing w:line="240" w:lineRule="auto" w:before="177"/>
        <w:ind w:left="0" w:right="40"/>
        <w:jc w:val="center"/>
      </w:pPr>
      <w:r>
        <w:rPr/>
        <w:t>合并所有者权益变动表</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33"/>
          <w:szCs w:val="33"/>
        </w:rPr>
      </w:pPr>
    </w:p>
    <w:p>
      <w:pPr>
        <w:tabs>
          <w:tab w:pos="6662" w:val="left" w:leader="none"/>
          <w:tab w:pos="13725" w:val="left" w:leader="none"/>
        </w:tabs>
        <w:spacing w:before="0"/>
        <w:ind w:left="0" w:right="163" w:firstLine="0"/>
        <w:jc w:val="center"/>
        <w:rPr>
          <w:rFonts w:ascii="宋体" w:hAnsi="宋体" w:cs="宋体" w:eastAsia="宋体" w:hint="default"/>
          <w:sz w:val="18"/>
          <w:szCs w:val="18"/>
        </w:rPr>
      </w:pPr>
      <w:r>
        <w:rPr>
          <w:rFonts w:ascii="宋体" w:hAnsi="宋体" w:cs="宋体" w:eastAsia="宋体" w:hint="default"/>
          <w:sz w:val="18"/>
          <w:szCs w:val="18"/>
        </w:rPr>
        <w:t>编制单位：黑龙江天伦置业股份有限公司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t>单位：元</w:t>
      </w: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317"/>
        <w:gridCol w:w="911"/>
        <w:gridCol w:w="900"/>
        <w:gridCol w:w="360"/>
        <w:gridCol w:w="360"/>
        <w:gridCol w:w="900"/>
        <w:gridCol w:w="360"/>
        <w:gridCol w:w="900"/>
        <w:gridCol w:w="360"/>
        <w:gridCol w:w="900"/>
        <w:gridCol w:w="890"/>
        <w:gridCol w:w="910"/>
        <w:gridCol w:w="900"/>
        <w:gridCol w:w="360"/>
        <w:gridCol w:w="360"/>
        <w:gridCol w:w="900"/>
        <w:gridCol w:w="360"/>
        <w:gridCol w:w="900"/>
        <w:gridCol w:w="302"/>
        <w:gridCol w:w="958"/>
        <w:gridCol w:w="900"/>
      </w:tblGrid>
      <w:tr>
        <w:trPr>
          <w:trHeight w:val="322" w:hRule="exact"/>
        </w:trPr>
        <w:tc>
          <w:tcPr>
            <w:tcW w:w="2317" w:type="dxa"/>
            <w:vMerge w:val="restart"/>
            <w:tcBorders>
              <w:top w:val="single" w:sz="4" w:space="0" w:color="000000"/>
              <w:left w:val="single" w:sz="4" w:space="0" w:color="000000"/>
              <w:right w:val="single" w:sz="4" w:space="0" w:color="000000"/>
            </w:tcBorders>
            <w:shd w:val="clear" w:color="auto" w:fill="DCDCDC"/>
          </w:tcPr>
          <w:p>
            <w:pPr/>
          </w:p>
        </w:tc>
        <w:tc>
          <w:tcPr>
            <w:tcW w:w="68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0" w:right="0"/>
              <w:jc w:val="center"/>
              <w:rPr>
                <w:rFonts w:ascii="宋体" w:hAnsi="宋体" w:cs="宋体" w:eastAsia="宋体" w:hint="default"/>
                <w:sz w:val="16"/>
                <w:szCs w:val="16"/>
              </w:rPr>
            </w:pPr>
            <w:r>
              <w:rPr>
                <w:rFonts w:ascii="宋体" w:hAnsi="宋体" w:cs="宋体" w:eastAsia="宋体" w:hint="default"/>
                <w:sz w:val="16"/>
                <w:szCs w:val="16"/>
              </w:rPr>
              <w:t>本期金额</w:t>
            </w:r>
          </w:p>
        </w:tc>
        <w:tc>
          <w:tcPr>
            <w:tcW w:w="685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上年金额</w:t>
            </w:r>
          </w:p>
        </w:tc>
      </w:tr>
      <w:tr>
        <w:trPr>
          <w:trHeight w:val="317" w:hRule="exact"/>
        </w:trPr>
        <w:tc>
          <w:tcPr>
            <w:tcW w:w="2317" w:type="dxa"/>
            <w:vMerge/>
            <w:tcBorders>
              <w:left w:val="single" w:sz="4" w:space="0" w:color="000000"/>
              <w:right w:val="single" w:sz="4" w:space="0" w:color="000000"/>
            </w:tcBorders>
            <w:shd w:val="clear" w:color="auto" w:fill="DCDCDC"/>
          </w:tcPr>
          <w:p>
            <w:pPr/>
          </w:p>
        </w:tc>
        <w:tc>
          <w:tcPr>
            <w:tcW w:w="505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645" w:right="0"/>
              <w:jc w:val="left"/>
              <w:rPr>
                <w:rFonts w:ascii="宋体" w:hAnsi="宋体" w:cs="宋体" w:eastAsia="宋体" w:hint="default"/>
                <w:sz w:val="16"/>
                <w:szCs w:val="16"/>
              </w:rPr>
            </w:pPr>
            <w:r>
              <w:rPr>
                <w:rFonts w:ascii="宋体" w:hAnsi="宋体" w:cs="宋体" w:eastAsia="宋体" w:hint="default"/>
                <w:sz w:val="16"/>
                <w:szCs w:val="16"/>
              </w:rPr>
              <w:t>归属于母公司所有者权益</w:t>
            </w: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890" w:type="dxa"/>
            <w:vMerge w:val="restart"/>
            <w:tcBorders>
              <w:top w:val="single" w:sz="4" w:space="0" w:color="000000"/>
              <w:left w:val="single" w:sz="4" w:space="0" w:color="000000"/>
              <w:right w:val="single" w:sz="4" w:space="0" w:color="000000"/>
            </w:tcBorders>
            <w:shd w:val="clear" w:color="auto" w:fill="DCDCDC"/>
          </w:tcPr>
          <w:p>
            <w:pPr/>
          </w:p>
        </w:tc>
        <w:tc>
          <w:tcPr>
            <w:tcW w:w="499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610" w:right="0"/>
              <w:jc w:val="left"/>
              <w:rPr>
                <w:rFonts w:ascii="宋体" w:hAnsi="宋体" w:cs="宋体" w:eastAsia="宋体" w:hint="default"/>
                <w:sz w:val="16"/>
                <w:szCs w:val="16"/>
              </w:rPr>
            </w:pPr>
            <w:r>
              <w:rPr>
                <w:rFonts w:ascii="宋体" w:hAnsi="宋体" w:cs="宋体" w:eastAsia="宋体" w:hint="default"/>
                <w:sz w:val="16"/>
                <w:szCs w:val="16"/>
              </w:rPr>
              <w:t>归属于母公司所有者权益</w:t>
            </w:r>
          </w:p>
        </w:tc>
        <w:tc>
          <w:tcPr>
            <w:tcW w:w="958"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r>
      <w:tr>
        <w:trPr>
          <w:trHeight w:val="322" w:hRule="exact"/>
        </w:trPr>
        <w:tc>
          <w:tcPr>
            <w:tcW w:w="2317" w:type="dxa"/>
            <w:vMerge/>
            <w:tcBorders>
              <w:left w:val="single" w:sz="4" w:space="0" w:color="000000"/>
              <w:right w:val="single" w:sz="4" w:space="0" w:color="000000"/>
            </w:tcBorders>
            <w:shd w:val="clear" w:color="auto" w:fill="DCDCDC"/>
          </w:tcPr>
          <w:p>
            <w:pPr/>
          </w:p>
        </w:tc>
        <w:tc>
          <w:tcPr>
            <w:tcW w:w="911"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6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31"/>
              <w:ind w:left="95" w:right="91"/>
              <w:jc w:val="both"/>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w w:val="100"/>
                <w:sz w:val="16"/>
                <w:szCs w:val="16"/>
              </w:rPr>
              <w:t> </w:t>
            </w:r>
            <w:r>
              <w:rPr>
                <w:rFonts w:ascii="宋体" w:hAnsi="宋体" w:cs="宋体" w:eastAsia="宋体" w:hint="default"/>
                <w:sz w:val="16"/>
                <w:szCs w:val="16"/>
              </w:rPr>
              <w:t>般</w:t>
            </w:r>
            <w:r>
              <w:rPr>
                <w:rFonts w:ascii="宋体" w:hAnsi="宋体" w:cs="宋体" w:eastAsia="宋体" w:hint="default"/>
                <w:w w:val="100"/>
                <w:sz w:val="16"/>
                <w:szCs w:val="16"/>
              </w:rPr>
              <w:t> </w:t>
            </w:r>
            <w:r>
              <w:rPr>
                <w:rFonts w:ascii="宋体" w:hAnsi="宋体" w:cs="宋体" w:eastAsia="宋体" w:hint="default"/>
                <w:sz w:val="16"/>
                <w:szCs w:val="16"/>
              </w:rPr>
              <w:t>风</w:t>
            </w:r>
            <w:r>
              <w:rPr>
                <w:rFonts w:ascii="宋体" w:hAnsi="宋体" w:cs="宋体" w:eastAsia="宋体" w:hint="default"/>
                <w:w w:val="100"/>
                <w:sz w:val="16"/>
                <w:szCs w:val="16"/>
              </w:rPr>
              <w:t> </w:t>
            </w:r>
            <w:r>
              <w:rPr>
                <w:rFonts w:ascii="宋体" w:hAnsi="宋体" w:cs="宋体" w:eastAsia="宋体" w:hint="default"/>
                <w:sz w:val="16"/>
                <w:szCs w:val="16"/>
              </w:rPr>
              <w:t>险</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890" w:type="dxa"/>
            <w:vMerge/>
            <w:tcBorders>
              <w:left w:val="single" w:sz="4" w:space="0" w:color="000000"/>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6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57" w:lineRule="auto" w:before="31"/>
              <w:ind w:left="96" w:right="91"/>
              <w:jc w:val="both"/>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w w:val="100"/>
                <w:sz w:val="16"/>
                <w:szCs w:val="16"/>
              </w:rPr>
              <w:t> </w:t>
            </w:r>
            <w:r>
              <w:rPr>
                <w:rFonts w:ascii="宋体" w:hAnsi="宋体" w:cs="宋体" w:eastAsia="宋体" w:hint="default"/>
                <w:sz w:val="16"/>
                <w:szCs w:val="16"/>
              </w:rPr>
              <w:t>般</w:t>
            </w:r>
            <w:r>
              <w:rPr>
                <w:rFonts w:ascii="宋体" w:hAnsi="宋体" w:cs="宋体" w:eastAsia="宋体" w:hint="default"/>
                <w:w w:val="100"/>
                <w:sz w:val="16"/>
                <w:szCs w:val="16"/>
              </w:rPr>
              <w:t> </w:t>
            </w:r>
            <w:r>
              <w:rPr>
                <w:rFonts w:ascii="宋体" w:hAnsi="宋体" w:cs="宋体" w:eastAsia="宋体" w:hint="default"/>
                <w:sz w:val="16"/>
                <w:szCs w:val="16"/>
              </w:rPr>
              <w:t>风</w:t>
            </w:r>
            <w:r>
              <w:rPr>
                <w:rFonts w:ascii="宋体" w:hAnsi="宋体" w:cs="宋体" w:eastAsia="宋体" w:hint="default"/>
                <w:w w:val="100"/>
                <w:sz w:val="16"/>
                <w:szCs w:val="16"/>
              </w:rPr>
              <w:t> </w:t>
            </w:r>
            <w:r>
              <w:rPr>
                <w:rFonts w:ascii="宋体" w:hAnsi="宋体" w:cs="宋体" w:eastAsia="宋体" w:hint="default"/>
                <w:sz w:val="16"/>
                <w:szCs w:val="16"/>
              </w:rPr>
              <w:t>险</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302" w:type="dxa"/>
            <w:vMerge w:val="restart"/>
            <w:tcBorders>
              <w:top w:val="single" w:sz="4" w:space="0" w:color="000000"/>
              <w:left w:val="single" w:sz="4" w:space="0" w:color="000000"/>
              <w:right w:val="single" w:sz="4" w:space="0" w:color="000000"/>
            </w:tcBorders>
            <w:shd w:val="clear" w:color="auto" w:fill="DCDCDC"/>
          </w:tcPr>
          <w:p>
            <w:pPr/>
          </w:p>
        </w:tc>
        <w:tc>
          <w:tcPr>
            <w:tcW w:w="958"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r>
      <w:tr>
        <w:trPr>
          <w:trHeight w:val="143" w:hRule="exact"/>
        </w:trPr>
        <w:tc>
          <w:tcPr>
            <w:tcW w:w="2317" w:type="dxa"/>
            <w:vMerge/>
            <w:tcBorders>
              <w:left w:val="single" w:sz="4" w:space="0" w:color="000000"/>
              <w:bottom w:val="nil" w:sz="6" w:space="0" w:color="auto"/>
              <w:right w:val="single" w:sz="4" w:space="0" w:color="000000"/>
            </w:tcBorders>
            <w:shd w:val="clear" w:color="auto" w:fill="DCDCDC"/>
          </w:tcPr>
          <w:p>
            <w:pPr/>
          </w:p>
        </w:tc>
        <w:tc>
          <w:tcPr>
            <w:tcW w:w="911"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96" w:right="2" w:hanging="72"/>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库</w:t>
            </w:r>
            <w:r>
              <w:rPr>
                <w:rFonts w:ascii="宋体" w:hAnsi="宋体" w:cs="宋体" w:eastAsia="宋体" w:hint="default"/>
                <w:w w:val="100"/>
                <w:sz w:val="16"/>
                <w:szCs w:val="16"/>
              </w:rPr>
              <w:t> </w:t>
            </w:r>
            <w:r>
              <w:rPr>
                <w:rFonts w:ascii="宋体" w:hAnsi="宋体" w:cs="宋体" w:eastAsia="宋体" w:hint="default"/>
                <w:sz w:val="16"/>
                <w:szCs w:val="16"/>
              </w:rPr>
              <w:t>存</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96" w:right="91"/>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100"/>
                <w:sz w:val="16"/>
                <w:szCs w:val="16"/>
              </w:rPr>
              <w:t> </w:t>
            </w: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储</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89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96" w:right="2" w:hanging="72"/>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库</w:t>
            </w:r>
            <w:r>
              <w:rPr>
                <w:rFonts w:ascii="宋体" w:hAnsi="宋体" w:cs="宋体" w:eastAsia="宋体" w:hint="default"/>
                <w:w w:val="100"/>
                <w:sz w:val="16"/>
                <w:szCs w:val="16"/>
              </w:rPr>
              <w:t> </w:t>
            </w:r>
            <w:r>
              <w:rPr>
                <w:rFonts w:ascii="宋体" w:hAnsi="宋体" w:cs="宋体" w:eastAsia="宋体" w:hint="default"/>
                <w:sz w:val="16"/>
                <w:szCs w:val="16"/>
              </w:rPr>
              <w:t>存</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96" w:right="91"/>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100"/>
                <w:sz w:val="16"/>
                <w:szCs w:val="16"/>
              </w:rPr>
              <w:t> </w:t>
            </w: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储</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02" w:type="dxa"/>
            <w:vMerge/>
            <w:tcBorders>
              <w:left w:val="single" w:sz="4" w:space="0" w:color="000000"/>
              <w:right w:val="single" w:sz="4" w:space="0" w:color="000000"/>
            </w:tcBorders>
            <w:shd w:val="clear" w:color="auto" w:fill="DCDCDC"/>
          </w:tcPr>
          <w:p>
            <w:pPr/>
          </w:p>
        </w:tc>
        <w:tc>
          <w:tcPr>
            <w:tcW w:w="958"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67" w:hRule="exact"/>
        </w:trPr>
        <w:tc>
          <w:tcPr>
            <w:tcW w:w="231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4"/>
              <w:ind w:left="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911"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7"/>
              <w:ind w:left="364" w:right="41" w:hanging="320"/>
              <w:jc w:val="left"/>
              <w:rPr>
                <w:rFonts w:ascii="宋体" w:hAnsi="宋体" w:cs="宋体" w:eastAsia="宋体" w:hint="default"/>
                <w:sz w:val="16"/>
                <w:szCs w:val="16"/>
              </w:rPr>
            </w:pPr>
            <w:r>
              <w:rPr>
                <w:rFonts w:ascii="宋体" w:hAnsi="宋体" w:cs="宋体" w:eastAsia="宋体" w:hint="default"/>
                <w:sz w:val="16"/>
                <w:szCs w:val="16"/>
              </w:rPr>
              <w:t>少数股东权</w:t>
            </w:r>
            <w:r>
              <w:rPr>
                <w:rFonts w:ascii="宋体" w:hAnsi="宋体" w:cs="宋体" w:eastAsia="宋体" w:hint="default"/>
                <w:w w:val="100"/>
                <w:sz w:val="16"/>
                <w:szCs w:val="16"/>
              </w:rPr>
              <w:t> </w:t>
            </w:r>
            <w:r>
              <w:rPr>
                <w:rFonts w:ascii="宋体" w:hAnsi="宋体" w:cs="宋体" w:eastAsia="宋体" w:hint="default"/>
                <w:sz w:val="16"/>
                <w:szCs w:val="16"/>
              </w:rPr>
              <w:t>益</w:t>
            </w:r>
          </w:p>
        </w:tc>
        <w:tc>
          <w:tcPr>
            <w:tcW w:w="89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7"/>
              <w:ind w:left="278" w:right="36" w:hanging="238"/>
              <w:jc w:val="left"/>
              <w:rPr>
                <w:rFonts w:ascii="宋体" w:hAnsi="宋体" w:cs="宋体" w:eastAsia="宋体" w:hint="default"/>
                <w:sz w:val="16"/>
                <w:szCs w:val="16"/>
              </w:rPr>
            </w:pPr>
            <w:r>
              <w:rPr>
                <w:rFonts w:ascii="宋体" w:hAnsi="宋体" w:cs="宋体" w:eastAsia="宋体" w:hint="default"/>
                <w:sz w:val="16"/>
                <w:szCs w:val="16"/>
              </w:rPr>
              <w:t>所有者权益</w:t>
            </w:r>
            <w:r>
              <w:rPr>
                <w:rFonts w:ascii="宋体" w:hAnsi="宋体" w:cs="宋体" w:eastAsia="宋体" w:hint="default"/>
                <w:w w:val="100"/>
                <w:sz w:val="16"/>
                <w:szCs w:val="16"/>
              </w:rPr>
              <w:t> </w:t>
            </w:r>
            <w:r>
              <w:rPr>
                <w:rFonts w:ascii="宋体" w:hAnsi="宋体" w:cs="宋体" w:eastAsia="宋体" w:hint="default"/>
                <w:sz w:val="16"/>
                <w:szCs w:val="16"/>
              </w:rPr>
              <w:t>合计</w:t>
            </w:r>
          </w:p>
        </w:tc>
        <w:tc>
          <w:tcPr>
            <w:tcW w:w="91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02" w:type="dxa"/>
            <w:vMerge/>
            <w:tcBorders>
              <w:left w:val="single" w:sz="4" w:space="0" w:color="000000"/>
              <w:bottom w:val="nil" w:sz="6" w:space="0" w:color="auto"/>
              <w:right w:val="single" w:sz="4" w:space="0" w:color="000000"/>
            </w:tcBorders>
            <w:shd w:val="clear" w:color="auto" w:fill="DCDCDC"/>
          </w:tcPr>
          <w:p>
            <w:pPr/>
          </w:p>
        </w:tc>
        <w:tc>
          <w:tcPr>
            <w:tcW w:w="958"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7"/>
              <w:ind w:left="396" w:right="67" w:hanging="320"/>
              <w:jc w:val="left"/>
              <w:rPr>
                <w:rFonts w:ascii="宋体" w:hAnsi="宋体" w:cs="宋体" w:eastAsia="宋体" w:hint="default"/>
                <w:sz w:val="16"/>
                <w:szCs w:val="16"/>
              </w:rPr>
            </w:pPr>
            <w:r>
              <w:rPr>
                <w:rFonts w:ascii="宋体" w:hAnsi="宋体" w:cs="宋体" w:eastAsia="宋体" w:hint="default"/>
                <w:sz w:val="16"/>
                <w:szCs w:val="16"/>
              </w:rPr>
              <w:t>少数股东权</w:t>
            </w:r>
            <w:r>
              <w:rPr>
                <w:rFonts w:ascii="宋体" w:hAnsi="宋体" w:cs="宋体" w:eastAsia="宋体" w:hint="default"/>
                <w:w w:val="100"/>
                <w:sz w:val="16"/>
                <w:szCs w:val="16"/>
              </w:rPr>
              <w:t> </w:t>
            </w:r>
            <w:r>
              <w:rPr>
                <w:rFonts w:ascii="宋体" w:hAnsi="宋体" w:cs="宋体" w:eastAsia="宋体" w:hint="default"/>
                <w:sz w:val="16"/>
                <w:szCs w:val="16"/>
              </w:rPr>
              <w:t>益</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7"/>
              <w:ind w:left="285" w:right="41" w:hanging="240"/>
              <w:jc w:val="left"/>
              <w:rPr>
                <w:rFonts w:ascii="宋体" w:hAnsi="宋体" w:cs="宋体" w:eastAsia="宋体" w:hint="default"/>
                <w:sz w:val="16"/>
                <w:szCs w:val="16"/>
              </w:rPr>
            </w:pPr>
            <w:r>
              <w:rPr>
                <w:rFonts w:ascii="宋体" w:hAnsi="宋体" w:cs="宋体" w:eastAsia="宋体" w:hint="default"/>
                <w:sz w:val="16"/>
                <w:szCs w:val="16"/>
              </w:rPr>
              <w:t>所有者权益</w:t>
            </w:r>
            <w:r>
              <w:rPr>
                <w:rFonts w:ascii="宋体" w:hAnsi="宋体" w:cs="宋体" w:eastAsia="宋体" w:hint="default"/>
                <w:w w:val="100"/>
                <w:sz w:val="16"/>
                <w:szCs w:val="16"/>
              </w:rPr>
              <w:t> </w:t>
            </w:r>
            <w:r>
              <w:rPr>
                <w:rFonts w:ascii="宋体" w:hAnsi="宋体" w:cs="宋体" w:eastAsia="宋体" w:hint="default"/>
                <w:sz w:val="16"/>
                <w:szCs w:val="16"/>
              </w:rPr>
              <w:t>合计</w:t>
            </w:r>
          </w:p>
        </w:tc>
      </w:tr>
      <w:tr>
        <w:trPr>
          <w:trHeight w:val="148" w:hRule="exact"/>
        </w:trPr>
        <w:tc>
          <w:tcPr>
            <w:tcW w:w="2317" w:type="dxa"/>
            <w:vMerge/>
            <w:tcBorders>
              <w:left w:val="single" w:sz="4" w:space="0" w:color="000000"/>
              <w:bottom w:val="nil" w:sz="6" w:space="0" w:color="auto"/>
              <w:right w:val="single" w:sz="4" w:space="0" w:color="000000"/>
            </w:tcBorders>
            <w:shd w:val="clear" w:color="auto" w:fill="DCDCDC"/>
          </w:tcPr>
          <w:p>
            <w:pP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left="135" w:right="0"/>
              <w:jc w:val="left"/>
              <w:rPr>
                <w:rFonts w:ascii="宋体" w:hAnsi="宋体" w:cs="宋体" w:eastAsia="宋体" w:hint="default"/>
                <w:sz w:val="16"/>
                <w:szCs w:val="16"/>
              </w:rPr>
            </w:pPr>
            <w:r>
              <w:rPr>
                <w:rFonts w:ascii="宋体" w:hAnsi="宋体" w:cs="宋体" w:eastAsia="宋体" w:hint="default"/>
                <w:sz w:val="16"/>
                <w:szCs w:val="16"/>
              </w:rPr>
              <w:t>实收资本</w:t>
            </w:r>
          </w:p>
          <w:p>
            <w:pPr>
              <w:pStyle w:val="TableParagraph"/>
              <w:spacing w:line="240" w:lineRule="auto" w:before="102"/>
              <w:ind w:left="56" w:right="0"/>
              <w:jc w:val="left"/>
              <w:rPr>
                <w:rFonts w:ascii="宋体" w:hAnsi="宋体" w:cs="宋体" w:eastAsia="宋体" w:hint="default"/>
                <w:sz w:val="16"/>
                <w:szCs w:val="16"/>
              </w:rPr>
            </w:pPr>
            <w:r>
              <w:rPr>
                <w:rFonts w:ascii="宋体" w:hAnsi="宋体" w:cs="宋体" w:eastAsia="宋体" w:hint="default"/>
                <w:sz w:val="16"/>
                <w:szCs w:val="16"/>
              </w:rPr>
              <w:t>（或股本）</w:t>
            </w: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95" w:right="91"/>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900" w:type="dxa"/>
            <w:vMerge/>
            <w:tcBorders>
              <w:left w:val="single" w:sz="4" w:space="0" w:color="000000"/>
              <w:right w:val="single" w:sz="4" w:space="0" w:color="000000"/>
            </w:tcBorders>
            <w:shd w:val="clear" w:color="auto" w:fill="DCDCDC"/>
          </w:tcPr>
          <w:p>
            <w:pPr/>
          </w:p>
        </w:tc>
        <w:tc>
          <w:tcPr>
            <w:tcW w:w="890"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left="129" w:right="0"/>
              <w:jc w:val="left"/>
              <w:rPr>
                <w:rFonts w:ascii="宋体" w:hAnsi="宋体" w:cs="宋体" w:eastAsia="宋体" w:hint="default"/>
                <w:sz w:val="16"/>
                <w:szCs w:val="16"/>
              </w:rPr>
            </w:pPr>
            <w:r>
              <w:rPr>
                <w:rFonts w:ascii="宋体" w:hAnsi="宋体" w:cs="宋体" w:eastAsia="宋体" w:hint="default"/>
                <w:sz w:val="16"/>
                <w:szCs w:val="16"/>
              </w:rPr>
              <w:t>实收资本</w:t>
            </w:r>
          </w:p>
          <w:p>
            <w:pPr>
              <w:pStyle w:val="TableParagraph"/>
              <w:spacing w:line="240" w:lineRule="auto" w:before="102"/>
              <w:ind w:left="50" w:right="0"/>
              <w:jc w:val="left"/>
              <w:rPr>
                <w:rFonts w:ascii="宋体" w:hAnsi="宋体" w:cs="宋体" w:eastAsia="宋体" w:hint="default"/>
                <w:sz w:val="16"/>
                <w:szCs w:val="16"/>
              </w:rPr>
            </w:pPr>
            <w:r>
              <w:rPr>
                <w:rFonts w:ascii="宋体" w:hAnsi="宋体" w:cs="宋体" w:eastAsia="宋体" w:hint="default"/>
                <w:sz w:val="16"/>
                <w:szCs w:val="16"/>
              </w:rPr>
              <w:t>（或股本）</w:t>
            </w: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02" w:type="dxa"/>
            <w:vMerge w:val="restart"/>
            <w:tcBorders>
              <w:top w:val="nil" w:sz="6" w:space="0" w:color="auto"/>
              <w:left w:val="single" w:sz="4" w:space="0" w:color="000000"/>
              <w:right w:val="single" w:sz="4" w:space="0" w:color="000000"/>
            </w:tcBorders>
            <w:shd w:val="clear" w:color="auto" w:fill="DCDCDC"/>
          </w:tcPr>
          <w:p>
            <w:pPr>
              <w:pStyle w:val="TableParagraph"/>
              <w:spacing w:line="357" w:lineRule="auto" w:before="26"/>
              <w:ind w:left="67" w:right="62"/>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958"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r>
      <w:tr>
        <w:trPr>
          <w:trHeight w:val="312" w:hRule="exact"/>
        </w:trPr>
        <w:tc>
          <w:tcPr>
            <w:tcW w:w="2317" w:type="dxa"/>
            <w:vMerge w:val="restart"/>
            <w:tcBorders>
              <w:top w:val="nil" w:sz="6" w:space="0" w:color="auto"/>
              <w:left w:val="single" w:sz="4" w:space="0" w:color="000000"/>
              <w:right w:val="single" w:sz="4" w:space="0" w:color="000000"/>
            </w:tcBorders>
            <w:shd w:val="clear" w:color="auto" w:fill="DCDCDC"/>
          </w:tcPr>
          <w:p>
            <w:pPr/>
          </w:p>
        </w:tc>
        <w:tc>
          <w:tcPr>
            <w:tcW w:w="911"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0"/>
              <w:ind w:left="12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12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36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7"/>
              <w:ind w:right="41"/>
              <w:jc w:val="right"/>
              <w:rPr>
                <w:rFonts w:ascii="宋体" w:hAnsi="宋体" w:cs="宋体" w:eastAsia="宋体" w:hint="default"/>
                <w:sz w:val="16"/>
                <w:szCs w:val="16"/>
              </w:rPr>
            </w:pPr>
            <w:r>
              <w:rPr>
                <w:rFonts w:ascii="宋体" w:hAnsi="宋体" w:cs="宋体" w:eastAsia="宋体" w:hint="default"/>
                <w:spacing w:val="-1"/>
                <w:sz w:val="16"/>
                <w:szCs w:val="16"/>
              </w:rPr>
              <w:t>未分配利润</w:t>
            </w: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89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7"/>
              <w:ind w:left="12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6"/>
              <w:ind w:left="12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360" w:type="dxa"/>
            <w:vMerge/>
            <w:tcBorders>
              <w:left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6"/>
              <w:ind w:right="41"/>
              <w:jc w:val="right"/>
              <w:rPr>
                <w:rFonts w:ascii="宋体" w:hAnsi="宋体" w:cs="宋体" w:eastAsia="宋体" w:hint="default"/>
                <w:sz w:val="16"/>
                <w:szCs w:val="16"/>
              </w:rPr>
            </w:pPr>
            <w:r>
              <w:rPr>
                <w:rFonts w:ascii="宋体" w:hAnsi="宋体" w:cs="宋体" w:eastAsia="宋体" w:hint="default"/>
                <w:spacing w:val="-1"/>
                <w:sz w:val="16"/>
                <w:szCs w:val="16"/>
              </w:rPr>
              <w:t>未分配利润</w:t>
            </w:r>
          </w:p>
        </w:tc>
        <w:tc>
          <w:tcPr>
            <w:tcW w:w="302" w:type="dxa"/>
            <w:vMerge/>
            <w:tcBorders>
              <w:left w:val="single" w:sz="4" w:space="0" w:color="000000"/>
              <w:right w:val="single" w:sz="4" w:space="0" w:color="000000"/>
            </w:tcBorders>
            <w:shd w:val="clear" w:color="auto" w:fill="DCDCDC"/>
          </w:tcPr>
          <w:p>
            <w:pPr/>
          </w:p>
        </w:tc>
        <w:tc>
          <w:tcPr>
            <w:tcW w:w="958"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317" w:type="dxa"/>
            <w:vMerge/>
            <w:tcBorders>
              <w:left w:val="single" w:sz="4" w:space="0" w:color="000000"/>
              <w:right w:val="single" w:sz="4" w:space="0" w:color="000000"/>
            </w:tcBorders>
            <w:shd w:val="clear" w:color="auto" w:fill="DCDCDC"/>
          </w:tcPr>
          <w:p>
            <w:pPr/>
          </w:p>
        </w:tc>
        <w:tc>
          <w:tcPr>
            <w:tcW w:w="911"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890" w:type="dxa"/>
            <w:vMerge w:val="restart"/>
            <w:tcBorders>
              <w:top w:val="nil" w:sz="6" w:space="0" w:color="auto"/>
              <w:left w:val="single" w:sz="4" w:space="0" w:color="000000"/>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302" w:type="dxa"/>
            <w:vMerge/>
            <w:tcBorders>
              <w:left w:val="single" w:sz="4" w:space="0" w:color="000000"/>
              <w:bottom w:val="nil" w:sz="6" w:space="0" w:color="auto"/>
              <w:right w:val="single" w:sz="4" w:space="0" w:color="000000"/>
            </w:tcBorders>
            <w:shd w:val="clear" w:color="auto" w:fill="DCDCDC"/>
          </w:tcPr>
          <w:p>
            <w:pPr/>
          </w:p>
        </w:tc>
        <w:tc>
          <w:tcPr>
            <w:tcW w:w="958" w:type="dxa"/>
            <w:vMerge w:val="restart"/>
            <w:tcBorders>
              <w:top w:val="nil" w:sz="6" w:space="0" w:color="auto"/>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r>
      <w:tr>
        <w:trPr>
          <w:trHeight w:val="312" w:hRule="exact"/>
        </w:trPr>
        <w:tc>
          <w:tcPr>
            <w:tcW w:w="2317" w:type="dxa"/>
            <w:vMerge/>
            <w:tcBorders>
              <w:left w:val="single" w:sz="4" w:space="0" w:color="000000"/>
              <w:right w:val="single" w:sz="4" w:space="0" w:color="000000"/>
            </w:tcBorders>
            <w:shd w:val="clear" w:color="auto" w:fill="DCDCDC"/>
          </w:tcPr>
          <w:p>
            <w:pPr/>
          </w:p>
        </w:tc>
        <w:tc>
          <w:tcPr>
            <w:tcW w:w="911"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890"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302" w:type="dxa"/>
            <w:vMerge w:val="restart"/>
            <w:tcBorders>
              <w:top w:val="nil" w:sz="6" w:space="0" w:color="auto"/>
              <w:left w:val="single" w:sz="4" w:space="0" w:color="000000"/>
              <w:right w:val="single" w:sz="4" w:space="0" w:color="000000"/>
            </w:tcBorders>
            <w:shd w:val="clear" w:color="auto" w:fill="DCDCDC"/>
          </w:tcPr>
          <w:p>
            <w:pPr/>
          </w:p>
        </w:tc>
        <w:tc>
          <w:tcPr>
            <w:tcW w:w="958"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r>
      <w:tr>
        <w:trPr>
          <w:trHeight w:val="316" w:hRule="exact"/>
        </w:trPr>
        <w:tc>
          <w:tcPr>
            <w:tcW w:w="2317"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89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302" w:type="dxa"/>
            <w:vMerge/>
            <w:tcBorders>
              <w:left w:val="single" w:sz="4" w:space="0" w:color="000000"/>
              <w:bottom w:val="single" w:sz="4" w:space="0" w:color="000000"/>
              <w:right w:val="single" w:sz="4" w:space="0" w:color="000000"/>
            </w:tcBorders>
            <w:shd w:val="clear" w:color="auto" w:fill="DCDCDC"/>
          </w:tcPr>
          <w:p>
            <w:pPr/>
          </w:p>
        </w:tc>
        <w:tc>
          <w:tcPr>
            <w:tcW w:w="958"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2"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91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8"/>
              <w:ind w:left="38" w:right="0"/>
              <w:jc w:val="center"/>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81,552,531.68</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pacing w:val="-1"/>
                <w:sz w:val="13"/>
              </w:rPr>
              <w:t>127,911,103.58</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30,519,059.93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377,355,804.66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81,552,531.68</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pacing w:val="-1"/>
                <w:sz w:val="13"/>
              </w:rPr>
              <w:t>115,460,197.61</w:t>
            </w: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13"/>
                <w:szCs w:val="13"/>
              </w:rPr>
            </w:pPr>
            <w:r>
              <w:rPr>
                <w:rFonts w:ascii="Times New Roman"/>
                <w:sz w:val="13"/>
              </w:rPr>
              <w:t>35,804,852.04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370,190,690.80</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72"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2,975,517.76</w:t>
            </w: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13"/>
                <w:szCs w:val="13"/>
              </w:rPr>
            </w:pPr>
            <w:r>
              <w:rPr>
                <w:rFonts w:ascii="Times New Roman"/>
                <w:sz w:val="13"/>
              </w:rPr>
              <w:t>-2,975,517.76</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72"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7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2"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91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8"/>
              <w:ind w:left="38" w:right="0"/>
              <w:jc w:val="center"/>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81,552,531.68</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pacing w:val="-1"/>
                <w:sz w:val="13"/>
              </w:rPr>
              <w:t>127,911,103.58</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30,519,059.93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377,355,804.66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81,552,531.68</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pacing w:val="-1"/>
                <w:sz w:val="13"/>
              </w:rPr>
              <w:t>118,435,715.37</w:t>
            </w: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13"/>
                <w:szCs w:val="13"/>
              </w:rPr>
            </w:pPr>
            <w:r>
              <w:rPr>
                <w:rFonts w:ascii="Times New Roman"/>
                <w:sz w:val="13"/>
              </w:rPr>
              <w:t>32,829,334.28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370,190,690.80</w:t>
            </w:r>
          </w:p>
        </w:tc>
      </w:tr>
      <w:tr>
        <w:trPr>
          <w:trHeight w:val="63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26"/>
              <w:ind w:left="12" w:right="53"/>
              <w:jc w:val="left"/>
              <w:rPr>
                <w:rFonts w:ascii="宋体" w:hAnsi="宋体" w:cs="宋体" w:eastAsia="宋体" w:hint="default"/>
                <w:sz w:val="16"/>
                <w:szCs w:val="16"/>
              </w:rPr>
            </w:pPr>
            <w:r>
              <w:rPr>
                <w:rFonts w:ascii="宋体" w:hAnsi="宋体" w:cs="宋体" w:eastAsia="宋体" w:hint="default"/>
                <w:spacing w:val="-1"/>
                <w:sz w:val="16"/>
                <w:szCs w:val="16"/>
              </w:rPr>
              <w:t>三、本年增减变动金额（减少以</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244,410.39</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16,242,457.70</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-34,475,955.11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-17,989,087.02</w:t>
            </w: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z w:val="13"/>
              </w:rPr>
              <w:t>9,475,388.21</w:t>
            </w: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3"/>
                <w:szCs w:val="13"/>
              </w:rPr>
            </w:pPr>
            <w:r>
              <w:rPr>
                <w:rFonts w:ascii="Times New Roman"/>
                <w:sz w:val="13"/>
              </w:rPr>
              <w:t>-2,310,274.35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3"/>
                <w:szCs w:val="13"/>
              </w:rPr>
            </w:pPr>
            <w:r>
              <w:rPr>
                <w:rFonts w:ascii="Times New Roman"/>
                <w:spacing w:val="-1"/>
                <w:sz w:val="13"/>
              </w:rPr>
              <w:t>7,165,113.86</w:t>
            </w:r>
          </w:p>
        </w:tc>
      </w:tr>
      <w:tr>
        <w:trPr>
          <w:trHeight w:val="32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72"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18,632,180.09</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-2,153,297.51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16,478,882.58</w:t>
            </w: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9,475,388.21</w:t>
            </w: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13"/>
                <w:szCs w:val="13"/>
              </w:rPr>
            </w:pPr>
            <w:r>
              <w:rPr>
                <w:rFonts w:ascii="Times New Roman"/>
                <w:sz w:val="13"/>
              </w:rPr>
              <w:t>-2,310,274.35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pacing w:val="-1"/>
                <w:sz w:val="13"/>
              </w:rPr>
              <w:t>7,165,113.86</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72"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72"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18,632,180.09</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-2,153,297.51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16,478,882.58</w:t>
            </w: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9,475,388.21</w:t>
            </w: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13"/>
                <w:szCs w:val="13"/>
              </w:rPr>
            </w:pPr>
            <w:r>
              <w:rPr>
                <w:rFonts w:ascii="Times New Roman"/>
                <w:sz w:val="13"/>
              </w:rPr>
              <w:t>-2,310,274.35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pacing w:val="-1"/>
                <w:sz w:val="13"/>
              </w:rPr>
              <w:t>7,165,113.86</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72"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-32,322,657.60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-32,322,657.60</w:t>
            </w: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3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2,740,000.00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2,740,000.00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26"/>
              <w:ind w:left="12" w:right="6" w:firstLine="321"/>
              <w:jc w:val="left"/>
              <w:rPr>
                <w:rFonts w:ascii="宋体" w:hAnsi="宋体" w:cs="宋体" w:eastAsia="宋体" w:hint="default"/>
                <w:sz w:val="16"/>
                <w:szCs w:val="16"/>
              </w:rPr>
            </w:pPr>
            <w:r>
              <w:rPr>
                <w:rFonts w:ascii="Times New Roman" w:hAnsi="Times New Roman" w:cs="Times New Roman" w:eastAsia="Times New Roman" w:hint="default"/>
                <w:spacing w:val="-4"/>
                <w:sz w:val="16"/>
                <w:szCs w:val="16"/>
              </w:rPr>
              <w:t>2</w:t>
            </w:r>
            <w:r>
              <w:rPr>
                <w:rFonts w:ascii="宋体" w:hAnsi="宋体" w:cs="宋体" w:eastAsia="宋体" w:hint="default"/>
                <w:spacing w:val="-4"/>
                <w:sz w:val="16"/>
                <w:szCs w:val="16"/>
              </w:rPr>
              <w:t>．股份支付计入所有者权益</w:t>
            </w:r>
            <w:r>
              <w:rPr>
                <w:rFonts w:ascii="宋体" w:hAnsi="宋体" w:cs="宋体" w:eastAsia="宋体" w:hint="default"/>
                <w:w w:val="100"/>
                <w:sz w:val="16"/>
                <w:szCs w:val="16"/>
              </w:rPr>
              <w:t> </w:t>
            </w:r>
            <w:r>
              <w:rPr>
                <w:rFonts w:ascii="宋体" w:hAnsi="宋体" w:cs="宋体" w:eastAsia="宋体" w:hint="default"/>
                <w:sz w:val="16"/>
                <w:szCs w:val="16"/>
              </w:rPr>
              <w:t>的金额</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3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-35,062,657.60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-35,062,657.60</w:t>
            </w: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6840" w:h="11910" w:orient="landscape"/>
          <w:pgMar w:header="879" w:footer="979" w:top="1120" w:bottom="1160" w:left="320" w:right="280"/>
          <w:pgNumType w:start="106"/>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29"/>
        <w:gridCol w:w="911"/>
        <w:gridCol w:w="900"/>
        <w:gridCol w:w="360"/>
        <w:gridCol w:w="360"/>
        <w:gridCol w:w="900"/>
        <w:gridCol w:w="360"/>
        <w:gridCol w:w="900"/>
        <w:gridCol w:w="360"/>
        <w:gridCol w:w="900"/>
        <w:gridCol w:w="890"/>
        <w:gridCol w:w="910"/>
        <w:gridCol w:w="900"/>
        <w:gridCol w:w="360"/>
        <w:gridCol w:w="360"/>
        <w:gridCol w:w="900"/>
        <w:gridCol w:w="360"/>
        <w:gridCol w:w="900"/>
        <w:gridCol w:w="302"/>
        <w:gridCol w:w="958"/>
        <w:gridCol w:w="899"/>
      </w:tblGrid>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244,410.39</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9" w:right="0"/>
              <w:jc w:val="center"/>
              <w:rPr>
                <w:rFonts w:ascii="Times New Roman" w:hAnsi="Times New Roman" w:cs="Times New Roman" w:eastAsia="Times New Roman" w:hint="default"/>
                <w:sz w:val="13"/>
                <w:szCs w:val="13"/>
              </w:rPr>
            </w:pPr>
            <w:r>
              <w:rPr>
                <w:rFonts w:ascii="Times New Roman"/>
                <w:sz w:val="13"/>
              </w:rPr>
              <w:t>-2,389,722.39</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-2,145,312.00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244,410.39</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18" w:right="0"/>
              <w:jc w:val="center"/>
              <w:rPr>
                <w:rFonts w:ascii="Times New Roman" w:hAnsi="Times New Roman" w:cs="Times New Roman" w:eastAsia="Times New Roman" w:hint="default"/>
                <w:sz w:val="13"/>
                <w:szCs w:val="13"/>
              </w:rPr>
            </w:pPr>
            <w:r>
              <w:rPr>
                <w:rFonts w:ascii="Times New Roman"/>
                <w:sz w:val="13"/>
              </w:rPr>
              <w:t>-244,410.39</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636"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45" w:right="0"/>
              <w:jc w:val="left"/>
              <w:rPr>
                <w:rFonts w:ascii="宋体" w:hAnsi="宋体" w:cs="宋体" w:eastAsia="宋体" w:hint="default"/>
                <w:sz w:val="16"/>
                <w:szCs w:val="16"/>
              </w:rPr>
            </w:pPr>
            <w:r>
              <w:rPr>
                <w:rFonts w:ascii="Times New Roman" w:hAnsi="Times New Roman" w:cs="Times New Roman" w:eastAsia="Times New Roman" w:hint="default"/>
                <w:spacing w:val="-4"/>
                <w:sz w:val="16"/>
                <w:szCs w:val="16"/>
              </w:rPr>
              <w:t>3</w:t>
            </w:r>
            <w:r>
              <w:rPr>
                <w:rFonts w:ascii="宋体" w:hAnsi="宋体" w:cs="宋体" w:eastAsia="宋体" w:hint="default"/>
                <w:spacing w:val="-4"/>
                <w:sz w:val="16"/>
                <w:szCs w:val="16"/>
              </w:rPr>
              <w:t>．对所有者（或股东）的分</w:t>
            </w:r>
          </w:p>
          <w:p>
            <w:pPr>
              <w:pStyle w:val="TableParagraph"/>
              <w:spacing w:line="240" w:lineRule="auto" w:before="90"/>
              <w:ind w:left="24" w:right="0"/>
              <w:jc w:val="left"/>
              <w:rPr>
                <w:rFonts w:ascii="宋体" w:hAnsi="宋体" w:cs="宋体" w:eastAsia="宋体" w:hint="default"/>
                <w:sz w:val="16"/>
                <w:szCs w:val="16"/>
              </w:rPr>
            </w:pPr>
            <w:r>
              <w:rPr>
                <w:rFonts w:ascii="宋体" w:hAnsi="宋体" w:cs="宋体" w:eastAsia="宋体" w:hint="default"/>
                <w:w w:val="100"/>
                <w:sz w:val="16"/>
                <w:szCs w:val="16"/>
              </w:rPr>
              <w:t>配</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9" w:right="0"/>
              <w:jc w:val="center"/>
              <w:rPr>
                <w:rFonts w:ascii="Times New Roman" w:hAnsi="Times New Roman" w:cs="Times New Roman" w:eastAsia="Times New Roman" w:hint="default"/>
                <w:sz w:val="13"/>
                <w:szCs w:val="13"/>
              </w:rPr>
            </w:pPr>
            <w:r>
              <w:rPr>
                <w:rFonts w:ascii="Times New Roman"/>
                <w:sz w:val="13"/>
              </w:rPr>
              <w:t>-2,145,312.00</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sz w:val="13"/>
              </w:rPr>
              <w:t>-2,145,312.00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634"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26"/>
              <w:ind w:left="24" w:right="6" w:firstLine="321"/>
              <w:jc w:val="left"/>
              <w:rPr>
                <w:rFonts w:ascii="宋体" w:hAnsi="宋体" w:cs="宋体" w:eastAsia="宋体" w:hint="default"/>
                <w:sz w:val="16"/>
                <w:szCs w:val="16"/>
              </w:rPr>
            </w:pPr>
            <w:r>
              <w:rPr>
                <w:rFonts w:ascii="Times New Roman" w:hAnsi="Times New Roman" w:cs="Times New Roman" w:eastAsia="Times New Roman" w:hint="default"/>
                <w:spacing w:val="-4"/>
                <w:sz w:val="16"/>
                <w:szCs w:val="16"/>
              </w:rPr>
              <w:t>1</w:t>
            </w:r>
            <w:r>
              <w:rPr>
                <w:rFonts w:ascii="宋体" w:hAnsi="宋体" w:cs="宋体" w:eastAsia="宋体" w:hint="default"/>
                <w:spacing w:val="-4"/>
                <w:sz w:val="16"/>
                <w:szCs w:val="16"/>
              </w:rPr>
              <w:t>．资本公积转增资本（或股</w:t>
            </w:r>
            <w:r>
              <w:rPr>
                <w:rFonts w:ascii="宋体" w:hAnsi="宋体" w:cs="宋体" w:eastAsia="宋体" w:hint="default"/>
                <w:w w:val="100"/>
                <w:sz w:val="16"/>
                <w:szCs w:val="16"/>
              </w:rPr>
              <w:t> </w:t>
            </w:r>
            <w:r>
              <w:rPr>
                <w:rFonts w:ascii="宋体" w:hAnsi="宋体" w:cs="宋体" w:eastAsia="宋体" w:hint="default"/>
                <w:sz w:val="16"/>
                <w:szCs w:val="16"/>
              </w:rPr>
              <w:t>本）</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634"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38" w:lineRule="auto" w:before="26"/>
              <w:ind w:left="24" w:right="6" w:firstLine="321"/>
              <w:jc w:val="left"/>
              <w:rPr>
                <w:rFonts w:ascii="宋体" w:hAnsi="宋体" w:cs="宋体" w:eastAsia="宋体" w:hint="default"/>
                <w:sz w:val="16"/>
                <w:szCs w:val="16"/>
              </w:rPr>
            </w:pPr>
            <w:r>
              <w:rPr>
                <w:rFonts w:ascii="Times New Roman" w:hAnsi="Times New Roman" w:cs="Times New Roman" w:eastAsia="Times New Roman" w:hint="default"/>
                <w:spacing w:val="-4"/>
                <w:sz w:val="16"/>
                <w:szCs w:val="16"/>
              </w:rPr>
              <w:t>2</w:t>
            </w:r>
            <w:r>
              <w:rPr>
                <w:rFonts w:ascii="宋体" w:hAnsi="宋体" w:cs="宋体" w:eastAsia="宋体" w:hint="default"/>
                <w:spacing w:val="-4"/>
                <w:sz w:val="16"/>
                <w:szCs w:val="16"/>
              </w:rPr>
              <w:t>．盈余公积转增资本（或股</w:t>
            </w:r>
            <w:r>
              <w:rPr>
                <w:rFonts w:ascii="宋体" w:hAnsi="宋体" w:cs="宋体" w:eastAsia="宋体" w:hint="default"/>
                <w:w w:val="100"/>
                <w:sz w:val="16"/>
                <w:szCs w:val="16"/>
              </w:rPr>
              <w:t> </w:t>
            </w:r>
            <w:r>
              <w:rPr>
                <w:rFonts w:ascii="宋体" w:hAnsi="宋体" w:cs="宋体" w:eastAsia="宋体" w:hint="default"/>
                <w:sz w:val="16"/>
                <w:szCs w:val="16"/>
              </w:rPr>
              <w:t>本）</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4"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34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184" w:right="0"/>
              <w:jc w:val="left"/>
              <w:rPr>
                <w:rFonts w:ascii="宋体" w:hAnsi="宋体" w:cs="宋体" w:eastAsia="宋体" w:hint="default"/>
                <w:sz w:val="16"/>
                <w:szCs w:val="16"/>
              </w:rPr>
            </w:pPr>
            <w:r>
              <w:rPr>
                <w:rFonts w:ascii="宋体" w:hAnsi="宋体" w:cs="宋体" w:eastAsia="宋体" w:hint="default"/>
                <w:sz w:val="16"/>
                <w:szCs w:val="16"/>
              </w:rPr>
              <w:t>（七）其他</w:t>
            </w:r>
          </w:p>
        </w:tc>
        <w:tc>
          <w:tcPr>
            <w:tcW w:w="911" w:type="dxa"/>
            <w:tcBorders>
              <w:top w:val="single" w:sz="4" w:space="0" w:color="000000"/>
              <w:left w:val="single" w:sz="9"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91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8"/>
              <w:ind w:left="60"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81,552,531.68</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3"/>
                <w:szCs w:val="13"/>
              </w:rPr>
            </w:pPr>
            <w:r>
              <w:rPr>
                <w:rFonts w:ascii="Times New Roman"/>
                <w:sz w:val="13"/>
              </w:rPr>
              <w:t>30,351,919.86</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3" w:right="0"/>
              <w:jc w:val="center"/>
              <w:rPr>
                <w:rFonts w:ascii="Times New Roman" w:hAnsi="Times New Roman" w:cs="Times New Roman" w:eastAsia="Times New Roman" w:hint="default"/>
                <w:sz w:val="13"/>
                <w:szCs w:val="13"/>
              </w:rPr>
            </w:pPr>
            <w:r>
              <w:rPr>
                <w:rFonts w:ascii="Times New Roman"/>
                <w:sz w:val="13"/>
              </w:rPr>
              <w:t>144,153,561.28</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1" w:right="0"/>
              <w:jc w:val="left"/>
              <w:rPr>
                <w:rFonts w:ascii="Times New Roman" w:hAnsi="Times New Roman" w:cs="Times New Roman" w:eastAsia="Times New Roman" w:hint="default"/>
                <w:sz w:val="13"/>
                <w:szCs w:val="13"/>
              </w:rPr>
            </w:pPr>
            <w:r>
              <w:rPr>
                <w:rFonts w:ascii="Times New Roman"/>
                <w:sz w:val="13"/>
              </w:rPr>
              <w:t>-3,956,895.18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3"/>
                <w:szCs w:val="13"/>
              </w:rPr>
            </w:pPr>
            <w:r>
              <w:rPr>
                <w:rFonts w:ascii="Times New Roman"/>
                <w:sz w:val="13"/>
              </w:rPr>
              <w:t>359,366,717.64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4" w:right="0"/>
              <w:jc w:val="left"/>
              <w:rPr>
                <w:rFonts w:ascii="Times New Roman" w:hAnsi="Times New Roman" w:cs="Times New Roman" w:eastAsia="Times New Roman" w:hint="default"/>
                <w:sz w:val="13"/>
                <w:szCs w:val="13"/>
              </w:rPr>
            </w:pPr>
            <w:r>
              <w:rPr>
                <w:rFonts w:ascii="Times New Roman"/>
                <w:sz w:val="13"/>
              </w:rPr>
              <w:t>107,265,600.00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81,552,531.68</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0" w:right="0"/>
              <w:jc w:val="left"/>
              <w:rPr>
                <w:rFonts w:ascii="Times New Roman" w:hAnsi="Times New Roman" w:cs="Times New Roman" w:eastAsia="Times New Roman" w:hint="default"/>
                <w:sz w:val="13"/>
                <w:szCs w:val="13"/>
              </w:rPr>
            </w:pPr>
            <w:r>
              <w:rPr>
                <w:rFonts w:ascii="Times New Roman"/>
                <w:sz w:val="13"/>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0" w:right="0"/>
              <w:jc w:val="left"/>
              <w:rPr>
                <w:rFonts w:ascii="Times New Roman" w:hAnsi="Times New Roman" w:cs="Times New Roman" w:eastAsia="Times New Roman" w:hint="default"/>
                <w:sz w:val="13"/>
                <w:szCs w:val="13"/>
              </w:rPr>
            </w:pPr>
            <w:r>
              <w:rPr>
                <w:rFonts w:ascii="Times New Roman"/>
                <w:sz w:val="13"/>
              </w:rPr>
              <w:t>127,911,103.58</w:t>
            </w:r>
          </w:p>
        </w:tc>
        <w:tc>
          <w:tcPr>
            <w:tcW w:w="30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80" w:right="0"/>
              <w:jc w:val="left"/>
              <w:rPr>
                <w:rFonts w:ascii="Times New Roman" w:hAnsi="Times New Roman" w:cs="Times New Roman" w:eastAsia="Times New Roman" w:hint="default"/>
                <w:sz w:val="13"/>
                <w:szCs w:val="13"/>
              </w:rPr>
            </w:pPr>
            <w:r>
              <w:rPr>
                <w:rFonts w:ascii="Times New Roman"/>
                <w:sz w:val="13"/>
              </w:rPr>
              <w:t>30,519,059.93</w:t>
            </w:r>
          </w:p>
        </w:tc>
        <w:tc>
          <w:tcPr>
            <w:tcW w:w="89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8"/>
              <w:ind w:left="55" w:right="0"/>
              <w:jc w:val="left"/>
              <w:rPr>
                <w:rFonts w:ascii="Times New Roman" w:hAnsi="Times New Roman" w:cs="Times New Roman" w:eastAsia="Times New Roman" w:hint="default"/>
                <w:sz w:val="13"/>
                <w:szCs w:val="13"/>
              </w:rPr>
            </w:pPr>
            <w:r>
              <w:rPr>
                <w:rFonts w:ascii="Times New Roman"/>
                <w:sz w:val="13"/>
              </w:rPr>
              <w:t>377,355,804.66</w:t>
            </w:r>
          </w:p>
        </w:tc>
      </w:tr>
    </w:tbl>
    <w:p>
      <w:pPr>
        <w:spacing w:line="240" w:lineRule="auto" w:before="2"/>
        <w:rPr>
          <w:rFonts w:ascii="宋体" w:hAnsi="宋体" w:cs="宋体" w:eastAsia="宋体" w:hint="default"/>
          <w:sz w:val="20"/>
          <w:szCs w:val="20"/>
        </w:rPr>
      </w:pPr>
    </w:p>
    <w:p>
      <w:pPr>
        <w:pStyle w:val="BodyText"/>
        <w:tabs>
          <w:tab w:pos="3623" w:val="left" w:leader="none"/>
          <w:tab w:pos="4571" w:val="left" w:leader="none"/>
          <w:tab w:pos="9736" w:val="left" w:leader="none"/>
          <w:tab w:pos="10681" w:val="left" w:leader="none"/>
          <w:tab w:pos="14793" w:val="left" w:leader="none"/>
        </w:tabs>
        <w:spacing w:line="240" w:lineRule="auto" w:before="36"/>
        <w:ind w:left="143" w:right="0"/>
        <w:jc w:val="left"/>
        <w:rPr>
          <w:rFonts w:ascii="Times New Roman" w:hAnsi="Times New Roman" w:cs="Times New Roman" w:eastAsia="Times New Roman" w:hint="default"/>
        </w:rPr>
      </w:pPr>
      <w:r>
        <w:rPr/>
        <w:pict>
          <v:shape style="position:absolute;margin-left:226.395554pt;margin-top:-101.385117pt;width:392.95pt;height:64.3pt;mso-position-horizontal-relative:page;mso-position-vertical-relative:paragraph;z-index:-552832;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宋体" w:hAnsi="宋体" w:cs="宋体" w:eastAsia="宋体" w:hint="default"/>
          <w:spacing w:val="-1"/>
        </w:rPr>
        <w:t>主管会计工作的公司负责人：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宋体" w:hAnsi="宋体" w:cs="宋体" w:eastAsia="宋体" w:hint="default"/>
          <w:spacing w:val="-1"/>
        </w:rPr>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6840" w:h="11910" w:orient="landscape"/>
          <w:pgMar w:header="879" w:footer="979" w:top="1120" w:bottom="1160" w:left="300" w:right="280"/>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552808;rotation:315" type="#_x0000_t136" fillcolor="#e0e0e0" stroked="f">
            <o:extrusion v:ext="view" autorotationcenter="t"/>
            <v:textpath style="font-family:&amp;quot;Arial&amp;quot;;font-size:64pt;v-text-kern:t;mso-text-shadow:auto" string="UnRegistered"/>
            <w10:wrap type="none"/>
          </v:shape>
        </w:pict>
      </w:r>
    </w:p>
    <w:p>
      <w:pPr>
        <w:pStyle w:val="Heading2"/>
        <w:spacing w:line="240" w:lineRule="auto" w:before="177"/>
        <w:ind w:left="6398" w:right="6398"/>
        <w:jc w:val="center"/>
      </w:pPr>
      <w:r>
        <w:rPr/>
        <w:t>母公司所有者权益变动表</w:t>
      </w:r>
    </w:p>
    <w:p>
      <w:pPr>
        <w:spacing w:line="240" w:lineRule="auto" w:before="0"/>
        <w:rPr>
          <w:rFonts w:ascii="宋体" w:hAnsi="宋体" w:cs="宋体" w:eastAsia="宋体" w:hint="default"/>
          <w:sz w:val="36"/>
          <w:szCs w:val="36"/>
        </w:rPr>
      </w:pPr>
    </w:p>
    <w:p>
      <w:pPr>
        <w:pStyle w:val="BodyText"/>
        <w:tabs>
          <w:tab w:pos="7255" w:val="left" w:leader="none"/>
          <w:tab w:pos="14018" w:val="left" w:leader="none"/>
        </w:tabs>
        <w:spacing w:line="240" w:lineRule="auto"/>
        <w:ind w:left="674" w:right="0"/>
        <w:jc w:val="left"/>
        <w:rPr>
          <w:rFonts w:ascii="宋体" w:hAnsi="宋体" w:cs="宋体" w:eastAsia="宋体" w:hint="default"/>
        </w:rPr>
      </w:pPr>
      <w:r>
        <w:rPr>
          <w:rFonts w:ascii="宋体" w:hAnsi="宋体" w:cs="宋体" w:eastAsia="宋体" w:hint="default"/>
          <w:spacing w:val="-4"/>
        </w:rPr>
        <w:t>编制单位：黑龙江天伦置业股份有限公司</w:t>
        <w:tab/>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rFonts w:ascii="宋体" w:hAnsi="宋体" w:cs="宋体" w:eastAsia="宋体" w:hint="default"/>
        </w:rPr>
        <w:t>年度</w:t>
        <w:tab/>
      </w:r>
      <w:r>
        <w:rPr>
          <w:rFonts w:ascii="宋体" w:hAnsi="宋体" w:cs="宋体" w:eastAsia="宋体" w:hint="default"/>
          <w:spacing w:val="-10"/>
        </w:rPr>
        <w:t>单位：元</w:t>
      </w:r>
    </w:p>
    <w:p>
      <w:pPr>
        <w:spacing w:line="240" w:lineRule="auto" w:before="8"/>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88"/>
        <w:gridCol w:w="1040"/>
        <w:gridCol w:w="1080"/>
        <w:gridCol w:w="540"/>
        <w:gridCol w:w="470"/>
        <w:gridCol w:w="970"/>
        <w:gridCol w:w="360"/>
        <w:gridCol w:w="1109"/>
        <w:gridCol w:w="1080"/>
        <w:gridCol w:w="1080"/>
        <w:gridCol w:w="1051"/>
        <w:gridCol w:w="569"/>
        <w:gridCol w:w="540"/>
        <w:gridCol w:w="1080"/>
        <w:gridCol w:w="360"/>
        <w:gridCol w:w="1080"/>
        <w:gridCol w:w="1080"/>
      </w:tblGrid>
      <w:tr>
        <w:trPr>
          <w:trHeight w:val="322" w:hRule="exact"/>
        </w:trPr>
        <w:tc>
          <w:tcPr>
            <w:tcW w:w="2188" w:type="dxa"/>
            <w:vMerge w:val="restart"/>
            <w:tcBorders>
              <w:top w:val="single" w:sz="4" w:space="0" w:color="000000"/>
              <w:left w:val="single" w:sz="4" w:space="0" w:color="000000"/>
              <w:right w:val="single" w:sz="4" w:space="0" w:color="000000"/>
            </w:tcBorders>
            <w:shd w:val="clear" w:color="auto" w:fill="DCDCDC"/>
          </w:tcPr>
          <w:p>
            <w:pPr/>
          </w:p>
        </w:tc>
        <w:tc>
          <w:tcPr>
            <w:tcW w:w="6649"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8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624" w:hRule="exact"/>
        </w:trPr>
        <w:tc>
          <w:tcPr>
            <w:tcW w:w="2188" w:type="dxa"/>
            <w:vMerge/>
            <w:tcBorders>
              <w:left w:val="single" w:sz="4" w:space="0" w:color="000000"/>
              <w:bottom w:val="nil" w:sz="6" w:space="0" w:color="auto"/>
              <w:right w:val="single" w:sz="4" w:space="0" w:color="000000"/>
            </w:tcBorders>
            <w:shd w:val="clear" w:color="auto" w:fill="DCDCDC"/>
          </w:tcPr>
          <w:p>
            <w:pPr/>
          </w:p>
        </w:tc>
        <w:tc>
          <w:tcPr>
            <w:tcW w:w="1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470" w:type="dxa"/>
            <w:tcBorders>
              <w:top w:val="single" w:sz="4" w:space="0" w:color="000000"/>
              <w:left w:val="single" w:sz="4" w:space="0" w:color="000000"/>
              <w:bottom w:val="nil" w:sz="6" w:space="0" w:color="auto"/>
              <w:right w:val="single" w:sz="4" w:space="0" w:color="000000"/>
            </w:tcBorders>
            <w:shd w:val="clear" w:color="auto" w:fill="DCDCDC"/>
          </w:tcPr>
          <w:p>
            <w:pPr/>
          </w:p>
        </w:tc>
        <w:tc>
          <w:tcPr>
            <w:tcW w:w="97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86" w:right="8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109" w:type="dxa"/>
            <w:vMerge w:val="restart"/>
            <w:tcBorders>
              <w:top w:val="single" w:sz="4" w:space="0" w:color="000000"/>
              <w:left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1" w:type="dxa"/>
            <w:vMerge w:val="restart"/>
            <w:tcBorders>
              <w:top w:val="single" w:sz="4" w:space="0" w:color="000000"/>
              <w:left w:val="single" w:sz="4" w:space="0" w:color="000000"/>
              <w:right w:val="single" w:sz="4" w:space="0" w:color="000000"/>
            </w:tcBorders>
            <w:shd w:val="clear" w:color="auto" w:fill="DCDCDC"/>
          </w:tcPr>
          <w:p>
            <w:pPr/>
          </w:p>
        </w:tc>
        <w:tc>
          <w:tcPr>
            <w:tcW w:w="569"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36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86" w:right="83"/>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080" w:type="dxa"/>
            <w:vMerge w:val="restart"/>
            <w:tcBorders>
              <w:top w:val="single" w:sz="4" w:space="0" w:color="000000"/>
              <w:left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7" w:hRule="exact"/>
        </w:trPr>
        <w:tc>
          <w:tcPr>
            <w:tcW w:w="218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3"/>
              <w:ind w:left="161"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7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080"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6" w:right="19" w:hanging="63"/>
              <w:jc w:val="left"/>
              <w:rPr>
                <w:rFonts w:ascii="宋体" w:hAnsi="宋体" w:cs="宋体" w:eastAsia="宋体" w:hint="default"/>
                <w:sz w:val="18"/>
                <w:szCs w:val="18"/>
              </w:rPr>
            </w:pPr>
            <w:r>
              <w:rPr>
                <w:rFonts w:ascii="宋体" w:hAnsi="宋体" w:cs="宋体" w:eastAsia="宋体" w:hint="default"/>
                <w:spacing w:val="-19"/>
                <w:sz w:val="18"/>
                <w:szCs w:val="18"/>
              </w:rPr>
              <w:t>减：库</w:t>
            </w:r>
            <w:r>
              <w:rPr>
                <w:rFonts w:ascii="宋体" w:hAnsi="宋体" w:cs="宋体" w:eastAsia="宋体" w:hint="default"/>
                <w:sz w:val="18"/>
                <w:szCs w:val="18"/>
              </w:rPr>
              <w:t> 存股</w:t>
            </w:r>
          </w:p>
        </w:tc>
        <w:tc>
          <w:tcPr>
            <w:tcW w:w="47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50" w:right="4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7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109"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9"/>
              <w:ind w:left="355" w:right="83"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9"/>
              <w:ind w:left="266" w:right="19" w:hanging="243"/>
              <w:jc w:val="left"/>
              <w:rPr>
                <w:rFonts w:ascii="宋体" w:hAnsi="宋体" w:cs="宋体" w:eastAsia="宋体" w:hint="default"/>
                <w:sz w:val="18"/>
                <w:szCs w:val="18"/>
              </w:rPr>
            </w:pPr>
            <w:r>
              <w:rPr>
                <w:rFonts w:ascii="宋体" w:hAnsi="宋体" w:cs="宋体" w:eastAsia="宋体" w:hint="default"/>
                <w:spacing w:val="-10"/>
                <w:sz w:val="18"/>
                <w:szCs w:val="18"/>
              </w:rPr>
              <w:t>实收资本（或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51" w:type="dxa"/>
            <w:vMerge/>
            <w:tcBorders>
              <w:left w:val="single" w:sz="4" w:space="0" w:color="000000"/>
              <w:bottom w:val="nil" w:sz="6" w:space="0" w:color="auto"/>
              <w:right w:val="single" w:sz="4" w:space="0" w:color="000000"/>
            </w:tcBorders>
            <w:shd w:val="clear" w:color="auto" w:fill="DCDCDC"/>
          </w:tcPr>
          <w:p>
            <w:pPr/>
          </w:p>
        </w:tc>
        <w:tc>
          <w:tcPr>
            <w:tcW w:w="56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98" w:right="23"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86" w:right="8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355" w:right="83"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46" w:hRule="exact"/>
        </w:trPr>
        <w:tc>
          <w:tcPr>
            <w:tcW w:w="2188" w:type="dxa"/>
            <w:vMerge/>
            <w:tcBorders>
              <w:left w:val="single" w:sz="4" w:space="0" w:color="000000"/>
              <w:bottom w:val="nil" w:sz="6" w:space="0" w:color="auto"/>
              <w:right w:val="single" w:sz="4" w:space="0" w:color="000000"/>
            </w:tcBorders>
            <w:shd w:val="clear" w:color="auto" w:fill="DCDCDC"/>
          </w:tcPr>
          <w:p>
            <w:pPr/>
          </w:p>
        </w:tc>
        <w:tc>
          <w:tcPr>
            <w:tcW w:w="104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vMerge/>
            <w:tcBorders>
              <w:left w:val="single" w:sz="4" w:space="0" w:color="000000"/>
              <w:right w:val="single" w:sz="4" w:space="0" w:color="000000"/>
            </w:tcBorders>
            <w:shd w:val="clear" w:color="auto" w:fill="DCDCDC"/>
          </w:tcPr>
          <w:p>
            <w:pPr/>
          </w:p>
        </w:tc>
        <w:tc>
          <w:tcPr>
            <w:tcW w:w="470" w:type="dxa"/>
            <w:vMerge/>
            <w:tcBorders>
              <w:left w:val="single" w:sz="4" w:space="0" w:color="000000"/>
              <w:right w:val="single" w:sz="4" w:space="0" w:color="000000"/>
            </w:tcBorders>
            <w:shd w:val="clear" w:color="auto" w:fill="DCDCDC"/>
          </w:tcPr>
          <w:p>
            <w:pPr/>
          </w:p>
        </w:tc>
        <w:tc>
          <w:tcPr>
            <w:tcW w:w="97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60" w:type="dxa"/>
            <w:vMerge/>
            <w:tcBorders>
              <w:left w:val="single" w:sz="4" w:space="0" w:color="000000"/>
              <w:right w:val="single" w:sz="4" w:space="0" w:color="000000"/>
            </w:tcBorders>
            <w:shd w:val="clear" w:color="auto" w:fill="DCDCDC"/>
          </w:tcPr>
          <w:p>
            <w:pPr/>
          </w:p>
        </w:tc>
        <w:tc>
          <w:tcPr>
            <w:tcW w:w="110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5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6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10" w:space="0" w:color="DCDCDC"/>
              <w:right w:val="single" w:sz="10" w:space="0" w:color="DCDCDC"/>
            </w:tcBorders>
          </w:tcPr>
          <w:p>
            <w:pPr>
              <w:pStyle w:val="TableParagraph"/>
              <w:spacing w:line="240" w:lineRule="auto" w:before="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7"/>
                <w:sz w:val="18"/>
                <w:szCs w:val="18"/>
                <w:shd w:fill="DCDCDC" w:color="auto" w:val="clear"/>
              </w:rPr>
              <w:t> </w:t>
            </w:r>
            <w:r>
              <w:rPr>
                <w:rFonts w:ascii="宋体" w:hAnsi="宋体" w:cs="宋体" w:eastAsia="宋体" w:hint="default"/>
                <w:sz w:val="18"/>
                <w:szCs w:val="18"/>
                <w:shd w:fill="DCDCDC" w:color="auto" w:val="clear"/>
              </w:rPr>
              <w:t>未分配利润</w:t>
            </w:r>
            <w:r>
              <w:rPr>
                <w:rFonts w:ascii="宋体" w:hAnsi="宋体" w:cs="宋体" w:eastAsia="宋体" w:hint="default"/>
                <w:sz w:val="18"/>
                <w:szCs w:val="18"/>
              </w:rPr>
            </w:r>
          </w:p>
        </w:tc>
        <w:tc>
          <w:tcPr>
            <w:tcW w:w="1080" w:type="dxa"/>
            <w:vMerge/>
            <w:tcBorders>
              <w:left w:val="single" w:sz="4" w:space="0" w:color="000000"/>
              <w:right w:val="single" w:sz="4" w:space="0" w:color="000000"/>
            </w:tcBorders>
            <w:shd w:val="clear" w:color="auto" w:fill="DCDCDC"/>
          </w:tcPr>
          <w:p>
            <w:pPr/>
          </w:p>
        </w:tc>
      </w:tr>
      <w:tr>
        <w:trPr>
          <w:trHeight w:val="166" w:hRule="exact"/>
        </w:trPr>
        <w:tc>
          <w:tcPr>
            <w:tcW w:w="2188" w:type="dxa"/>
            <w:vMerge w:val="restart"/>
            <w:tcBorders>
              <w:top w:val="nil" w:sz="6" w:space="0" w:color="auto"/>
              <w:left w:val="single" w:sz="4" w:space="0" w:color="000000"/>
              <w:right w:val="single" w:sz="4" w:space="0" w:color="000000"/>
            </w:tcBorders>
            <w:shd w:val="clear" w:color="auto" w:fill="DCDCDC"/>
          </w:tcPr>
          <w:p>
            <w:pPr/>
          </w:p>
        </w:tc>
        <w:tc>
          <w:tcPr>
            <w:tcW w:w="104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470" w:type="dxa"/>
            <w:vMerge/>
            <w:tcBorders>
              <w:left w:val="single" w:sz="4" w:space="0" w:color="000000"/>
              <w:right w:val="single" w:sz="4" w:space="0" w:color="000000"/>
            </w:tcBorders>
            <w:shd w:val="clear" w:color="auto" w:fill="DCDCDC"/>
          </w:tcPr>
          <w:p>
            <w:pPr/>
          </w:p>
        </w:tc>
        <w:tc>
          <w:tcPr>
            <w:tcW w:w="97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109"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c>
          <w:tcPr>
            <w:tcW w:w="1051" w:type="dxa"/>
            <w:vMerge/>
            <w:tcBorders>
              <w:left w:val="single" w:sz="4" w:space="0" w:color="000000"/>
              <w:bottom w:val="nil" w:sz="6" w:space="0" w:color="auto"/>
              <w:right w:val="single" w:sz="4" w:space="0" w:color="000000"/>
            </w:tcBorders>
            <w:shd w:val="clear" w:color="auto" w:fill="DCDCDC"/>
          </w:tcPr>
          <w:p>
            <w:pPr/>
          </w:p>
        </w:tc>
        <w:tc>
          <w:tcPr>
            <w:tcW w:w="569"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080" w:type="dxa"/>
            <w:vMerge/>
            <w:tcBorders>
              <w:left w:val="single" w:sz="10" w:space="0" w:color="DCDCDC"/>
              <w:bottom w:val="nil" w:sz="6" w:space="0" w:color="auto"/>
              <w:right w:val="single" w:sz="10" w:space="0" w:color="DCDCDC"/>
            </w:tcBorders>
          </w:tcPr>
          <w:p>
            <w:pPr/>
          </w:p>
        </w:tc>
        <w:tc>
          <w:tcPr>
            <w:tcW w:w="1080" w:type="dxa"/>
            <w:vMerge/>
            <w:tcBorders>
              <w:left w:val="single" w:sz="4" w:space="0" w:color="000000"/>
              <w:right w:val="single" w:sz="4" w:space="0" w:color="000000"/>
            </w:tcBorders>
            <w:shd w:val="clear" w:color="auto" w:fill="DCDCDC"/>
          </w:tcPr>
          <w:p>
            <w:pPr/>
          </w:p>
        </w:tc>
      </w:tr>
      <w:tr>
        <w:trPr>
          <w:trHeight w:val="156" w:hRule="exact"/>
        </w:trPr>
        <w:tc>
          <w:tcPr>
            <w:tcW w:w="2188" w:type="dxa"/>
            <w:vMerge/>
            <w:tcBorders>
              <w:left w:val="single" w:sz="4" w:space="0" w:color="000000"/>
              <w:right w:val="single" w:sz="4" w:space="0" w:color="000000"/>
            </w:tcBorders>
            <w:shd w:val="clear" w:color="auto" w:fill="DCDCDC"/>
          </w:tcPr>
          <w:p>
            <w:pPr/>
          </w:p>
        </w:tc>
        <w:tc>
          <w:tcPr>
            <w:tcW w:w="104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470" w:type="dxa"/>
            <w:vMerge/>
            <w:tcBorders>
              <w:left w:val="single" w:sz="4" w:space="0" w:color="000000"/>
              <w:bottom w:val="nil" w:sz="6" w:space="0" w:color="auto"/>
              <w:right w:val="single" w:sz="4" w:space="0" w:color="000000"/>
            </w:tcBorders>
            <w:shd w:val="clear" w:color="auto" w:fill="DCDCDC"/>
          </w:tcPr>
          <w:p>
            <w:pPr/>
          </w:p>
        </w:tc>
        <w:tc>
          <w:tcPr>
            <w:tcW w:w="97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109" w:type="dxa"/>
            <w:vMerge w:val="restart"/>
            <w:tcBorders>
              <w:top w:val="nil" w:sz="6" w:space="0" w:color="auto"/>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51" w:type="dxa"/>
            <w:vMerge w:val="restart"/>
            <w:tcBorders>
              <w:top w:val="nil" w:sz="6" w:space="0" w:color="auto"/>
              <w:left w:val="single" w:sz="4" w:space="0" w:color="000000"/>
              <w:right w:val="single" w:sz="4" w:space="0" w:color="000000"/>
            </w:tcBorders>
            <w:shd w:val="clear" w:color="auto" w:fill="DCDCDC"/>
          </w:tcPr>
          <w:p>
            <w:pPr/>
          </w:p>
        </w:tc>
        <w:tc>
          <w:tcPr>
            <w:tcW w:w="569"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36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r>
      <w:tr>
        <w:trPr>
          <w:trHeight w:val="629" w:hRule="exact"/>
        </w:trPr>
        <w:tc>
          <w:tcPr>
            <w:tcW w:w="2188" w:type="dxa"/>
            <w:vMerge/>
            <w:tcBorders>
              <w:left w:val="single" w:sz="4" w:space="0" w:color="000000"/>
              <w:bottom w:val="single" w:sz="4" w:space="0" w:color="000000"/>
              <w:right w:val="single" w:sz="4" w:space="0" w:color="000000"/>
            </w:tcBorders>
            <w:shd w:val="clear" w:color="auto" w:fill="DCDCDC"/>
          </w:tcPr>
          <w:p>
            <w:pPr/>
          </w:p>
        </w:tc>
        <w:tc>
          <w:tcPr>
            <w:tcW w:w="1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470" w:type="dxa"/>
            <w:tcBorders>
              <w:top w:val="nil" w:sz="6" w:space="0" w:color="auto"/>
              <w:left w:val="single" w:sz="4" w:space="0" w:color="000000"/>
              <w:bottom w:val="single" w:sz="4" w:space="0" w:color="000000"/>
              <w:right w:val="single" w:sz="4" w:space="0" w:color="000000"/>
            </w:tcBorders>
            <w:shd w:val="clear" w:color="auto" w:fill="DCDCDC"/>
          </w:tcPr>
          <w:p>
            <w:pPr/>
          </w:p>
        </w:tc>
        <w:tc>
          <w:tcPr>
            <w:tcW w:w="97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1109"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1" w:type="dxa"/>
            <w:vMerge/>
            <w:tcBorders>
              <w:left w:val="single" w:sz="4" w:space="0" w:color="000000"/>
              <w:bottom w:val="single" w:sz="4" w:space="0" w:color="000000"/>
              <w:right w:val="single" w:sz="4" w:space="0" w:color="000000"/>
            </w:tcBorders>
            <w:shd w:val="clear" w:color="auto" w:fill="DCDCDC"/>
          </w:tcPr>
          <w:p>
            <w:pPr/>
          </w:p>
        </w:tc>
        <w:tc>
          <w:tcPr>
            <w:tcW w:w="569"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36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04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5"/>
                <w:szCs w:val="15"/>
              </w:rPr>
            </w:pPr>
            <w:r>
              <w:rPr>
                <w:rFonts w:ascii="Times New Roman"/>
                <w:sz w:val="15"/>
              </w:rPr>
              <w:t>107,265,600.00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81,461,481.36</w:t>
            </w: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86,723,841.38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305,558,432.21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107,265,600.00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81,461,481.36</w:t>
            </w: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84,247,469.95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303,082,060.78</w:t>
            </w:r>
          </w:p>
        </w:tc>
      </w:tr>
      <w:tr>
        <w:trPr>
          <w:trHeight w:val="32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40"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5"/>
                <w:szCs w:val="15"/>
              </w:rPr>
            </w:pPr>
            <w:r>
              <w:rPr>
                <w:rFonts w:ascii="Times New Roman"/>
                <w:sz w:val="15"/>
              </w:rPr>
              <w:t>107,265,600.00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81,461,481.36</w:t>
            </w: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86,723,841.38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305,558,432.21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107,265,600.00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81,461,481.36</w:t>
            </w: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84,247,469.95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303,082,060.78</w:t>
            </w:r>
          </w:p>
        </w:tc>
      </w:tr>
      <w:tr>
        <w:trPr>
          <w:trHeight w:val="63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1" w:right="8"/>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244,410.39</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54,381.53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298,791.92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2,476,371.43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2,476,371.43</w:t>
            </w:r>
          </w:p>
        </w:tc>
      </w:tr>
      <w:tr>
        <w:trPr>
          <w:trHeight w:val="322"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2,444,103.92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2,444,103.92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2,476,371.43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2,476,371.43</w:t>
            </w:r>
          </w:p>
        </w:tc>
      </w:tr>
      <w:tr>
        <w:trPr>
          <w:trHeight w:val="32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2,444,103.92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2,444,103.92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2,476,371.43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2,476,371.43</w:t>
            </w:r>
          </w:p>
        </w:tc>
      </w:tr>
      <w:tr>
        <w:trPr>
          <w:trHeight w:val="63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1" w:right="8"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8"/>
              <w:ind w:left="11" w:right="90"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40" w:type="dxa"/>
            <w:tcBorders>
              <w:top w:val="single" w:sz="4" w:space="0" w:color="000000"/>
              <w:left w:val="single" w:sz="12" w:space="0" w:color="DCDCDC"/>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244,410.39</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-2,389,722.39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-2,145,312.00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79" w:top="1120" w:bottom="1160" w:left="460" w:right="46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210"/>
        <w:gridCol w:w="1030"/>
        <w:gridCol w:w="1080"/>
        <w:gridCol w:w="540"/>
        <w:gridCol w:w="470"/>
        <w:gridCol w:w="970"/>
        <w:gridCol w:w="360"/>
        <w:gridCol w:w="1109"/>
        <w:gridCol w:w="1080"/>
        <w:gridCol w:w="1080"/>
        <w:gridCol w:w="1051"/>
        <w:gridCol w:w="569"/>
        <w:gridCol w:w="540"/>
        <w:gridCol w:w="1080"/>
        <w:gridCol w:w="360"/>
        <w:gridCol w:w="1080"/>
        <w:gridCol w:w="1079"/>
      </w:tblGrid>
      <w:tr>
        <w:trPr>
          <w:trHeight w:val="32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244,410.39</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-244,410.39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6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8"/>
              <w:ind w:left="23"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-2,145,312.00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-2,145,312.00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6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6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6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5" w:space="0" w:color="000000"/>
            </w:tcBorders>
          </w:tcPr>
          <w:p>
            <w:pPr/>
          </w:p>
        </w:tc>
      </w:tr>
      <w:tr>
        <w:trPr>
          <w:trHeight w:val="32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5"/>
                <w:szCs w:val="15"/>
              </w:rPr>
            </w:pPr>
            <w:r>
              <w:rPr>
                <w:rFonts w:ascii="Times New Roman"/>
                <w:sz w:val="15"/>
              </w:rPr>
              <w:t>107,265,600.00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84" w:right="0"/>
              <w:jc w:val="left"/>
              <w:rPr>
                <w:rFonts w:ascii="Times New Roman" w:hAnsi="Times New Roman" w:cs="Times New Roman" w:eastAsia="Times New Roman" w:hint="default"/>
                <w:sz w:val="15"/>
                <w:szCs w:val="15"/>
              </w:rPr>
            </w:pPr>
            <w:r>
              <w:rPr>
                <w:rFonts w:ascii="Times New Roman"/>
                <w:sz w:val="15"/>
              </w:rPr>
              <w:t>81,461,481.36</w:t>
            </w:r>
          </w:p>
        </w:tc>
        <w:tc>
          <w:tcPr>
            <w:tcW w:w="54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30,351,919.86</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86,778,222.91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305,857,224.13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7" w:right="0"/>
              <w:jc w:val="left"/>
              <w:rPr>
                <w:rFonts w:ascii="Times New Roman" w:hAnsi="Times New Roman" w:cs="Times New Roman" w:eastAsia="Times New Roman" w:hint="default"/>
                <w:sz w:val="15"/>
                <w:szCs w:val="15"/>
              </w:rPr>
            </w:pPr>
            <w:r>
              <w:rPr>
                <w:rFonts w:ascii="Times New Roman"/>
                <w:sz w:val="15"/>
              </w:rPr>
              <w:t>107,265,600.00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6" w:right="0"/>
              <w:jc w:val="left"/>
              <w:rPr>
                <w:rFonts w:ascii="Times New Roman" w:hAnsi="Times New Roman" w:cs="Times New Roman" w:eastAsia="Times New Roman" w:hint="default"/>
                <w:sz w:val="15"/>
                <w:szCs w:val="15"/>
              </w:rPr>
            </w:pPr>
            <w:r>
              <w:rPr>
                <w:rFonts w:ascii="Times New Roman"/>
                <w:sz w:val="15"/>
              </w:rPr>
              <w:t>81,461,481.36</w:t>
            </w:r>
          </w:p>
        </w:tc>
        <w:tc>
          <w:tcPr>
            <w:tcW w:w="56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84" w:right="0"/>
              <w:jc w:val="left"/>
              <w:rPr>
                <w:rFonts w:ascii="Times New Roman" w:hAnsi="Times New Roman" w:cs="Times New Roman" w:eastAsia="Times New Roman" w:hint="default"/>
                <w:sz w:val="15"/>
                <w:szCs w:val="15"/>
              </w:rPr>
            </w:pPr>
            <w:r>
              <w:rPr>
                <w:rFonts w:ascii="Times New Roman"/>
                <w:sz w:val="15"/>
              </w:rPr>
              <w:t>30,107,509.47</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84" w:right="0"/>
              <w:jc w:val="left"/>
              <w:rPr>
                <w:rFonts w:ascii="Times New Roman" w:hAnsi="Times New Roman" w:cs="Times New Roman" w:eastAsia="Times New Roman" w:hint="default"/>
                <w:sz w:val="15"/>
                <w:szCs w:val="15"/>
              </w:rPr>
            </w:pPr>
            <w:r>
              <w:rPr>
                <w:rFonts w:ascii="Times New Roman"/>
                <w:sz w:val="15"/>
              </w:rPr>
              <w:t>86,723,841.38</w:t>
            </w:r>
          </w:p>
        </w:tc>
        <w:tc>
          <w:tcPr>
            <w:tcW w:w="107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8"/>
              <w:ind w:left="107" w:right="0"/>
              <w:jc w:val="left"/>
              <w:rPr>
                <w:rFonts w:ascii="Times New Roman" w:hAnsi="Times New Roman" w:cs="Times New Roman" w:eastAsia="Times New Roman" w:hint="default"/>
                <w:sz w:val="15"/>
                <w:szCs w:val="15"/>
              </w:rPr>
            </w:pPr>
            <w:r>
              <w:rPr>
                <w:rFonts w:ascii="Times New Roman"/>
                <w:sz w:val="15"/>
              </w:rPr>
              <w:t>305,558,432.21</w:t>
            </w:r>
          </w:p>
        </w:tc>
      </w:tr>
    </w:tbl>
    <w:p>
      <w:pPr>
        <w:spacing w:line="240" w:lineRule="auto" w:before="2"/>
        <w:rPr>
          <w:rFonts w:ascii="宋体" w:hAnsi="宋体" w:cs="宋体" w:eastAsia="宋体" w:hint="default"/>
          <w:sz w:val="20"/>
          <w:szCs w:val="20"/>
        </w:rPr>
      </w:pPr>
    </w:p>
    <w:p>
      <w:pPr>
        <w:pStyle w:val="BodyText"/>
        <w:tabs>
          <w:tab w:pos="3720" w:val="left" w:leader="none"/>
          <w:tab w:pos="5193" w:val="left" w:leader="none"/>
          <w:tab w:pos="10041" w:val="left" w:leader="none"/>
          <w:tab w:pos="11095" w:val="left" w:leader="none"/>
          <w:tab w:pos="15101" w:val="left" w:leader="none"/>
        </w:tabs>
        <w:spacing w:line="240" w:lineRule="auto" w:before="36"/>
        <w:ind w:left="134" w:right="0"/>
        <w:jc w:val="left"/>
        <w:rPr>
          <w:rFonts w:ascii="Times New Roman" w:hAnsi="Times New Roman" w:cs="Times New Roman" w:eastAsia="Times New Roman" w:hint="default"/>
        </w:rPr>
      </w:pPr>
      <w:r>
        <w:rPr/>
        <w:pict>
          <v:shape style="position:absolute;margin-left:226.395554pt;margin-top:-100.905106pt;width:392.95pt;height:64.3pt;mso-position-horizontal-relative:page;mso-position-vertical-relative:paragraph;z-index:-552784;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宋体" w:hAnsi="宋体" w:cs="宋体" w:eastAsia="宋体" w:hint="default"/>
          <w:spacing w:val="-1"/>
        </w:rPr>
        <w:t>主管会计工作的公司负责人：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rFonts w:ascii="宋体" w:hAnsi="宋体" w:cs="宋体" w:eastAsia="宋体" w:hint="default"/>
          <w:spacing w:val="-1"/>
        </w:rPr>
        <w:t>会计机构负责人：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pgSz w:w="16840" w:h="11910" w:orient="landscape"/>
          <w:pgMar w:header="879" w:footer="979" w:top="1120" w:bottom="1160" w:left="460" w:right="460"/>
        </w:sectPr>
      </w:pPr>
    </w:p>
    <w:p>
      <w:pPr>
        <w:pStyle w:val="BodyText"/>
        <w:tabs>
          <w:tab w:pos="7925" w:val="left" w:leader="none"/>
        </w:tabs>
        <w:spacing w:line="240" w:lineRule="auto" w:before="12"/>
        <w:ind w:left="154" w:right="0"/>
        <w:jc w:val="left"/>
      </w:pPr>
      <w:r>
        <w:rPr/>
        <w:pict>
          <v:shape style="position:absolute;margin-left:103.08847pt;margin-top:395.916565pt;width:392.95pt;height:64.3pt;mso-position-horizontal-relative:page;mso-position-vertical-relative:page;z-index:4480;rotation:315" type="#_x0000_t136" fillcolor="#e0e0e0" stroked="f">
            <o:extrusion v:ext="view" autorotationcenter="t"/>
            <v:textpath style="font-family:&amp;quot;Arial&amp;quot;;font-size:64pt;v-text-kern:t;mso-text-shadow:auto" string="UnRegistered"/>
            <w10:wrap type="none"/>
          </v:shape>
        </w:pict>
      </w:r>
      <w:r>
        <w:rPr>
          <w:spacing w:val="-2"/>
        </w:rPr>
        <w:t>黑龙江天伦置业股份有限公司</w:t>
        <w:tab/>
      </w:r>
      <w:r>
        <w:rPr>
          <w:spacing w:val="-1"/>
        </w:rPr>
        <w:t>2011</w:t>
      </w:r>
      <w:r>
        <w:rPr>
          <w:spacing w:val="-54"/>
        </w:rPr>
        <w:t> </w:t>
      </w:r>
      <w:r>
        <w:rPr>
          <w:spacing w:val="-2"/>
        </w:rPr>
        <w:t>年年度报告</w:t>
      </w:r>
    </w:p>
    <w:p>
      <w:pPr>
        <w:spacing w:line="240" w:lineRule="auto" w:before="10"/>
        <w:rPr>
          <w:rFonts w:ascii="宋体" w:hAnsi="宋体" w:cs="宋体" w:eastAsia="宋体" w:hint="default"/>
          <w:sz w:val="3"/>
          <w:szCs w:val="3"/>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67.55pt;height:.75pt;mso-position-horizontal-relative:char;mso-position-vertical-relative:line" coordorigin="0,0" coordsize="9351,15">
            <v:group style="position:absolute;left:7;top:7;width:9336;height:2" coordorigin="7,7" coordsize="9336,2">
              <v:shape style="position:absolute;left:7;top:7;width:9336;height:2" coordorigin="7,7" coordsize="9336,0" path="m7,7l934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974" w:firstLine="0"/>
        <w:jc w:val="center"/>
        <w:rPr>
          <w:rFonts w:ascii="Times New Roman" w:hAnsi="Times New Roman" w:cs="Times New Roman" w:eastAsia="Times New Roman" w:hint="default"/>
          <w:sz w:val="18"/>
          <w:szCs w:val="18"/>
        </w:rPr>
      </w:pPr>
      <w:r>
        <w:rPr>
          <w:rFonts w:ascii="Times New Roman"/>
          <w:sz w:val="18"/>
        </w:rPr>
        <w:t>110</w:t>
      </w:r>
    </w:p>
    <w:sectPr>
      <w:headerReference w:type="default" r:id="rId37"/>
      <w:footerReference w:type="default" r:id="rId38"/>
      <w:pgSz w:w="11910" w:h="16840"/>
      <w:pgMar w:header="0" w:footer="0" w:top="660" w:bottom="2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5.018250pt;margin-top:789.016235pt;width:11.1pt;height:11pt;mso-position-horizontal-relative:page;mso-position-vertical-relative:page;z-index:-556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93</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38263pt;margin-top:781.816223pt;width:13.1pt;height:11pt;mso-position-horizontal-relative:page;mso-position-vertical-relative:page;z-index:-55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38263pt;margin-top:781.816223pt;width:13.1pt;height:11pt;mso-position-horizontal-relative:page;mso-position-vertical-relative:page;z-index:-555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38263pt;margin-top:781.816223pt;width:13.1pt;height:11pt;mso-position-horizontal-relative:page;mso-position-vertical-relative:page;z-index:-555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38263pt;margin-top:781.816223pt;width:13.1pt;height:11pt;mso-position-horizontal-relative:page;mso-position-vertical-relative:page;z-index:-555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38263pt;margin-top:781.816223pt;width:13.1pt;height:11pt;mso-position-horizontal-relative:page;mso-position-vertical-relative:page;z-index:-555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578247pt;margin-top:535.216187pt;width:13.1pt;height:11pt;mso-position-horizontal-relative:page;mso-position-vertical-relative:page;z-index:-555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555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58246pt;margin-top:789.016235pt;width:20.65pt;height:17.6pt;mso-position-horizontal-relative:page;mso-position-vertical-relative:page;z-index:-555472" type="#_x0000_t202" filled="false" stroked="false">
          <v:textbox inset="0,0,0,0">
            <w:txbxContent>
              <w:p>
                <w:pPr>
                  <w:spacing w:line="204" w:lineRule="exact" w:before="0"/>
                  <w:ind w:left="10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58246pt;margin-top:795.616211pt;width:17.650pt;height:11pt;mso-position-horizontal-relative:page;mso-position-vertical-relative:page;z-index:-555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98267pt;margin-top:535.336182pt;width:17.650pt;height:11pt;mso-position-horizontal-relative:page;mso-position-vertical-relative:page;z-index:-555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98248pt;margin-top:789.016235pt;width:8.5pt;height:11pt;mso-position-horizontal-relative:page;mso-position-vertical-relative:page;z-index:-556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98248pt;margin-top:789.016235pt;width:8.5pt;height:11pt;mso-position-horizontal-relative:page;mso-position-vertical-relative:page;z-index:-556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55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556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556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555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89.016235pt;width:13.1pt;height:11pt;mso-position-horizontal-relative:page;mso-position-vertical-relative:page;z-index:-555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298248pt;margin-top:542.296204pt;width:13.1pt;height:11pt;mso-position-horizontal-relative:page;mso-position-vertical-relative:page;z-index:-555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938263pt;margin-top:57.278282pt;width:428.05pt;height:.1pt;mso-position-horizontal-relative:page;mso-position-vertical-relative:page;z-index:-556168" coordorigin="1759,1146" coordsize="8561,2">
          <v:shape style="position:absolute;left:1759;top:1146;width:8561;height:2" coordorigin="1759,1146" coordsize="8561,0" path="m1759,1146l10320,1146e" filled="false" stroked="true" strokeweight=".6pt" strokecolor="#000000">
            <v:path arrowok="t"/>
          </v:shape>
          <w10:wrap type="none"/>
        </v:group>
      </w:pict>
    </w:r>
    <w:r>
      <w:rPr/>
      <w:pict>
        <v:shape style="position:absolute;margin-left:86.938263pt;margin-top:45.46328pt;width:138.7pt;height:12.6pt;mso-position-horizontal-relative:page;mso-position-vertical-relative:page;z-index:-556144"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438.778259pt;margin-top:45.46328pt;width:78.25pt;height:12.6pt;mso-position-horizontal-relative:page;mso-position-vertical-relative:page;z-index:-556120" type="#_x0000_t202" filled="false" stroked="false">
          <v:textbox inset="0,0,0,0">
            <w:txbxContent>
              <w:p>
                <w:pPr>
                  <w:pStyle w:val="BodyText"/>
                  <w:spacing w:line="231" w:lineRule="exact"/>
                  <w:ind w:left="20" w:right="0"/>
                  <w:jc w:val="left"/>
                </w:pPr>
                <w:r>
                  <w:rPr/>
                  <w:t>2011</w:t>
                </w:r>
                <w:r>
                  <w:rPr>
                    <w:spacing w:val="-54"/>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818260pt;margin-top:45.463253pt;width:138.7pt;height:12.6pt;mso-position-horizontal-relative:page;mso-position-vertical-relative:page;z-index:-555928"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689.108337pt;margin-top:45.463253pt;width:78.2pt;height:12.6pt;mso-position-horizontal-relative:page;mso-position-vertical-relative:page;z-index:-555904" type="#_x0000_t202" filled="false" stroked="false">
          <v:textbox inset="0,0,0,0">
            <w:txbxContent>
              <w:p>
                <w:pPr>
                  <w:pStyle w:val="BodyText"/>
                  <w:spacing w:line="231" w:lineRule="exact"/>
                  <w:ind w:left="20" w:right="0"/>
                  <w:jc w:val="left"/>
                </w:pPr>
                <w:r>
                  <w:rPr/>
                  <w:t>2011</w:t>
                </w:r>
                <w:r>
                  <w:rPr>
                    <w:spacing w:val="-54"/>
                  </w:rPr>
                  <w:t>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738258pt;margin-top:59.01828pt;width:428.05pt;height:.1pt;mso-position-horizontal-relative:page;mso-position-vertical-relative:page;z-index:-555856" coordorigin="1675,1180" coordsize="8561,2">
          <v:shape style="position:absolute;left:1675;top:1180;width:8561;height:2" coordorigin="1675,1180" coordsize="8561,0" path="m1675,1180l10236,1180e" filled="false" stroked="true" strokeweight=".72pt" strokecolor="#000000">
            <v:path arrowok="t"/>
          </v:shape>
          <w10:wrap type="none"/>
        </v:group>
      </w:pict>
    </w:r>
    <w:r>
      <w:rPr/>
      <w:pict>
        <v:shape style="position:absolute;margin-left:84.178261pt;margin-top:45.46328pt;width:138.7pt;height:12.6pt;mso-position-horizontal-relative:page;mso-position-vertical-relative:page;z-index:-555832"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425.584991pt;margin-top:45.46328pt;width:78.1pt;height:12.6pt;mso-position-horizontal-relative:page;mso-position-vertical-relative:page;z-index:-555808" type="#_x0000_t202" filled="false" stroked="false">
          <v:textbox inset="0,0,0,0">
            <w:txbxContent>
              <w:p>
                <w:pPr>
                  <w:pStyle w:val="BodyText"/>
                  <w:spacing w:line="231" w:lineRule="exact"/>
                  <w:ind w:left="20" w:right="0"/>
                  <w:jc w:val="left"/>
                </w:pPr>
                <w:r>
                  <w:rPr/>
                  <w:t>2011</w:t>
                </w:r>
                <w:r>
                  <w:rPr>
                    <w:spacing w:val="-57"/>
                  </w:rPr>
                  <w:t> </w:t>
                </w:r>
                <w:r>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658257pt;margin-top:59.018253pt;width:693.4pt;height:.1pt;mso-position-horizontal-relative:page;mso-position-vertical-relative:page;z-index:-555664" coordorigin="1413,1180" coordsize="13868,2">
          <v:shape style="position:absolute;left:1413;top:1180;width:13868;height:2" coordorigin="1413,1180" coordsize="13868,0" path="m1413,1180l15280,1180e" filled="false" stroked="true" strokeweight=".72pt" strokecolor="#000000">
            <v:path arrowok="t"/>
          </v:shape>
          <w10:wrap type="none"/>
        </v:group>
      </w:pict>
    </w:r>
    <w:r>
      <w:rPr/>
      <w:pict>
        <v:shape style="position:absolute;margin-left:71.098259pt;margin-top:45.463253pt;width:138.7pt;height:12.6pt;mso-position-horizontal-relative:page;mso-position-vertical-relative:page;z-index:-555640"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412.505005pt;margin-top:45.463253pt;width:78.1pt;height:12.6pt;mso-position-horizontal-relative:page;mso-position-vertical-relative:page;z-index:-555616" type="#_x0000_t202" filled="false" stroked="false">
          <v:textbox inset="0,0,0,0">
            <w:txbxContent>
              <w:p>
                <w:pPr>
                  <w:pStyle w:val="BodyText"/>
                  <w:spacing w:line="231" w:lineRule="exact"/>
                  <w:ind w:left="20" w:right="0"/>
                  <w:jc w:val="left"/>
                </w:pPr>
                <w:r>
                  <w:rPr/>
                  <w:t>2011</w:t>
                </w:r>
                <w:r>
                  <w:rPr>
                    <w:spacing w:val="-57"/>
                  </w:rPr>
                  <w:t> </w:t>
                </w:r>
                <w:r>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738258pt;margin-top:57.69828pt;width:433.7pt;height:.1pt;mso-position-horizontal-relative:page;mso-position-vertical-relative:page;z-index:-555568" coordorigin="1675,1154" coordsize="8674,2">
          <v:shape style="position:absolute;left:1675;top:1154;width:8674;height:2" coordorigin="1675,1154" coordsize="8674,0" path="m1675,1154l10348,1154e" filled="false" stroked="true" strokeweight=".72pt" strokecolor="#000000">
            <v:path arrowok="t"/>
          </v:shape>
          <w10:wrap type="none"/>
        </v:group>
      </w:pict>
    </w:r>
    <w:r>
      <w:rPr/>
      <w:pict>
        <v:shape style="position:absolute;margin-left:88.13826pt;margin-top:43.30328pt;width:138.7pt;height:12.6pt;mso-position-horizontal-relative:page;mso-position-vertical-relative:page;z-index:-555544"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434.824982pt;margin-top:43.30328pt;width:78.1pt;height:12.6pt;mso-position-horizontal-relative:page;mso-position-vertical-relative:page;z-index:-555520" type="#_x0000_t202" filled="false" stroked="false">
          <v:textbox inset="0,0,0,0">
            <w:txbxContent>
              <w:p>
                <w:pPr>
                  <w:pStyle w:val="BodyText"/>
                  <w:spacing w:line="231" w:lineRule="exact"/>
                  <w:ind w:left="20" w:right="0"/>
                  <w:jc w:val="left"/>
                </w:pPr>
                <w:r>
                  <w:rPr/>
                  <w:t>2011</w:t>
                </w:r>
                <w:r>
                  <w:rPr>
                    <w:spacing w:val="-57"/>
                  </w:rPr>
                  <w:t> </w:t>
                </w:r>
                <w:r>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9826pt;margin-top:49.17828pt;width:484.8pt;height:.1pt;mso-position-horizontal-relative:page;mso-position-vertical-relative:page;z-index:-555448" coordorigin="1106,984" coordsize="9696,2">
          <v:shape style="position:absolute;left:1106;top:984;width:9696;height:2" coordorigin="1106,984" coordsize="9696,0" path="m1106,984l10802,984e" filled="false" stroked="true" strokeweight=".72pt" strokecolor="#000000">
            <v:path arrowok="t"/>
          </v:shape>
          <w10:wrap type="none"/>
        </v:group>
      </w:pict>
    </w:r>
    <w:r>
      <w:rPr/>
      <w:pict>
        <v:shape style="position:absolute;margin-left:59.338261pt;margin-top:36.363907pt;width:119pt;height:11pt;mso-position-horizontal-relative:page;mso-position-vertical-relative:page;z-index:-555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69.138275pt;margin-top:36.363907pt;width:66.95pt;height:11.5pt;mso-position-horizontal-relative:page;mso-position-vertical-relative:page;z-index:-555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9826pt;margin-top:55.658253pt;width:731.4pt;height:.1pt;mso-position-horizontal-relative:page;mso-position-vertical-relative:page;z-index:-555352" coordorigin="1106,1113" coordsize="14628,2">
          <v:shape style="position:absolute;left:1106;top:1113;width:14628;height:2" coordorigin="1106,1113" coordsize="14628,0" path="m1106,1113l15734,1113e" filled="false" stroked="true" strokeweight=".72pt" strokecolor="#000000">
            <v:path arrowok="t"/>
          </v:shape>
          <w10:wrap type="none"/>
        </v:group>
      </w:pict>
    </w:r>
    <w:r>
      <w:rPr/>
      <w:pict>
        <v:shape style="position:absolute;margin-left:182.578262pt;margin-top:42.963879pt;width:119pt;height:11pt;mso-position-horizontal-relative:page;mso-position-vertical-relative:page;z-index:-555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592.378235pt;margin-top:42.963879pt;width:66.95pt;height:11.5pt;mso-position-horizontal-relative:page;mso-position-vertical-relative:page;z-index:-555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3"/>
    </w:pPr>
    <w:rPr>
      <w:rFonts w:ascii="宋体" w:hAnsi="宋体" w:eastAsia="宋体"/>
      <w:sz w:val="21"/>
      <w:szCs w:val="21"/>
    </w:rPr>
  </w:style>
  <w:style w:styleId="Heading1" w:type="paragraph">
    <w:name w:val="Heading 1"/>
    <w:basedOn w:val="Normal"/>
    <w:uiPriority w:val="1"/>
    <w:qFormat/>
    <w:pPr>
      <w:ind w:left="84"/>
      <w:outlineLvl w:val="1"/>
    </w:pPr>
    <w:rPr>
      <w:rFonts w:ascii="宋体" w:hAnsi="宋体" w:eastAsia="宋体"/>
      <w:sz w:val="32"/>
      <w:szCs w:val="32"/>
    </w:rPr>
  </w:style>
  <w:style w:styleId="Heading2" w:type="paragraph">
    <w:name w:val="Heading 2"/>
    <w:basedOn w:val="Normal"/>
    <w:uiPriority w:val="1"/>
    <w:qFormat/>
    <w:pPr>
      <w:spacing w:before="14"/>
      <w:ind w:left="103"/>
      <w:outlineLvl w:val="2"/>
    </w:pPr>
    <w:rPr>
      <w:rFonts w:ascii="宋体" w:hAnsi="宋体" w:eastAsia="宋体"/>
      <w:sz w:val="28"/>
      <w:szCs w:val="28"/>
    </w:rPr>
  </w:style>
  <w:style w:styleId="Heading3" w:type="paragraph">
    <w:name w:val="Heading 3"/>
    <w:basedOn w:val="Normal"/>
    <w:uiPriority w:val="1"/>
    <w:qFormat/>
    <w:pPr>
      <w:ind w:left="223"/>
      <w:outlineLvl w:val="3"/>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mailto:zrt0001@sina.com" TargetMode="External"/><Relationship Id="rId10" Type="http://schemas.openxmlformats.org/officeDocument/2006/relationships/hyperlink" Target="mailto:Jessie88520@hotmail.com" TargetMode="External"/><Relationship Id="rId11" Type="http://schemas.openxmlformats.org/officeDocument/2006/relationships/hyperlink" Target="http://www.tlzy.com.cn/" TargetMode="External"/><Relationship Id="rId12" Type="http://schemas.openxmlformats.org/officeDocument/2006/relationships/hyperlink" Target="mailto:hljtlzy@126.com" TargetMode="External"/><Relationship Id="rId13" Type="http://schemas.openxmlformats.org/officeDocument/2006/relationships/hyperlink" Target="http://www.cninfo.com.cn/" TargetMode="Externa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4.xml"/><Relationship Id="rId29" Type="http://schemas.openxmlformats.org/officeDocument/2006/relationships/footer" Target="footer15.xml"/><Relationship Id="rId30" Type="http://schemas.openxmlformats.org/officeDocument/2006/relationships/header" Target="header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header" Target="header6.xml"/><Relationship Id="rId34" Type="http://schemas.openxmlformats.org/officeDocument/2006/relationships/footer" Target="footer18.xml"/><Relationship Id="rId35" Type="http://schemas.openxmlformats.org/officeDocument/2006/relationships/header" Target="header7.xml"/><Relationship Id="rId36" Type="http://schemas.openxmlformats.org/officeDocument/2006/relationships/footer" Target="footer19.xml"/><Relationship Id="rId37" Type="http://schemas.openxmlformats.org/officeDocument/2006/relationships/header" Target="header8.xml"/><Relationship Id="rId38"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carolyn104</dc:creator>
  <dc:title>Microsoft Word - 2011年年报正文（定稿）.doc</dc:title>
  <dcterms:created xsi:type="dcterms:W3CDTF">2020-05-03T12:04:38Z</dcterms:created>
  <dcterms:modified xsi:type="dcterms:W3CDTF">2020-05-03T12:04:38Z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2012-04-20T00:00:00Z</vt:filetime>
  </property>
  <property fmtid="{D5CDD505-2E9C-101B-9397-08002B2CF9AE}" pid="3" name="Creator">
    <vt:lpwstr>2011年年报正文（定稿）.doc - Microsoft Word</vt:lpwstr>
  </property>
  <property fmtid="{D5CDD505-2E9C-101B-9397-08002B2CF9AE}" pid="4" name="LastSaved">
    <vt:filetime>2020-05-03T00:00:00Z</vt:filetime>
  </property>
</Properties>
</file>